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38" w:lineRule="exact"/>
        <w:rPr/>
      </w:pPr>
      <w:r/>
    </w:p>
    <w:p>
      <w:pPr>
        <w:spacing w:line="238" w:lineRule="exact"/>
        <w:sectPr>
          <w:headerReference w:type="default" r:id="rId1"/>
          <w:footerReference w:type="default" r:id="rId2"/>
          <w:pgSz w:w="11906" w:h="16157"/>
          <w:pgMar w:top="1131" w:right="1070" w:bottom="547" w:left="407" w:header="815" w:footer="354" w:gutter="0"/>
          <w:cols w:equalWidth="0" w:num="1">
            <w:col w:w="10427" w:space="0"/>
          </w:cols>
        </w:sectPr>
        <w:rPr/>
      </w:pPr>
    </w:p>
    <w:p>
      <w:pPr>
        <w:pStyle w:val="BodyText"/>
        <w:ind w:left="730" w:right="240" w:hanging="10"/>
        <w:spacing w:before="34" w:line="25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2．1    </w:t>
      </w:r>
      <w:r>
        <w:rPr>
          <w:rFonts w:ascii="NSimSun" w:hAnsi="NSimSun" w:eastAsia="NSimSun" w:cs="NSimSun"/>
        </w:rPr>
        <w:t>两组</w:t>
      </w:r>
      <w:r>
        <w:rPr>
          <w:rFonts w:ascii="NSimSun" w:hAnsi="NSimSun" w:eastAsia="NSimSun" w:cs="NSimSun"/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VAS、</w:t>
      </w:r>
      <w:r>
        <w:rPr>
          <w:rFonts w:ascii="NSimSun" w:hAnsi="NSimSun" w:eastAsia="NSimSun" w:cs="NSimSun"/>
        </w:rPr>
        <w:t>住院时间及护理满意度比较</w:t>
      </w:r>
      <w:r>
        <w:rPr>
          <w:rFonts w:ascii="NSimSun" w:hAnsi="NSimSun" w:eastAsia="NSimSun" w:cs="NSimSun"/>
          <w:spacing w:val="23"/>
        </w:rPr>
        <w:t xml:space="preserve">  </w:t>
      </w:r>
      <w:r>
        <w:rPr/>
        <w:t>实验组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VAS </w:t>
      </w:r>
      <w:r>
        <w:rPr>
          <w:spacing w:val="8"/>
        </w:rPr>
        <w:t>评分显著低于参照组，住院时间明显短于参照组，护理</w:t>
      </w:r>
      <w:r>
        <w:rPr>
          <w:spacing w:val="7"/>
        </w:rPr>
        <w:t>满意</w:t>
      </w:r>
      <w:r>
        <w:rPr/>
        <w:t xml:space="preserve"> </w:t>
      </w:r>
      <w:r>
        <w:rPr>
          <w:spacing w:val="-3"/>
        </w:rPr>
        <w:t>度评分明显高于参照组，差异均有统计学意义(</w:t>
      </w:r>
      <w:r>
        <w:rPr>
          <w:rFonts w:ascii="Microsoft YaHei" w:hAnsi="Microsoft YaHei" w:eastAsia="Microsoft YaHei" w:cs="Microsoft YaHei"/>
          <w:spacing w:val="-3"/>
        </w:rPr>
        <w:t>P＜0．05</w:t>
      </w:r>
      <w:r>
        <w:rPr>
          <w:spacing w:val="-3"/>
        </w:rPr>
        <w:t>)</w:t>
      </w:r>
      <w:r>
        <w:rPr>
          <w:spacing w:val="-15"/>
        </w:rPr>
        <w:t xml:space="preserve"> </w:t>
      </w:r>
      <w:r>
        <w:rPr>
          <w:spacing w:val="-3"/>
        </w:rPr>
        <w:t>，见</w:t>
      </w:r>
      <w:r>
        <w:rPr/>
        <w:t xml:space="preserve"> </w:t>
      </w:r>
      <w:r>
        <w:rPr>
          <w:spacing w:val="-11"/>
        </w:rPr>
        <w:t>表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。</w:t>
      </w:r>
    </w:p>
    <w:p>
      <w:pPr>
        <w:ind w:left="1045"/>
        <w:spacing w:line="195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2" style="position:absolute;margin-left:230.974pt;margin-top:0.539528pt;mso-position-vertical-relative:text;mso-position-horizontal-relative:text;width:4.15pt;height:0.2pt;z-index:-251658240;" filled="false" strokecolor="#000000" strokeweight="0.19pt" coordsize="83,4" coordorigin="0,0" path="m0,1l82,1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-1"/>
        </w:rPr>
        <w:t>表</w:t>
      </w:r>
      <w:r>
        <w:rPr>
          <w:rFonts w:ascii="SimHei" w:hAnsi="SimHei" w:eastAsia="SimHei" w:cs="Sim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1    </w:t>
      </w:r>
      <w:r>
        <w:rPr>
          <w:rFonts w:ascii="SimHei" w:hAnsi="SimHei" w:eastAsia="SimHei" w:cs="SimHei"/>
          <w:sz w:val="17"/>
          <w:szCs w:val="17"/>
          <w:spacing w:val="-1"/>
        </w:rPr>
        <w:t>两组</w:t>
      </w:r>
      <w:r>
        <w:rPr>
          <w:rFonts w:ascii="SimHei" w:hAnsi="SimHei" w:eastAsia="SimHei" w:cs="SimHei"/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VAS、</w:t>
      </w:r>
      <w:r>
        <w:rPr>
          <w:rFonts w:ascii="SimHei" w:hAnsi="SimHei" w:eastAsia="SimHei" w:cs="SimHei"/>
          <w:sz w:val="17"/>
          <w:szCs w:val="17"/>
          <w:spacing w:val="-1"/>
        </w:rPr>
        <w:t>住院时间及护理满意度比较(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±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s</w:t>
      </w:r>
      <w:r>
        <w:rPr>
          <w:rFonts w:ascii="SimHei" w:hAnsi="SimHei" w:eastAsia="SimHei" w:cs="SimHei"/>
          <w:sz w:val="17"/>
          <w:szCs w:val="17"/>
          <w:spacing w:val="-2"/>
        </w:rPr>
        <w:t>)</w:t>
      </w:r>
    </w:p>
    <w:p>
      <w:pPr>
        <w:spacing w:line="27" w:lineRule="exact"/>
        <w:rPr/>
      </w:pPr>
      <w:r/>
    </w:p>
    <w:tbl>
      <w:tblPr>
        <w:tblStyle w:val="TableNormal"/>
        <w:tblW w:w="4640" w:type="dxa"/>
        <w:tblInd w:w="7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1"/>
        <w:gridCol w:w="438"/>
        <w:gridCol w:w="1086"/>
        <w:gridCol w:w="1117"/>
        <w:gridCol w:w="1328"/>
      </w:tblGrid>
      <w:tr>
        <w:trPr>
          <w:trHeight w:val="227" w:hRule="atLeast"/>
        </w:trPr>
        <w:tc>
          <w:tcPr>
            <w:tcW w:w="67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70"/>
              <w:spacing w:before="46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43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9"/>
              <w:spacing w:before="58" w:line="158" w:lineRule="exact"/>
              <w:rPr/>
            </w:pPr>
            <w:r>
              <w:rPr>
                <w:position w:val="1"/>
              </w:rPr>
              <w:t>n</w:t>
            </w:r>
          </w:p>
        </w:tc>
        <w:tc>
          <w:tcPr>
            <w:tcW w:w="108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0"/>
              <w:spacing w:before="38" w:line="166" w:lineRule="auto"/>
              <w:rPr>
                <w:rFonts w:ascii="SimSun" w:hAnsi="SimSun" w:eastAsia="SimSun" w:cs="SimSun"/>
              </w:rPr>
            </w:pPr>
            <w:r>
              <w:rPr/>
              <w:t>VAS</w:t>
            </w:r>
            <w:r>
              <w:rPr>
                <w:rFonts w:ascii="SimSun" w:hAnsi="SimSun" w:eastAsia="SimSun" w:cs="SimSun"/>
                <w:spacing w:val="5"/>
              </w:rPr>
              <w:t>(分)</w:t>
            </w:r>
          </w:p>
        </w:tc>
        <w:tc>
          <w:tcPr>
            <w:tcW w:w="11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4"/>
              <w:spacing w:before="38" w:line="166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"/>
              </w:rPr>
              <w:t>住院时间</w:t>
            </w:r>
            <w:r>
              <w:rPr>
                <w:rFonts w:ascii="SimSun" w:hAnsi="SimSun" w:eastAsia="SimSun" w:cs="SimSun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(</w:t>
            </w:r>
            <w:r>
              <w:rPr>
                <w:spacing w:val="-1"/>
              </w:rPr>
              <w:t>d</w:t>
            </w:r>
            <w:r>
              <w:rPr>
                <w:rFonts w:ascii="SimSun" w:hAnsi="SimSun" w:eastAsia="SimSun" w:cs="SimSun"/>
                <w:spacing w:val="-1"/>
              </w:rPr>
              <w:t>)</w:t>
            </w:r>
          </w:p>
        </w:tc>
        <w:tc>
          <w:tcPr>
            <w:tcW w:w="132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15"/>
              <w:spacing w:before="39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8"/>
              </w:rPr>
              <w:t>护理满意度(分)</w:t>
            </w:r>
          </w:p>
        </w:tc>
      </w:tr>
      <w:tr>
        <w:trPr>
          <w:trHeight w:val="229" w:hRule="atLeast"/>
        </w:trPr>
        <w:tc>
          <w:tcPr>
            <w:tcW w:w="671" w:type="dxa"/>
            <w:vAlign w:val="top"/>
            <w:tcBorders>
              <w:top w:val="single" w:color="000000" w:sz="2" w:space="0"/>
            </w:tcBorders>
          </w:tcPr>
          <w:p>
            <w:pPr>
              <w:ind w:left="92"/>
              <w:spacing w:before="50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实验组</w:t>
            </w:r>
          </w:p>
        </w:tc>
        <w:tc>
          <w:tcPr>
            <w:tcW w:w="4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1"/>
              <w:spacing w:before="59" w:line="160" w:lineRule="exact"/>
              <w:rPr/>
            </w:pPr>
            <w:r>
              <w:rPr>
                <w:spacing w:val="-1"/>
                <w:w w:val="94"/>
                <w:position w:val="-1"/>
              </w:rPr>
              <w:t>44</w:t>
            </w:r>
          </w:p>
        </w:tc>
        <w:tc>
          <w:tcPr>
            <w:tcW w:w="10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7"/>
              <w:spacing w:before="59" w:line="160" w:lineRule="exact"/>
              <w:rPr/>
            </w:pPr>
            <w:r>
              <w:rPr>
                <w:spacing w:val="-26"/>
                <w:position w:val="-1"/>
              </w:rPr>
              <w:t>2．06</w:t>
            </w:r>
            <w:r>
              <w:rPr>
                <w:spacing w:val="18"/>
                <w:w w:val="101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0．18</w:t>
            </w:r>
          </w:p>
        </w:tc>
        <w:tc>
          <w:tcPr>
            <w:tcW w:w="11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9"/>
              <w:spacing w:before="59" w:line="160" w:lineRule="exact"/>
              <w:rPr/>
            </w:pPr>
            <w:r>
              <w:rPr>
                <w:spacing w:val="-25"/>
                <w:w w:val="97"/>
                <w:position w:val="-1"/>
              </w:rPr>
              <w:t>8．67</w:t>
            </w:r>
            <w:r>
              <w:rPr>
                <w:spacing w:val="13"/>
                <w:w w:val="101"/>
                <w:position w:val="-1"/>
              </w:rPr>
              <w:t xml:space="preserve"> </w:t>
            </w:r>
            <w:r>
              <w:rPr>
                <w:spacing w:val="-25"/>
                <w:w w:val="97"/>
                <w:position w:val="-1"/>
              </w:rPr>
              <w:t>±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25"/>
                <w:w w:val="97"/>
                <w:position w:val="-1"/>
              </w:rPr>
              <w:t>1．94</w:t>
            </w:r>
          </w:p>
        </w:tc>
        <w:tc>
          <w:tcPr>
            <w:tcW w:w="132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4"/>
              <w:spacing w:before="59" w:line="160" w:lineRule="exact"/>
              <w:rPr/>
            </w:pPr>
            <w:r>
              <w:rPr>
                <w:spacing w:val="-24"/>
                <w:w w:val="99"/>
                <w:position w:val="-1"/>
              </w:rPr>
              <w:t>94．42</w:t>
            </w:r>
            <w:r>
              <w:rPr>
                <w:spacing w:val="15"/>
                <w:w w:val="101"/>
                <w:position w:val="-1"/>
              </w:rPr>
              <w:t xml:space="preserve"> </w:t>
            </w:r>
            <w:r>
              <w:rPr>
                <w:spacing w:val="-24"/>
                <w:w w:val="99"/>
                <w:position w:val="-1"/>
              </w:rPr>
              <w:t>±</w:t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pacing w:val="-24"/>
                <w:w w:val="99"/>
                <w:position w:val="-1"/>
              </w:rPr>
              <w:t>3．25</w:t>
            </w:r>
          </w:p>
        </w:tc>
      </w:tr>
      <w:tr>
        <w:trPr>
          <w:trHeight w:val="243" w:hRule="atLeast"/>
        </w:trPr>
        <w:tc>
          <w:tcPr>
            <w:tcW w:w="671" w:type="dxa"/>
            <w:vAlign w:val="top"/>
          </w:tcPr>
          <w:p>
            <w:pPr>
              <w:ind w:left="89"/>
              <w:spacing w:before="61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参照组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21"/>
              <w:spacing w:before="69" w:line="164" w:lineRule="exact"/>
              <w:rPr/>
            </w:pPr>
            <w:r>
              <w:rPr>
                <w:spacing w:val="-1"/>
                <w:w w:val="94"/>
                <w:position w:val="-1"/>
              </w:rPr>
              <w:t>44</w:t>
            </w:r>
          </w:p>
        </w:tc>
        <w:tc>
          <w:tcPr>
            <w:tcW w:w="1086" w:type="dxa"/>
            <w:vAlign w:val="top"/>
          </w:tcPr>
          <w:p>
            <w:pPr>
              <w:pStyle w:val="TableText"/>
              <w:ind w:left="170"/>
              <w:spacing w:before="69" w:line="164" w:lineRule="exact"/>
              <w:rPr/>
            </w:pPr>
            <w:r>
              <w:rPr>
                <w:spacing w:val="-26"/>
                <w:position w:val="-1"/>
              </w:rPr>
              <w:t>3．75</w:t>
            </w:r>
            <w:r>
              <w:rPr>
                <w:spacing w:val="10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0．62</w:t>
            </w:r>
          </w:p>
        </w:tc>
        <w:tc>
          <w:tcPr>
            <w:tcW w:w="1117" w:type="dxa"/>
            <w:vAlign w:val="top"/>
          </w:tcPr>
          <w:p>
            <w:pPr>
              <w:pStyle w:val="TableText"/>
              <w:ind w:left="169"/>
              <w:spacing w:before="69" w:line="164" w:lineRule="exact"/>
              <w:rPr/>
            </w:pPr>
            <w:r>
              <w:rPr>
                <w:spacing w:val="-26"/>
                <w:position w:val="-1"/>
              </w:rPr>
              <w:t>11．05</w:t>
            </w:r>
            <w:r>
              <w:rPr>
                <w:spacing w:val="14"/>
                <w:w w:val="101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2．53</w:t>
            </w:r>
          </w:p>
        </w:tc>
        <w:tc>
          <w:tcPr>
            <w:tcW w:w="1328" w:type="dxa"/>
            <w:vAlign w:val="top"/>
          </w:tcPr>
          <w:p>
            <w:pPr>
              <w:pStyle w:val="TableText"/>
              <w:ind w:left="248"/>
              <w:spacing w:before="69" w:line="164" w:lineRule="exact"/>
              <w:rPr/>
            </w:pPr>
            <w:r>
              <w:rPr>
                <w:spacing w:val="-25"/>
                <w:position w:val="-1"/>
              </w:rPr>
              <w:t>86．55</w:t>
            </w:r>
            <w:r>
              <w:rPr>
                <w:spacing w:val="13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±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5．62</w:t>
            </w:r>
          </w:p>
        </w:tc>
      </w:tr>
      <w:tr>
        <w:trPr>
          <w:trHeight w:val="233" w:hRule="atLeast"/>
        </w:trPr>
        <w:tc>
          <w:tcPr>
            <w:tcW w:w="671" w:type="dxa"/>
            <w:vAlign w:val="top"/>
          </w:tcPr>
          <w:p>
            <w:pPr>
              <w:pStyle w:val="TableText"/>
              <w:ind w:left="300"/>
              <w:spacing w:before="70" w:line="153" w:lineRule="exact"/>
              <w:rPr/>
            </w:pPr>
            <w:r>
              <w:rPr>
                <w:position w:val="-1"/>
              </w:rPr>
              <w:t>t</w:t>
            </w:r>
          </w:p>
        </w:tc>
        <w:tc>
          <w:tcPr>
            <w:tcW w:w="438" w:type="dxa"/>
            <w:vAlign w:val="top"/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1086" w:type="dxa"/>
            <w:vAlign w:val="top"/>
          </w:tcPr>
          <w:p>
            <w:pPr>
              <w:pStyle w:val="TableText"/>
              <w:ind w:left="337"/>
              <w:spacing w:before="64" w:line="159" w:lineRule="exact"/>
              <w:rPr/>
            </w:pPr>
            <w:r>
              <w:rPr>
                <w:spacing w:val="-22"/>
                <w:position w:val="-1"/>
              </w:rPr>
              <w:t>17．364</w:t>
            </w:r>
          </w:p>
        </w:tc>
        <w:tc>
          <w:tcPr>
            <w:tcW w:w="1117" w:type="dxa"/>
            <w:vAlign w:val="top"/>
          </w:tcPr>
          <w:p>
            <w:pPr>
              <w:pStyle w:val="TableText"/>
              <w:ind w:left="388"/>
              <w:spacing w:before="64" w:line="159" w:lineRule="exact"/>
              <w:rPr/>
            </w:pPr>
            <w:r>
              <w:rPr>
                <w:spacing w:val="-21"/>
                <w:position w:val="-1"/>
              </w:rPr>
              <w:t>4．952</w:t>
            </w:r>
          </w:p>
        </w:tc>
        <w:tc>
          <w:tcPr>
            <w:tcW w:w="1328" w:type="dxa"/>
            <w:vAlign w:val="top"/>
          </w:tcPr>
          <w:p>
            <w:pPr>
              <w:pStyle w:val="TableText"/>
              <w:ind w:left="484"/>
              <w:spacing w:before="64" w:line="159" w:lineRule="exact"/>
              <w:rPr/>
            </w:pPr>
            <w:r>
              <w:rPr>
                <w:spacing w:val="-22"/>
                <w:position w:val="-1"/>
              </w:rPr>
              <w:t>8．041</w:t>
            </w:r>
          </w:p>
        </w:tc>
      </w:tr>
      <w:tr>
        <w:trPr>
          <w:trHeight w:val="243" w:hRule="atLeast"/>
        </w:trPr>
        <w:tc>
          <w:tcPr>
            <w:tcW w:w="67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0"/>
              <w:spacing w:before="79" w:line="154" w:lineRule="exact"/>
              <w:rPr/>
            </w:pPr>
            <w:r>
              <w:rPr>
                <w:spacing w:val="4"/>
                <w:position w:val="-3"/>
              </w:rPr>
              <w:t>P</w:t>
            </w:r>
          </w:p>
        </w:tc>
        <w:tc>
          <w:tcPr>
            <w:tcW w:w="438" w:type="dxa"/>
            <w:vAlign w:val="top"/>
            <w:tcBorders>
              <w:bottom w:val="single" w:color="000000" w:sz="6" w:space="0"/>
            </w:tcBorders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73"/>
              <w:spacing w:before="70" w:line="163" w:lineRule="exact"/>
              <w:rPr/>
            </w:pPr>
            <w:r>
              <w:rPr>
                <w:spacing w:val="-24"/>
                <w:position w:val="-1"/>
              </w:rPr>
              <w:t>&lt; 0．05</w:t>
            </w:r>
          </w:p>
        </w:tc>
        <w:tc>
          <w:tcPr>
            <w:tcW w:w="111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01"/>
              <w:spacing w:before="70" w:line="163" w:lineRule="exact"/>
              <w:rPr/>
            </w:pPr>
            <w:r>
              <w:rPr>
                <w:spacing w:val="-24"/>
                <w:position w:val="-1"/>
              </w:rPr>
              <w:t>&lt; 0．05</w:t>
            </w:r>
          </w:p>
        </w:tc>
        <w:tc>
          <w:tcPr>
            <w:tcW w:w="132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89"/>
              <w:spacing w:before="70" w:line="163" w:lineRule="exact"/>
              <w:rPr/>
            </w:pPr>
            <w:r>
              <w:rPr>
                <w:spacing w:val="-24"/>
                <w:position w:val="-1"/>
              </w:rPr>
              <w:t>&lt; 0．05</w:t>
            </w:r>
          </w:p>
        </w:tc>
      </w:tr>
    </w:tbl>
    <w:p>
      <w:pPr>
        <w:pStyle w:val="BodyText"/>
        <w:ind w:left="731" w:right="183" w:hanging="11"/>
        <w:spacing w:before="109" w:line="25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2．2    </w:t>
      </w:r>
      <w:r>
        <w:rPr>
          <w:rFonts w:ascii="NSimSun" w:hAnsi="NSimSun" w:eastAsia="NSimSun" w:cs="NSimSun"/>
          <w:spacing w:val="1"/>
        </w:rPr>
        <w:t>两组生活质量比较</w:t>
      </w:r>
      <w:r>
        <w:rPr>
          <w:rFonts w:ascii="NSimSun" w:hAnsi="NSimSun" w:eastAsia="NSimSun" w:cs="NSimSun"/>
          <w:spacing w:val="1"/>
        </w:rPr>
        <w:t xml:space="preserve">  </w:t>
      </w:r>
      <w:r>
        <w:rPr>
          <w:spacing w:val="1"/>
        </w:rPr>
        <w:t>实验组患者心理功能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躯体功能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8"/>
        </w:rPr>
        <w:t>物质生活和社会功能等评分均显著高于参照组，差异</w:t>
      </w:r>
      <w:r>
        <w:rPr>
          <w:spacing w:val="7"/>
        </w:rPr>
        <w:t>均有统</w:t>
      </w:r>
      <w:r>
        <w:rPr/>
        <w:t xml:space="preserve"> </w:t>
      </w:r>
      <w:r>
        <w:rPr>
          <w:spacing w:val="-10"/>
        </w:rPr>
        <w:t>计学意义(</w:t>
      </w:r>
      <w:r>
        <w:rPr>
          <w:rFonts w:ascii="Microsoft YaHei" w:hAnsi="Microsoft YaHei" w:eastAsia="Microsoft YaHei" w:cs="Microsoft YaHei"/>
          <w:spacing w:val="-10"/>
        </w:rPr>
        <w:t>P＜0．05</w:t>
      </w:r>
      <w:r>
        <w:rPr>
          <w:spacing w:val="-10"/>
        </w:rPr>
        <w:t>)</w:t>
      </w:r>
      <w:r>
        <w:rPr>
          <w:spacing w:val="-19"/>
        </w:rPr>
        <w:t xml:space="preserve"> </w:t>
      </w:r>
      <w:r>
        <w:rPr>
          <w:spacing w:val="-10"/>
        </w:rPr>
        <w:t>，见表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2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。</w:t>
      </w:r>
    </w:p>
    <w:p>
      <w:pPr>
        <w:ind w:left="1682"/>
        <w:spacing w:line="191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4" style="position:absolute;margin-left:185.794pt;margin-top:0.605472pt;mso-position-vertical-relative:text;mso-position-horizontal-relative:text;width:4.15pt;height:0.2pt;z-index:-251657216;" filled="false" strokecolor="#000000" strokeweight="0.19pt" coordsize="83,4" coordorigin="0,0" path="m0,1l82,1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-3"/>
        </w:rPr>
        <w:t>表</w:t>
      </w:r>
      <w:r>
        <w:rPr>
          <w:rFonts w:ascii="SimHei" w:hAnsi="SimHei" w:eastAsia="SimHei" w:cs="Sim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2    </w:t>
      </w:r>
      <w:r>
        <w:rPr>
          <w:rFonts w:ascii="SimHei" w:hAnsi="SimHei" w:eastAsia="SimHei" w:cs="SimHei"/>
          <w:sz w:val="17"/>
          <w:szCs w:val="17"/>
          <w:spacing w:val="-3"/>
        </w:rPr>
        <w:t>两组生活质量比较(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 xml:space="preserve"> ±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s</w:t>
      </w:r>
      <w:r>
        <w:rPr>
          <w:rFonts w:ascii="SimHei" w:hAnsi="SimHei" w:eastAsia="SimHei" w:cs="SimHei"/>
          <w:sz w:val="17"/>
          <w:szCs w:val="17"/>
          <w:spacing w:val="-3"/>
        </w:rPr>
        <w:t>，分)</w:t>
      </w:r>
    </w:p>
    <w:p>
      <w:pPr>
        <w:spacing w:line="34" w:lineRule="exact"/>
        <w:rPr/>
      </w:pPr>
      <w:r/>
    </w:p>
    <w:tbl>
      <w:tblPr>
        <w:tblStyle w:val="TableNormal"/>
        <w:tblW w:w="4640" w:type="dxa"/>
        <w:tblInd w:w="7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8"/>
        <w:gridCol w:w="348"/>
        <w:gridCol w:w="854"/>
        <w:gridCol w:w="840"/>
        <w:gridCol w:w="921"/>
        <w:gridCol w:w="1079"/>
      </w:tblGrid>
      <w:tr>
        <w:trPr>
          <w:trHeight w:val="227" w:hRule="atLeast"/>
        </w:trPr>
        <w:tc>
          <w:tcPr>
            <w:tcW w:w="59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87"/>
              <w:spacing w:before="44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2"/>
                <w:w w:val="95"/>
              </w:rPr>
              <w:t>组别</w:t>
            </w:r>
          </w:p>
        </w:tc>
        <w:tc>
          <w:tcPr>
            <w:tcW w:w="34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6"/>
              <w:spacing w:before="56" w:line="160" w:lineRule="exact"/>
              <w:rPr/>
            </w:pPr>
            <w:r>
              <w:rPr>
                <w:position w:val="1"/>
              </w:rPr>
              <w:t>n</w:t>
            </w:r>
          </w:p>
        </w:tc>
        <w:tc>
          <w:tcPr>
            <w:tcW w:w="85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06"/>
              <w:spacing w:before="43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3"/>
                <w:w w:val="92"/>
              </w:rPr>
              <w:t>心理功能</w:t>
            </w:r>
          </w:p>
        </w:tc>
        <w:tc>
          <w:tcPr>
            <w:tcW w:w="8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90"/>
              <w:spacing w:before="42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1"/>
                <w:w w:val="91"/>
              </w:rPr>
              <w:t>躯体功能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92"/>
              <w:spacing w:before="43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  <w:w w:val="90"/>
              </w:rPr>
              <w:t>物质生活</w:t>
            </w:r>
          </w:p>
        </w:tc>
        <w:tc>
          <w:tcPr>
            <w:tcW w:w="107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68"/>
              <w:spacing w:before="42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1"/>
                <w:w w:val="91"/>
              </w:rPr>
              <w:t>社会功能</w:t>
            </w:r>
          </w:p>
        </w:tc>
      </w:tr>
      <w:tr>
        <w:trPr>
          <w:trHeight w:val="228" w:hRule="atLeast"/>
        </w:trPr>
        <w:tc>
          <w:tcPr>
            <w:tcW w:w="598" w:type="dxa"/>
            <w:vAlign w:val="top"/>
            <w:tcBorders>
              <w:top w:val="single" w:color="000000" w:sz="2" w:space="0"/>
            </w:tcBorders>
          </w:tcPr>
          <w:p>
            <w:pPr>
              <w:ind w:left="128"/>
              <w:spacing w:before="49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1"/>
                <w:w w:val="92"/>
              </w:rPr>
              <w:t>实验组</w:t>
            </w:r>
          </w:p>
        </w:tc>
        <w:tc>
          <w:tcPr>
            <w:tcW w:w="34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2"/>
              <w:spacing w:before="58" w:line="160" w:lineRule="exact"/>
              <w:rPr/>
            </w:pPr>
            <w:r>
              <w:rPr>
                <w:spacing w:val="-1"/>
                <w:w w:val="83"/>
                <w:position w:val="-1"/>
              </w:rPr>
              <w:t>44</w:t>
            </w:r>
          </w:p>
        </w:tc>
        <w:tc>
          <w:tcPr>
            <w:tcW w:w="8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2"/>
              <w:spacing w:before="58" w:line="160" w:lineRule="exact"/>
              <w:rPr/>
            </w:pPr>
            <w:r>
              <w:rPr>
                <w:spacing w:val="-17"/>
                <w:w w:val="76"/>
                <w:position w:val="-1"/>
              </w:rPr>
              <w:t>68．07</w:t>
            </w:r>
            <w:r>
              <w:rPr>
                <w:spacing w:val="-3"/>
                <w:position w:val="-1"/>
              </w:rPr>
              <w:t xml:space="preserve"> </w:t>
            </w:r>
            <w:r>
              <w:rPr>
                <w:spacing w:val="-17"/>
                <w:w w:val="76"/>
                <w:position w:val="-1"/>
              </w:rPr>
              <w:t>±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-17"/>
                <w:w w:val="76"/>
                <w:position w:val="-1"/>
              </w:rPr>
              <w:t>4．26</w:t>
            </w:r>
          </w:p>
        </w:tc>
        <w:tc>
          <w:tcPr>
            <w:tcW w:w="8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3"/>
              <w:spacing w:before="58" w:line="160" w:lineRule="exact"/>
              <w:rPr/>
            </w:pPr>
            <w:r>
              <w:rPr>
                <w:spacing w:val="-21"/>
                <w:w w:val="79"/>
                <w:position w:val="-1"/>
              </w:rPr>
              <w:t>83．54</w:t>
            </w:r>
            <w:r>
              <w:rPr>
                <w:position w:val="-1"/>
              </w:rPr>
              <w:t xml:space="preserve"> </w:t>
            </w:r>
            <w:r>
              <w:rPr>
                <w:spacing w:val="-21"/>
                <w:w w:val="79"/>
                <w:position w:val="-1"/>
              </w:rPr>
              <w:t>±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spacing w:val="-21"/>
                <w:w w:val="79"/>
                <w:position w:val="-1"/>
              </w:rPr>
              <w:t>3．71</w:t>
            </w:r>
          </w:p>
        </w:tc>
        <w:tc>
          <w:tcPr>
            <w:tcW w:w="9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1"/>
              <w:spacing w:before="58" w:line="160" w:lineRule="exact"/>
              <w:rPr/>
            </w:pPr>
            <w:r>
              <w:rPr>
                <w:spacing w:val="-18"/>
                <w:w w:val="77"/>
                <w:position w:val="-1"/>
              </w:rPr>
              <w:t>79．62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18"/>
                <w:w w:val="77"/>
                <w:position w:val="-1"/>
              </w:rPr>
              <w:t>±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-18"/>
                <w:w w:val="77"/>
                <w:position w:val="-1"/>
              </w:rPr>
              <w:t>4．14</w:t>
            </w:r>
          </w:p>
        </w:tc>
        <w:tc>
          <w:tcPr>
            <w:tcW w:w="107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0"/>
              <w:spacing w:before="58" w:line="160" w:lineRule="exact"/>
              <w:rPr/>
            </w:pPr>
            <w:r>
              <w:rPr>
                <w:spacing w:val="-19"/>
                <w:w w:val="78"/>
                <w:position w:val="-1"/>
              </w:rPr>
              <w:t>80．13</w:t>
            </w:r>
            <w:r>
              <w:rPr>
                <w:spacing w:val="-6"/>
                <w:position w:val="-1"/>
              </w:rPr>
              <w:t xml:space="preserve"> </w:t>
            </w:r>
            <w:r>
              <w:rPr>
                <w:spacing w:val="-19"/>
                <w:w w:val="78"/>
                <w:position w:val="-1"/>
              </w:rPr>
              <w:t>±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-19"/>
                <w:w w:val="78"/>
                <w:position w:val="-1"/>
              </w:rPr>
              <w:t>4．06</w:t>
            </w:r>
          </w:p>
        </w:tc>
      </w:tr>
      <w:tr>
        <w:trPr>
          <w:trHeight w:val="242" w:hRule="atLeast"/>
        </w:trPr>
        <w:tc>
          <w:tcPr>
            <w:tcW w:w="598" w:type="dxa"/>
            <w:vAlign w:val="top"/>
          </w:tcPr>
          <w:p>
            <w:pPr>
              <w:ind w:left="126"/>
              <w:spacing w:before="61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4"/>
                <w:w w:val="94"/>
              </w:rPr>
              <w:t>参照组</w:t>
            </w:r>
          </w:p>
        </w:tc>
        <w:tc>
          <w:tcPr>
            <w:tcW w:w="348" w:type="dxa"/>
            <w:vAlign w:val="top"/>
          </w:tcPr>
          <w:p>
            <w:pPr>
              <w:pStyle w:val="TableText"/>
              <w:ind w:left="122"/>
              <w:spacing w:before="68" w:line="164" w:lineRule="exact"/>
              <w:rPr/>
            </w:pPr>
            <w:r>
              <w:rPr>
                <w:spacing w:val="-1"/>
                <w:w w:val="83"/>
                <w:position w:val="-1"/>
              </w:rPr>
              <w:t>44</w:t>
            </w:r>
          </w:p>
        </w:tc>
        <w:tc>
          <w:tcPr>
            <w:tcW w:w="854" w:type="dxa"/>
            <w:vAlign w:val="top"/>
          </w:tcPr>
          <w:p>
            <w:pPr>
              <w:pStyle w:val="TableText"/>
              <w:ind w:left="112"/>
              <w:spacing w:before="68" w:line="164" w:lineRule="exact"/>
              <w:rPr/>
            </w:pPr>
            <w:r>
              <w:rPr>
                <w:spacing w:val="-20"/>
                <w:w w:val="79"/>
                <w:position w:val="-1"/>
              </w:rPr>
              <w:t>62．58</w:t>
            </w:r>
            <w:r>
              <w:rPr>
                <w:spacing w:val="-4"/>
                <w:position w:val="-1"/>
              </w:rPr>
              <w:t xml:space="preserve"> </w:t>
            </w:r>
            <w:r>
              <w:rPr>
                <w:spacing w:val="-20"/>
                <w:w w:val="79"/>
                <w:position w:val="-1"/>
              </w:rPr>
              <w:t>±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-20"/>
                <w:w w:val="79"/>
                <w:position w:val="-1"/>
              </w:rPr>
              <w:t>4．17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99"/>
              <w:spacing w:before="68" w:line="164" w:lineRule="exact"/>
              <w:rPr/>
            </w:pPr>
            <w:r>
              <w:rPr>
                <w:spacing w:val="-19"/>
                <w:w w:val="78"/>
                <w:position w:val="-1"/>
              </w:rPr>
              <w:t>77．29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19"/>
                <w:w w:val="78"/>
                <w:position w:val="-1"/>
              </w:rPr>
              <w:t>±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-19"/>
                <w:w w:val="78"/>
                <w:position w:val="-1"/>
              </w:rPr>
              <w:t>4．33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101"/>
              <w:spacing w:before="68" w:line="164" w:lineRule="exact"/>
              <w:rPr/>
            </w:pPr>
            <w:r>
              <w:rPr>
                <w:spacing w:val="-17"/>
                <w:w w:val="76"/>
                <w:position w:val="-1"/>
              </w:rPr>
              <w:t>74．90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17"/>
                <w:w w:val="76"/>
                <w:position w:val="-1"/>
              </w:rPr>
              <w:t>±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spacing w:val="-17"/>
                <w:w w:val="76"/>
                <w:position w:val="-1"/>
              </w:rPr>
              <w:t>4．58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76"/>
              <w:spacing w:before="68" w:line="164" w:lineRule="exact"/>
              <w:rPr/>
            </w:pPr>
            <w:r>
              <w:rPr>
                <w:spacing w:val="-19"/>
                <w:w w:val="78"/>
                <w:position w:val="-1"/>
              </w:rPr>
              <w:t>74．07</w:t>
            </w:r>
            <w:r>
              <w:rPr>
                <w:spacing w:val="-6"/>
                <w:position w:val="-1"/>
              </w:rPr>
              <w:t xml:space="preserve"> </w:t>
            </w:r>
            <w:r>
              <w:rPr>
                <w:spacing w:val="-19"/>
                <w:w w:val="78"/>
                <w:position w:val="-1"/>
              </w:rPr>
              <w:t>±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spacing w:val="-19"/>
                <w:w w:val="78"/>
                <w:position w:val="-1"/>
              </w:rPr>
              <w:t>3．58</w:t>
            </w:r>
          </w:p>
        </w:tc>
      </w:tr>
      <w:tr>
        <w:trPr>
          <w:trHeight w:val="233" w:hRule="atLeast"/>
        </w:trPr>
        <w:tc>
          <w:tcPr>
            <w:tcW w:w="598" w:type="dxa"/>
            <w:vAlign w:val="top"/>
          </w:tcPr>
          <w:p>
            <w:pPr>
              <w:pStyle w:val="TableText"/>
              <w:ind w:left="286"/>
              <w:spacing w:before="70" w:line="152" w:lineRule="exact"/>
              <w:rPr/>
            </w:pPr>
            <w:r>
              <w:rPr>
                <w:position w:val="-1"/>
              </w:rPr>
              <w:t>t</w:t>
            </w:r>
          </w:p>
        </w:tc>
        <w:tc>
          <w:tcPr>
            <w:tcW w:w="348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854" w:type="dxa"/>
            <w:vAlign w:val="top"/>
          </w:tcPr>
          <w:p>
            <w:pPr>
              <w:pStyle w:val="TableText"/>
              <w:ind w:left="289"/>
              <w:spacing w:before="65" w:line="157" w:lineRule="exact"/>
              <w:rPr/>
            </w:pPr>
            <w:r>
              <w:rPr>
                <w:spacing w:val="-21"/>
                <w:w w:val="84"/>
                <w:position w:val="-1"/>
              </w:rPr>
              <w:t>6．109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276"/>
              <w:spacing w:before="65" w:line="157" w:lineRule="exact"/>
              <w:rPr/>
            </w:pPr>
            <w:r>
              <w:rPr>
                <w:spacing w:val="-23"/>
                <w:w w:val="86"/>
                <w:position w:val="-1"/>
              </w:rPr>
              <w:t>7．271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279"/>
              <w:spacing w:before="65" w:line="157" w:lineRule="exact"/>
              <w:rPr/>
            </w:pPr>
            <w:r>
              <w:rPr>
                <w:spacing w:val="-23"/>
                <w:w w:val="86"/>
                <w:position w:val="-1"/>
              </w:rPr>
              <w:t>5．071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52"/>
              <w:spacing w:before="65" w:line="157" w:lineRule="exact"/>
              <w:rPr/>
            </w:pPr>
            <w:r>
              <w:rPr>
                <w:spacing w:val="-16"/>
                <w:w w:val="79"/>
                <w:position w:val="-1"/>
              </w:rPr>
              <w:t>7．426</w:t>
            </w:r>
          </w:p>
        </w:tc>
      </w:tr>
      <w:tr>
        <w:trPr>
          <w:trHeight w:val="241" w:hRule="atLeast"/>
        </w:trPr>
        <w:tc>
          <w:tcPr>
            <w:tcW w:w="59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64"/>
              <w:spacing w:before="80" w:line="150" w:lineRule="exact"/>
              <w:rPr/>
            </w:pPr>
            <w:r>
              <w:rPr>
                <w:position w:val="-3"/>
              </w:rPr>
              <w:t>P</w:t>
            </w:r>
          </w:p>
        </w:tc>
        <w:tc>
          <w:tcPr>
            <w:tcW w:w="348" w:type="dxa"/>
            <w:vAlign w:val="top"/>
            <w:tcBorders>
              <w:bottom w:val="single" w:color="000000" w:sz="6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85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4"/>
              <w:spacing w:before="71" w:line="159" w:lineRule="exact"/>
              <w:rPr/>
            </w:pPr>
            <w:r>
              <w:rPr>
                <w:spacing w:val="-24"/>
                <w:w w:val="86"/>
                <w:position w:val="-1"/>
              </w:rPr>
              <w:t>&lt; 0．05</w:t>
            </w:r>
          </w:p>
        </w:tc>
        <w:tc>
          <w:tcPr>
            <w:tcW w:w="8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2"/>
              <w:spacing w:before="71" w:line="159" w:lineRule="exact"/>
              <w:rPr/>
            </w:pPr>
            <w:r>
              <w:rPr>
                <w:spacing w:val="-24"/>
                <w:w w:val="86"/>
                <w:position w:val="-1"/>
              </w:rPr>
              <w:t>&lt; 0．05</w:t>
            </w:r>
          </w:p>
        </w:tc>
        <w:tc>
          <w:tcPr>
            <w:tcW w:w="9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5"/>
              <w:spacing w:before="71" w:line="159" w:lineRule="exact"/>
              <w:rPr/>
            </w:pPr>
            <w:r>
              <w:rPr>
                <w:spacing w:val="-24"/>
                <w:w w:val="86"/>
                <w:position w:val="-1"/>
              </w:rPr>
              <w:t>&lt; 0．05</w:t>
            </w:r>
          </w:p>
        </w:tc>
        <w:tc>
          <w:tcPr>
            <w:tcW w:w="107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59"/>
              <w:spacing w:before="71" w:line="159" w:lineRule="exact"/>
              <w:rPr/>
            </w:pPr>
            <w:r>
              <w:rPr>
                <w:spacing w:val="-24"/>
                <w:w w:val="86"/>
                <w:position w:val="-1"/>
              </w:rPr>
              <w:t>&lt; 0．05</w:t>
            </w:r>
          </w:p>
        </w:tc>
      </w:tr>
    </w:tbl>
    <w:p>
      <w:pPr>
        <w:pStyle w:val="BodyText"/>
        <w:ind w:left="762" w:right="247" w:hanging="42"/>
        <w:spacing w:before="109" w:line="23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6"/>
        </w:rPr>
        <w:t>2．3    </w:t>
      </w:r>
      <w:r>
        <w:rPr>
          <w:rFonts w:ascii="NSimSun" w:hAnsi="NSimSun" w:eastAsia="NSimSun" w:cs="NSimSun"/>
          <w:spacing w:val="16"/>
        </w:rPr>
        <w:t>两组并发症发生情况比较</w:t>
      </w:r>
      <w:r>
        <w:rPr>
          <w:rFonts w:ascii="NSimSun" w:hAnsi="NSimSun" w:eastAsia="NSimSun" w:cs="NSimSun"/>
          <w:spacing w:val="34"/>
          <w:w w:val="101"/>
        </w:rPr>
        <w:t xml:space="preserve">  </w:t>
      </w:r>
      <w:r>
        <w:rPr>
          <w:spacing w:val="16"/>
        </w:rPr>
        <w:t>实验组</w:t>
      </w:r>
      <w:r>
        <w:rPr>
          <w:spacing w:val="15"/>
        </w:rPr>
        <w:t>并发症发生率</w:t>
      </w:r>
      <w:r>
        <w:rPr/>
        <w:t xml:space="preserve"> </w:t>
      </w:r>
      <w:r>
        <w:rPr>
          <w:spacing w:val="-4"/>
        </w:rPr>
        <w:t>(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11. 36% </w:t>
      </w:r>
      <w:r>
        <w:rPr>
          <w:spacing w:val="-4"/>
        </w:rPr>
        <w:t>)</w:t>
      </w:r>
      <w:r>
        <w:rPr>
          <w:spacing w:val="-17"/>
        </w:rPr>
        <w:t xml:space="preserve"> </w:t>
      </w:r>
      <w:r>
        <w:rPr>
          <w:spacing w:val="-4"/>
        </w:rPr>
        <w:t>显著低于参照组</w:t>
      </w:r>
      <w:r>
        <w:rPr>
          <w:spacing w:val="-28"/>
        </w:rPr>
        <w:t xml:space="preserve"> </w:t>
      </w:r>
      <w:r>
        <w:rPr>
          <w:spacing w:val="-4"/>
        </w:rPr>
        <w:t>(</w:t>
      </w:r>
      <w:r>
        <w:rPr>
          <w:rFonts w:ascii="Microsoft YaHei" w:hAnsi="Microsoft YaHei" w:eastAsia="Microsoft YaHei" w:cs="Microsoft YaHei"/>
          <w:spacing w:val="-4"/>
        </w:rPr>
        <w:t>31．82% </w:t>
      </w:r>
      <w:r>
        <w:rPr>
          <w:spacing w:val="-4"/>
        </w:rPr>
        <w:t>)</w:t>
      </w:r>
      <w:r>
        <w:rPr>
          <w:spacing w:val="-27"/>
        </w:rPr>
        <w:t xml:space="preserve"> </w:t>
      </w:r>
      <w:r>
        <w:rPr>
          <w:spacing w:val="-4"/>
        </w:rPr>
        <w:t>，差</w:t>
      </w:r>
      <w:r>
        <w:rPr>
          <w:spacing w:val="-5"/>
        </w:rPr>
        <w:t>异有统计学意义</w:t>
      </w:r>
      <w:r>
        <w:rPr/>
        <w:t xml:space="preserve"> </w:t>
      </w:r>
      <w:r>
        <w:rPr>
          <w:spacing w:val="-6"/>
          <w:w w:val="80"/>
        </w:rPr>
        <w:t>(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6"/>
          <w:w w:val="80"/>
        </w:rPr>
        <w:t>χ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-25"/>
        </w:rPr>
        <w:t>=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4．296</w:t>
      </w:r>
      <w:r>
        <w:rPr>
          <w:spacing w:val="-25"/>
        </w:rPr>
        <w:t>，</w:t>
      </w:r>
      <w:r>
        <w:rPr>
          <w:rFonts w:ascii="Microsoft YaHei" w:hAnsi="Microsoft YaHei" w:eastAsia="Microsoft YaHei" w:cs="Microsoft YaHei"/>
          <w:spacing w:val="-25"/>
        </w:rPr>
        <w:t>P＜0．05</w:t>
      </w:r>
      <w:r>
        <w:rPr>
          <w:spacing w:val="-25"/>
        </w:rPr>
        <w:t>)</w:t>
      </w:r>
      <w:r>
        <w:rPr>
          <w:spacing w:val="-27"/>
        </w:rPr>
        <w:t xml:space="preserve"> </w:t>
      </w:r>
      <w:r>
        <w:rPr>
          <w:spacing w:val="-25"/>
        </w:rPr>
        <w:t>，见表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3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。</w:t>
      </w:r>
    </w:p>
    <w:p>
      <w:pPr>
        <w:ind w:left="1814"/>
        <w:spacing w:before="1" w:line="196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3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  </w:t>
      </w:r>
      <w:r>
        <w:rPr>
          <w:rFonts w:ascii="SimHei" w:hAnsi="SimHei" w:eastAsia="SimHei" w:cs="SimHei"/>
          <w:sz w:val="17"/>
          <w:szCs w:val="17"/>
          <w:spacing w:val="5"/>
        </w:rPr>
        <w:t>两组并发症发生情况比较</w:t>
      </w:r>
    </w:p>
    <w:p>
      <w:pPr>
        <w:spacing w:line="25" w:lineRule="exact"/>
        <w:rPr/>
      </w:pPr>
      <w:r/>
    </w:p>
    <w:tbl>
      <w:tblPr>
        <w:tblStyle w:val="TableNormal"/>
        <w:tblW w:w="4640" w:type="dxa"/>
        <w:tblInd w:w="7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2"/>
        <w:gridCol w:w="401"/>
        <w:gridCol w:w="522"/>
        <w:gridCol w:w="474"/>
        <w:gridCol w:w="633"/>
        <w:gridCol w:w="929"/>
        <w:gridCol w:w="1009"/>
      </w:tblGrid>
      <w:tr>
        <w:trPr>
          <w:trHeight w:val="228" w:hRule="atLeast"/>
        </w:trPr>
        <w:tc>
          <w:tcPr>
            <w:tcW w:w="6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70"/>
              <w:spacing w:before="46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40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8"/>
              <w:spacing w:before="59" w:line="158" w:lineRule="exact"/>
              <w:rPr/>
            </w:pPr>
            <w:r>
              <w:rPr>
                <w:position w:val="1"/>
              </w:rPr>
              <w:t>n</w:t>
            </w:r>
          </w:p>
        </w:tc>
        <w:tc>
          <w:tcPr>
            <w:tcW w:w="52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1"/>
              <w:spacing w:before="45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水肿</w:t>
            </w:r>
          </w:p>
        </w:tc>
        <w:tc>
          <w:tcPr>
            <w:tcW w:w="47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98"/>
              <w:spacing w:before="46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出血</w:t>
            </w:r>
          </w:p>
        </w:tc>
        <w:tc>
          <w:tcPr>
            <w:tcW w:w="63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87"/>
              <w:spacing w:before="46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尿潴留</w:t>
            </w:r>
          </w:p>
        </w:tc>
        <w:tc>
          <w:tcPr>
            <w:tcW w:w="92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92"/>
              <w:spacing w:before="44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肛门坠胀感</w:t>
            </w:r>
          </w:p>
        </w:tc>
        <w:tc>
          <w:tcPr>
            <w:tcW w:w="100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spacing w:before="37" w:line="168" w:lineRule="auto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0"/>
              </w:rPr>
              <w:t>总计［</w:t>
            </w:r>
            <w:r>
              <w:rPr>
                <w:spacing w:val="-10"/>
              </w:rPr>
              <w:t>n</w:t>
            </w:r>
            <w:r>
              <w:rPr>
                <w:rFonts w:ascii="SimSun" w:hAnsi="SimSun" w:eastAsia="SimSun" w:cs="SimSun"/>
                <w:spacing w:val="-10"/>
              </w:rPr>
              <w:t>(</w:t>
            </w:r>
            <w:r>
              <w:rPr>
                <w:spacing w:val="-10"/>
              </w:rPr>
              <w:t>%</w:t>
            </w:r>
            <w:r>
              <w:rPr>
                <w:rFonts w:ascii="SimSun" w:hAnsi="SimSun" w:eastAsia="SimSun" w:cs="SimSun"/>
                <w:spacing w:val="-10"/>
              </w:rPr>
              <w:t>)</w:t>
            </w:r>
            <w:r>
              <w:rPr>
                <w:rFonts w:ascii="SimSun" w:hAnsi="SimSun" w:eastAsia="SimSun" w:cs="SimSun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pacing w:val="-10"/>
              </w:rPr>
              <w:t>］</w:t>
            </w:r>
          </w:p>
        </w:tc>
      </w:tr>
      <w:tr>
        <w:trPr>
          <w:trHeight w:val="224" w:hRule="atLeast"/>
        </w:trPr>
        <w:tc>
          <w:tcPr>
            <w:tcW w:w="672" w:type="dxa"/>
            <w:vAlign w:val="top"/>
            <w:tcBorders>
              <w:top w:val="single" w:color="000000" w:sz="2" w:space="0"/>
            </w:tcBorders>
          </w:tcPr>
          <w:p>
            <w:pPr>
              <w:ind w:left="92"/>
              <w:spacing w:before="49" w:line="20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实验组</w:t>
            </w:r>
          </w:p>
        </w:tc>
        <w:tc>
          <w:tcPr>
            <w:tcW w:w="4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0"/>
              <w:spacing w:before="59" w:line="155" w:lineRule="exact"/>
              <w:rPr/>
            </w:pPr>
            <w:r>
              <w:rPr>
                <w:spacing w:val="-1"/>
                <w:w w:val="94"/>
                <w:position w:val="-1"/>
              </w:rPr>
              <w:t>44</w:t>
            </w:r>
          </w:p>
        </w:tc>
        <w:tc>
          <w:tcPr>
            <w:tcW w:w="5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1"/>
              <w:spacing w:before="59" w:line="155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4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6"/>
              <w:spacing w:before="59" w:line="155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6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9"/>
              <w:spacing w:before="59" w:line="155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9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9"/>
              <w:spacing w:before="59" w:line="155" w:lineRule="exact"/>
              <w:rPr/>
            </w:pPr>
            <w:r>
              <w:rPr>
                <w:position w:val="-1"/>
              </w:rPr>
              <w:t>2</w:t>
            </w:r>
          </w:p>
        </w:tc>
        <w:tc>
          <w:tcPr>
            <w:tcW w:w="100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6"/>
              <w:spacing w:before="45" w:line="157" w:lineRule="auto"/>
              <w:rPr>
                <w:rFonts w:ascii="SimSun" w:hAnsi="SimSun" w:eastAsia="SimSun" w:cs="SimSun"/>
              </w:rPr>
            </w:pPr>
            <w:r>
              <w:rPr>
                <w:spacing w:val="-23"/>
              </w:rPr>
              <w:t>5</w:t>
            </w:r>
            <w:r>
              <w:rPr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pacing w:val="-23"/>
              </w:rPr>
              <w:t>(</w:t>
            </w:r>
            <w:r>
              <w:rPr>
                <w:rFonts w:ascii="SimSun" w:hAnsi="SimSun" w:eastAsia="SimSun" w:cs="SimSun"/>
                <w:spacing w:val="-43"/>
              </w:rPr>
              <w:t xml:space="preserve"> </w:t>
            </w:r>
            <w:r>
              <w:rPr>
                <w:spacing w:val="-23"/>
              </w:rPr>
              <w:t>11．36</w:t>
            </w:r>
            <w:r>
              <w:rPr>
                <w:rFonts w:ascii="SimSun" w:hAnsi="SimSun" w:eastAsia="SimSun" w:cs="SimSun"/>
                <w:spacing w:val="-23"/>
              </w:rPr>
              <w:t>)</w:t>
            </w:r>
          </w:p>
        </w:tc>
      </w:tr>
      <w:tr>
        <w:trPr>
          <w:trHeight w:val="244" w:hRule="atLeast"/>
        </w:trPr>
        <w:tc>
          <w:tcPr>
            <w:tcW w:w="672" w:type="dxa"/>
            <w:vAlign w:val="top"/>
            <w:tcBorders>
              <w:bottom w:val="single" w:color="000000" w:sz="6" w:space="0"/>
            </w:tcBorders>
          </w:tcPr>
          <w:p>
            <w:pPr>
              <w:ind w:left="89"/>
              <w:spacing w:before="65" w:line="20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参照组</w:t>
            </w:r>
          </w:p>
        </w:tc>
        <w:tc>
          <w:tcPr>
            <w:tcW w:w="40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0"/>
              <w:spacing w:before="74" w:line="160" w:lineRule="exact"/>
              <w:rPr/>
            </w:pPr>
            <w:r>
              <w:rPr>
                <w:spacing w:val="-1"/>
                <w:w w:val="94"/>
                <w:position w:val="-1"/>
              </w:rPr>
              <w:t>44</w:t>
            </w:r>
          </w:p>
        </w:tc>
        <w:tc>
          <w:tcPr>
            <w:tcW w:w="52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0"/>
              <w:spacing w:before="74" w:line="160" w:lineRule="exact"/>
              <w:rPr/>
            </w:pPr>
            <w:r>
              <w:rPr>
                <w:position w:val="-1"/>
              </w:rPr>
              <w:t>3</w:t>
            </w:r>
          </w:p>
        </w:tc>
        <w:tc>
          <w:tcPr>
            <w:tcW w:w="47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4"/>
              <w:spacing w:before="74" w:line="160" w:lineRule="exact"/>
              <w:rPr/>
            </w:pPr>
            <w:r>
              <w:rPr>
                <w:position w:val="-1"/>
              </w:rPr>
              <w:t>2</w:t>
            </w:r>
          </w:p>
        </w:tc>
        <w:tc>
          <w:tcPr>
            <w:tcW w:w="63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4"/>
              <w:spacing w:before="74" w:line="160" w:lineRule="exact"/>
              <w:rPr/>
            </w:pPr>
            <w:r>
              <w:rPr>
                <w:position w:val="-1"/>
              </w:rPr>
              <w:t>4</w:t>
            </w:r>
          </w:p>
        </w:tc>
        <w:tc>
          <w:tcPr>
            <w:tcW w:w="92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40"/>
              <w:spacing w:before="74" w:line="160" w:lineRule="exact"/>
              <w:rPr/>
            </w:pPr>
            <w:r>
              <w:rPr>
                <w:position w:val="-1"/>
              </w:rPr>
              <w:t>5</w:t>
            </w:r>
          </w:p>
        </w:tc>
        <w:tc>
          <w:tcPr>
            <w:tcW w:w="100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0"/>
              <w:spacing w:before="60" w:line="162" w:lineRule="auto"/>
              <w:rPr>
                <w:rFonts w:ascii="SimSun" w:hAnsi="SimSun" w:eastAsia="SimSun" w:cs="SimSun"/>
              </w:rPr>
            </w:pPr>
            <w:r>
              <w:rPr>
                <w:spacing w:val="-15"/>
              </w:rPr>
              <w:t>14</w:t>
            </w:r>
            <w:r>
              <w:rPr>
                <w:rFonts w:ascii="SimSun" w:hAnsi="SimSun" w:eastAsia="SimSun" w:cs="SimSun"/>
                <w:spacing w:val="-15"/>
              </w:rPr>
              <w:t>(</w:t>
            </w:r>
            <w:r>
              <w:rPr>
                <w:spacing w:val="-15"/>
              </w:rPr>
              <w:t>31．82</w:t>
            </w:r>
            <w:r>
              <w:rPr>
                <w:rFonts w:ascii="SimSun" w:hAnsi="SimSun" w:eastAsia="SimSun" w:cs="SimSun"/>
                <w:spacing w:val="-15"/>
              </w:rPr>
              <w:t>)</w:t>
            </w:r>
          </w:p>
        </w:tc>
      </w:tr>
    </w:tbl>
    <w:p>
      <w:pPr>
        <w:ind w:left="718"/>
        <w:spacing w:before="112" w:line="195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2"/>
        </w:rPr>
        <w:t>讨论</w:t>
      </w:r>
    </w:p>
    <w:p>
      <w:pPr>
        <w:pStyle w:val="BodyText"/>
        <w:ind w:left="731" w:right="246" w:firstLine="363"/>
        <w:spacing w:before="46" w:line="27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混合痔发生的部位比较特殊，其易出血和疼痛等临床症</w:t>
      </w:r>
      <w:r>
        <w:rPr>
          <w:spacing w:val="13"/>
        </w:rPr>
        <w:t xml:space="preserve"> </w:t>
      </w:r>
      <w:r>
        <w:rPr>
          <w:spacing w:val="8"/>
        </w:rPr>
        <w:t>状给患者和日常生活与工作均造成严重影响，临床多采</w:t>
      </w:r>
      <w:r>
        <w:rPr>
          <w:spacing w:val="7"/>
        </w:rPr>
        <w:t>用手</w:t>
      </w:r>
      <w:r>
        <w:rPr/>
        <w:t xml:space="preserve"> </w:t>
      </w:r>
      <w:r>
        <w:rPr>
          <w:spacing w:val="1"/>
        </w:rPr>
        <w:t>术方式治疗混合痔，其效果也比较明显，但是若护理不当，术</w:t>
      </w:r>
      <w:r>
        <w:rPr>
          <w:spacing w:val="9"/>
        </w:rPr>
        <w:t xml:space="preserve"> </w:t>
      </w:r>
      <w:r>
        <w:rPr>
          <w:spacing w:val="1"/>
        </w:rPr>
        <w:t>后极易引发水肿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排便困难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出血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肛门坠胀和尿潴留等并发</w:t>
      </w:r>
      <w:r>
        <w:rPr>
          <w:spacing w:val="7"/>
        </w:rPr>
        <w:t xml:space="preserve"> </w:t>
      </w:r>
      <w:r>
        <w:rPr>
          <w:spacing w:val="-1"/>
        </w:rPr>
        <w:t>症</w:t>
      </w:r>
      <w:r>
        <w:rPr>
          <w:sz w:val="10"/>
          <w:szCs w:val="10"/>
          <w:spacing w:val="-21"/>
          <w:w w:val="98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21"/>
          <w:w w:val="98"/>
          <w:position w:val="8"/>
        </w:rPr>
        <w:t>6</w:t>
      </w:r>
      <w:r>
        <w:rPr>
          <w:sz w:val="10"/>
          <w:szCs w:val="10"/>
          <w:spacing w:val="-21"/>
          <w:w w:val="98"/>
          <w:position w:val="8"/>
        </w:rPr>
        <w:t>］</w:t>
      </w:r>
      <w:r>
        <w:rPr>
          <w:sz w:val="10"/>
          <w:szCs w:val="10"/>
          <w:spacing w:val="-11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因此，加强患者围术期护理服务有着重要意义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pStyle w:val="BodyText"/>
        <w:ind w:left="731" w:right="246" w:firstLine="360"/>
        <w:spacing w:before="5" w:line="259" w:lineRule="auto"/>
        <w:jc w:val="both"/>
        <w:rPr/>
      </w:pPr>
      <w:r>
        <w:rPr>
          <w:spacing w:val="7"/>
        </w:rPr>
        <w:t>优质护理是一种以患者为中心的新型护理模式，改变了</w:t>
      </w:r>
      <w:r>
        <w:rPr>
          <w:spacing w:val="17"/>
        </w:rPr>
        <w:t xml:space="preserve"> </w:t>
      </w:r>
      <w:r>
        <w:rPr>
          <w:spacing w:val="15"/>
        </w:rPr>
        <w:t>过往仅以疾病为中心的护理理念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spacing w:val="15"/>
        </w:rPr>
        <w:t>优质护理在常规护理的</w:t>
      </w:r>
      <w:r>
        <w:rPr/>
        <w:t xml:space="preserve"> </w:t>
      </w:r>
      <w:r>
        <w:rPr>
          <w:spacing w:val="8"/>
        </w:rPr>
        <w:t>基础上从患者角度出发，更注重患者的心理及生理感受</w:t>
      </w:r>
      <w:r>
        <w:rPr>
          <w:spacing w:val="7"/>
        </w:rPr>
        <w:t>，其</w:t>
      </w:r>
      <w:r>
        <w:rPr/>
        <w:t xml:space="preserve"> </w:t>
      </w:r>
      <w:r>
        <w:rPr>
          <w:spacing w:val="8"/>
        </w:rPr>
        <w:t>护理服务更为快速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细致和全面，可让患者在疾病</w:t>
      </w:r>
      <w:r>
        <w:rPr>
          <w:spacing w:val="7"/>
        </w:rPr>
        <w:t>得到治疗</w:t>
      </w:r>
      <w:r>
        <w:rPr/>
        <w:t xml:space="preserve"> </w:t>
      </w:r>
      <w:r>
        <w:rPr>
          <w:spacing w:val="1"/>
        </w:rPr>
        <w:t>的同时，其各方面均享受到精心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高效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全面和优质的护理报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4" w:firstLine="2"/>
        <w:spacing w:before="40" w:line="27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"/>
        </w:rPr>
        <w:t>务，从而使其保持愉悦心情，积极主动地配合治疗，进而确保</w:t>
      </w:r>
      <w:r>
        <w:rPr>
          <w:spacing w:val="3"/>
        </w:rPr>
        <w:t xml:space="preserve">  </w:t>
      </w:r>
      <w:r>
        <w:rPr>
          <w:spacing w:val="3"/>
        </w:rPr>
        <w:t>临床治疗效果</w:t>
      </w:r>
      <w:r>
        <w:rPr>
          <w:sz w:val="10"/>
          <w:szCs w:val="10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7</w:t>
      </w:r>
      <w:r>
        <w:rPr>
          <w:sz w:val="10"/>
          <w:szCs w:val="10"/>
          <w:spacing w:val="3"/>
          <w:position w:val="8"/>
        </w:rPr>
        <w:t>］</w:t>
      </w:r>
      <w:r>
        <w:rPr>
          <w:sz w:val="10"/>
          <w:szCs w:val="10"/>
          <w:spacing w:val="-16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学者高永俊的研究结果显示，混合痔围手</w:t>
      </w:r>
      <w:r>
        <w:rPr/>
        <w:t xml:space="preserve">  </w:t>
      </w:r>
      <w:r>
        <w:rPr>
          <w:spacing w:val="8"/>
        </w:rPr>
        <w:t>术期患者通过实施优质护理，其疼痛情况明显缓解，并发症</w:t>
      </w:r>
      <w:r>
        <w:rPr/>
        <w:t xml:space="preserve">  </w:t>
      </w:r>
      <w:r>
        <w:rPr>
          <w:spacing w:val="9"/>
        </w:rPr>
        <w:t>显著降低，且非常认可优质护理模式</w:t>
      </w:r>
      <w:r>
        <w:rPr>
          <w:sz w:val="10"/>
          <w:szCs w:val="10"/>
          <w:spacing w:val="9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8</w:t>
      </w:r>
      <w:r>
        <w:rPr>
          <w:sz w:val="10"/>
          <w:szCs w:val="10"/>
          <w:spacing w:val="9"/>
          <w:position w:val="8"/>
        </w:rPr>
        <w:t>］</w:t>
      </w:r>
      <w:r>
        <w:rPr>
          <w:sz w:val="10"/>
          <w:szCs w:val="10"/>
          <w:spacing w:val="-5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本文结果与其一</w:t>
      </w:r>
      <w:r>
        <w:rPr/>
        <w:t xml:space="preserve">  </w:t>
      </w:r>
      <w:r>
        <w:rPr>
          <w:spacing w:val="4"/>
        </w:rPr>
        <w:t>致，实验组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VAS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评分和并发症发生率均显著低于参照组，住</w:t>
      </w:r>
      <w:r>
        <w:rPr/>
        <w:t xml:space="preserve">  </w:t>
      </w:r>
      <w:r>
        <w:rPr>
          <w:spacing w:val="8"/>
        </w:rPr>
        <w:t>院时间明显短于参照组，护理满意度评分以及各项生</w:t>
      </w:r>
      <w:r>
        <w:rPr>
          <w:spacing w:val="7"/>
        </w:rPr>
        <w:t>活质量</w:t>
      </w:r>
      <w:r>
        <w:rPr/>
        <w:t xml:space="preserve">  </w:t>
      </w:r>
      <w:r>
        <w:rPr>
          <w:spacing w:val="1"/>
        </w:rPr>
        <w:t>评分均显著高于参照组，差异均有统计学意义</w:t>
      </w:r>
      <w:r>
        <w:rPr>
          <w:spacing w:val="-23"/>
        </w:rPr>
        <w:t xml:space="preserve"> </w:t>
      </w:r>
      <w:r>
        <w:rPr>
          <w:spacing w:val="1"/>
        </w:rPr>
        <w:t>(</w:t>
      </w:r>
      <w:r>
        <w:rPr>
          <w:rFonts w:ascii="Microsoft YaHei" w:hAnsi="Microsoft YaHei" w:eastAsia="Microsoft YaHei" w:cs="Microsoft YaHei"/>
          <w:spacing w:val="1"/>
        </w:rPr>
        <w:t>P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＜0．05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"/>
        </w:rPr>
        <w:t>)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8"/>
        </w:rPr>
        <w:t>此结果充分说明，加强患者围手术期护理服务有利于</w:t>
      </w:r>
      <w:r>
        <w:rPr>
          <w:spacing w:val="7"/>
        </w:rPr>
        <w:t>及时了</w:t>
      </w:r>
      <w:r>
        <w:rPr/>
        <w:t xml:space="preserve">  </w:t>
      </w:r>
      <w:r>
        <w:rPr>
          <w:spacing w:val="8"/>
        </w:rPr>
        <w:t>解其所存在的情况，从而给予针对性的指导，减少和消除一</w:t>
      </w:r>
      <w:r>
        <w:rPr/>
        <w:t xml:space="preserve">  </w:t>
      </w:r>
      <w:r>
        <w:rPr>
          <w:spacing w:val="8"/>
        </w:rPr>
        <w:t>切影响治疗效果的因素，进而确保患者在良好的心理</w:t>
      </w:r>
      <w:r>
        <w:rPr>
          <w:spacing w:val="7"/>
        </w:rPr>
        <w:t>状态下</w:t>
      </w:r>
      <w:r>
        <w:rPr/>
        <w:t xml:space="preserve">  </w:t>
      </w:r>
      <w:r>
        <w:rPr>
          <w:spacing w:val="4"/>
        </w:rPr>
        <w:t>进行治疗与护理，最终使病情快速康复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25" w:right="68" w:firstLine="362"/>
        <w:spacing w:line="27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综上所述，在混合痔患者围手术期给予优质护理可有效</w:t>
      </w:r>
      <w:r>
        <w:rPr>
          <w:spacing w:val="12"/>
        </w:rPr>
        <w:t xml:space="preserve"> </w:t>
      </w:r>
      <w:r>
        <w:rPr>
          <w:spacing w:val="1"/>
        </w:rPr>
        <w:t>改善其疼痛情况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减少并发症发生率，从而加速病情康复，缩</w:t>
      </w:r>
      <w:r>
        <w:rPr>
          <w:spacing w:val="9"/>
        </w:rPr>
        <w:t xml:space="preserve"> </w:t>
      </w:r>
      <w:r>
        <w:rPr>
          <w:spacing w:val="8"/>
        </w:rPr>
        <w:t>短住院时间，进而提高其生活质量和对护理的满意度</w:t>
      </w:r>
      <w:r>
        <w:rPr>
          <w:spacing w:val="7"/>
        </w:rPr>
        <w:t>，促进</w:t>
      </w:r>
      <w:r>
        <w:rPr/>
        <w:t xml:space="preserve"> </w:t>
      </w:r>
      <w:r>
        <w:rPr>
          <w:spacing w:val="2"/>
        </w:rPr>
        <w:t>和谐的护患关系，值得临床推广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ind w:left="1711"/>
        <w:spacing w:before="111" w:line="214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参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考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文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献</w:t>
      </w:r>
    </w:p>
    <w:p>
      <w:pPr>
        <w:pStyle w:val="BodyText"/>
        <w:ind w:left="459" w:right="63" w:hanging="459"/>
        <w:spacing w:before="225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1</w:t>
      </w:r>
      <w:r>
        <w:rPr>
          <w:sz w:val="15"/>
          <w:szCs w:val="15"/>
          <w:spacing w:val="2"/>
        </w:rPr>
        <w:t>］</w:t>
      </w:r>
      <w:r>
        <w:rPr>
          <w:sz w:val="15"/>
          <w:szCs w:val="15"/>
          <w:spacing w:val="82"/>
        </w:rPr>
        <w:t xml:space="preserve"> </w:t>
      </w:r>
      <w:r>
        <w:rPr>
          <w:sz w:val="15"/>
          <w:szCs w:val="15"/>
          <w:spacing w:val="2"/>
        </w:rPr>
        <w:t>高爱红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．</w:t>
      </w:r>
      <w:r>
        <w:rPr>
          <w:sz w:val="15"/>
          <w:szCs w:val="15"/>
          <w:spacing w:val="2"/>
        </w:rPr>
        <w:t>个性化护理对环状混合痔行提扎固涩术围手术期的影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响［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4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3"/>
        </w:rPr>
        <w:t>．</w:t>
      </w:r>
      <w:r>
        <w:rPr>
          <w:sz w:val="15"/>
          <w:szCs w:val="15"/>
          <w:spacing w:val="-11"/>
        </w:rPr>
        <w:t>中国药物与临床，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2020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4</w:t>
      </w:r>
      <w:r>
        <w:rPr>
          <w:sz w:val="15"/>
          <w:szCs w:val="15"/>
          <w:spacing w:val="-11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645－646．</w:t>
      </w:r>
    </w:p>
    <w:p>
      <w:pPr>
        <w:pStyle w:val="BodyText"/>
        <w:ind w:left="452" w:right="68" w:hanging="452"/>
        <w:spacing w:before="46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2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61"/>
        </w:rPr>
        <w:t xml:space="preserve"> </w:t>
      </w:r>
      <w:r>
        <w:rPr>
          <w:sz w:val="15"/>
          <w:szCs w:val="15"/>
          <w:spacing w:val="-2"/>
        </w:rPr>
        <w:t>邓晓梅，聂胜林，王小芳，等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优质</w:t>
      </w:r>
      <w:r>
        <w:rPr>
          <w:sz w:val="15"/>
          <w:szCs w:val="15"/>
          <w:spacing w:val="-3"/>
        </w:rPr>
        <w:t>护理在痔上黏膜套扎术联合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外剥内扎术治疗混合痔围手术期患者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10"/>
        </w:rPr>
        <w:t>中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10"/>
        </w:rPr>
        <w:t>的应用［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J</w:t>
      </w:r>
      <w:r>
        <w:rPr>
          <w:sz w:val="15"/>
          <w:szCs w:val="15"/>
          <w:spacing w:val="-4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1"/>
        </w:rPr>
        <w:t>．</w:t>
      </w:r>
      <w:r>
        <w:rPr>
          <w:sz w:val="15"/>
          <w:szCs w:val="15"/>
          <w:spacing w:val="10"/>
        </w:rPr>
        <w:t>海南医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9"/>
        </w:rPr>
        <w:t>学，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2018</w:t>
      </w:r>
      <w:r>
        <w:rPr>
          <w:sz w:val="15"/>
          <w:szCs w:val="15"/>
          <w:spacing w:val="-1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29</w:t>
      </w:r>
      <w:r>
        <w:rPr>
          <w:sz w:val="15"/>
          <w:szCs w:val="15"/>
          <w:spacing w:val="-19"/>
        </w:rPr>
        <w:t>(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12</w:t>
      </w:r>
      <w:r>
        <w:rPr>
          <w:sz w:val="15"/>
          <w:szCs w:val="15"/>
          <w:spacing w:val="-19"/>
        </w:rPr>
        <w:t>)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9"/>
        </w:rPr>
        <w:t>: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1770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－1772．</w:t>
      </w:r>
    </w:p>
    <w:p>
      <w:pPr>
        <w:pStyle w:val="BodyText"/>
        <w:ind w:left="440" w:right="25" w:hanging="440"/>
        <w:spacing w:before="46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3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66"/>
        </w:rPr>
        <w:t xml:space="preserve"> </w:t>
      </w:r>
      <w:r>
        <w:rPr>
          <w:sz w:val="15"/>
          <w:szCs w:val="15"/>
          <w:spacing w:val="-2"/>
        </w:rPr>
        <w:t>张芬菊，祝晓波，蓝仙美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高频电容场</w:t>
      </w:r>
      <w:r>
        <w:rPr>
          <w:sz w:val="15"/>
          <w:szCs w:val="15"/>
          <w:spacing w:val="-3"/>
        </w:rPr>
        <w:t>联合内痔分段结扎术治疗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Ⅲ ~ Ⅳ</w:t>
      </w:r>
      <w:r>
        <w:rPr>
          <w:sz w:val="15"/>
          <w:szCs w:val="15"/>
          <w:spacing w:val="7"/>
        </w:rPr>
        <w:t>度混合痔围手术期护理效果观察［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7"/>
        </w:rPr>
        <w:t>护士进修杂志，</w:t>
      </w:r>
      <w:r>
        <w:rPr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2015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30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7</w:t>
      </w:r>
      <w:r>
        <w:rPr>
          <w:sz w:val="15"/>
          <w:szCs w:val="15"/>
          <w:spacing w:val="-12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633－634．</w:t>
      </w:r>
    </w:p>
    <w:p>
      <w:pPr>
        <w:pStyle w:val="BodyText"/>
        <w:ind w:left="453" w:right="67" w:hanging="453"/>
        <w:spacing w:before="46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4</w:t>
      </w:r>
      <w:r>
        <w:rPr>
          <w:sz w:val="15"/>
          <w:szCs w:val="15"/>
          <w:spacing w:val="-1"/>
        </w:rPr>
        <w:t>］</w:t>
      </w:r>
      <w:r>
        <w:rPr>
          <w:sz w:val="15"/>
          <w:szCs w:val="15"/>
          <w:spacing w:val="67"/>
        </w:rPr>
        <w:t xml:space="preserve"> </w:t>
      </w:r>
      <w:r>
        <w:rPr>
          <w:sz w:val="15"/>
          <w:szCs w:val="15"/>
          <w:spacing w:val="-1"/>
        </w:rPr>
        <w:t>牛魏魏，潘琼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．</w:t>
      </w:r>
      <w:r>
        <w:rPr>
          <w:sz w:val="15"/>
          <w:szCs w:val="15"/>
          <w:spacing w:val="-1"/>
        </w:rPr>
        <w:t>混合痔围术期患者中医护理方案的实施［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J</w:t>
      </w:r>
      <w:r>
        <w:rPr>
          <w:sz w:val="15"/>
          <w:szCs w:val="15"/>
          <w:spacing w:val="-45"/>
          <w:w w:val="9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5"/>
          <w:w w:val="94"/>
        </w:rPr>
        <w:t>．</w:t>
      </w:r>
      <w:r>
        <w:rPr>
          <w:sz w:val="15"/>
          <w:szCs w:val="15"/>
          <w:spacing w:val="-1"/>
        </w:rPr>
        <w:t>护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理学杂志，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2016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31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24</w:t>
      </w:r>
      <w:r>
        <w:rPr>
          <w:sz w:val="15"/>
          <w:szCs w:val="15"/>
          <w:spacing w:val="-13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49－50．</w:t>
      </w:r>
    </w:p>
    <w:p>
      <w:pPr>
        <w:pStyle w:val="BodyText"/>
        <w:ind w:left="450" w:right="67" w:hanging="450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5</w:t>
      </w:r>
      <w:r>
        <w:rPr>
          <w:sz w:val="15"/>
          <w:szCs w:val="15"/>
          <w:spacing w:val="4"/>
        </w:rPr>
        <w:t>］</w:t>
      </w:r>
      <w:r>
        <w:rPr>
          <w:sz w:val="15"/>
          <w:szCs w:val="15"/>
          <w:spacing w:val="67"/>
        </w:rPr>
        <w:t xml:space="preserve"> </w:t>
      </w:r>
      <w:r>
        <w:rPr>
          <w:sz w:val="15"/>
          <w:szCs w:val="15"/>
          <w:spacing w:val="4"/>
        </w:rPr>
        <w:t>张亚丽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．</w:t>
      </w:r>
      <w:r>
        <w:rPr>
          <w:sz w:val="15"/>
          <w:szCs w:val="15"/>
          <w:spacing w:val="4"/>
        </w:rPr>
        <w:t>舒适护理用于环状混合痔手术护理中的效果［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4"/>
        </w:rPr>
        <w:t>健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康大视野，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2020</w:t>
      </w:r>
      <w:r>
        <w:rPr>
          <w:sz w:val="15"/>
          <w:szCs w:val="15"/>
          <w:spacing w:val="-16"/>
        </w:rPr>
        <w:t>，(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14</w:t>
      </w:r>
      <w:r>
        <w:rPr>
          <w:sz w:val="15"/>
          <w:szCs w:val="15"/>
          <w:spacing w:val="-16"/>
        </w:rPr>
        <w:t>) :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145．</w:t>
      </w:r>
    </w:p>
    <w:p>
      <w:pPr>
        <w:pStyle w:val="BodyText"/>
        <w:ind w:left="427" w:right="63" w:hanging="427"/>
        <w:spacing w:before="46" w:line="22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6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64"/>
        </w:rPr>
        <w:t xml:space="preserve"> </w:t>
      </w:r>
      <w:r>
        <w:rPr>
          <w:sz w:val="15"/>
          <w:szCs w:val="15"/>
          <w:spacing w:val="3"/>
        </w:rPr>
        <w:t>王丹宁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围术期综合护理用于混合痔</w:t>
      </w:r>
      <w:r>
        <w:rPr>
          <w:sz w:val="15"/>
          <w:szCs w:val="15"/>
          <w:spacing w:val="2"/>
        </w:rPr>
        <w:t>择期手术患者的效果观察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4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8"/>
        </w:rPr>
        <w:t>．</w:t>
      </w:r>
      <w:r>
        <w:rPr>
          <w:sz w:val="15"/>
          <w:szCs w:val="15"/>
          <w:spacing w:val="-13"/>
        </w:rPr>
        <w:t>中国医药指南，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2020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18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18</w:t>
      </w:r>
      <w:r>
        <w:rPr>
          <w:sz w:val="15"/>
          <w:szCs w:val="15"/>
          <w:spacing w:val="-13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247－248．</w:t>
      </w:r>
    </w:p>
    <w:p>
      <w:pPr>
        <w:pStyle w:val="BodyText"/>
        <w:ind w:left="452" w:right="69" w:hanging="452"/>
        <w:spacing w:before="46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7</w:t>
      </w:r>
      <w:r>
        <w:rPr>
          <w:sz w:val="15"/>
          <w:szCs w:val="15"/>
          <w:spacing w:val="2"/>
        </w:rPr>
        <w:t>］</w:t>
      </w:r>
      <w:r>
        <w:rPr>
          <w:sz w:val="15"/>
          <w:szCs w:val="15"/>
          <w:spacing w:val="77"/>
        </w:rPr>
        <w:t xml:space="preserve"> </w:t>
      </w:r>
      <w:r>
        <w:rPr>
          <w:sz w:val="15"/>
          <w:szCs w:val="15"/>
          <w:spacing w:val="2"/>
        </w:rPr>
        <w:t>开花玲，秦博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．</w:t>
      </w:r>
      <w:r>
        <w:rPr>
          <w:sz w:val="15"/>
          <w:szCs w:val="15"/>
          <w:spacing w:val="2"/>
        </w:rPr>
        <w:t>探讨加速康复外科理念在混合痔外剥内扎术患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者中的护理效果［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J</w:t>
      </w:r>
      <w:r>
        <w:rPr>
          <w:sz w:val="15"/>
          <w:szCs w:val="15"/>
          <w:spacing w:val="-47"/>
          <w:w w:val="9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7"/>
          <w:w w:val="98"/>
        </w:rPr>
        <w:t>．</w:t>
      </w:r>
      <w:r>
        <w:rPr>
          <w:sz w:val="15"/>
          <w:szCs w:val="15"/>
          <w:spacing w:val="-8"/>
        </w:rPr>
        <w:t>中外女性健康研究，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2020</w:t>
      </w:r>
      <w:r>
        <w:rPr>
          <w:sz w:val="15"/>
          <w:szCs w:val="15"/>
          <w:spacing w:val="-8"/>
        </w:rPr>
        <w:t>，(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5</w:t>
      </w:r>
      <w:r>
        <w:rPr>
          <w:sz w:val="15"/>
          <w:szCs w:val="15"/>
          <w:spacing w:val="-8"/>
        </w:rPr>
        <w:t>) :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148．</w:t>
      </w:r>
    </w:p>
    <w:p>
      <w:pPr>
        <w:pStyle w:val="BodyText"/>
        <w:ind w:left="452" w:right="63" w:hanging="452"/>
        <w:spacing w:before="48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8</w:t>
      </w:r>
      <w:r>
        <w:rPr>
          <w:sz w:val="15"/>
          <w:szCs w:val="15"/>
          <w:spacing w:val="2"/>
        </w:rPr>
        <w:t>］</w:t>
      </w:r>
      <w:r>
        <w:rPr>
          <w:sz w:val="15"/>
          <w:szCs w:val="15"/>
          <w:spacing w:val="82"/>
          <w:w w:val="101"/>
        </w:rPr>
        <w:t xml:space="preserve"> </w:t>
      </w:r>
      <w:r>
        <w:rPr>
          <w:sz w:val="15"/>
          <w:szCs w:val="15"/>
          <w:spacing w:val="2"/>
        </w:rPr>
        <w:t>高永俊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．</w:t>
      </w:r>
      <w:r>
        <w:rPr>
          <w:sz w:val="15"/>
          <w:szCs w:val="15"/>
          <w:spacing w:val="2"/>
        </w:rPr>
        <w:t>接受手术治疗的混合痔患者实施围手术期优质护理干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预的临床效果［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8"/>
        </w:rPr>
        <w:t>中国保健营养，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2020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30</w:t>
      </w:r>
      <w:r>
        <w:rPr>
          <w:sz w:val="15"/>
          <w:szCs w:val="15"/>
          <w:spacing w:val="-8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</w:t>
      </w:r>
      <w:r>
        <w:rPr>
          <w:sz w:val="15"/>
          <w:szCs w:val="15"/>
          <w:spacing w:val="-8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226－22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7．</w:t>
      </w:r>
    </w:p>
    <w:p>
      <w:pPr>
        <w:ind w:left="3054"/>
        <w:spacing w:before="57" w:line="19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-2"/>
        </w:rPr>
        <w:t>收稿日期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2020－09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－14</w:t>
      </w:r>
    </w:p>
    <w:p>
      <w:pPr>
        <w:ind w:left="3706"/>
        <w:spacing w:before="6" w:line="221" w:lineRule="exact"/>
        <w:rPr>
          <w:rFonts w:ascii="NSimSun" w:hAnsi="NSimSun" w:eastAsia="NSimSun" w:cs="NSimSun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position w:val="1"/>
        </w:rPr>
        <w:t>(</w:t>
      </w:r>
      <w:r>
        <w:rPr>
          <w:rFonts w:ascii="SimHei" w:hAnsi="SimHei" w:eastAsia="SimHei" w:cs="SimHei"/>
          <w:sz w:val="15"/>
          <w:szCs w:val="15"/>
          <w:position w:val="1"/>
        </w:rPr>
        <w:t>编辑</w:t>
      </w:r>
      <w:r>
        <w:rPr>
          <w:rFonts w:ascii="SimHei" w:hAnsi="SimHei" w:eastAsia="SimHei" w:cs="SimHei"/>
          <w:sz w:val="15"/>
          <w:szCs w:val="15"/>
          <w:spacing w:val="12"/>
          <w:position w:val="1"/>
        </w:rPr>
        <w:t xml:space="preserve">  </w:t>
      </w:r>
      <w:r>
        <w:rPr>
          <w:rFonts w:ascii="NSimSun" w:hAnsi="NSimSun" w:eastAsia="NSimSun" w:cs="NSimSun"/>
          <w:sz w:val="15"/>
          <w:szCs w:val="15"/>
          <w:position w:val="1"/>
        </w:rPr>
        <w:t>羽飞)</w:t>
      </w:r>
    </w:p>
    <w:p>
      <w:pPr>
        <w:spacing w:line="221" w:lineRule="exact"/>
        <w:sectPr>
          <w:type w:val="continuous"/>
          <w:pgSz w:w="11906" w:h="16157"/>
          <w:pgMar w:top="1131" w:right="1070" w:bottom="547" w:left="407" w:header="815" w:footer="354" w:gutter="0"/>
          <w:cols w:equalWidth="0" w:num="2">
            <w:col w:w="5606" w:space="100"/>
            <w:col w:w="4722" w:space="0"/>
          </w:cols>
        </w:sectPr>
        <w:rPr>
          <w:rFonts w:ascii="NSimSun" w:hAnsi="NSimSun" w:eastAsia="NSimSun" w:cs="NSimSun"/>
          <w:sz w:val="15"/>
          <w:szCs w:val="15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ind w:left="1626"/>
        <w:spacing w:before="143" w:line="180" w:lineRule="auto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spacing w:val="27"/>
        </w:rPr>
        <w:t>中医综合护理模式在急性盆腔炎中的应用效果观察</w:t>
      </w:r>
    </w:p>
    <w:p>
      <w:pPr>
        <w:pStyle w:val="BodyText"/>
        <w:ind w:left="3495"/>
        <w:spacing w:before="202" w:line="197" w:lineRule="auto"/>
        <w:rPr>
          <w:rFonts w:ascii="Microsoft YaHei" w:hAnsi="Microsoft YaHei" w:eastAsia="Microsoft YaHei" w:cs="Microsoft YaHei"/>
        </w:rPr>
      </w:pPr>
      <w:r>
        <w:rPr>
          <w:rFonts w:ascii="NSimSun" w:hAnsi="NSimSun" w:eastAsia="NSimSun" w:cs="NSimSun"/>
          <w:spacing w:val="3"/>
        </w:rPr>
        <w:t>苏秀媚</w:t>
      </w:r>
      <w:r>
        <w:rPr>
          <w:rFonts w:ascii="NSimSun" w:hAnsi="NSimSun" w:eastAsia="NSimSun" w:cs="NSimSun"/>
          <w:spacing w:val="3"/>
        </w:rPr>
        <w:t xml:space="preserve">  </w:t>
      </w:r>
      <w:r>
        <w:rPr>
          <w:rFonts w:ascii="NSimSun" w:hAnsi="NSimSun" w:eastAsia="NSimSun" w:cs="NSimSun"/>
          <w:spacing w:val="3"/>
        </w:rPr>
        <w:t>李玉珍</w:t>
      </w:r>
      <w:r>
        <w:rPr>
          <w:rFonts w:ascii="NSimSun" w:hAnsi="NSimSun" w:eastAsia="NSimSun" w:cs="NSimSun"/>
          <w:spacing w:val="19"/>
        </w:rPr>
        <w:t xml:space="preserve">  </w:t>
      </w:r>
      <w:r>
        <w:rPr>
          <w:spacing w:val="3"/>
        </w:rPr>
        <w:t>广东省河源市中医院妇科  </w:t>
      </w:r>
      <w:r>
        <w:rPr>
          <w:rFonts w:ascii="Microsoft YaHei" w:hAnsi="Microsoft YaHei" w:eastAsia="Microsoft YaHei" w:cs="Microsoft YaHei"/>
          <w:spacing w:val="3"/>
        </w:rPr>
        <w:t>517000</w:t>
      </w:r>
    </w:p>
    <w:p>
      <w:pPr>
        <w:pStyle w:val="BodyText"/>
        <w:ind w:left="1080" w:right="428" w:firstLine="12"/>
        <w:spacing w:before="222" w:line="241" w:lineRule="auto"/>
        <w:rPr/>
      </w:pPr>
      <w:r>
        <w:rPr>
          <w:rFonts w:ascii="SimHei" w:hAnsi="SimHei" w:eastAsia="SimHei" w:cs="SimHei"/>
          <w:spacing w:val="2"/>
        </w:rPr>
        <w:t>摘要</w:t>
      </w:r>
      <w:r>
        <w:rPr>
          <w:rFonts w:ascii="SimHei" w:hAnsi="SimHei" w:eastAsia="SimHei" w:cs="SimHei"/>
          <w:spacing w:val="37"/>
        </w:rPr>
        <w:t xml:space="preserve">  </w:t>
      </w:r>
      <w:r>
        <w:rPr>
          <w:rFonts w:ascii="NSimSun" w:hAnsi="NSimSun" w:eastAsia="NSimSun" w:cs="NSimSun"/>
          <w:spacing w:val="2"/>
        </w:rPr>
        <w:t>目的:</w:t>
      </w:r>
      <w:r>
        <w:rPr>
          <w:rFonts w:ascii="NSimSun" w:hAnsi="NSimSun" w:eastAsia="NSimSun" w:cs="NSimSun"/>
          <w:spacing w:val="-40"/>
        </w:rPr>
        <w:t xml:space="preserve"> </w:t>
      </w:r>
      <w:r>
        <w:rPr>
          <w:spacing w:val="2"/>
        </w:rPr>
        <w:t>探究中医综合护理模式在急性盆腔炎中的应用效果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NSimSun" w:hAnsi="NSimSun" w:eastAsia="NSimSun" w:cs="NSimSun"/>
          <w:spacing w:val="2"/>
        </w:rPr>
        <w:t>方法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2"/>
        </w:rPr>
        <w:t>:</w:t>
      </w:r>
      <w:r>
        <w:rPr>
          <w:rFonts w:ascii="NSimSun" w:hAnsi="NSimSun" w:eastAsia="NSimSun" w:cs="NSimSun"/>
          <w:spacing w:val="-32"/>
        </w:rPr>
        <w:t xml:space="preserve"> </w:t>
      </w:r>
      <w:r>
        <w:rPr>
          <w:spacing w:val="2"/>
        </w:rPr>
        <w:t>对我院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2018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2"/>
        </w:rPr>
        <w:t>年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5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2"/>
        </w:rPr>
        <w:t>月</w:t>
      </w:r>
      <w:r>
        <w:rPr>
          <w:rFonts w:ascii="Microsoft YaHei" w:hAnsi="Microsoft YaHei" w:eastAsia="Microsoft YaHei" w:cs="Microsoft YaHei"/>
          <w:spacing w:val="2"/>
        </w:rPr>
        <w:t>—2020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2"/>
        </w:rPr>
        <w:t>年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8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2"/>
        </w:rPr>
        <w:t>月收治的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6"/>
        </w:rPr>
        <w:t>60 </w:t>
      </w:r>
      <w:r>
        <w:rPr>
          <w:spacing w:val="6"/>
        </w:rPr>
        <w:t>例急性盆腔炎患者展开对照观察，采用随机数字表法将其分为观察组</w:t>
      </w:r>
      <w:r>
        <w:rPr>
          <w:spacing w:val="-33"/>
        </w:rPr>
        <w:t xml:space="preserve"> </w:t>
      </w:r>
      <w:r>
        <w:rPr>
          <w:spacing w:val="6"/>
        </w:rPr>
        <w:t>(</w:t>
      </w:r>
      <w:r>
        <w:rPr>
          <w:spacing w:val="-31"/>
        </w:rPr>
        <w:t xml:space="preserve"> </w:t>
      </w:r>
      <w:r>
        <w:rPr>
          <w:spacing w:val="6"/>
        </w:rPr>
        <w:t>中医综合护理模式)</w:t>
      </w:r>
      <w:r>
        <w:rPr>
          <w:spacing w:val="5"/>
        </w:rPr>
        <w:t xml:space="preserve"> 与对照组</w:t>
      </w:r>
      <w:r>
        <w:rPr>
          <w:spacing w:val="-35"/>
        </w:rPr>
        <w:t xml:space="preserve"> </w:t>
      </w:r>
      <w:r>
        <w:rPr>
          <w:spacing w:val="5"/>
        </w:rPr>
        <w:t>(</w:t>
      </w:r>
      <w:r>
        <w:rPr>
          <w:spacing w:val="-43"/>
        </w:rPr>
        <w:t xml:space="preserve"> </w:t>
      </w:r>
      <w:r>
        <w:rPr>
          <w:spacing w:val="5"/>
        </w:rPr>
        <w:t>常规护理</w:t>
      </w:r>
      <w:r>
        <w:rPr/>
        <w:t xml:space="preserve"> </w:t>
      </w:r>
      <w:r>
        <w:rPr/>
        <w:t>模式)</w:t>
      </w:r>
      <w:r>
        <w:rPr>
          <w:spacing w:val="-16"/>
        </w:rPr>
        <w:t xml:space="preserve"> </w:t>
      </w:r>
      <w:r>
        <w:rPr/>
        <w:t>，各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</w:rPr>
        <w:t>30 </w:t>
      </w:r>
      <w:r>
        <w:rPr/>
        <w:t>例，探讨实施不同护理对护理效果的影响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NSimSun" w:hAnsi="NSimSun" w:eastAsia="NSimSun" w:cs="NSimSun"/>
        </w:rPr>
        <w:t>结果:</w:t>
      </w:r>
      <w:r>
        <w:rPr>
          <w:rFonts w:ascii="NSimSun" w:hAnsi="NSimSun" w:eastAsia="NSimSun" w:cs="NSimSun"/>
          <w:spacing w:val="-36"/>
        </w:rPr>
        <w:t xml:space="preserve"> </w:t>
      </w:r>
      <w:r>
        <w:rPr/>
        <w:t>护理前两组在症状评分上无显著差异</w:t>
      </w:r>
      <w:r>
        <w:rPr>
          <w:spacing w:val="-34"/>
        </w:rPr>
        <w:t xml:space="preserve"> </w:t>
      </w:r>
      <w:r>
        <w:rPr/>
        <w:t>(</w:t>
      </w:r>
      <w:r>
        <w:rPr>
          <w:rFonts w:ascii="Microsoft YaHei" w:hAnsi="Microsoft YaHei" w:eastAsia="Microsoft YaHei" w:cs="Microsoft YaHei"/>
        </w:rPr>
        <w:t>P＞0．05</w:t>
      </w:r>
      <w:r>
        <w:rPr/>
        <w:t>)</w:t>
      </w:r>
      <w:r>
        <w:rPr>
          <w:spacing w:val="-27"/>
        </w:rPr>
        <w:t xml:space="preserve"> </w:t>
      </w:r>
      <w:r>
        <w:rPr/>
        <w:t>，护 </w:t>
      </w:r>
      <w:r>
        <w:rPr>
          <w:spacing w:val="-1"/>
        </w:rPr>
        <w:t>理后，观察组在下腹疼痛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白带增多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腰骶胀痛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月经不调的症状评分上显著比对照组低(</w:t>
      </w:r>
      <w:r>
        <w:rPr>
          <w:rFonts w:ascii="Microsoft YaHei" w:hAnsi="Microsoft YaHei" w:eastAsia="Microsoft YaHei" w:cs="Microsoft YaHei"/>
          <w:spacing w:val="-1"/>
        </w:rPr>
        <w:t>P＜0．05</w:t>
      </w:r>
      <w:r>
        <w:rPr>
          <w:spacing w:val="-1"/>
        </w:rPr>
        <w:t>)</w:t>
      </w:r>
      <w:r>
        <w:rPr>
          <w:spacing w:val="-18"/>
        </w:rPr>
        <w:t xml:space="preserve"> </w:t>
      </w:r>
      <w:r>
        <w:rPr>
          <w:spacing w:val="-1"/>
        </w:rPr>
        <w:t>，护理前两组患者</w:t>
      </w:r>
      <w:r>
        <w:rPr/>
        <w:t xml:space="preserve"> </w:t>
      </w:r>
      <w:r>
        <w:rPr>
          <w:spacing w:val="2"/>
        </w:rPr>
        <w:t>在汉密尔顿焦虑量表(</w:t>
      </w:r>
      <w:r>
        <w:rPr>
          <w:rFonts w:ascii="Microsoft YaHei" w:hAnsi="Microsoft YaHei" w:eastAsia="Microsoft YaHei" w:cs="Microsoft YaHei"/>
        </w:rPr>
        <w:t>HAMA</w:t>
      </w:r>
      <w:r>
        <w:rPr>
          <w:spacing w:val="2"/>
        </w:rPr>
        <w:t>)</w:t>
      </w:r>
      <w:r>
        <w:rPr>
          <w:spacing w:val="-4"/>
        </w:rPr>
        <w:t xml:space="preserve"> </w:t>
      </w:r>
      <w:r>
        <w:rPr>
          <w:spacing w:val="2"/>
        </w:rPr>
        <w:t>评分上无显著差异(</w:t>
      </w:r>
      <w:r>
        <w:rPr>
          <w:rFonts w:ascii="Microsoft YaHei" w:hAnsi="Microsoft YaHei" w:eastAsia="Microsoft YaHei" w:cs="Microsoft YaHei"/>
          <w:spacing w:val="2"/>
        </w:rPr>
        <w:t>P＞0．05</w:t>
      </w:r>
      <w:r>
        <w:rPr>
          <w:spacing w:val="2"/>
        </w:rPr>
        <w:t>)</w:t>
      </w:r>
      <w:r>
        <w:rPr>
          <w:spacing w:val="-27"/>
        </w:rPr>
        <w:t xml:space="preserve"> </w:t>
      </w:r>
      <w:r>
        <w:rPr>
          <w:spacing w:val="2"/>
        </w:rPr>
        <w:t>，护理后观察组在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HAMA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评分上显著比对照组低</w:t>
      </w:r>
      <w:r>
        <w:rPr>
          <w:spacing w:val="-36"/>
        </w:rPr>
        <w:t xml:space="preserve"> </w:t>
      </w:r>
      <w:r>
        <w:rPr>
          <w:spacing w:val="2"/>
        </w:rPr>
        <w:t>(</w:t>
      </w:r>
      <w:r>
        <w:rPr>
          <w:rFonts w:ascii="Microsoft YaHei" w:hAnsi="Microsoft YaHei" w:eastAsia="Microsoft YaHei" w:cs="Microsoft YaHei"/>
          <w:spacing w:val="2"/>
        </w:rPr>
        <w:t>P &lt;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0．05</w:t>
      </w:r>
      <w:r>
        <w:rPr/>
        <w:t>) 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NSimSun" w:hAnsi="NSimSun" w:eastAsia="NSimSun" w:cs="NSimSun"/>
        </w:rPr>
        <w:t>结论:</w:t>
      </w:r>
      <w:r>
        <w:rPr>
          <w:rFonts w:ascii="NSimSun" w:hAnsi="NSimSun" w:eastAsia="NSimSun" w:cs="NSimSun"/>
          <w:spacing w:val="-41"/>
        </w:rPr>
        <w:t xml:space="preserve"> </w:t>
      </w:r>
      <w:r>
        <w:rPr/>
        <w:t>对急性盆腔炎采用中医综合护理模式后，可显著改善患者临床症状，减少负</w:t>
      </w:r>
      <w:r>
        <w:rPr>
          <w:spacing w:val="-1"/>
        </w:rPr>
        <w:t>性情绪，值得应用与推广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SimHei" w:hAnsi="SimHei" w:eastAsia="SimHei" w:cs="SimHei"/>
          <w:spacing w:val="7"/>
        </w:rPr>
        <w:t>关键词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spacing w:val="7"/>
        </w:rPr>
        <w:t>急性盆腔炎</w:t>
      </w:r>
      <w:r>
        <w:rPr>
          <w:spacing w:val="25"/>
        </w:rPr>
        <w:t xml:space="preserve">  </w:t>
      </w:r>
      <w:r>
        <w:rPr>
          <w:spacing w:val="7"/>
        </w:rPr>
        <w:t>中医综合护理模式</w:t>
      </w:r>
      <w:r>
        <w:rPr>
          <w:spacing w:val="11"/>
        </w:rPr>
        <w:t xml:space="preserve">  </w:t>
      </w:r>
      <w:r>
        <w:rPr>
          <w:spacing w:val="7"/>
        </w:rPr>
        <w:t>症状</w:t>
      </w:r>
      <w:r>
        <w:rPr>
          <w:spacing w:val="13"/>
        </w:rPr>
        <w:t xml:space="preserve">  </w:t>
      </w:r>
      <w:r>
        <w:rPr>
          <w:spacing w:val="7"/>
        </w:rPr>
        <w:t>效果</w:t>
      </w:r>
    </w:p>
    <w:p>
      <w:pPr>
        <w:pStyle w:val="BodyText"/>
        <w:ind w:left="1106"/>
        <w:spacing w:before="20" w:line="179" w:lineRule="exact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-11"/>
        </w:rPr>
        <w:t>中图分类号</w:t>
      </w:r>
      <w:r>
        <w:rPr>
          <w:rFonts w:ascii="SimHei" w:hAnsi="SimHei" w:eastAsia="SimHei" w:cs="SimHei"/>
          <w:spacing w:val="-33"/>
        </w:rPr>
        <w:t xml:space="preserve"> </w:t>
      </w:r>
      <w:r>
        <w:rPr>
          <w:rFonts w:ascii="SimHei" w:hAnsi="SimHei" w:eastAsia="SimHei" w:cs="SimHei"/>
          <w:spacing w:val="-11"/>
        </w:rPr>
        <w:t>: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R473．5    </w:t>
      </w:r>
      <w:r>
        <w:rPr>
          <w:rFonts w:ascii="SimHei" w:hAnsi="SimHei" w:eastAsia="SimHei" w:cs="SimHei"/>
          <w:spacing w:val="-11"/>
        </w:rPr>
        <w:t>文献标识码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11"/>
        </w:rPr>
        <w:t>: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B    doi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-11"/>
        </w:rPr>
        <w:t>: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10.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19381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/j.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issn.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1001-7585. 2021.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12. 074</w:t>
      </w:r>
    </w:p>
    <w:p>
      <w:pPr>
        <w:spacing w:line="179" w:lineRule="exact"/>
        <w:sectPr>
          <w:type w:val="continuous"/>
          <w:pgSz w:w="11906" w:h="16157"/>
          <w:pgMar w:top="1131" w:right="1070" w:bottom="547" w:left="407" w:header="815" w:footer="354" w:gutter="0"/>
          <w:cols w:equalWidth="0" w:num="1">
            <w:col w:w="10427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before="3"/>
        <w:rPr/>
      </w:pPr>
      <w:r/>
    </w:p>
    <w:p>
      <w:pPr>
        <w:sectPr>
          <w:headerReference w:type="default" r:id="rId3"/>
          <w:footerReference w:type="default" r:id="rId4"/>
          <w:pgSz w:w="11906" w:h="16157"/>
          <w:pgMar w:top="1118" w:right="1078" w:bottom="547" w:left="407" w:header="801" w:footer="354" w:gutter="0"/>
          <w:cols w:equalWidth="0" w:num="1">
            <w:col w:w="10419" w:space="0"/>
          </w:cols>
        </w:sectPr>
        <w:rPr/>
      </w:pPr>
    </w:p>
    <w:p>
      <w:pPr>
        <w:pStyle w:val="BodyText"/>
        <w:ind w:left="731" w:right="195" w:firstLine="367"/>
        <w:spacing w:before="39" w:line="23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急性盆腔炎是女性常见的妇科疾病，是由于细菌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2"/>
        </w:rPr>
        <w:t>病毒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8"/>
        </w:rPr>
        <w:t>支原体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衣原体等病原微生物侵入人体而引起的</w:t>
      </w:r>
      <w:r>
        <w:rPr>
          <w:spacing w:val="7"/>
        </w:rPr>
        <w:t>妇科急性炎</w:t>
      </w:r>
      <w:r>
        <w:rPr/>
        <w:t xml:space="preserve">  </w:t>
      </w:r>
      <w:r>
        <w:rPr>
          <w:spacing w:val="3"/>
        </w:rPr>
        <w:t>性病变，病情发展可导致急性腹膜炎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败血症及感染性休克，</w:t>
      </w:r>
      <w:r>
        <w:rPr>
          <w:spacing w:val="18"/>
        </w:rPr>
        <w:t xml:space="preserve"> </w:t>
      </w:r>
      <w:r>
        <w:rPr>
          <w:spacing w:val="5"/>
        </w:rPr>
        <w:t>严重者甚至有生命危险</w:t>
      </w:r>
      <w:r>
        <w:rPr>
          <w:sz w:val="10"/>
          <w:szCs w:val="10"/>
          <w:spacing w:val="5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1-2</w:t>
      </w:r>
      <w:r>
        <w:rPr>
          <w:sz w:val="10"/>
          <w:szCs w:val="10"/>
          <w:spacing w:val="5"/>
          <w:position w:val="8"/>
        </w:rPr>
        <w:t>］</w:t>
      </w:r>
      <w:r>
        <w:rPr>
          <w:sz w:val="10"/>
          <w:szCs w:val="10"/>
          <w:spacing w:val="-11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急性盆腔炎通常是因为患者在</w:t>
      </w:r>
      <w:r>
        <w:rPr/>
        <w:t xml:space="preserve"> </w:t>
      </w:r>
      <w:r>
        <w:rPr>
          <w:spacing w:val="15"/>
        </w:rPr>
        <w:t>经期没有注意自身卫生所导致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spacing w:val="15"/>
        </w:rPr>
        <w:t>患者在患病初期会出现下</w:t>
      </w:r>
      <w:r>
        <w:rPr/>
        <w:t xml:space="preserve"> </w:t>
      </w:r>
      <w:r>
        <w:rPr>
          <w:spacing w:val="1"/>
        </w:rPr>
        <w:t>腹部疼痛的现象，当病情严重时，表现为发热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头痛以及寒战</w:t>
      </w:r>
      <w:r>
        <w:rPr>
          <w:spacing w:val="9"/>
        </w:rPr>
        <w:t xml:space="preserve"> </w:t>
      </w:r>
      <w:r>
        <w:rPr>
          <w:spacing w:val="8"/>
        </w:rPr>
        <w:t>与食欲不振等情况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患者在月经期间，月经量会增多，并且</w:t>
      </w:r>
      <w:r>
        <w:rPr/>
        <w:t xml:space="preserve"> </w:t>
      </w:r>
      <w:r>
        <w:rPr>
          <w:spacing w:val="3"/>
        </w:rPr>
        <w:t>月经期时间增长</w:t>
      </w:r>
      <w:r>
        <w:rPr>
          <w:sz w:val="10"/>
          <w:szCs w:val="10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3</w:t>
      </w:r>
      <w:r>
        <w:rPr>
          <w:sz w:val="10"/>
          <w:szCs w:val="10"/>
          <w:spacing w:val="3"/>
          <w:position w:val="8"/>
        </w:rPr>
        <w:t>］</w:t>
      </w:r>
      <w:r>
        <w:rPr>
          <w:sz w:val="10"/>
          <w:szCs w:val="10"/>
          <w:spacing w:val="-17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当患者不处在月经期间时，会出现白带</w:t>
      </w:r>
      <w:r>
        <w:rPr/>
        <w:t xml:space="preserve"> </w:t>
      </w:r>
      <w:r>
        <w:rPr>
          <w:spacing w:val="8"/>
        </w:rPr>
        <w:t>增多的情况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严重者容易排尿困难，并伴有尿痛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在患</w:t>
      </w:r>
      <w:r>
        <w:rPr>
          <w:spacing w:val="7"/>
        </w:rPr>
        <w:t>者治</w:t>
      </w:r>
      <w:r>
        <w:rPr/>
        <w:t xml:space="preserve"> </w:t>
      </w:r>
      <w:r>
        <w:rPr>
          <w:spacing w:val="15"/>
        </w:rPr>
        <w:t>疗过程中，相关护理必不可少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spacing w:val="15"/>
        </w:rPr>
        <w:t>本文采用中医综合护理模</w:t>
      </w:r>
      <w:r>
        <w:rPr/>
        <w:t xml:space="preserve"> </w:t>
      </w:r>
      <w:r>
        <w:rPr>
          <w:spacing w:val="-6"/>
        </w:rPr>
        <w:t>式，报道如下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ind w:left="726"/>
        <w:spacing w:line="193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1    </w:t>
      </w:r>
      <w:r>
        <w:rPr>
          <w:rFonts w:ascii="SimHei" w:hAnsi="SimHei" w:eastAsia="SimHei" w:cs="SimHei"/>
          <w:sz w:val="17"/>
          <w:szCs w:val="17"/>
          <w:spacing w:val="1"/>
        </w:rPr>
        <w:t>资料与方法</w:t>
      </w:r>
    </w:p>
    <w:p>
      <w:pPr>
        <w:pStyle w:val="BodyText"/>
        <w:ind w:left="731" w:right="209" w:firstLine="3"/>
        <w:spacing w:before="47" w:line="24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1．1</w:t>
      </w:r>
      <w:r>
        <w:rPr>
          <w:rFonts w:ascii="Microsoft YaHei" w:hAnsi="Microsoft YaHei" w:eastAsia="Microsoft YaHei" w:cs="Microsoft YaHei"/>
          <w:spacing w:val="19"/>
        </w:rPr>
        <w:t xml:space="preserve">   </w:t>
      </w:r>
      <w:r>
        <w:rPr>
          <w:rFonts w:ascii="NSimSun" w:hAnsi="NSimSun" w:eastAsia="NSimSun" w:cs="NSimSun"/>
          <w:spacing w:val="5"/>
        </w:rPr>
        <w:t>一般资料</w:t>
      </w:r>
      <w:r>
        <w:rPr>
          <w:rFonts w:ascii="NSimSun" w:hAnsi="NSimSun" w:eastAsia="NSimSun" w:cs="NSimSun"/>
          <w:spacing w:val="5"/>
        </w:rPr>
        <w:t xml:space="preserve">  </w:t>
      </w:r>
      <w:r>
        <w:rPr>
          <w:spacing w:val="5"/>
        </w:rPr>
        <w:t>本研究经过本院伦理委员会批准，选取我</w:t>
      </w:r>
      <w:r>
        <w:rPr/>
        <w:t xml:space="preserve"> </w:t>
      </w:r>
      <w:r>
        <w:rPr>
          <w:spacing w:val="-2"/>
        </w:rPr>
        <w:t>院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2018 </w:t>
      </w:r>
      <w:r>
        <w:rPr>
          <w:spacing w:val="-2"/>
        </w:rPr>
        <w:t>年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5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2"/>
        </w:rPr>
        <w:t>月</w:t>
      </w:r>
      <w:r>
        <w:rPr>
          <w:rFonts w:ascii="Microsoft YaHei" w:hAnsi="Microsoft YaHei" w:eastAsia="Microsoft YaHei" w:cs="Microsoft YaHei"/>
          <w:spacing w:val="-2"/>
        </w:rPr>
        <w:t>—2020 </w:t>
      </w:r>
      <w:r>
        <w:rPr>
          <w:spacing w:val="-2"/>
        </w:rPr>
        <w:t>年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8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2"/>
        </w:rPr>
        <w:t>月收治的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60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2"/>
        </w:rPr>
        <w:t>例急</w:t>
      </w:r>
      <w:r>
        <w:rPr>
          <w:spacing w:val="-3"/>
        </w:rPr>
        <w:t>性盆腔炎患者，</w:t>
      </w:r>
      <w:r>
        <w:rPr/>
        <w:t xml:space="preserve"> </w:t>
      </w:r>
      <w:r>
        <w:rPr>
          <w:spacing w:val="8"/>
        </w:rPr>
        <w:t>均经过患者知情同意，采取随机数字表法将其分为</w:t>
      </w:r>
      <w:r>
        <w:rPr>
          <w:spacing w:val="7"/>
        </w:rPr>
        <w:t>观察组与</w:t>
      </w:r>
      <w:r>
        <w:rPr/>
        <w:t xml:space="preserve"> </w:t>
      </w:r>
      <w:r>
        <w:rPr>
          <w:spacing w:val="-7"/>
        </w:rPr>
        <w:t>对照组，各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30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-7"/>
        </w:rPr>
        <w:t>例，两组基线资料无明显差异(</w:t>
      </w:r>
      <w:r>
        <w:rPr>
          <w:rFonts w:ascii="Microsoft YaHei" w:hAnsi="Microsoft YaHei" w:eastAsia="Microsoft YaHei" w:cs="Microsoft YaHei"/>
          <w:spacing w:val="-7"/>
        </w:rPr>
        <w:t>P＞0．05</w:t>
      </w:r>
      <w:r>
        <w:rPr>
          <w:spacing w:val="-8"/>
        </w:rPr>
        <w:t>)</w:t>
      </w:r>
      <w:r>
        <w:rPr>
          <w:spacing w:val="-27"/>
        </w:rPr>
        <w:t xml:space="preserve"> </w:t>
      </w:r>
      <w:r>
        <w:rPr>
          <w:spacing w:val="-8"/>
        </w:rPr>
        <w:t>，存在</w:t>
      </w:r>
      <w:r>
        <w:rPr/>
        <w:t xml:space="preserve"> </w:t>
      </w:r>
      <w:r>
        <w:rPr>
          <w:spacing w:val="-9"/>
        </w:rPr>
        <w:t>可比性，见表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。</w:t>
      </w:r>
    </w:p>
    <w:p>
      <w:pPr>
        <w:ind w:left="1815"/>
        <w:spacing w:line="197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6" style="position:absolute;margin-left:192.454pt;margin-top:0.699275pt;mso-position-vertical-relative:text;mso-position-horizontal-relative:text;width:4.15pt;height:0.2pt;z-index:-251654144;" filled="false" strokecolor="#000000" strokeweight="0.19pt" coordsize="83,4" coordorigin="0,0" path="m0,1l82,1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-3"/>
        </w:rPr>
        <w:t>表</w:t>
      </w:r>
      <w:r>
        <w:rPr>
          <w:rFonts w:ascii="SimHei" w:hAnsi="SimHei" w:eastAsia="SimHei" w:cs="Sim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1    </w:t>
      </w:r>
      <w:r>
        <w:rPr>
          <w:rFonts w:ascii="SimHei" w:hAnsi="SimHei" w:eastAsia="SimHei" w:cs="SimHei"/>
          <w:sz w:val="17"/>
          <w:szCs w:val="17"/>
          <w:spacing w:val="-3"/>
        </w:rPr>
        <w:t>两组一般资料对比</w:t>
      </w:r>
      <w:r>
        <w:rPr>
          <w:rFonts w:ascii="SimHei" w:hAnsi="SimHei" w:eastAsia="SimHei" w:cs="SimHei"/>
          <w:sz w:val="17"/>
          <w:szCs w:val="17"/>
          <w:spacing w:val="-4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 xml:space="preserve"> ±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s</w:t>
      </w:r>
      <w:r>
        <w:rPr>
          <w:rFonts w:ascii="SimHei" w:hAnsi="SimHei" w:eastAsia="SimHei" w:cs="SimHei"/>
          <w:sz w:val="17"/>
          <w:szCs w:val="17"/>
          <w:spacing w:val="-3"/>
        </w:rPr>
        <w:t>)</w:t>
      </w:r>
    </w:p>
    <w:p>
      <w:pPr>
        <w:spacing w:line="24" w:lineRule="exact"/>
        <w:rPr/>
      </w:pPr>
      <w:r/>
    </w:p>
    <w:tbl>
      <w:tblPr>
        <w:tblStyle w:val="TableNormal"/>
        <w:tblW w:w="4640" w:type="dxa"/>
        <w:tblInd w:w="7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3"/>
        <w:gridCol w:w="576"/>
        <w:gridCol w:w="1473"/>
        <w:gridCol w:w="1758"/>
      </w:tblGrid>
      <w:tr>
        <w:trPr>
          <w:trHeight w:val="231" w:hRule="atLeast"/>
        </w:trPr>
        <w:tc>
          <w:tcPr>
            <w:tcW w:w="83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49"/>
              <w:spacing w:before="46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57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6"/>
              <w:spacing w:before="58" w:line="162" w:lineRule="exact"/>
              <w:rPr/>
            </w:pPr>
            <w:r>
              <w:rPr>
                <w:position w:val="1"/>
              </w:rPr>
              <w:t>n</w:t>
            </w:r>
          </w:p>
        </w:tc>
        <w:tc>
          <w:tcPr>
            <w:tcW w:w="147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35"/>
              <w:spacing w:before="39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年龄(岁)</w:t>
            </w:r>
          </w:p>
        </w:tc>
        <w:tc>
          <w:tcPr>
            <w:tcW w:w="175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03"/>
              <w:spacing w:before="39" w:line="16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3"/>
              </w:rPr>
              <w:t>病程(</w:t>
            </w:r>
            <w:r>
              <w:rPr>
                <w:spacing w:val="3"/>
              </w:rPr>
              <w:t>h</w:t>
            </w:r>
            <w:r>
              <w:rPr>
                <w:rFonts w:ascii="SimSun" w:hAnsi="SimSun" w:eastAsia="SimSun" w:cs="SimSun"/>
                <w:spacing w:val="3"/>
              </w:rPr>
              <w:t>)</w:t>
            </w:r>
          </w:p>
        </w:tc>
      </w:tr>
      <w:tr>
        <w:trPr>
          <w:trHeight w:val="227" w:hRule="atLeast"/>
        </w:trPr>
        <w:tc>
          <w:tcPr>
            <w:tcW w:w="833" w:type="dxa"/>
            <w:vAlign w:val="top"/>
            <w:tcBorders>
              <w:top w:val="single" w:color="000000" w:sz="2" w:space="0"/>
            </w:tcBorders>
          </w:tcPr>
          <w:p>
            <w:pPr>
              <w:ind w:left="168"/>
              <w:spacing w:before="47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观察组</w:t>
            </w:r>
          </w:p>
        </w:tc>
        <w:tc>
          <w:tcPr>
            <w:tcW w:w="5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3"/>
              <w:spacing w:before="56" w:line="161" w:lineRule="exact"/>
              <w:rPr/>
            </w:pPr>
            <w:r>
              <w:rPr>
                <w:spacing w:val="-7"/>
                <w:position w:val="-1"/>
              </w:rPr>
              <w:t>30</w:t>
            </w:r>
          </w:p>
        </w:tc>
        <w:tc>
          <w:tcPr>
            <w:tcW w:w="147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8"/>
              <w:spacing w:before="56" w:line="161" w:lineRule="exact"/>
              <w:rPr/>
            </w:pPr>
            <w:r>
              <w:rPr>
                <w:spacing w:val="-25"/>
                <w:position w:val="-1"/>
              </w:rPr>
              <w:t>39．05</w:t>
            </w:r>
            <w:r>
              <w:rPr>
                <w:spacing w:val="13"/>
                <w:w w:val="102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±</w:t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3．39</w:t>
            </w:r>
          </w:p>
        </w:tc>
        <w:tc>
          <w:tcPr>
            <w:tcW w:w="17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96"/>
              <w:spacing w:before="56" w:line="161" w:lineRule="exact"/>
              <w:rPr/>
            </w:pPr>
            <w:r>
              <w:rPr>
                <w:spacing w:val="-26"/>
                <w:position w:val="-1"/>
              </w:rPr>
              <w:t>6．41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0．65</w:t>
            </w:r>
          </w:p>
        </w:tc>
      </w:tr>
      <w:tr>
        <w:trPr>
          <w:trHeight w:val="242" w:hRule="atLeast"/>
        </w:trPr>
        <w:tc>
          <w:tcPr>
            <w:tcW w:w="833" w:type="dxa"/>
            <w:vAlign w:val="top"/>
          </w:tcPr>
          <w:p>
            <w:pPr>
              <w:ind w:left="167"/>
              <w:spacing w:before="61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对照组</w:t>
            </w:r>
          </w:p>
        </w:tc>
        <w:tc>
          <w:tcPr>
            <w:tcW w:w="576" w:type="dxa"/>
            <w:vAlign w:val="top"/>
          </w:tcPr>
          <w:p>
            <w:pPr>
              <w:pStyle w:val="TableText"/>
              <w:ind w:left="203"/>
              <w:spacing w:before="67" w:line="165" w:lineRule="exact"/>
              <w:rPr/>
            </w:pPr>
            <w:r>
              <w:rPr>
                <w:spacing w:val="-7"/>
                <w:position w:val="-1"/>
              </w:rPr>
              <w:t>30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228"/>
              <w:spacing w:before="67" w:line="165" w:lineRule="exact"/>
              <w:rPr/>
            </w:pPr>
            <w:r>
              <w:rPr>
                <w:spacing w:val="-25"/>
                <w:position w:val="-1"/>
              </w:rPr>
              <w:t>39．19</w:t>
            </w:r>
            <w:r>
              <w:rPr>
                <w:spacing w:val="12"/>
                <w:w w:val="102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±</w:t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3．25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396"/>
              <w:spacing w:before="67" w:line="165" w:lineRule="exact"/>
              <w:rPr/>
            </w:pPr>
            <w:r>
              <w:rPr>
                <w:spacing w:val="-25"/>
                <w:w w:val="99"/>
                <w:position w:val="-1"/>
              </w:rPr>
              <w:t>6．43</w:t>
            </w:r>
            <w:r>
              <w:rPr>
                <w:spacing w:val="12"/>
                <w:w w:val="101"/>
                <w:position w:val="-1"/>
              </w:rPr>
              <w:t xml:space="preserve"> </w:t>
            </w:r>
            <w:r>
              <w:rPr>
                <w:spacing w:val="-25"/>
                <w:w w:val="99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5"/>
                <w:w w:val="99"/>
                <w:position w:val="-1"/>
              </w:rPr>
              <w:t>0．67</w:t>
            </w:r>
          </w:p>
        </w:tc>
      </w:tr>
      <w:tr>
        <w:trPr>
          <w:trHeight w:val="234" w:hRule="atLeast"/>
        </w:trPr>
        <w:tc>
          <w:tcPr>
            <w:tcW w:w="833" w:type="dxa"/>
            <w:vAlign w:val="top"/>
          </w:tcPr>
          <w:p>
            <w:pPr>
              <w:pStyle w:val="TableText"/>
              <w:ind w:left="379"/>
              <w:spacing w:before="70" w:line="154" w:lineRule="exact"/>
              <w:rPr/>
            </w:pPr>
            <w:r>
              <w:rPr>
                <w:position w:val="-1"/>
              </w:rPr>
              <w:t>t</w:t>
            </w:r>
          </w:p>
        </w:tc>
        <w:tc>
          <w:tcPr>
            <w:tcW w:w="576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73" w:type="dxa"/>
            <w:vAlign w:val="top"/>
          </w:tcPr>
          <w:p>
            <w:pPr>
              <w:pStyle w:val="TableText"/>
              <w:ind w:left="460"/>
              <w:spacing w:before="64" w:line="160" w:lineRule="exact"/>
              <w:rPr/>
            </w:pPr>
            <w:r>
              <w:rPr>
                <w:spacing w:val="-20"/>
                <w:position w:val="-1"/>
              </w:rPr>
              <w:t>0．163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590"/>
              <w:spacing w:before="64" w:line="160" w:lineRule="exact"/>
              <w:rPr/>
            </w:pPr>
            <w:r>
              <w:rPr>
                <w:spacing w:val="-21"/>
                <w:position w:val="-1"/>
              </w:rPr>
              <w:t>0．269</w:t>
            </w:r>
          </w:p>
        </w:tc>
      </w:tr>
      <w:tr>
        <w:trPr>
          <w:trHeight w:val="241" w:hRule="atLeast"/>
        </w:trPr>
        <w:tc>
          <w:tcPr>
            <w:tcW w:w="83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9"/>
              <w:spacing w:before="78" w:line="152" w:lineRule="exact"/>
              <w:rPr/>
            </w:pPr>
            <w:r>
              <w:rPr>
                <w:spacing w:val="4"/>
                <w:position w:val="-3"/>
              </w:rPr>
              <w:t>P</w:t>
            </w:r>
          </w:p>
        </w:tc>
        <w:tc>
          <w:tcPr>
            <w:tcW w:w="576" w:type="dxa"/>
            <w:vAlign w:val="top"/>
            <w:tcBorders>
              <w:bottom w:val="single" w:color="000000" w:sz="6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47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60"/>
              <w:spacing w:before="69" w:line="161" w:lineRule="exact"/>
              <w:rPr/>
            </w:pPr>
            <w:r>
              <w:rPr>
                <w:spacing w:val="-21"/>
                <w:position w:val="-1"/>
              </w:rPr>
              <w:t>0．871</w:t>
            </w:r>
          </w:p>
        </w:tc>
        <w:tc>
          <w:tcPr>
            <w:tcW w:w="175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90"/>
              <w:spacing w:before="69" w:line="161" w:lineRule="exact"/>
              <w:rPr/>
            </w:pPr>
            <w:r>
              <w:rPr>
                <w:spacing w:val="-21"/>
                <w:position w:val="-1"/>
              </w:rPr>
              <w:t>0．788</w:t>
            </w:r>
          </w:p>
        </w:tc>
      </w:tr>
    </w:tbl>
    <w:p>
      <w:pPr>
        <w:pStyle w:val="BodyText"/>
        <w:ind w:left="732" w:right="258" w:firstLine="362"/>
        <w:spacing w:before="106" w:line="23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4"/>
        </w:rPr>
        <w:t>纳入标准</w:t>
      </w:r>
      <w:r>
        <w:rPr>
          <w:spacing w:val="-39"/>
        </w:rPr>
        <w:t xml:space="preserve"> </w:t>
      </w:r>
      <w:r>
        <w:rPr>
          <w:spacing w:val="-4"/>
        </w:rPr>
        <w:t>: (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</w:t>
      </w:r>
      <w:r>
        <w:rPr>
          <w:spacing w:val="-4"/>
        </w:rPr>
        <w:t>)</w:t>
      </w:r>
      <w:r>
        <w:rPr>
          <w:spacing w:val="-20"/>
        </w:rPr>
        <w:t xml:space="preserve"> </w:t>
      </w:r>
      <w:r>
        <w:rPr>
          <w:spacing w:val="-4"/>
        </w:rPr>
        <w:t>依从性较好者</w:t>
      </w:r>
      <w:r>
        <w:rPr>
          <w:spacing w:val="-45"/>
        </w:rPr>
        <w:t xml:space="preserve"> </w:t>
      </w:r>
      <w:r>
        <w:rPr>
          <w:spacing w:val="-4"/>
        </w:rPr>
        <w:t>; (</w:t>
      </w:r>
      <w:r>
        <w:rPr>
          <w:rFonts w:ascii="Microsoft YaHei" w:hAnsi="Microsoft YaHei" w:eastAsia="Microsoft YaHei" w:cs="Microsoft YaHei"/>
          <w:spacing w:val="-4"/>
        </w:rPr>
        <w:t>2</w:t>
      </w:r>
      <w:r>
        <w:rPr>
          <w:spacing w:val="-4"/>
        </w:rPr>
        <w:t>) 无其他重要脏器功能</w:t>
      </w:r>
      <w:r>
        <w:rPr/>
        <w:t xml:space="preserve"> </w:t>
      </w:r>
      <w:r>
        <w:rPr>
          <w:spacing w:val="-6"/>
        </w:rPr>
        <w:t>受损</w:t>
      </w:r>
      <w:r>
        <w:rPr>
          <w:spacing w:val="-44"/>
        </w:rPr>
        <w:t xml:space="preserve"> </w:t>
      </w:r>
      <w:r>
        <w:rPr>
          <w:spacing w:val="-6"/>
        </w:rPr>
        <w:t>; (</w:t>
      </w:r>
      <w:r>
        <w:rPr>
          <w:rFonts w:ascii="Microsoft YaHei" w:hAnsi="Microsoft YaHei" w:eastAsia="Microsoft YaHei" w:cs="Microsoft YaHei"/>
          <w:spacing w:val="-6"/>
        </w:rPr>
        <w:t>3</w:t>
      </w:r>
      <w:r>
        <w:rPr>
          <w:spacing w:val="-6"/>
        </w:rPr>
        <w:t>) 西医诊断标准参照</w:t>
      </w:r>
      <w:r>
        <w:rPr>
          <w:rFonts w:ascii="Microsoft YaHei" w:hAnsi="Microsoft YaHei" w:eastAsia="Microsoft YaHei" w:cs="Microsoft YaHei"/>
          <w:spacing w:val="-6"/>
        </w:rPr>
        <w:t>《</w:t>
      </w:r>
      <w:r>
        <w:rPr>
          <w:spacing w:val="-6"/>
        </w:rPr>
        <w:t>妇产科学</w:t>
      </w:r>
      <w:r>
        <w:rPr>
          <w:rFonts w:ascii="Microsoft YaHei" w:hAnsi="Microsoft YaHei" w:eastAsia="Microsoft YaHei" w:cs="Microsoft YaHei"/>
          <w:spacing w:val="-6"/>
        </w:rPr>
        <w:t>》</w:t>
      </w:r>
      <w:r>
        <w:rPr>
          <w:sz w:val="10"/>
          <w:szCs w:val="10"/>
          <w:spacing w:val="-6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8"/>
        </w:rPr>
        <w:t>4</w:t>
      </w:r>
      <w:r>
        <w:rPr>
          <w:sz w:val="10"/>
          <w:szCs w:val="10"/>
          <w:spacing w:val="-6"/>
          <w:position w:val="8"/>
        </w:rPr>
        <w:t>］</w:t>
      </w:r>
      <w:r>
        <w:rPr>
          <w:sz w:val="10"/>
          <w:szCs w:val="10"/>
          <w:spacing w:val="-8"/>
          <w:position w:val="8"/>
        </w:rPr>
        <w:t xml:space="preserve"> </w:t>
      </w:r>
      <w:r>
        <w:rPr>
          <w:spacing w:val="2"/>
        </w:rPr>
        <w:t>;</w:t>
      </w:r>
      <w:r>
        <w:rPr>
          <w:spacing w:val="-15"/>
        </w:rPr>
        <w:t xml:space="preserve"> </w:t>
      </w:r>
      <w:r>
        <w:rPr>
          <w:spacing w:val="2"/>
        </w:rPr>
        <w:t>中医诊断标准</w:t>
      </w:r>
      <w:r>
        <w:rPr/>
        <w:t xml:space="preserve"> </w:t>
      </w:r>
      <w:r>
        <w:rPr>
          <w:spacing w:val="-7"/>
        </w:rPr>
        <w:t>参照</w:t>
      </w:r>
      <w:r>
        <w:rPr>
          <w:rFonts w:ascii="Microsoft YaHei" w:hAnsi="Microsoft YaHei" w:eastAsia="Microsoft YaHei" w:cs="Microsoft YaHei"/>
          <w:spacing w:val="-7"/>
        </w:rPr>
        <w:t>《</w:t>
      </w:r>
      <w:r>
        <w:rPr>
          <w:spacing w:val="-7"/>
        </w:rPr>
        <w:t>中医妇科学</w:t>
      </w:r>
      <w:r>
        <w:rPr>
          <w:rFonts w:ascii="Microsoft YaHei" w:hAnsi="Microsoft YaHei" w:eastAsia="Microsoft YaHei" w:cs="Microsoft YaHei"/>
          <w:spacing w:val="-7"/>
        </w:rPr>
        <w:t>》</w:t>
      </w:r>
      <w:r>
        <w:rPr>
          <w:sz w:val="10"/>
          <w:szCs w:val="10"/>
          <w:spacing w:val="-7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8"/>
        </w:rPr>
        <w:t>5</w:t>
      </w:r>
      <w:r>
        <w:rPr>
          <w:sz w:val="10"/>
          <w:szCs w:val="10"/>
          <w:spacing w:val="-7"/>
          <w:position w:val="8"/>
        </w:rPr>
        <w:t>］</w:t>
      </w:r>
      <w:r>
        <w:rPr>
          <w:sz w:val="10"/>
          <w:szCs w:val="10"/>
          <w:spacing w:val="-16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</w:rPr>
        <w:t>排除标准</w:t>
      </w:r>
      <w:r>
        <w:rPr>
          <w:spacing w:val="-47"/>
        </w:rPr>
        <w:t xml:space="preserve"> </w:t>
      </w:r>
      <w:r>
        <w:rPr>
          <w:spacing w:val="-3"/>
        </w:rPr>
        <w:t>: (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</w:t>
      </w:r>
      <w:r>
        <w:rPr>
          <w:spacing w:val="-3"/>
        </w:rPr>
        <w:t>)</w:t>
      </w:r>
      <w:r>
        <w:rPr>
          <w:spacing w:val="-18"/>
        </w:rPr>
        <w:t xml:space="preserve"> </w:t>
      </w:r>
      <w:r>
        <w:rPr>
          <w:spacing w:val="-3"/>
        </w:rPr>
        <w:t>机体严重疾患且影响</w:t>
      </w:r>
      <w:r>
        <w:rPr/>
        <w:t xml:space="preserve"> </w:t>
      </w:r>
      <w:r>
        <w:rPr>
          <w:spacing w:val="-2"/>
        </w:rPr>
        <w:t>研究结果者</w:t>
      </w:r>
      <w:r>
        <w:rPr>
          <w:spacing w:val="-36"/>
        </w:rPr>
        <w:t xml:space="preserve"> </w:t>
      </w:r>
      <w:r>
        <w:rPr>
          <w:spacing w:val="-2"/>
        </w:rPr>
        <w:t>; (</w:t>
      </w:r>
      <w:r>
        <w:rPr>
          <w:rFonts w:ascii="Microsoft YaHei" w:hAnsi="Microsoft YaHei" w:eastAsia="Microsoft YaHei" w:cs="Microsoft YaHei"/>
          <w:spacing w:val="-2"/>
        </w:rPr>
        <w:t>2</w:t>
      </w:r>
      <w:r>
        <w:rPr>
          <w:spacing w:val="-2"/>
        </w:rPr>
        <w:t>)</w:t>
      </w:r>
      <w:r>
        <w:rPr>
          <w:spacing w:val="-20"/>
        </w:rPr>
        <w:t xml:space="preserve"> </w:t>
      </w:r>
      <w:r>
        <w:rPr>
          <w:spacing w:val="-2"/>
        </w:rPr>
        <w:t>伴有其他器官的感染</w:t>
      </w:r>
      <w:r>
        <w:rPr>
          <w:spacing w:val="-45"/>
        </w:rPr>
        <w:t xml:space="preserve"> </w:t>
      </w:r>
      <w:r>
        <w:rPr>
          <w:spacing w:val="-2"/>
        </w:rPr>
        <w:t>; (</w:t>
      </w:r>
      <w:r>
        <w:rPr>
          <w:rFonts w:ascii="Microsoft YaHei" w:hAnsi="Microsoft YaHei" w:eastAsia="Microsoft YaHei" w:cs="Microsoft YaHei"/>
          <w:spacing w:val="-2"/>
        </w:rPr>
        <w:t>3</w:t>
      </w:r>
      <w:r>
        <w:rPr>
          <w:spacing w:val="-2"/>
        </w:rPr>
        <w:t>) 中途因各种原因</w:t>
      </w:r>
      <w:r>
        <w:rPr/>
        <w:t xml:space="preserve"> </w:t>
      </w:r>
      <w:r>
        <w:rPr>
          <w:spacing w:val="8"/>
        </w:rPr>
        <w:t>无法继续接受相关治疗而退出者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ind w:left="735"/>
        <w:spacing w:before="15" w:line="193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1．2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  </w:t>
      </w:r>
      <w:r>
        <w:rPr>
          <w:rFonts w:ascii="NSimSun" w:hAnsi="NSimSun" w:eastAsia="NSimSun" w:cs="NSimSun"/>
          <w:sz w:val="17"/>
          <w:szCs w:val="17"/>
          <w:spacing w:val="-25"/>
        </w:rPr>
        <w:t>方法</w:t>
      </w:r>
    </w:p>
    <w:p>
      <w:pPr>
        <w:pStyle w:val="BodyText"/>
        <w:ind w:left="731" w:right="195" w:firstLine="4"/>
        <w:spacing w:before="39" w:line="26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1. 2.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    </w:t>
      </w:r>
      <w:r>
        <w:rPr>
          <w:spacing w:val="-6"/>
        </w:rPr>
        <w:t>对照组给予常规护理，具体方式如下</w:t>
      </w:r>
      <w:r>
        <w:rPr>
          <w:spacing w:val="-47"/>
        </w:rPr>
        <w:t xml:space="preserve"> </w:t>
      </w:r>
      <w:r>
        <w:rPr>
          <w:spacing w:val="-6"/>
        </w:rPr>
        <w:t>: </w:t>
      </w:r>
      <w:r>
        <w:rPr>
          <w:spacing w:val="-7"/>
        </w:rPr>
        <w:t>(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</w:t>
      </w:r>
      <w:r>
        <w:rPr>
          <w:spacing w:val="-7"/>
        </w:rPr>
        <w:t>) 心理护理</w:t>
      </w:r>
      <w:r>
        <w:rPr>
          <w:spacing w:val="-47"/>
        </w:rPr>
        <w:t xml:space="preserve"> </w:t>
      </w:r>
      <w:r>
        <w:rPr>
          <w:spacing w:val="-7"/>
        </w:rPr>
        <w:t>:</w:t>
      </w:r>
      <w:r>
        <w:rPr/>
        <w:t xml:space="preserve">  </w:t>
      </w:r>
      <w:r>
        <w:rPr>
          <w:spacing w:val="8"/>
        </w:rPr>
        <w:t>急性盆腔炎治疗不及时导致盆腔炎后遗症易反复发作，同时</w:t>
      </w:r>
      <w:r>
        <w:rPr/>
        <w:t xml:space="preserve"> </w:t>
      </w:r>
      <w:r>
        <w:rPr>
          <w:spacing w:val="8"/>
        </w:rPr>
        <w:t>还可能导致不孕和宫外孕的发生，因此，多数患者会产</w:t>
      </w:r>
      <w:r>
        <w:rPr>
          <w:spacing w:val="7"/>
        </w:rPr>
        <w:t>生焦</w:t>
      </w:r>
      <w:r>
        <w:rPr/>
        <w:t xml:space="preserve"> </w:t>
      </w:r>
      <w:r>
        <w:rPr>
          <w:spacing w:val="8"/>
        </w:rPr>
        <w:t>虑抑郁等负面情绪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在对患者进行治疗的过程中，应主</w:t>
      </w:r>
      <w:r>
        <w:rPr>
          <w:spacing w:val="7"/>
        </w:rPr>
        <w:t>动亲</w:t>
      </w:r>
      <w:r>
        <w:rPr/>
        <w:t xml:space="preserve"> </w:t>
      </w:r>
      <w:r>
        <w:rPr>
          <w:spacing w:val="3"/>
        </w:rPr>
        <w:t>切地与患者进行交流，耐心倾听，尽量满足患者的合理需求，</w:t>
      </w:r>
      <w:r>
        <w:rPr>
          <w:spacing w:val="18"/>
        </w:rPr>
        <w:t xml:space="preserve"> </w:t>
      </w:r>
      <w:r>
        <w:rPr>
          <w:spacing w:val="10"/>
        </w:rPr>
        <w:t>帮助患者树立战胜疾病的信心，建立相互信任的护患关系，</w:t>
      </w:r>
      <w:r>
        <w:rPr>
          <w:spacing w:val="9"/>
        </w:rPr>
        <w:t xml:space="preserve"> </w:t>
      </w:r>
      <w:r>
        <w:rPr>
          <w:spacing w:val="6"/>
        </w:rPr>
        <w:t>提升患者的治疗依从性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6"/>
        </w:rPr>
        <w:t>(</w:t>
      </w:r>
      <w:r>
        <w:rPr>
          <w:rFonts w:ascii="Microsoft YaHei" w:hAnsi="Microsoft YaHei" w:eastAsia="Microsoft YaHei" w:cs="Microsoft YaHei"/>
          <w:spacing w:val="6"/>
        </w:rPr>
        <w:t>2</w:t>
      </w:r>
      <w:r>
        <w:rPr>
          <w:spacing w:val="6"/>
        </w:rPr>
        <w:t>)</w:t>
      </w:r>
      <w:r>
        <w:rPr>
          <w:spacing w:val="-15"/>
        </w:rPr>
        <w:t xml:space="preserve"> </w:t>
      </w:r>
      <w:r>
        <w:rPr>
          <w:spacing w:val="6"/>
        </w:rPr>
        <w:t>饮食护理</w:t>
      </w:r>
      <w:r>
        <w:rPr>
          <w:spacing w:val="-47"/>
        </w:rPr>
        <w:t xml:space="preserve"> </w:t>
      </w:r>
      <w:r>
        <w:rPr>
          <w:spacing w:val="6"/>
        </w:rPr>
        <w:t>:</w:t>
      </w:r>
      <w:r>
        <w:rPr>
          <w:spacing w:val="-34"/>
        </w:rPr>
        <w:t xml:space="preserve"> </w:t>
      </w:r>
      <w:r>
        <w:rPr>
          <w:spacing w:val="6"/>
        </w:rPr>
        <w:t>为患者选择清淡且</w:t>
      </w:r>
      <w:r>
        <w:rPr/>
        <w:t xml:space="preserve"> </w:t>
      </w:r>
      <w:r>
        <w:rPr>
          <w:spacing w:val="9"/>
        </w:rPr>
        <w:t>营养</w:t>
      </w:r>
      <w:r>
        <w:rPr>
          <w:spacing w:val="-45"/>
        </w:rPr>
        <w:t xml:space="preserve"> </w:t>
      </w:r>
      <w:r>
        <w:rPr>
          <w:spacing w:val="9"/>
        </w:rPr>
        <w:t>的食物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禁烟禁酒，忌食生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冷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辛辣等刺</w:t>
      </w:r>
      <w:r>
        <w:rPr>
          <w:spacing w:val="8"/>
        </w:rPr>
        <w:t>激性食物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pStyle w:val="BodyText"/>
        <w:ind w:left="762"/>
        <w:spacing w:before="1" w:line="201" w:lineRule="auto"/>
        <w:rPr/>
      </w:pPr>
      <w:r>
        <w:rPr>
          <w:spacing w:val="2"/>
        </w:rPr>
        <w:t>(</w:t>
      </w:r>
      <w:r>
        <w:rPr>
          <w:rFonts w:ascii="Microsoft YaHei" w:hAnsi="Microsoft YaHei" w:eastAsia="Microsoft YaHei" w:cs="Microsoft YaHei"/>
          <w:spacing w:val="2"/>
        </w:rPr>
        <w:t>3</w:t>
      </w:r>
      <w:r>
        <w:rPr>
          <w:spacing w:val="2"/>
        </w:rPr>
        <w:t>)</w:t>
      </w:r>
      <w:r>
        <w:rPr>
          <w:spacing w:val="-20"/>
        </w:rPr>
        <w:t xml:space="preserve"> </w:t>
      </w:r>
      <w:r>
        <w:rPr>
          <w:spacing w:val="2"/>
        </w:rPr>
        <w:t>生活护理:</w:t>
      </w:r>
      <w:r>
        <w:rPr>
          <w:spacing w:val="-39"/>
        </w:rPr>
        <w:t xml:space="preserve"> </w:t>
      </w:r>
      <w:r>
        <w:rPr>
          <w:spacing w:val="2"/>
        </w:rPr>
        <w:t>指导患者进行相应的锻炼，</w:t>
      </w:r>
      <w:r>
        <w:rPr>
          <w:spacing w:val="1"/>
        </w:rPr>
        <w:t>叮嘱患者注意劳逸</w:t>
      </w:r>
    </w:p>
    <w:p>
      <w:pPr>
        <w:spacing w:line="4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61" w:firstLine="5"/>
        <w:spacing w:before="35" w:line="25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"/>
        </w:rPr>
        <w:t>结合，不可过于劳累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spacing w:val="-1"/>
        </w:rPr>
        <w:t>(</w:t>
      </w:r>
      <w:r>
        <w:rPr>
          <w:rFonts w:ascii="Microsoft YaHei" w:hAnsi="Microsoft YaHei" w:eastAsia="Microsoft YaHei" w:cs="Microsoft YaHei"/>
          <w:spacing w:val="-1"/>
        </w:rPr>
        <w:t>4</w:t>
      </w:r>
      <w:r>
        <w:rPr>
          <w:spacing w:val="-1"/>
        </w:rPr>
        <w:t>) 卫生护理</w:t>
      </w:r>
      <w:r>
        <w:rPr>
          <w:spacing w:val="-48"/>
        </w:rPr>
        <w:t xml:space="preserve"> </w:t>
      </w:r>
      <w:r>
        <w:rPr>
          <w:spacing w:val="-1"/>
        </w:rPr>
        <w:t>:</w:t>
      </w:r>
      <w:r>
        <w:rPr>
          <w:spacing w:val="-35"/>
        </w:rPr>
        <w:t xml:space="preserve"> </w:t>
      </w:r>
      <w:r>
        <w:rPr>
          <w:spacing w:val="-1"/>
        </w:rPr>
        <w:t>使会阴部保持清洁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干</w:t>
      </w:r>
      <w:r>
        <w:rPr/>
        <w:t xml:space="preserve"> </w:t>
      </w:r>
      <w:r>
        <w:rPr>
          <w:spacing w:val="8"/>
        </w:rPr>
        <w:t>燥，每晚坚持用清水或生理盐水清洗外阴，不可用手掏</w:t>
      </w:r>
      <w:r>
        <w:rPr>
          <w:spacing w:val="7"/>
        </w:rPr>
        <w:t>洗阴</w:t>
      </w:r>
      <w:r>
        <w:rPr/>
        <w:t xml:space="preserve"> </w:t>
      </w:r>
      <w:r>
        <w:rPr>
          <w:spacing w:val="-5"/>
        </w:rPr>
        <w:t>道内部，或用热水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肥皂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沐浴露等清洗外阴，勤换内裤，治疗</w:t>
      </w:r>
      <w:r>
        <w:rPr>
          <w:spacing w:val="6"/>
        </w:rPr>
        <w:t xml:space="preserve"> </w:t>
      </w:r>
      <w:r>
        <w:rPr>
          <w:spacing w:val="-9"/>
        </w:rPr>
        <w:t>期间，禁止性生活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游泳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盆浴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桑拿浴等</w:t>
      </w:r>
      <w:r>
        <w:rPr>
          <w:rFonts w:ascii="Microsoft YaHei" w:hAnsi="Microsoft YaHei" w:eastAsia="Microsoft YaHei" w:cs="Microsoft YaHei"/>
          <w:spacing w:val="-9"/>
        </w:rPr>
        <w:t>。</w:t>
      </w:r>
    </w:p>
    <w:p>
      <w:pPr>
        <w:pStyle w:val="BodyText"/>
        <w:ind w:firstLine="15"/>
        <w:spacing w:before="13" w:line="24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1. 2. 2</w:t>
      </w:r>
      <w:r>
        <w:rPr>
          <w:rFonts w:ascii="Microsoft YaHei" w:hAnsi="Microsoft YaHei" w:eastAsia="Microsoft YaHei" w:cs="Microsoft YaHei"/>
          <w:spacing w:val="17"/>
        </w:rPr>
        <w:t xml:space="preserve">   </w:t>
      </w:r>
      <w:r>
        <w:rPr>
          <w:spacing w:val="-1"/>
        </w:rPr>
        <w:t>观察组给予中医综合护理模式，具体方式如下</w:t>
      </w:r>
      <w:r>
        <w:rPr>
          <w:spacing w:val="-47"/>
        </w:rPr>
        <w:t xml:space="preserve"> </w:t>
      </w:r>
      <w:r>
        <w:rPr>
          <w:spacing w:val="-1"/>
        </w:rPr>
        <w:t>: (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</w:t>
      </w:r>
      <w:r>
        <w:rPr>
          <w:spacing w:val="-1"/>
        </w:rPr>
        <w:t>)</w:t>
      </w:r>
      <w:r>
        <w:rPr/>
        <w:t xml:space="preserve">  </w:t>
      </w:r>
      <w:r>
        <w:rPr>
          <w:spacing w:val="10"/>
        </w:rPr>
        <w:t>中医情志护理:</w:t>
      </w:r>
      <w:r>
        <w:rPr>
          <w:spacing w:val="-40"/>
        </w:rPr>
        <w:t xml:space="preserve"> </w:t>
      </w:r>
      <w:r>
        <w:rPr>
          <w:spacing w:val="10"/>
        </w:rPr>
        <w:t>对患者进行中医情志护理干预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许多患者由</w:t>
      </w:r>
      <w:r>
        <w:rPr/>
        <w:t xml:space="preserve"> </w:t>
      </w:r>
      <w:r>
        <w:rPr>
          <w:spacing w:val="8"/>
        </w:rPr>
        <w:t>于外部压力及自身情绪得不到疏导等原因导致体内血瘀，内</w:t>
      </w:r>
      <w:r>
        <w:rPr>
          <w:spacing w:val="12"/>
        </w:rPr>
        <w:t xml:space="preserve"> </w:t>
      </w:r>
      <w:r>
        <w:rPr>
          <w:spacing w:val="8"/>
        </w:rPr>
        <w:t>在运行受阻，个人身体功能异常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这时候护理人员应该进行</w:t>
      </w:r>
      <w:r>
        <w:rPr>
          <w:spacing w:val="10"/>
        </w:rPr>
        <w:t xml:space="preserve"> </w:t>
      </w:r>
      <w:r>
        <w:rPr>
          <w:spacing w:val="8"/>
        </w:rPr>
        <w:t>疏导，与患者多交流沟通，让患者敞开心扉诉说自己内心不</w:t>
      </w:r>
      <w:r>
        <w:rPr>
          <w:spacing w:val="10"/>
        </w:rPr>
        <w:t xml:space="preserve"> </w:t>
      </w:r>
      <w:r>
        <w:rPr>
          <w:spacing w:val="2"/>
        </w:rPr>
        <w:t>良情绪，了解患者自身诉求，同时增强患者治愈的信</w:t>
      </w:r>
      <w:r>
        <w:rPr>
          <w:spacing w:val="1"/>
        </w:rPr>
        <w:t>心，让患</w:t>
      </w:r>
      <w:r>
        <w:rPr/>
        <w:t xml:space="preserve"> </w:t>
      </w:r>
      <w:r>
        <w:rPr>
          <w:spacing w:val="7"/>
        </w:rPr>
        <w:t>者不良情绪得到及时疏导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7"/>
        </w:rPr>
        <w:t>(</w:t>
      </w:r>
      <w:r>
        <w:rPr>
          <w:rFonts w:ascii="Microsoft YaHei" w:hAnsi="Microsoft YaHei" w:eastAsia="Microsoft YaHei" w:cs="Microsoft YaHei"/>
          <w:spacing w:val="7"/>
        </w:rPr>
        <w:t>2</w:t>
      </w:r>
      <w:r>
        <w:rPr>
          <w:spacing w:val="7"/>
        </w:rPr>
        <w:t>)</w:t>
      </w:r>
      <w:r>
        <w:rPr>
          <w:spacing w:val="-15"/>
        </w:rPr>
        <w:t xml:space="preserve"> </w:t>
      </w:r>
      <w:r>
        <w:rPr>
          <w:spacing w:val="7"/>
        </w:rPr>
        <w:t>饮食干预</w:t>
      </w:r>
      <w:r>
        <w:rPr>
          <w:spacing w:val="-48"/>
        </w:rPr>
        <w:t xml:space="preserve"> </w:t>
      </w:r>
      <w:r>
        <w:rPr>
          <w:spacing w:val="7"/>
        </w:rPr>
        <w:t>:</w:t>
      </w:r>
      <w:r>
        <w:rPr>
          <w:spacing w:val="-34"/>
        </w:rPr>
        <w:t xml:space="preserve"> </w:t>
      </w:r>
      <w:r>
        <w:rPr>
          <w:spacing w:val="6"/>
        </w:rPr>
        <w:t>提醒患者注意饮</w:t>
      </w:r>
      <w:r>
        <w:rPr/>
        <w:t xml:space="preserve"> </w:t>
      </w:r>
      <w:r>
        <w:rPr/>
        <w:t>食，少食用刺激性较强食物，少食多脂</w:t>
      </w:r>
      <w:r>
        <w:rPr>
          <w:rFonts w:ascii="Microsoft YaHei" w:hAnsi="Microsoft YaHei" w:eastAsia="Microsoft YaHei" w:cs="Microsoft YaHei"/>
        </w:rPr>
        <w:t>、</w:t>
      </w:r>
      <w:r>
        <w:rPr/>
        <w:t>油腻食物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/>
        <w:t>(</w:t>
      </w:r>
      <w:r>
        <w:rPr>
          <w:rFonts w:ascii="Microsoft YaHei" w:hAnsi="Microsoft YaHei" w:eastAsia="Microsoft YaHei" w:cs="Microsoft YaHei"/>
        </w:rPr>
        <w:t>3</w:t>
      </w:r>
      <w:r>
        <w:rPr/>
        <w:t>) </w:t>
      </w:r>
      <w:r>
        <w:rPr>
          <w:spacing w:val="-1"/>
        </w:rPr>
        <w:t>中药</w:t>
      </w:r>
      <w:r>
        <w:rPr/>
        <w:t xml:space="preserve"> </w:t>
      </w:r>
      <w:r>
        <w:rPr>
          <w:spacing w:val="-4"/>
        </w:rPr>
        <w:t>封包治疗:</w:t>
      </w:r>
      <w:r>
        <w:rPr>
          <w:spacing w:val="-39"/>
        </w:rPr>
        <w:t xml:space="preserve"> </w:t>
      </w:r>
      <w:r>
        <w:rPr>
          <w:spacing w:val="-4"/>
        </w:rPr>
        <w:t>药方为:</w:t>
      </w:r>
      <w:r>
        <w:rPr>
          <w:spacing w:val="-40"/>
        </w:rPr>
        <w:t xml:space="preserve"> </w:t>
      </w:r>
      <w:r>
        <w:rPr>
          <w:spacing w:val="-4"/>
        </w:rPr>
        <w:t>吴茱萸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白芥子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紫苏子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炒莱</w:t>
      </w:r>
      <w:r>
        <w:rPr>
          <w:spacing w:val="-5"/>
        </w:rPr>
        <w:t>菔子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40g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5"/>
        </w:rPr>
        <w:t>外</w:t>
      </w:r>
      <w:r>
        <w:rPr/>
        <w:t xml:space="preserve"> </w:t>
      </w:r>
      <w:r>
        <w:rPr>
          <w:spacing w:val="-9"/>
        </w:rPr>
        <w:t>用，用植物油调敷下腹</w:t>
      </w:r>
      <w:r>
        <w:rPr>
          <w:spacing w:val="-43"/>
        </w:rPr>
        <w:t xml:space="preserve"> </w:t>
      </w:r>
      <w:r>
        <w:rPr>
          <w:spacing w:val="-9"/>
        </w:rPr>
        <w:t>;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-9"/>
        </w:rPr>
        <w:t>次</w:t>
      </w:r>
      <w:r>
        <w:rPr>
          <w:rFonts w:ascii="Microsoft YaHei" w:hAnsi="Microsoft YaHei" w:eastAsia="Microsoft YaHei" w:cs="Microsoft YaHei"/>
          <w:spacing w:val="-9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d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7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～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10d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9"/>
        </w:rPr>
        <w:t>为 </w:t>
      </w:r>
      <w:r>
        <w:rPr>
          <w:rFonts w:ascii="Microsoft YaHei" w:hAnsi="Microsoft YaHei" w:eastAsia="Microsoft YaHei" w:cs="Microsoft YaHei"/>
          <w:spacing w:val="-9"/>
        </w:rPr>
        <w:t>1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9"/>
        </w:rPr>
        <w:t>个疗程，一般治</w:t>
      </w:r>
      <w:r>
        <w:rPr/>
        <w:t xml:space="preserve"> </w:t>
      </w:r>
      <w:r>
        <w:rPr>
          <w:spacing w:val="7"/>
        </w:rPr>
        <w:t>疗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2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～4 </w:t>
      </w:r>
      <w:r>
        <w:rPr>
          <w:spacing w:val="7"/>
        </w:rPr>
        <w:t>个疗程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7"/>
        </w:rPr>
        <w:t>(</w:t>
      </w:r>
      <w:r>
        <w:rPr>
          <w:rFonts w:ascii="Microsoft YaHei" w:hAnsi="Microsoft YaHei" w:eastAsia="Microsoft YaHei" w:cs="Microsoft YaHei"/>
          <w:spacing w:val="7"/>
        </w:rPr>
        <w:t>4</w:t>
      </w:r>
      <w:r>
        <w:rPr>
          <w:spacing w:val="7"/>
        </w:rPr>
        <w:t>)</w:t>
      </w:r>
      <w:r>
        <w:rPr>
          <w:spacing w:val="-15"/>
        </w:rPr>
        <w:t xml:space="preserve"> </w:t>
      </w:r>
      <w:r>
        <w:rPr>
          <w:spacing w:val="7"/>
        </w:rPr>
        <w:t>给予河源市中医院自制的九味双柏膏</w:t>
      </w:r>
      <w:r>
        <w:rPr/>
        <w:t xml:space="preserve"> </w:t>
      </w:r>
      <w:r>
        <w:rPr>
          <w:spacing w:val="-12"/>
        </w:rPr>
        <w:t>(</w:t>
      </w:r>
      <w:r>
        <w:rPr>
          <w:spacing w:val="-50"/>
        </w:rPr>
        <w:t xml:space="preserve"> </w:t>
      </w:r>
      <w:r>
        <w:rPr>
          <w:spacing w:val="-12"/>
        </w:rPr>
        <w:t>规格:</w:t>
      </w:r>
      <w:r>
        <w:rPr>
          <w:rFonts w:ascii="Microsoft YaHei" w:hAnsi="Microsoft YaHei" w:eastAsia="Microsoft YaHei" w:cs="Microsoft YaHei"/>
          <w:spacing w:val="-12"/>
        </w:rPr>
        <w:t>2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spacing w:val="-12"/>
        </w:rPr>
        <w:t>贴</w:t>
      </w:r>
      <w:r>
        <w:rPr>
          <w:rFonts w:ascii="Microsoft YaHei" w:hAnsi="Microsoft YaHei" w:eastAsia="Microsoft YaHei" w:cs="Microsoft YaHei"/>
          <w:spacing w:val="-12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2"/>
        </w:rPr>
        <w:t>袋，批号: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Z20070990</w:t>
      </w:r>
      <w:r>
        <w:rPr>
          <w:spacing w:val="-12"/>
        </w:rPr>
        <w:t>) 贴敷，组成</w:t>
      </w:r>
      <w:r>
        <w:rPr>
          <w:spacing w:val="-48"/>
        </w:rPr>
        <w:t xml:space="preserve"> </w:t>
      </w:r>
      <w:r>
        <w:rPr>
          <w:spacing w:val="-12"/>
        </w:rPr>
        <w:t>:</w:t>
      </w:r>
      <w:r>
        <w:rPr>
          <w:spacing w:val="-36"/>
        </w:rPr>
        <w:t xml:space="preserve"> </w:t>
      </w:r>
      <w:r>
        <w:rPr>
          <w:spacing w:val="-12"/>
        </w:rPr>
        <w:t>黄柏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白及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大</w:t>
      </w:r>
      <w:r>
        <w:rPr/>
        <w:t xml:space="preserve"> </w:t>
      </w:r>
      <w:r>
        <w:rPr>
          <w:spacing w:val="-3"/>
        </w:rPr>
        <w:t>黄等药，外敷患处，</w:t>
      </w:r>
      <w:r>
        <w:rPr>
          <w:rFonts w:ascii="Microsoft YaHei" w:hAnsi="Microsoft YaHei" w:eastAsia="Microsoft YaHei" w:cs="Microsoft YaHei"/>
          <w:spacing w:val="-3"/>
        </w:rPr>
        <w:t>1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3"/>
        </w:rPr>
        <w:t>次</w:t>
      </w:r>
      <w:r>
        <w:rPr>
          <w:rFonts w:ascii="Microsoft YaHei" w:hAnsi="Microsoft YaHei" w:eastAsia="Microsoft YaHei" w:cs="Microsoft YaHei"/>
          <w:spacing w:val="-3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d</w:t>
      </w:r>
      <w:r>
        <w:rPr>
          <w:spacing w:val="-3"/>
        </w:rPr>
        <w:t>，同时配合骨伤</w:t>
      </w:r>
      <w:r>
        <w:rPr>
          <w:spacing w:val="-4"/>
        </w:rPr>
        <w:t>科一般处理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休息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5"/>
        </w:rPr>
        <w:t>患肢制动抬高</w:t>
      </w:r>
      <w:r>
        <w:rPr>
          <w:rFonts w:ascii="Microsoft YaHei" w:hAnsi="Microsoft YaHei" w:eastAsia="Microsoft YaHei" w:cs="Microsoft YaHei"/>
          <w:spacing w:val="5"/>
        </w:rPr>
        <w:t>、24h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5"/>
        </w:rPr>
        <w:t>前冰敷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5"/>
        </w:rPr>
        <w:t>(</w:t>
      </w:r>
      <w:r>
        <w:rPr>
          <w:rFonts w:ascii="Microsoft YaHei" w:hAnsi="Microsoft YaHei" w:eastAsia="Microsoft YaHei" w:cs="Microsoft YaHei"/>
          <w:spacing w:val="5"/>
        </w:rPr>
        <w:t>5</w:t>
      </w:r>
      <w:r>
        <w:rPr>
          <w:spacing w:val="5"/>
        </w:rPr>
        <w:t>) 湿热</w:t>
      </w:r>
      <w:r>
        <w:rPr>
          <w:spacing w:val="4"/>
        </w:rPr>
        <w:t>瘀结证者可给予中药</w:t>
      </w:r>
      <w:r>
        <w:rPr/>
        <w:t xml:space="preserve"> </w:t>
      </w:r>
      <w:r>
        <w:rPr>
          <w:spacing w:val="-5"/>
        </w:rPr>
        <w:t>保留灌肠护理:</w:t>
      </w:r>
      <w:r>
        <w:rPr>
          <w:spacing w:val="-37"/>
        </w:rPr>
        <w:t xml:space="preserve"> </w:t>
      </w:r>
      <w:r>
        <w:rPr>
          <w:spacing w:val="-5"/>
        </w:rPr>
        <w:t>药方:</w:t>
      </w:r>
      <w:r>
        <w:rPr>
          <w:spacing w:val="-38"/>
        </w:rPr>
        <w:t xml:space="preserve"> </w:t>
      </w:r>
      <w:r>
        <w:rPr>
          <w:spacing w:val="-5"/>
        </w:rPr>
        <w:t>败酱草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红藤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毛冬</w:t>
      </w:r>
      <w:r>
        <w:rPr>
          <w:spacing w:val="-6"/>
        </w:rPr>
        <w:t>青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蒲公英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醋莪术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3"/>
        </w:rPr>
        <w:t>醋三棱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白芷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荔枝核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牡丹皮各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20g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煎制好后，取</w:t>
      </w:r>
      <w:r>
        <w:rPr>
          <w:spacing w:val="-51"/>
        </w:rPr>
        <w:t xml:space="preserve"> </w:t>
      </w:r>
      <w:r>
        <w:rPr>
          <w:spacing w:val="3"/>
        </w:rPr>
        <w:t>药</w:t>
      </w:r>
      <w:r>
        <w:rPr>
          <w:spacing w:val="-50"/>
        </w:rPr>
        <w:t xml:space="preserve"> </w:t>
      </w:r>
      <w:r>
        <w:rPr>
          <w:spacing w:val="3"/>
        </w:rPr>
        <w:t>汁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8"/>
        </w:rPr>
        <w:t>100ml</w:t>
      </w:r>
      <w:r>
        <w:rPr>
          <w:spacing w:val="-8"/>
        </w:rPr>
        <w:t>，冷却至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39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～41℃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-8"/>
        </w:rPr>
        <w:t>后，对患者进</w:t>
      </w:r>
      <w:r>
        <w:rPr>
          <w:spacing w:val="-9"/>
        </w:rPr>
        <w:t>行保留灌肠，插入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15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~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5"/>
        </w:rPr>
        <w:t>20cm</w:t>
      </w:r>
      <w:r>
        <w:rPr>
          <w:spacing w:val="-5"/>
        </w:rPr>
        <w:t>，均匀滴入药液(</w:t>
      </w:r>
      <w:r>
        <w:rPr>
          <w:rFonts w:ascii="Microsoft YaHei" w:hAnsi="Microsoft YaHei" w:eastAsia="Microsoft YaHei" w:cs="Microsoft YaHei"/>
          <w:spacing w:val="-5"/>
        </w:rPr>
        <w:t>15min </w:t>
      </w:r>
      <w:r>
        <w:rPr>
          <w:spacing w:val="-5"/>
        </w:rPr>
        <w:t>滴完)</w:t>
      </w:r>
      <w:r>
        <w:rPr>
          <w:spacing w:val="-23"/>
        </w:rPr>
        <w:t xml:space="preserve"> </w:t>
      </w:r>
      <w:r>
        <w:rPr>
          <w:spacing w:val="-5"/>
        </w:rPr>
        <w:t>，叮嘱患者抬高臀部，卧床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4"/>
        </w:rPr>
        <w:t>1h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4"/>
        </w:rPr>
        <w:t>以上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睡前保留灌肠最佳，使中药保留在肠中发挥出最佳</w:t>
      </w:r>
      <w:r>
        <w:rPr/>
        <w:t xml:space="preserve"> </w:t>
      </w:r>
      <w:r>
        <w:rPr>
          <w:spacing w:val="-11"/>
        </w:rPr>
        <w:t>疗效，</w:t>
      </w:r>
      <w:r>
        <w:rPr>
          <w:rFonts w:ascii="Microsoft YaHei" w:hAnsi="Microsoft YaHei" w:eastAsia="Microsoft YaHei" w:cs="Microsoft YaHei"/>
          <w:spacing w:val="-11"/>
        </w:rPr>
        <w:t>1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1"/>
        </w:rPr>
        <w:t>次</w:t>
      </w:r>
      <w:r>
        <w:rPr>
          <w:rFonts w:ascii="Microsoft YaHei" w:hAnsi="Microsoft YaHei" w:eastAsia="Microsoft YaHei" w:cs="Microsoft YaHei"/>
          <w:spacing w:val="-11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d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7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11"/>
        </w:rPr>
        <w:t>次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-11"/>
        </w:rPr>
        <w:t>个疗程，经期停止灌肠</w:t>
      </w:r>
      <w:r>
        <w:rPr>
          <w:rFonts w:ascii="Microsoft YaHei" w:hAnsi="Microsoft YaHei" w:eastAsia="Microsoft YaHei" w:cs="Microsoft YaHei"/>
          <w:spacing w:val="-11"/>
        </w:rPr>
        <w:t>。</w:t>
      </w:r>
    </w:p>
    <w:p>
      <w:pPr>
        <w:pStyle w:val="BodyText"/>
        <w:ind w:left="12" w:right="59" w:firstLine="4"/>
        <w:spacing w:before="7" w:line="22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4"/>
        </w:rPr>
        <w:t>1．3</w:t>
      </w:r>
      <w:r>
        <w:rPr>
          <w:rFonts w:ascii="Microsoft YaHei" w:hAnsi="Microsoft YaHei" w:eastAsia="Microsoft YaHei" w:cs="Microsoft YaHei"/>
          <w:spacing w:val="16"/>
        </w:rPr>
        <w:t xml:space="preserve">   </w:t>
      </w:r>
      <w:r>
        <w:rPr>
          <w:rFonts w:ascii="NSimSun" w:hAnsi="NSimSun" w:eastAsia="NSimSun" w:cs="NSimSun"/>
          <w:spacing w:val="-4"/>
        </w:rPr>
        <w:t>观察指标</w:t>
      </w:r>
      <w:r>
        <w:rPr>
          <w:rFonts w:ascii="NSimSun" w:hAnsi="NSimSun" w:eastAsia="NSimSun" w:cs="NSimSun"/>
          <w:spacing w:val="26"/>
        </w:rPr>
        <w:t xml:space="preserve">  </w:t>
      </w:r>
      <w:r>
        <w:rPr>
          <w:spacing w:val="-4"/>
        </w:rPr>
        <w:t>(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</w:t>
      </w:r>
      <w:r>
        <w:rPr>
          <w:spacing w:val="-4"/>
        </w:rPr>
        <w:t>)</w:t>
      </w:r>
      <w:r>
        <w:rPr>
          <w:spacing w:val="-21"/>
        </w:rPr>
        <w:t xml:space="preserve"> </w:t>
      </w:r>
      <w:r>
        <w:rPr>
          <w:spacing w:val="-4"/>
        </w:rPr>
        <w:t>对两组患者症状总分数进行比较，症状</w:t>
      </w:r>
      <w:r>
        <w:rPr/>
        <w:t xml:space="preserve"> </w:t>
      </w:r>
      <w:r>
        <w:rPr>
          <w:spacing w:val="3"/>
        </w:rPr>
        <w:t>分值根据</w:t>
      </w:r>
      <w:r>
        <w:rPr>
          <w:rFonts w:ascii="Microsoft YaHei" w:hAnsi="Microsoft YaHei" w:eastAsia="Microsoft YaHei" w:cs="Microsoft YaHei"/>
          <w:spacing w:val="3"/>
        </w:rPr>
        <w:t>《</w:t>
      </w:r>
      <w:r>
        <w:rPr>
          <w:spacing w:val="3"/>
        </w:rPr>
        <w:t>中药新药临床研究指导原则</w:t>
      </w:r>
      <w:r>
        <w:rPr>
          <w:rFonts w:ascii="Microsoft YaHei" w:hAnsi="Microsoft YaHei" w:eastAsia="Microsoft YaHei" w:cs="Microsoft YaHei"/>
          <w:spacing w:val="3"/>
        </w:rPr>
        <w:t>》</w:t>
      </w:r>
      <w:r>
        <w:rPr>
          <w:sz w:val="10"/>
          <w:szCs w:val="10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6</w:t>
      </w:r>
      <w:r>
        <w:rPr>
          <w:sz w:val="10"/>
          <w:szCs w:val="10"/>
          <w:spacing w:val="3"/>
          <w:position w:val="8"/>
        </w:rPr>
        <w:t>］</w:t>
      </w:r>
      <w:r>
        <w:rPr>
          <w:sz w:val="10"/>
          <w:szCs w:val="10"/>
          <w:spacing w:val="-11"/>
          <w:position w:val="8"/>
        </w:rPr>
        <w:t xml:space="preserve"> </w:t>
      </w:r>
      <w:r>
        <w:rPr>
          <w:spacing w:val="3"/>
        </w:rPr>
        <w:t>中症</w:t>
      </w:r>
      <w:r>
        <w:rPr>
          <w:spacing w:val="2"/>
        </w:rPr>
        <w:t>状积分标准</w:t>
      </w:r>
      <w:r>
        <w:rPr/>
        <w:t xml:space="preserve"> </w:t>
      </w:r>
      <w:r>
        <w:rPr>
          <w:spacing w:val="-4"/>
        </w:rPr>
        <w:t>进行评定:</w:t>
      </w:r>
      <w:r>
        <w:rPr>
          <w:spacing w:val="-42"/>
        </w:rPr>
        <w:t xml:space="preserve"> </w:t>
      </w:r>
      <w:r>
        <w:rPr>
          <w:spacing w:val="-4"/>
        </w:rPr>
        <w:t>病症完全消失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0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4"/>
        </w:rPr>
        <w:t>分，轻度 </w:t>
      </w:r>
      <w:r>
        <w:rPr>
          <w:rFonts w:ascii="Microsoft YaHei" w:hAnsi="Microsoft YaHei" w:eastAsia="Microsoft YaHei" w:cs="Microsoft YaHei"/>
          <w:spacing w:val="-4"/>
        </w:rPr>
        <w:t>1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4"/>
        </w:rPr>
        <w:t>分，中度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-5"/>
        </w:rPr>
        <w:t>分，重度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3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7"/>
        </w:rPr>
        <w:t>分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7"/>
        </w:rPr>
        <w:t>(</w:t>
      </w:r>
      <w:r>
        <w:rPr>
          <w:rFonts w:ascii="Microsoft YaHei" w:hAnsi="Microsoft YaHei" w:eastAsia="Microsoft YaHei" w:cs="Microsoft YaHei"/>
          <w:spacing w:val="7"/>
        </w:rPr>
        <w:t>2</w:t>
      </w:r>
      <w:r>
        <w:rPr>
          <w:spacing w:val="7"/>
        </w:rPr>
        <w:t>)</w:t>
      </w:r>
      <w:r>
        <w:rPr>
          <w:spacing w:val="-22"/>
        </w:rPr>
        <w:t xml:space="preserve"> </w:t>
      </w:r>
      <w:r>
        <w:rPr>
          <w:spacing w:val="7"/>
        </w:rPr>
        <w:t>对两组护理前后焦虑进行评估并对比</w:t>
      </w:r>
      <w:r>
        <w:rPr>
          <w:spacing w:val="6"/>
        </w:rPr>
        <w:t>，以汉密尔顿</w:t>
      </w:r>
      <w:r>
        <w:rPr/>
        <w:t xml:space="preserve"> </w:t>
      </w:r>
      <w:r>
        <w:rPr>
          <w:spacing w:val="-6"/>
        </w:rPr>
        <w:t>焦虑量表(</w:t>
      </w:r>
      <w:r>
        <w:rPr>
          <w:rFonts w:ascii="Microsoft YaHei" w:hAnsi="Microsoft YaHei" w:eastAsia="Microsoft YaHei" w:cs="Microsoft YaHei"/>
          <w:spacing w:val="-6"/>
        </w:rPr>
        <w:t>HAMA</w:t>
      </w:r>
      <w:r>
        <w:rPr>
          <w:spacing w:val="-6"/>
        </w:rPr>
        <w:t>)</w:t>
      </w:r>
      <w:r>
        <w:rPr>
          <w:spacing w:val="-51"/>
        </w:rPr>
        <w:t xml:space="preserve"> </w:t>
      </w:r>
      <w:r>
        <w:rPr>
          <w:sz w:val="10"/>
          <w:szCs w:val="10"/>
          <w:spacing w:val="-6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8"/>
        </w:rPr>
        <w:t>7</w:t>
      </w:r>
      <w:r>
        <w:rPr>
          <w:sz w:val="10"/>
          <w:szCs w:val="10"/>
          <w:spacing w:val="-6"/>
          <w:position w:val="8"/>
        </w:rPr>
        <w:t>］</w:t>
      </w:r>
      <w:r>
        <w:rPr>
          <w:spacing w:val="-6"/>
        </w:rPr>
        <w:t>评定，总分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29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6"/>
        </w:rPr>
        <w:t>分，中度焦虑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≥21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6"/>
        </w:rPr>
        <w:t>分</w:t>
      </w:r>
      <w:r>
        <w:rPr>
          <w:spacing w:val="-46"/>
        </w:rPr>
        <w:t xml:space="preserve"> </w:t>
      </w:r>
      <w:r>
        <w:rPr>
          <w:spacing w:val="-7"/>
        </w:rPr>
        <w:t>;</w:t>
      </w:r>
      <w:r>
        <w:rPr>
          <w:spacing w:val="-32"/>
        </w:rPr>
        <w:t xml:space="preserve"> </w:t>
      </w:r>
      <w:r>
        <w:rPr>
          <w:spacing w:val="-7"/>
        </w:rPr>
        <w:t>有</w:t>
      </w:r>
      <w:r>
        <w:rPr/>
        <w:t xml:space="preserve"> </w:t>
      </w:r>
      <w:r>
        <w:rPr>
          <w:spacing w:val="3"/>
        </w:rPr>
        <w:t>焦虑心理</w:t>
      </w:r>
      <w:r>
        <w:rPr>
          <w:rFonts w:ascii="Microsoft YaHei" w:hAnsi="Microsoft YaHei" w:eastAsia="Microsoft YaHei" w:cs="Microsoft YaHei"/>
          <w:spacing w:val="3"/>
        </w:rPr>
        <w:t>≥14 </w:t>
      </w:r>
      <w:r>
        <w:rPr>
          <w:spacing w:val="3"/>
        </w:rPr>
        <w:t>分</w:t>
      </w:r>
      <w:r>
        <w:rPr>
          <w:spacing w:val="-44"/>
        </w:rPr>
        <w:t xml:space="preserve"> </w:t>
      </w:r>
      <w:r>
        <w:rPr>
          <w:spacing w:val="3"/>
        </w:rPr>
        <w:t>;</w:t>
      </w:r>
      <w:r>
        <w:rPr>
          <w:spacing w:val="-39"/>
        </w:rPr>
        <w:t xml:space="preserve"> </w:t>
      </w:r>
      <w:r>
        <w:rPr>
          <w:spacing w:val="3"/>
        </w:rPr>
        <w:t>可能有焦虑心理或正常</w:t>
      </w:r>
      <w:r>
        <w:rPr>
          <w:rFonts w:ascii="Microsoft YaHei" w:hAnsi="Microsoft YaHei" w:eastAsia="Microsoft YaHei" w:cs="Microsoft YaHei"/>
          <w:spacing w:val="3"/>
        </w:rPr>
        <w:t>＜14 </w:t>
      </w:r>
      <w:r>
        <w:rPr>
          <w:spacing w:val="3"/>
        </w:rPr>
        <w:t>分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left="17" w:right="61"/>
        <w:spacing w:before="47" w:line="2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"/>
        </w:rPr>
        <w:t>1．4    </w:t>
      </w:r>
      <w:r>
        <w:rPr>
          <w:rFonts w:ascii="NSimSun" w:hAnsi="NSimSun" w:eastAsia="NSimSun" w:cs="NSimSun"/>
          <w:spacing w:val="-2"/>
        </w:rPr>
        <w:t>统计学方法</w:t>
      </w:r>
      <w:r>
        <w:rPr>
          <w:rFonts w:ascii="NSimSun" w:hAnsi="NSimSun" w:eastAsia="NSimSun" w:cs="NSimSun"/>
          <w:spacing w:val="25"/>
          <w:w w:val="101"/>
        </w:rPr>
        <w:t xml:space="preserve">  </w:t>
      </w:r>
      <w:r>
        <w:rPr>
          <w:spacing w:val="-2"/>
        </w:rPr>
        <w:t>采用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SPSS19．0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2"/>
        </w:rPr>
        <w:t>统计软件对全文数据进</w:t>
      </w:r>
      <w:r>
        <w:rPr/>
        <w:t xml:space="preserve"> </w:t>
      </w:r>
      <w:r>
        <w:rPr>
          <w:spacing w:val="-6"/>
        </w:rPr>
        <w:t>行计算，计量资料</w:t>
      </w:r>
      <w:r>
        <w:rPr>
          <w:spacing w:val="-40"/>
        </w:rPr>
        <w:t xml:space="preserve"> </w:t>
      </w:r>
      <w:r>
        <w:rPr>
          <w:spacing w:val="-6"/>
        </w:rPr>
        <w:t>以</w:t>
      </w:r>
      <w:r>
        <w:rPr>
          <w:spacing w:val="-27"/>
        </w:rPr>
        <w:t xml:space="preserve"> </w:t>
      </w:r>
      <w:r>
        <w:rPr>
          <w:spacing w:val="-6"/>
        </w:rPr>
        <w:t>(</w:t>
      </w:r>
      <w:r>
        <w:rPr>
          <w:spacing w:val="-43"/>
        </w:rPr>
        <w:t xml:space="preserve"> </w:t>
      </w:r>
      <w:r>
        <w:rPr>
          <w:spacing w:val="-6"/>
        </w:rPr>
        <w:t>均数 </w:t>
      </w:r>
      <w:r>
        <w:rPr>
          <w:rFonts w:ascii="Microsoft YaHei" w:hAnsi="Microsoft YaHei" w:eastAsia="Microsoft YaHei" w:cs="Microsoft YaHei"/>
          <w:spacing w:val="-6"/>
        </w:rPr>
        <w:t>±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spacing w:val="-6"/>
        </w:rPr>
        <w:t>标准差) 表示，行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t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7"/>
        </w:rPr>
        <w:t>检验，</w:t>
      </w:r>
      <w:r>
        <w:rPr>
          <w:rFonts w:ascii="Microsoft YaHei" w:hAnsi="Microsoft YaHei" w:eastAsia="Microsoft YaHei" w:cs="Microsoft YaHei"/>
          <w:spacing w:val="-7"/>
        </w:rPr>
        <w:t>P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&lt;</w:t>
      </w:r>
    </w:p>
    <w:p>
      <w:pPr>
        <w:pStyle w:val="BodyText"/>
        <w:ind w:left="1"/>
        <w:spacing w:before="46" w:line="19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0. 05 </w:t>
      </w:r>
      <w:r>
        <w:rPr>
          <w:spacing w:val="3"/>
        </w:rPr>
        <w:t>判定差异有统计学意义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spacing w:before="50" w:line="195" w:lineRule="auto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2"/>
        </w:rPr>
        <w:t>结果</w:t>
      </w:r>
    </w:p>
    <w:p>
      <w:pPr>
        <w:pStyle w:val="BodyText"/>
        <w:ind w:left="13" w:right="56" w:hanging="10"/>
        <w:spacing w:before="48"/>
        <w:jc w:val="both"/>
        <w:rPr>
          <w:rFonts w:ascii="Microsoft YaHei" w:hAnsi="Microsoft YaHei" w:eastAsia="Microsoft YaHei" w:cs="Microsoft YaHei"/>
        </w:rPr>
      </w:pPr>
      <w:r>
        <w:pict>
          <v:shape id="_x0000_s8" style="position:absolute;margin-left:24.856pt;margin-top:53.5261pt;mso-position-vertical-relative:text;mso-position-horizontal-relative:text;width:4.15pt;height:0.2pt;z-index:-251655168;" filled="false" strokecolor="#000000" strokeweight="0.19pt" coordsize="83,4" coordorigin="0,0" path="m0,1l82,1e">
            <v:stroke joinstyle="miter" miterlimit="10"/>
          </v:shape>
        </w:pict>
      </w:r>
      <w:r>
        <w:rPr>
          <w:rFonts w:ascii="Microsoft YaHei" w:hAnsi="Microsoft YaHei" w:eastAsia="Microsoft YaHei" w:cs="Microsoft YaHei"/>
        </w:rPr>
        <w:t>2．1    </w:t>
      </w:r>
      <w:r>
        <w:rPr>
          <w:rFonts w:ascii="NSimSun" w:hAnsi="NSimSun" w:eastAsia="NSimSun" w:cs="NSimSun"/>
        </w:rPr>
        <w:t>两组症状评分对比</w:t>
      </w:r>
      <w:r>
        <w:rPr>
          <w:rFonts w:ascii="NSimSun" w:hAnsi="NSimSun" w:eastAsia="NSimSun" w:cs="NSimSun"/>
        </w:rPr>
        <w:t xml:space="preserve">  </w:t>
      </w:r>
      <w:r>
        <w:rPr/>
        <w:t>护理前，</w:t>
      </w:r>
      <w:r>
        <w:rPr>
          <w:spacing w:val="-1"/>
        </w:rPr>
        <w:t>两组在症状评分上无显著</w:t>
      </w:r>
      <w:r>
        <w:rPr/>
        <w:t xml:space="preserve"> </w:t>
      </w:r>
      <w:r>
        <w:rPr>
          <w:spacing w:val="-8"/>
        </w:rPr>
        <w:t>差异(</w:t>
      </w:r>
      <w:r>
        <w:rPr>
          <w:rFonts w:ascii="Microsoft YaHei" w:hAnsi="Microsoft YaHei" w:eastAsia="Microsoft YaHei" w:cs="Microsoft YaHei"/>
          <w:spacing w:val="-8"/>
        </w:rPr>
        <w:t>P＞0．05</w:t>
      </w:r>
      <w:r>
        <w:rPr>
          <w:spacing w:val="-8"/>
        </w:rPr>
        <w:t>)</w:t>
      </w:r>
      <w:r>
        <w:rPr>
          <w:spacing w:val="-30"/>
        </w:rPr>
        <w:t xml:space="preserve"> </w:t>
      </w:r>
      <w:r>
        <w:rPr>
          <w:spacing w:val="-8"/>
        </w:rPr>
        <w:t>，护理后，观察组下腹疼痛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白带增多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腰骶胀</w:t>
      </w:r>
      <w:r>
        <w:rPr/>
        <w:t xml:space="preserve"> </w:t>
      </w:r>
      <w:r>
        <w:rPr>
          <w:spacing w:val="-7"/>
        </w:rPr>
        <w:t>痛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月经不调症状评分上显著比对照组低(</w:t>
      </w:r>
      <w:r>
        <w:rPr>
          <w:rFonts w:ascii="Microsoft YaHei" w:hAnsi="Microsoft YaHei" w:eastAsia="Microsoft YaHei" w:cs="Microsoft YaHei"/>
          <w:spacing w:val="-7"/>
        </w:rPr>
        <w:t>P＜0．</w:t>
      </w:r>
      <w:r>
        <w:rPr>
          <w:rFonts w:ascii="Microsoft YaHei" w:hAnsi="Microsoft YaHei" w:eastAsia="Microsoft YaHei" w:cs="Microsoft YaHei"/>
          <w:spacing w:val="-8"/>
        </w:rPr>
        <w:t>05</w:t>
      </w:r>
      <w:r>
        <w:rPr>
          <w:spacing w:val="-8"/>
        </w:rPr>
        <w:t>)</w:t>
      </w:r>
      <w:r>
        <w:rPr>
          <w:spacing w:val="-31"/>
        </w:rPr>
        <w:t xml:space="preserve"> </w:t>
      </w:r>
      <w:r>
        <w:rPr>
          <w:spacing w:val="-8"/>
        </w:rPr>
        <w:t>，见表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2。</w:t>
      </w:r>
    </w:p>
    <w:p>
      <w:pPr>
        <w:sectPr>
          <w:type w:val="continuous"/>
          <w:pgSz w:w="11906" w:h="16157"/>
          <w:pgMar w:top="1118" w:right="1078" w:bottom="547" w:left="407" w:header="801" w:footer="354" w:gutter="0"/>
          <w:cols w:equalWidth="0" w:num="2">
            <w:col w:w="5618" w:space="100"/>
            <w:col w:w="4702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left="4181"/>
        <w:spacing w:before="4" w:line="19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5"/>
        </w:rPr>
        <w:t>表</w:t>
      </w:r>
      <w:r>
        <w:rPr>
          <w:rFonts w:ascii="SimHei" w:hAnsi="SimHei" w:eastAsia="SimHei" w:cs="SimHei"/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2    </w:t>
      </w:r>
      <w:r>
        <w:rPr>
          <w:rFonts w:ascii="SimHei" w:hAnsi="SimHei" w:eastAsia="SimHei" w:cs="SimHei"/>
          <w:sz w:val="17"/>
          <w:szCs w:val="17"/>
          <w:spacing w:val="-5"/>
        </w:rPr>
        <w:t>两组症状评分对比</w:t>
      </w:r>
      <w:r>
        <w:rPr>
          <w:rFonts w:ascii="SimHei" w:hAnsi="SimHei" w:eastAsia="SimHei" w:cs="SimHei"/>
          <w:sz w:val="17"/>
          <w:szCs w:val="17"/>
          <w:spacing w:val="-4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 xml:space="preserve"> ±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s</w:t>
      </w:r>
      <w:r>
        <w:rPr>
          <w:rFonts w:ascii="SimHei" w:hAnsi="SimHei" w:eastAsia="SimHei" w:cs="SimHei"/>
          <w:sz w:val="17"/>
          <w:szCs w:val="17"/>
          <w:spacing w:val="-5"/>
        </w:rPr>
        <w:t>，分)</w:t>
      </w:r>
    </w:p>
    <w:p>
      <w:pPr>
        <w:spacing w:line="34" w:lineRule="exact"/>
        <w:rPr/>
      </w:pPr>
      <w:r/>
    </w:p>
    <w:tbl>
      <w:tblPr>
        <w:tblStyle w:val="TableNormal"/>
        <w:tblW w:w="9637" w:type="dxa"/>
        <w:tblInd w:w="7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4"/>
        <w:gridCol w:w="442"/>
        <w:gridCol w:w="949"/>
        <w:gridCol w:w="1040"/>
        <w:gridCol w:w="1025"/>
        <w:gridCol w:w="1071"/>
        <w:gridCol w:w="997"/>
        <w:gridCol w:w="1021"/>
        <w:gridCol w:w="1148"/>
        <w:gridCol w:w="1270"/>
      </w:tblGrid>
      <w:tr>
        <w:trPr>
          <w:trHeight w:val="228" w:hRule="atLeast"/>
        </w:trPr>
        <w:tc>
          <w:tcPr>
            <w:tcW w:w="674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70"/>
              <w:spacing w:before="165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442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66"/>
              <w:spacing w:before="177" w:line="198" w:lineRule="auto"/>
              <w:rPr/>
            </w:pPr>
            <w:r>
              <w:rPr/>
              <w:t>n</w:t>
            </w:r>
          </w:p>
        </w:tc>
        <w:tc>
          <w:tcPr>
            <w:tcW w:w="1989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48"/>
              <w:spacing w:before="43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下腹疼痛</w:t>
            </w:r>
          </w:p>
        </w:tc>
        <w:tc>
          <w:tcPr>
            <w:tcW w:w="2096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45"/>
              <w:spacing w:before="44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白带增多</w:t>
            </w:r>
          </w:p>
        </w:tc>
        <w:tc>
          <w:tcPr>
            <w:tcW w:w="2018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695"/>
              <w:spacing w:before="43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腰骶胀痛</w:t>
            </w:r>
          </w:p>
        </w:tc>
        <w:tc>
          <w:tcPr>
            <w:tcW w:w="2418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954"/>
              <w:spacing w:before="46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月经不调</w:t>
            </w:r>
          </w:p>
        </w:tc>
      </w:tr>
      <w:tr>
        <w:trPr>
          <w:trHeight w:val="230" w:hRule="atLeast"/>
        </w:trPr>
        <w:tc>
          <w:tcPr>
            <w:tcW w:w="67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5"/>
              <w:spacing w:before="49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护理前</w:t>
            </w:r>
          </w:p>
        </w:tc>
        <w:tc>
          <w:tcPr>
            <w:tcW w:w="10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11"/>
              <w:spacing w:before="50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护理后</w:t>
            </w:r>
          </w:p>
        </w:tc>
        <w:tc>
          <w:tcPr>
            <w:tcW w:w="10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26"/>
              <w:spacing w:before="49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护理前</w:t>
            </w:r>
          </w:p>
        </w:tc>
        <w:tc>
          <w:tcPr>
            <w:tcW w:w="10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55"/>
              <w:spacing w:before="50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护理后</w:t>
            </w:r>
          </w:p>
        </w:tc>
        <w:tc>
          <w:tcPr>
            <w:tcW w:w="9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98"/>
              <w:spacing w:before="49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护理前</w:t>
            </w:r>
          </w:p>
        </w:tc>
        <w:tc>
          <w:tcPr>
            <w:tcW w:w="10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56"/>
              <w:spacing w:before="50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护理后</w:t>
            </w:r>
          </w:p>
        </w:tc>
        <w:tc>
          <w:tcPr>
            <w:tcW w:w="11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49"/>
              <w:spacing w:before="49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护理前</w:t>
            </w:r>
          </w:p>
        </w:tc>
        <w:tc>
          <w:tcPr>
            <w:tcW w:w="127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60"/>
              <w:spacing w:before="50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护理后</w:t>
            </w:r>
          </w:p>
        </w:tc>
      </w:tr>
      <w:tr>
        <w:trPr>
          <w:trHeight w:val="230" w:hRule="atLeast"/>
        </w:trPr>
        <w:tc>
          <w:tcPr>
            <w:tcW w:w="674" w:type="dxa"/>
            <w:vAlign w:val="top"/>
            <w:tcBorders>
              <w:top w:val="single" w:color="000000" w:sz="2" w:space="0"/>
            </w:tcBorders>
          </w:tcPr>
          <w:p>
            <w:pPr>
              <w:ind w:left="88"/>
              <w:spacing w:before="52" w:line="206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观察组</w:t>
            </w:r>
          </w:p>
        </w:tc>
        <w:tc>
          <w:tcPr>
            <w:tcW w:w="4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3"/>
              <w:spacing w:before="61" w:line="158" w:lineRule="exact"/>
              <w:rPr/>
            </w:pPr>
            <w:r>
              <w:rPr>
                <w:spacing w:val="-7"/>
                <w:position w:val="-1"/>
              </w:rPr>
              <w:t>30</w:t>
            </w:r>
          </w:p>
        </w:tc>
        <w:tc>
          <w:tcPr>
            <w:tcW w:w="9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1"/>
              <w:spacing w:before="61" w:line="158" w:lineRule="exact"/>
              <w:rPr/>
            </w:pPr>
            <w:r>
              <w:rPr>
                <w:spacing w:val="-26"/>
                <w:position w:val="-1"/>
              </w:rPr>
              <w:t>2．10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0．25</w:t>
            </w:r>
          </w:p>
        </w:tc>
        <w:tc>
          <w:tcPr>
            <w:tcW w:w="10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5"/>
              <w:spacing w:before="61" w:line="158" w:lineRule="exact"/>
              <w:rPr/>
            </w:pPr>
            <w:r>
              <w:rPr>
                <w:spacing w:val="-22"/>
                <w:w w:val="96"/>
                <w:position w:val="-1"/>
              </w:rPr>
              <w:t>0．43</w:t>
            </w:r>
            <w:r>
              <w:rPr>
                <w:spacing w:val="14"/>
                <w:w w:val="101"/>
                <w:position w:val="-1"/>
              </w:rPr>
              <w:t xml:space="preserve"> </w:t>
            </w:r>
            <w:r>
              <w:rPr>
                <w:spacing w:val="-22"/>
                <w:w w:val="9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2"/>
                <w:w w:val="96"/>
                <w:position w:val="-1"/>
              </w:rPr>
              <w:t>0．04</w:t>
            </w:r>
          </w:p>
        </w:tc>
        <w:tc>
          <w:tcPr>
            <w:tcW w:w="10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0"/>
              <w:spacing w:before="61" w:line="158" w:lineRule="exact"/>
              <w:rPr/>
            </w:pPr>
            <w:r>
              <w:rPr>
                <w:spacing w:val="-26"/>
                <w:position w:val="-1"/>
              </w:rPr>
              <w:t>2．43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0．25</w:t>
            </w:r>
          </w:p>
        </w:tc>
        <w:tc>
          <w:tcPr>
            <w:tcW w:w="10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8"/>
              <w:spacing w:before="61" w:line="158" w:lineRule="exact"/>
              <w:rPr/>
            </w:pPr>
            <w:r>
              <w:rPr>
                <w:spacing w:val="-26"/>
                <w:position w:val="-1"/>
              </w:rPr>
              <w:t>0．54</w:t>
            </w:r>
            <w:r>
              <w:rPr>
                <w:spacing w:val="12"/>
                <w:w w:val="10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0．05</w:t>
            </w:r>
          </w:p>
        </w:tc>
        <w:tc>
          <w:tcPr>
            <w:tcW w:w="99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2"/>
              <w:spacing w:before="61" w:line="158" w:lineRule="exact"/>
              <w:rPr/>
            </w:pPr>
            <w:r>
              <w:rPr>
                <w:spacing w:val="-26"/>
                <w:position w:val="-1"/>
              </w:rPr>
              <w:t>2．60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0．22</w:t>
            </w:r>
          </w:p>
        </w:tc>
        <w:tc>
          <w:tcPr>
            <w:tcW w:w="10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8"/>
              <w:spacing w:before="61" w:line="158" w:lineRule="exact"/>
              <w:rPr/>
            </w:pPr>
            <w:r>
              <w:rPr>
                <w:spacing w:val="-19"/>
                <w:w w:val="93"/>
                <w:position w:val="-1"/>
              </w:rPr>
              <w:t>0．44</w:t>
            </w:r>
            <w:r>
              <w:rPr>
                <w:spacing w:val="15"/>
                <w:w w:val="101"/>
                <w:position w:val="-1"/>
              </w:rPr>
              <w:t xml:space="preserve"> </w:t>
            </w:r>
            <w:r>
              <w:rPr>
                <w:spacing w:val="-19"/>
                <w:w w:val="93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19"/>
                <w:w w:val="93"/>
                <w:position w:val="-1"/>
              </w:rPr>
              <w:t>0．04</w:t>
            </w:r>
          </w:p>
        </w:tc>
        <w:tc>
          <w:tcPr>
            <w:tcW w:w="114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2"/>
              <w:spacing w:before="61" w:line="158" w:lineRule="exact"/>
              <w:rPr/>
            </w:pPr>
            <w:r>
              <w:rPr>
                <w:spacing w:val="-25"/>
                <w:w w:val="99"/>
                <w:position w:val="-1"/>
              </w:rPr>
              <w:t>2．24</w:t>
            </w:r>
            <w:r>
              <w:rPr>
                <w:spacing w:val="12"/>
                <w:w w:val="101"/>
                <w:position w:val="-1"/>
              </w:rPr>
              <w:t xml:space="preserve"> </w:t>
            </w:r>
            <w:r>
              <w:rPr>
                <w:spacing w:val="-25"/>
                <w:w w:val="99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5"/>
                <w:w w:val="99"/>
                <w:position w:val="-1"/>
              </w:rPr>
              <w:t>0．26</w:t>
            </w:r>
          </w:p>
        </w:tc>
        <w:tc>
          <w:tcPr>
            <w:tcW w:w="127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4"/>
              <w:spacing w:before="61" w:line="158" w:lineRule="exact"/>
              <w:rPr/>
            </w:pPr>
            <w:r>
              <w:rPr>
                <w:spacing w:val="-26"/>
                <w:position w:val="-1"/>
              </w:rPr>
              <w:t>0．51</w:t>
            </w:r>
            <w:r>
              <w:rPr>
                <w:spacing w:val="12"/>
                <w:w w:val="10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0．06</w:t>
            </w:r>
          </w:p>
        </w:tc>
      </w:tr>
      <w:tr>
        <w:trPr>
          <w:trHeight w:val="243" w:hRule="atLeast"/>
        </w:trPr>
        <w:tc>
          <w:tcPr>
            <w:tcW w:w="674" w:type="dxa"/>
            <w:vAlign w:val="top"/>
          </w:tcPr>
          <w:p>
            <w:pPr>
              <w:ind w:left="87"/>
              <w:spacing w:before="63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对照组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123"/>
              <w:spacing w:before="70" w:line="162" w:lineRule="exact"/>
              <w:rPr/>
            </w:pPr>
            <w:r>
              <w:rPr>
                <w:spacing w:val="-7"/>
                <w:position w:val="-1"/>
              </w:rPr>
              <w:t>30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81"/>
              <w:spacing w:before="70" w:line="162" w:lineRule="exact"/>
              <w:rPr/>
            </w:pPr>
            <w:r>
              <w:rPr>
                <w:spacing w:val="-26"/>
                <w:position w:val="-1"/>
              </w:rPr>
              <w:t>2．13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0．22</w:t>
            </w:r>
          </w:p>
        </w:tc>
        <w:tc>
          <w:tcPr>
            <w:tcW w:w="1040" w:type="dxa"/>
            <w:vAlign w:val="top"/>
          </w:tcPr>
          <w:p>
            <w:pPr>
              <w:pStyle w:val="TableText"/>
              <w:ind w:left="85"/>
              <w:spacing w:before="70" w:line="162" w:lineRule="exact"/>
              <w:rPr/>
            </w:pPr>
            <w:r>
              <w:rPr>
                <w:spacing w:val="-26"/>
                <w:position w:val="-1"/>
              </w:rPr>
              <w:t>0．89</w:t>
            </w:r>
            <w:r>
              <w:rPr>
                <w:spacing w:val="12"/>
                <w:w w:val="10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0．08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160"/>
              <w:spacing w:before="70" w:line="162" w:lineRule="exact"/>
              <w:rPr/>
            </w:pPr>
            <w:r>
              <w:rPr>
                <w:spacing w:val="-26"/>
                <w:position w:val="-1"/>
              </w:rPr>
              <w:t>2．51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0．22</w:t>
            </w:r>
          </w:p>
        </w:tc>
        <w:tc>
          <w:tcPr>
            <w:tcW w:w="1071" w:type="dxa"/>
            <w:vAlign w:val="top"/>
          </w:tcPr>
          <w:p>
            <w:pPr>
              <w:pStyle w:val="TableText"/>
              <w:ind w:left="102"/>
              <w:spacing w:before="70" w:line="162" w:lineRule="exact"/>
              <w:rPr/>
            </w:pPr>
            <w:r>
              <w:rPr>
                <w:spacing w:val="-28"/>
                <w:position w:val="-1"/>
              </w:rPr>
              <w:t>1．01</w:t>
            </w:r>
            <w:r>
              <w:rPr>
                <w:spacing w:val="17"/>
                <w:position w:val="-1"/>
              </w:rPr>
              <w:t xml:space="preserve"> </w:t>
            </w:r>
            <w:r>
              <w:rPr>
                <w:spacing w:val="-28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8"/>
                <w:position w:val="-1"/>
              </w:rPr>
              <w:t>0．09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32"/>
              <w:spacing w:before="70" w:line="162" w:lineRule="exact"/>
              <w:rPr/>
            </w:pPr>
            <w:r>
              <w:rPr>
                <w:spacing w:val="-26"/>
                <w:position w:val="-1"/>
              </w:rPr>
              <w:t>2．58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0．24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89"/>
              <w:spacing w:before="70" w:line="162" w:lineRule="exact"/>
              <w:rPr/>
            </w:pPr>
            <w:r>
              <w:rPr>
                <w:spacing w:val="-26"/>
                <w:position w:val="-1"/>
              </w:rPr>
              <w:t>0．97</w:t>
            </w:r>
            <w:r>
              <w:rPr>
                <w:spacing w:val="13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0．97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182"/>
              <w:spacing w:before="70" w:line="162" w:lineRule="exact"/>
              <w:rPr/>
            </w:pPr>
            <w:r>
              <w:rPr>
                <w:spacing w:val="-26"/>
                <w:position w:val="-1"/>
              </w:rPr>
              <w:t>2．31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0．29</w:t>
            </w:r>
          </w:p>
        </w:tc>
        <w:tc>
          <w:tcPr>
            <w:tcW w:w="1270" w:type="dxa"/>
            <w:vAlign w:val="top"/>
          </w:tcPr>
          <w:p>
            <w:pPr>
              <w:pStyle w:val="TableText"/>
              <w:ind w:left="191"/>
              <w:spacing w:before="70" w:line="162" w:lineRule="exact"/>
              <w:rPr/>
            </w:pPr>
            <w:r>
              <w:rPr>
                <w:spacing w:val="-26"/>
                <w:position w:val="-1"/>
              </w:rPr>
              <w:t>0．88</w:t>
            </w:r>
            <w:r>
              <w:rPr>
                <w:spacing w:val="12"/>
                <w:w w:val="102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±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26"/>
                <w:position w:val="-1"/>
              </w:rPr>
              <w:t>0．08</w:t>
            </w:r>
          </w:p>
        </w:tc>
      </w:tr>
      <w:tr>
        <w:trPr>
          <w:trHeight w:val="234" w:hRule="atLeast"/>
        </w:trPr>
        <w:tc>
          <w:tcPr>
            <w:tcW w:w="674" w:type="dxa"/>
            <w:vAlign w:val="top"/>
          </w:tcPr>
          <w:p>
            <w:pPr>
              <w:pStyle w:val="TableText"/>
              <w:ind w:left="300"/>
              <w:spacing w:before="71" w:line="152" w:lineRule="exact"/>
              <w:rPr/>
            </w:pPr>
            <w:r>
              <w:rPr>
                <w:position w:val="-1"/>
              </w:rPr>
              <w:t>t</w:t>
            </w:r>
          </w:p>
        </w:tc>
        <w:tc>
          <w:tcPr>
            <w:tcW w:w="442" w:type="dxa"/>
            <w:vAlign w:val="top"/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pStyle w:val="TableText"/>
              <w:ind w:left="276"/>
              <w:spacing w:before="65" w:line="158" w:lineRule="exact"/>
              <w:rPr/>
            </w:pPr>
            <w:r>
              <w:rPr>
                <w:spacing w:val="-21"/>
                <w:position w:val="-1"/>
              </w:rPr>
              <w:t>0．505</w:t>
            </w:r>
          </w:p>
        </w:tc>
        <w:tc>
          <w:tcPr>
            <w:tcW w:w="1040" w:type="dxa"/>
            <w:vAlign w:val="top"/>
          </w:tcPr>
          <w:p>
            <w:pPr>
              <w:pStyle w:val="TableText"/>
              <w:ind w:left="283"/>
              <w:spacing w:before="65" w:line="158" w:lineRule="exact"/>
              <w:rPr/>
            </w:pPr>
            <w:r>
              <w:rPr>
                <w:spacing w:val="-21"/>
                <w:position w:val="-1"/>
              </w:rPr>
              <w:t>5．193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355"/>
              <w:spacing w:before="65" w:line="158" w:lineRule="exact"/>
              <w:rPr/>
            </w:pPr>
            <w:r>
              <w:rPr>
                <w:spacing w:val="-20"/>
                <w:position w:val="-1"/>
              </w:rPr>
              <w:t>0．187</w:t>
            </w:r>
          </w:p>
        </w:tc>
        <w:tc>
          <w:tcPr>
            <w:tcW w:w="1071" w:type="dxa"/>
            <w:vAlign w:val="top"/>
          </w:tcPr>
          <w:p>
            <w:pPr>
              <w:pStyle w:val="TableText"/>
              <w:ind w:left="286"/>
              <w:spacing w:before="65" w:line="158" w:lineRule="exact"/>
              <w:rPr/>
            </w:pPr>
            <w:r>
              <w:rPr>
                <w:spacing w:val="-17"/>
                <w:w w:val="95"/>
                <w:position w:val="-1"/>
              </w:rPr>
              <w:t>2．464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328"/>
              <w:spacing w:before="65" w:line="158" w:lineRule="exact"/>
              <w:rPr/>
            </w:pPr>
            <w:r>
              <w:rPr>
                <w:spacing w:val="-21"/>
                <w:position w:val="-1"/>
              </w:rPr>
              <w:t>0．651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89"/>
              <w:spacing w:before="65" w:line="158" w:lineRule="exact"/>
              <w:rPr/>
            </w:pPr>
            <w:r>
              <w:rPr>
                <w:spacing w:val="-22"/>
                <w:position w:val="-1"/>
              </w:rPr>
              <w:t>3．200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378"/>
              <w:spacing w:before="65" w:line="158" w:lineRule="exact"/>
              <w:rPr/>
            </w:pPr>
            <w:r>
              <w:rPr>
                <w:spacing w:val="-16"/>
                <w:w w:val="95"/>
                <w:position w:val="-1"/>
              </w:rPr>
              <w:t>0．449</w:t>
            </w:r>
          </w:p>
        </w:tc>
        <w:tc>
          <w:tcPr>
            <w:tcW w:w="1270" w:type="dxa"/>
            <w:vAlign w:val="top"/>
          </w:tcPr>
          <w:p>
            <w:pPr>
              <w:pStyle w:val="TableText"/>
              <w:ind w:left="364"/>
              <w:spacing w:before="65" w:line="158" w:lineRule="exact"/>
              <w:rPr/>
            </w:pPr>
            <w:r>
              <w:rPr>
                <w:spacing w:val="-22"/>
                <w:position w:val="-1"/>
              </w:rPr>
              <w:t>10．570</w:t>
            </w:r>
          </w:p>
        </w:tc>
      </w:tr>
      <w:tr>
        <w:trPr>
          <w:trHeight w:val="243" w:hRule="atLeast"/>
        </w:trPr>
        <w:tc>
          <w:tcPr>
            <w:tcW w:w="67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0"/>
              <w:spacing w:before="79" w:line="154" w:lineRule="exact"/>
              <w:rPr/>
            </w:pPr>
            <w:r>
              <w:rPr>
                <w:spacing w:val="4"/>
                <w:position w:val="-3"/>
              </w:rPr>
              <w:t>P</w:t>
            </w:r>
          </w:p>
        </w:tc>
        <w:tc>
          <w:tcPr>
            <w:tcW w:w="442" w:type="dxa"/>
            <w:vAlign w:val="top"/>
            <w:tcBorders>
              <w:bottom w:val="single" w:color="000000" w:sz="6" w:space="0"/>
            </w:tcBorders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9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6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0．615</w:t>
            </w:r>
          </w:p>
        </w:tc>
        <w:tc>
          <w:tcPr>
            <w:tcW w:w="10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2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0．001</w:t>
            </w:r>
          </w:p>
        </w:tc>
        <w:tc>
          <w:tcPr>
            <w:tcW w:w="102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55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0．852</w:t>
            </w:r>
          </w:p>
        </w:tc>
        <w:tc>
          <w:tcPr>
            <w:tcW w:w="107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5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0．015</w:t>
            </w:r>
          </w:p>
        </w:tc>
        <w:tc>
          <w:tcPr>
            <w:tcW w:w="99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8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0．516</w:t>
            </w:r>
          </w:p>
        </w:tc>
        <w:tc>
          <w:tcPr>
            <w:tcW w:w="10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5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0．002</w:t>
            </w:r>
          </w:p>
        </w:tc>
        <w:tc>
          <w:tcPr>
            <w:tcW w:w="114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78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0．654</w:t>
            </w:r>
          </w:p>
        </w:tc>
        <w:tc>
          <w:tcPr>
            <w:tcW w:w="127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90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0．001</w:t>
            </w:r>
          </w:p>
        </w:tc>
      </w:tr>
    </w:tbl>
    <w:p>
      <w:pPr>
        <w:spacing w:line="71" w:lineRule="exact"/>
        <w:rPr>
          <w:rFonts w:ascii="Arial"/>
          <w:sz w:val="6"/>
        </w:rPr>
      </w:pPr>
      <w:r/>
    </w:p>
    <w:p>
      <w:pPr>
        <w:spacing w:line="71" w:lineRule="exact"/>
        <w:sectPr>
          <w:type w:val="continuous"/>
          <w:pgSz w:w="11906" w:h="16157"/>
          <w:pgMar w:top="1118" w:right="1078" w:bottom="547" w:left="407" w:header="801" w:footer="354" w:gutter="0"/>
          <w:cols w:equalWidth="0" w:num="1">
            <w:col w:w="10419" w:space="0"/>
          </w:cols>
        </w:sectPr>
        <w:rPr>
          <w:rFonts w:ascii="Arial" w:hAnsi="Arial" w:eastAsia="Arial" w:cs="Arial"/>
          <w:sz w:val="6"/>
          <w:szCs w:val="6"/>
        </w:rPr>
      </w:pPr>
    </w:p>
    <w:p>
      <w:pPr>
        <w:pStyle w:val="BodyText"/>
        <w:ind w:left="733" w:right="219" w:hanging="13"/>
        <w:spacing w:before="36" w:line="22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2．2    </w:t>
      </w:r>
      <w:r>
        <w:rPr>
          <w:rFonts w:ascii="NSimSun" w:hAnsi="NSimSun" w:eastAsia="NSimSun" w:cs="NSimSun"/>
        </w:rPr>
        <w:t>两组</w:t>
      </w:r>
      <w:r>
        <w:rPr>
          <w:rFonts w:ascii="NSimSun" w:hAnsi="NSimSun" w:eastAsia="NSimSun" w:cs="NSimSun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HAMA </w:t>
      </w:r>
      <w:r>
        <w:rPr>
          <w:rFonts w:ascii="NSimSun" w:hAnsi="NSimSun" w:eastAsia="NSimSun" w:cs="NSimSun"/>
        </w:rPr>
        <w:t>评分对比</w:t>
      </w:r>
      <w:r>
        <w:rPr>
          <w:rFonts w:ascii="NSimSun" w:hAnsi="NSimSun" w:eastAsia="NSimSun" w:cs="NSimSun"/>
          <w:spacing w:val="23"/>
        </w:rPr>
        <w:t xml:space="preserve">  </w:t>
      </w:r>
      <w:r>
        <w:rPr/>
        <w:t>护理前研究对象在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HAMA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/>
        <w:t>评 </w:t>
      </w:r>
      <w:r>
        <w:rPr>
          <w:spacing w:val="-1"/>
        </w:rPr>
        <w:t>分上无显著差异(</w:t>
      </w:r>
      <w:r>
        <w:rPr>
          <w:rFonts w:ascii="Microsoft YaHei" w:hAnsi="Microsoft YaHei" w:eastAsia="Microsoft YaHei" w:cs="Microsoft YaHei"/>
          <w:spacing w:val="-1"/>
        </w:rPr>
        <w:t>P＞0．05</w:t>
      </w:r>
      <w:r>
        <w:rPr>
          <w:spacing w:val="-1"/>
        </w:rPr>
        <w:t>)</w:t>
      </w:r>
      <w:r>
        <w:rPr>
          <w:spacing w:val="-27"/>
        </w:rPr>
        <w:t xml:space="preserve"> </w:t>
      </w:r>
      <w:r>
        <w:rPr>
          <w:spacing w:val="-1"/>
        </w:rPr>
        <w:t>，护理后观察组在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HAM</w:t>
      </w:r>
      <w:r>
        <w:rPr>
          <w:rFonts w:ascii="Microsoft YaHei" w:hAnsi="Microsoft YaHei" w:eastAsia="Microsoft YaHei" w:cs="Microsoft YaHei"/>
          <w:spacing w:val="-2"/>
        </w:rPr>
        <w:t>A </w:t>
      </w:r>
      <w:r>
        <w:rPr>
          <w:spacing w:val="-2"/>
        </w:rPr>
        <w:t>评分上</w:t>
      </w:r>
      <w:r>
        <w:rPr/>
        <w:t xml:space="preserve"> </w:t>
      </w:r>
      <w:r>
        <w:rPr>
          <w:spacing w:val="-7"/>
        </w:rPr>
        <w:t>显著比对照组低(</w:t>
      </w:r>
      <w:r>
        <w:rPr>
          <w:rFonts w:ascii="Microsoft YaHei" w:hAnsi="Microsoft YaHei" w:eastAsia="Microsoft YaHei" w:cs="Microsoft YaHei"/>
          <w:spacing w:val="-7"/>
        </w:rPr>
        <w:t>P＜0．05</w:t>
      </w:r>
      <w:r>
        <w:rPr>
          <w:spacing w:val="-7"/>
        </w:rPr>
        <w:t>)</w:t>
      </w:r>
      <w:r>
        <w:rPr>
          <w:spacing w:val="-22"/>
        </w:rPr>
        <w:t xml:space="preserve"> </w:t>
      </w:r>
      <w:r>
        <w:rPr>
          <w:spacing w:val="-7"/>
        </w:rPr>
        <w:t>，见表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3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</w:p>
    <w:p>
      <w:pPr>
        <w:ind w:left="718"/>
        <w:spacing w:line="195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2"/>
        </w:rPr>
        <w:t>讨论</w:t>
      </w:r>
    </w:p>
    <w:p>
      <w:pPr>
        <w:pStyle w:val="BodyText"/>
        <w:ind w:left="734" w:right="221" w:firstLine="364"/>
        <w:spacing w:before="30" w:line="204" w:lineRule="auto"/>
        <w:rPr/>
      </w:pPr>
      <w:r>
        <w:rPr>
          <w:spacing w:val="8"/>
        </w:rPr>
        <w:t>急性盆腔炎发病时间较短，且发病较急，临床主要表现 </w:t>
      </w:r>
      <w:r>
        <w:rPr/>
        <w:t>为疼痛</w:t>
      </w:r>
      <w:r>
        <w:rPr>
          <w:rFonts w:ascii="Microsoft YaHei" w:hAnsi="Microsoft YaHei" w:eastAsia="Microsoft YaHei" w:cs="Microsoft YaHei"/>
        </w:rPr>
        <w:t>、</w:t>
      </w:r>
      <w:r>
        <w:rPr/>
        <w:t>发热等</w:t>
      </w:r>
      <w:r>
        <w:rPr>
          <w:rFonts w:ascii="Microsoft YaHei" w:hAnsi="Microsoft YaHei" w:eastAsia="Microsoft YaHei" w:cs="Microsoft YaHei"/>
        </w:rPr>
        <w:t>。</w:t>
      </w:r>
      <w:r>
        <w:rPr/>
        <w:t>若病情严重可伴有寒战</w:t>
      </w:r>
      <w:r>
        <w:rPr>
          <w:rFonts w:ascii="Microsoft YaHei" w:hAnsi="Microsoft YaHei" w:eastAsia="Microsoft YaHei" w:cs="Microsoft YaHei"/>
        </w:rPr>
        <w:t>、</w:t>
      </w:r>
      <w:r>
        <w:rPr/>
        <w:t>高热</w:t>
      </w:r>
      <w:r>
        <w:rPr>
          <w:rFonts w:ascii="Microsoft YaHei" w:hAnsi="Microsoft YaHei" w:eastAsia="Microsoft YaHei" w:cs="Microsoft YaHei"/>
        </w:rPr>
        <w:t>、</w:t>
      </w:r>
      <w:r>
        <w:rPr/>
        <w:t>头痛</w:t>
      </w:r>
      <w:r>
        <w:rPr>
          <w:rFonts w:ascii="Microsoft YaHei" w:hAnsi="Microsoft YaHei" w:eastAsia="Microsoft YaHei" w:cs="Microsoft YaHei"/>
        </w:rPr>
        <w:t>、</w:t>
      </w:r>
      <w:r>
        <w:rPr/>
        <w:t>食欲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53"/>
        <w:spacing w:before="35" w:line="192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10" style="position:absolute;margin-left:155.794pt;margin-top:2.24495pt;mso-position-vertical-relative:text;mso-position-horizontal-relative:text;width:4.15pt;height:0.2pt;z-index:-251656192;" filled="false" strokecolor="#000000" strokeweight="0.19pt" coordsize="83,4" coordorigin="0,0" path="m0,1l82,1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-8"/>
        </w:rPr>
        <w:t>表</w:t>
      </w:r>
      <w:r>
        <w:rPr>
          <w:rFonts w:ascii="SimHei" w:hAnsi="SimHei" w:eastAsia="SimHei" w:cs="Sim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3    </w:t>
      </w:r>
      <w:r>
        <w:rPr>
          <w:rFonts w:ascii="SimHei" w:hAnsi="SimHei" w:eastAsia="SimHei" w:cs="SimHei"/>
          <w:sz w:val="17"/>
          <w:szCs w:val="17"/>
          <w:spacing w:val="-8"/>
        </w:rPr>
        <w:t>两组</w:t>
      </w:r>
      <w:r>
        <w:rPr>
          <w:rFonts w:ascii="SimHei" w:hAnsi="SimHei" w:eastAsia="SimHei" w:cs="Sim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HAMA </w:t>
      </w:r>
      <w:r>
        <w:rPr>
          <w:rFonts w:ascii="SimHei" w:hAnsi="SimHei" w:eastAsia="SimHei" w:cs="SimHei"/>
          <w:sz w:val="17"/>
          <w:szCs w:val="17"/>
          <w:spacing w:val="-8"/>
        </w:rPr>
        <w:t>评分对比</w:t>
      </w:r>
      <w:r>
        <w:rPr>
          <w:rFonts w:ascii="SimHei" w:hAnsi="SimHei" w:eastAsia="SimHei" w:cs="SimHei"/>
          <w:sz w:val="17"/>
          <w:szCs w:val="17"/>
          <w:spacing w:val="-4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±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s</w:t>
      </w:r>
      <w:r>
        <w:rPr>
          <w:rFonts w:ascii="SimHei" w:hAnsi="SimHei" w:eastAsia="SimHei" w:cs="SimHei"/>
          <w:sz w:val="17"/>
          <w:szCs w:val="17"/>
          <w:spacing w:val="-8"/>
        </w:rPr>
        <w:t>，分)</w:t>
      </w:r>
    </w:p>
    <w:p>
      <w:pPr>
        <w:spacing w:line="32" w:lineRule="exact"/>
        <w:rPr/>
      </w:pPr>
      <w:r/>
    </w:p>
    <w:tbl>
      <w:tblPr>
        <w:tblStyle w:val="TableNormal"/>
        <w:tblW w:w="465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2"/>
        <w:gridCol w:w="575"/>
        <w:gridCol w:w="1466"/>
        <w:gridCol w:w="1785"/>
      </w:tblGrid>
      <w:tr>
        <w:trPr>
          <w:trHeight w:val="227" w:hRule="atLeast"/>
        </w:trPr>
        <w:tc>
          <w:tcPr>
            <w:tcW w:w="83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48"/>
              <w:spacing w:before="45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57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6"/>
              <w:spacing w:before="58" w:line="158" w:lineRule="exact"/>
              <w:rPr/>
            </w:pPr>
            <w:r>
              <w:rPr>
                <w:position w:val="1"/>
              </w:rPr>
              <w:t>n</w:t>
            </w:r>
          </w:p>
        </w:tc>
        <w:tc>
          <w:tcPr>
            <w:tcW w:w="146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31"/>
              <w:spacing w:before="44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护理前</w:t>
            </w:r>
          </w:p>
        </w:tc>
        <w:tc>
          <w:tcPr>
            <w:tcW w:w="178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78"/>
              <w:spacing w:before="45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护理后</w:t>
            </w:r>
          </w:p>
        </w:tc>
      </w:tr>
      <w:tr>
        <w:trPr>
          <w:trHeight w:val="229" w:hRule="atLeast"/>
        </w:trPr>
        <w:tc>
          <w:tcPr>
            <w:tcW w:w="832" w:type="dxa"/>
            <w:vAlign w:val="top"/>
            <w:tcBorders>
              <w:top w:val="single" w:color="000000" w:sz="2" w:space="0"/>
            </w:tcBorders>
          </w:tcPr>
          <w:p>
            <w:pPr>
              <w:ind w:left="167"/>
              <w:spacing w:before="49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观察组</w:t>
            </w:r>
          </w:p>
        </w:tc>
        <w:tc>
          <w:tcPr>
            <w:tcW w:w="5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3"/>
              <w:spacing w:before="59" w:line="159" w:lineRule="exact"/>
              <w:rPr/>
            </w:pPr>
            <w:r>
              <w:rPr>
                <w:spacing w:val="-7"/>
                <w:position w:val="-1"/>
              </w:rPr>
              <w:t>30</w:t>
            </w:r>
          </w:p>
        </w:tc>
        <w:tc>
          <w:tcPr>
            <w:tcW w:w="14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8"/>
              <w:spacing w:before="59" w:line="159" w:lineRule="exact"/>
              <w:rPr/>
            </w:pPr>
            <w:r>
              <w:rPr>
                <w:spacing w:val="-25"/>
                <w:position w:val="-1"/>
              </w:rPr>
              <w:t>20．12</w:t>
            </w:r>
            <w:r>
              <w:rPr>
                <w:spacing w:val="16"/>
                <w:w w:val="101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±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2．03</w:t>
            </w:r>
          </w:p>
        </w:tc>
        <w:tc>
          <w:tcPr>
            <w:tcW w:w="17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87"/>
              <w:spacing w:before="59" w:line="159" w:lineRule="exact"/>
              <w:rPr/>
            </w:pPr>
            <w:r>
              <w:rPr>
                <w:spacing w:val="-27"/>
                <w:position w:val="-1"/>
              </w:rPr>
              <w:t>10．05</w:t>
            </w:r>
            <w:r>
              <w:rPr>
                <w:spacing w:val="11"/>
                <w:w w:val="101"/>
                <w:position w:val="-1"/>
              </w:rPr>
              <w:t xml:space="preserve"> </w:t>
            </w:r>
            <w:r>
              <w:rPr>
                <w:spacing w:val="-27"/>
                <w:position w:val="-1"/>
              </w:rPr>
              <w:t>±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27"/>
                <w:position w:val="-1"/>
              </w:rPr>
              <w:t>1．95</w:t>
            </w:r>
          </w:p>
        </w:tc>
      </w:tr>
      <w:tr>
        <w:trPr>
          <w:trHeight w:val="242" w:hRule="atLeast"/>
        </w:trPr>
        <w:tc>
          <w:tcPr>
            <w:tcW w:w="832" w:type="dxa"/>
            <w:vAlign w:val="top"/>
          </w:tcPr>
          <w:p>
            <w:pPr>
              <w:ind w:left="166"/>
              <w:spacing w:before="62" w:line="20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对照组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203"/>
              <w:spacing w:before="69" w:line="162" w:lineRule="exact"/>
              <w:rPr/>
            </w:pPr>
            <w:r>
              <w:rPr>
                <w:spacing w:val="-7"/>
                <w:position w:val="-1"/>
              </w:rPr>
              <w:t>30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227"/>
              <w:spacing w:before="69" w:line="162" w:lineRule="exact"/>
              <w:rPr/>
            </w:pPr>
            <w:r>
              <w:rPr>
                <w:spacing w:val="-25"/>
                <w:position w:val="-1"/>
              </w:rPr>
              <w:t>20．19</w:t>
            </w:r>
            <w:r>
              <w:rPr>
                <w:spacing w:val="17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±</w:t>
            </w:r>
            <w:r>
              <w:rPr>
                <w:spacing w:val="-15"/>
                <w:position w:val="-1"/>
              </w:rPr>
              <w:t xml:space="preserve"> </w:t>
            </w:r>
            <w:r>
              <w:rPr>
                <w:spacing w:val="-25"/>
                <w:position w:val="-1"/>
              </w:rPr>
              <w:t>2．24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386"/>
              <w:spacing w:before="69" w:line="162" w:lineRule="exact"/>
              <w:rPr/>
            </w:pPr>
            <w:r>
              <w:rPr>
                <w:spacing w:val="-27"/>
                <w:position w:val="-1"/>
              </w:rPr>
              <w:t>15．29</w:t>
            </w:r>
            <w:r>
              <w:rPr>
                <w:spacing w:val="11"/>
                <w:w w:val="101"/>
                <w:position w:val="-1"/>
              </w:rPr>
              <w:t xml:space="preserve"> </w:t>
            </w:r>
            <w:r>
              <w:rPr>
                <w:spacing w:val="-27"/>
                <w:position w:val="-1"/>
              </w:rPr>
              <w:t>±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-27"/>
                <w:position w:val="-1"/>
              </w:rPr>
              <w:t>1．24</w:t>
            </w:r>
          </w:p>
        </w:tc>
      </w:tr>
      <w:tr>
        <w:trPr>
          <w:trHeight w:val="234" w:hRule="atLeast"/>
        </w:trPr>
        <w:tc>
          <w:tcPr>
            <w:tcW w:w="832" w:type="dxa"/>
            <w:vAlign w:val="top"/>
          </w:tcPr>
          <w:p>
            <w:pPr>
              <w:pStyle w:val="TableText"/>
              <w:ind w:left="378"/>
              <w:spacing w:before="71" w:line="153" w:lineRule="exact"/>
              <w:rPr/>
            </w:pPr>
            <w:r>
              <w:rPr>
                <w:position w:val="-1"/>
              </w:rPr>
              <w:t>t</w:t>
            </w:r>
          </w:p>
        </w:tc>
        <w:tc>
          <w:tcPr>
            <w:tcW w:w="575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66" w:type="dxa"/>
            <w:vAlign w:val="top"/>
          </w:tcPr>
          <w:p>
            <w:pPr>
              <w:pStyle w:val="TableText"/>
              <w:ind w:left="461"/>
              <w:spacing w:before="65" w:line="159" w:lineRule="exact"/>
              <w:rPr/>
            </w:pPr>
            <w:r>
              <w:rPr>
                <w:spacing w:val="-20"/>
                <w:position w:val="-1"/>
              </w:rPr>
              <w:t>0．146</w:t>
            </w:r>
          </w:p>
        </w:tc>
        <w:tc>
          <w:tcPr>
            <w:tcW w:w="1785" w:type="dxa"/>
            <w:vAlign w:val="top"/>
          </w:tcPr>
          <w:p>
            <w:pPr>
              <w:pStyle w:val="TableText"/>
              <w:ind w:left="585"/>
              <w:spacing w:before="65" w:line="159" w:lineRule="exact"/>
              <w:rPr/>
            </w:pPr>
            <w:r>
              <w:rPr>
                <w:spacing w:val="-22"/>
                <w:position w:val="-1"/>
              </w:rPr>
              <w:t>14．341</w:t>
            </w:r>
          </w:p>
        </w:tc>
      </w:tr>
      <w:tr>
        <w:trPr>
          <w:trHeight w:val="243" w:hRule="atLeast"/>
        </w:trPr>
        <w:tc>
          <w:tcPr>
            <w:tcW w:w="83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8"/>
              <w:spacing w:before="79" w:line="154" w:lineRule="exact"/>
              <w:rPr/>
            </w:pPr>
            <w:r>
              <w:rPr>
                <w:spacing w:val="4"/>
                <w:position w:val="-3"/>
              </w:rPr>
              <w:t>P</w:t>
            </w:r>
          </w:p>
        </w:tc>
        <w:tc>
          <w:tcPr>
            <w:tcW w:w="575" w:type="dxa"/>
            <w:vAlign w:val="top"/>
            <w:tcBorders>
              <w:bottom w:val="single" w:color="000000" w:sz="6" w:space="0"/>
            </w:tcBorders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14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61"/>
              <w:spacing w:before="70" w:line="163" w:lineRule="exact"/>
              <w:rPr/>
            </w:pPr>
            <w:r>
              <w:rPr>
                <w:spacing w:val="-20"/>
                <w:w w:val="99"/>
                <w:position w:val="-1"/>
              </w:rPr>
              <w:t>0．884</w:t>
            </w:r>
          </w:p>
        </w:tc>
        <w:tc>
          <w:tcPr>
            <w:tcW w:w="178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10"/>
              <w:spacing w:before="70" w:line="163" w:lineRule="exact"/>
              <w:rPr/>
            </w:pPr>
            <w:r>
              <w:rPr>
                <w:spacing w:val="-21"/>
                <w:position w:val="-1"/>
              </w:rPr>
              <w:t>0．001</w:t>
            </w:r>
          </w:p>
        </w:tc>
      </w:tr>
    </w:tbl>
    <w:p>
      <w:pPr>
        <w:spacing w:line="36" w:lineRule="exact"/>
        <w:rPr>
          <w:rFonts w:ascii="Arial"/>
          <w:sz w:val="3"/>
        </w:rPr>
      </w:pPr>
      <w:r/>
    </w:p>
    <w:p>
      <w:pPr>
        <w:spacing w:line="36" w:lineRule="exact"/>
        <w:sectPr>
          <w:type w:val="continuous"/>
          <w:pgSz w:w="11906" w:h="16157"/>
          <w:pgMar w:top="1118" w:right="1078" w:bottom="547" w:left="407" w:header="801" w:footer="354" w:gutter="0"/>
          <w:cols w:equalWidth="0" w:num="2">
            <w:col w:w="5602" w:space="100"/>
            <w:col w:w="4718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spacing w:line="207" w:lineRule="exact"/>
        <w:rPr/>
      </w:pPr>
      <w:r/>
    </w:p>
    <w:p>
      <w:pPr>
        <w:spacing w:line="207" w:lineRule="exact"/>
        <w:sectPr>
          <w:headerReference w:type="default" r:id="rId5"/>
          <w:footerReference w:type="default" r:id="rId6"/>
          <w:pgSz w:w="11906" w:h="16157"/>
          <w:pgMar w:top="1131" w:right="1109" w:bottom="547" w:left="407" w:header="815" w:footer="354" w:gutter="0"/>
          <w:cols w:equalWidth="0" w:num="1">
            <w:col w:w="10388" w:space="0"/>
          </w:cols>
        </w:sectPr>
        <w:rPr/>
      </w:pPr>
    </w:p>
    <w:p>
      <w:pPr>
        <w:pStyle w:val="BodyText"/>
        <w:ind w:left="732" w:right="203" w:firstLine="2"/>
        <w:spacing w:before="38" w:line="25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9"/>
        </w:rPr>
        <w:t>不振等</w:t>
      </w:r>
      <w:r>
        <w:rPr>
          <w:sz w:val="10"/>
          <w:szCs w:val="10"/>
          <w:spacing w:val="-9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9"/>
          <w:position w:val="8"/>
        </w:rPr>
        <w:t>8</w:t>
      </w:r>
      <w:r>
        <w:rPr>
          <w:sz w:val="10"/>
          <w:szCs w:val="10"/>
          <w:spacing w:val="-9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5"/>
        </w:rPr>
        <w:t>中医理论认为</w:t>
      </w:r>
      <w:r>
        <w:rPr>
          <w:sz w:val="10"/>
          <w:szCs w:val="10"/>
          <w:spacing w:val="5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9</w:t>
      </w:r>
      <w:r>
        <w:rPr>
          <w:sz w:val="10"/>
          <w:szCs w:val="10"/>
          <w:spacing w:val="-5"/>
          <w:position w:val="8"/>
        </w:rPr>
        <w:t>］</w:t>
      </w:r>
      <w:r>
        <w:rPr>
          <w:spacing w:val="-35"/>
          <w:w w:val="86"/>
        </w:rPr>
        <w:t>，</w:t>
      </w:r>
      <w:r>
        <w:rPr>
          <w:spacing w:val="5"/>
        </w:rPr>
        <w:t>患者由于体内邪热余毒未得到</w:t>
      </w:r>
      <w:r>
        <w:rPr/>
        <w:t xml:space="preserve"> </w:t>
      </w:r>
      <w:r>
        <w:rPr>
          <w:spacing w:val="2"/>
        </w:rPr>
        <w:t>完全清除，凝集于胞宫之内，与冲任之气血相搏，导致患者的 </w:t>
      </w:r>
      <w:r>
        <w:rPr>
          <w:spacing w:val="8"/>
        </w:rPr>
        <w:t>冲任受到损伤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气血失和，引起慢性盆腔炎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该病易反复发</w:t>
      </w:r>
      <w:r>
        <w:rPr>
          <w:spacing w:val="18"/>
        </w:rPr>
        <w:t xml:space="preserve"> </w:t>
      </w:r>
      <w:r>
        <w:rPr>
          <w:spacing w:val="-6"/>
        </w:rPr>
        <w:t>作，难以自愈，是妇科常见病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多发病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pStyle w:val="BodyText"/>
        <w:ind w:left="730" w:right="141" w:firstLine="396"/>
        <w:spacing w:before="4" w:line="25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目前临床中针对急性盆腔炎常采用正确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科学的护理方</w:t>
      </w:r>
      <w:r>
        <w:rPr>
          <w:spacing w:val="4"/>
        </w:rPr>
        <w:t xml:space="preserve"> </w:t>
      </w:r>
      <w:r>
        <w:rPr>
          <w:spacing w:val="8"/>
        </w:rPr>
        <w:t>法，相关研究表明，有针对的综合护理可有效提高患者康复</w:t>
      </w:r>
      <w:r>
        <w:rPr>
          <w:spacing w:val="18"/>
        </w:rPr>
        <w:t xml:space="preserve"> </w:t>
      </w:r>
      <w:r>
        <w:rPr>
          <w:spacing w:val="1"/>
        </w:rPr>
        <w:t>率，降低并发症发生率</w:t>
      </w:r>
      <w:r>
        <w:rPr>
          <w:sz w:val="10"/>
          <w:szCs w:val="10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10</w:t>
      </w:r>
      <w:r>
        <w:rPr>
          <w:sz w:val="10"/>
          <w:szCs w:val="10"/>
          <w:spacing w:val="1"/>
          <w:position w:val="8"/>
        </w:rPr>
        <w:t>］</w:t>
      </w:r>
      <w:r>
        <w:rPr>
          <w:sz w:val="10"/>
          <w:szCs w:val="10"/>
          <w:spacing w:val="-1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1"/>
        </w:rPr>
        <w:t>以往对急性盆腔</w:t>
      </w:r>
      <w:r>
        <w:rPr/>
        <w:t>炎患者，主要是 </w:t>
      </w:r>
      <w:r>
        <w:rPr>
          <w:spacing w:val="9"/>
        </w:rPr>
        <w:t>治疗，对护理的重视程度不高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近年来，医患</w:t>
      </w:r>
      <w:r>
        <w:rPr>
          <w:spacing w:val="8"/>
        </w:rPr>
        <w:t>逐渐增强对急</w:t>
      </w:r>
      <w:r>
        <w:rPr/>
        <w:t xml:space="preserve"> </w:t>
      </w:r>
      <w:r>
        <w:rPr>
          <w:spacing w:val="9"/>
        </w:rPr>
        <w:t>性盆腔炎患者的护理意识，综合护理从各方</w:t>
      </w:r>
      <w:r>
        <w:rPr>
          <w:spacing w:val="8"/>
        </w:rPr>
        <w:t>面全方位的护理</w:t>
      </w:r>
      <w:r>
        <w:rPr/>
        <w:t xml:space="preserve"> </w:t>
      </w:r>
      <w:r>
        <w:rPr>
          <w:spacing w:val="2"/>
        </w:rPr>
        <w:t>患者，通过身体护理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心理护理等帮助患者树立信心，缓解患</w:t>
      </w:r>
      <w:r>
        <w:rPr>
          <w:spacing w:val="5"/>
        </w:rPr>
        <w:t xml:space="preserve"> </w:t>
      </w:r>
      <w:r>
        <w:rPr>
          <w:spacing w:val="2"/>
        </w:rPr>
        <w:t>者紧张急躁情绪，有利于治疗的进行</w:t>
      </w:r>
      <w:r>
        <w:rPr>
          <w:sz w:val="10"/>
          <w:szCs w:val="10"/>
          <w:spacing w:val="2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11</w:t>
      </w:r>
      <w:r>
        <w:rPr>
          <w:sz w:val="10"/>
          <w:szCs w:val="10"/>
          <w:spacing w:val="2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1"/>
        </w:rPr>
        <w:t>本文结果表明，护</w:t>
      </w:r>
      <w:r>
        <w:rPr/>
        <w:t xml:space="preserve"> </w:t>
      </w:r>
      <w:r>
        <w:rPr>
          <w:spacing w:val="7"/>
        </w:rPr>
        <w:t>理后，观察组的症状评分及</w:t>
      </w:r>
      <w:r>
        <w:rPr>
          <w:spacing w:val="-3"/>
        </w:rPr>
        <w:t xml:space="preserve"> </w:t>
      </w:r>
      <w:r>
        <w:rPr>
          <w:rFonts w:ascii="Microsoft YaHei" w:hAnsi="Microsoft YaHei" w:eastAsia="Microsoft YaHei" w:cs="Microsoft YaHei"/>
        </w:rPr>
        <w:t>HAMA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评分显著低于对照组</w:t>
      </w:r>
      <w:r>
        <w:rPr>
          <w:spacing w:val="-31"/>
        </w:rPr>
        <w:t xml:space="preserve"> </w:t>
      </w:r>
      <w:r>
        <w:rPr>
          <w:spacing w:val="7"/>
        </w:rPr>
        <w:t>(</w:t>
      </w:r>
      <w:r>
        <w:rPr>
          <w:rFonts w:ascii="Microsoft YaHei" w:hAnsi="Microsoft YaHei" w:eastAsia="Microsoft YaHei" w:cs="Microsoft YaHei"/>
          <w:spacing w:val="7"/>
        </w:rPr>
        <w:t>P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&lt;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0．05</w:t>
      </w:r>
      <w:r>
        <w:rPr>
          <w:spacing w:val="-3"/>
        </w:rPr>
        <w:t>) 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</w:rPr>
        <w:t>分析原因</w:t>
      </w:r>
      <w:r>
        <w:rPr>
          <w:spacing w:val="-47"/>
        </w:rPr>
        <w:t xml:space="preserve"> </w:t>
      </w:r>
      <w:r>
        <w:rPr>
          <w:spacing w:val="-3"/>
        </w:rPr>
        <w:t>:</w:t>
      </w:r>
      <w:r>
        <w:rPr>
          <w:spacing w:val="-25"/>
        </w:rPr>
        <w:t xml:space="preserve"> </w:t>
      </w:r>
      <w:r>
        <w:rPr>
          <w:spacing w:val="-3"/>
        </w:rPr>
        <w:t>中医理论认为人作为一个有机整体，对</w:t>
      </w:r>
      <w:r>
        <w:rPr/>
        <w:t xml:space="preserve"> </w:t>
      </w:r>
      <w:r>
        <w:rPr>
          <w:spacing w:val="-2"/>
        </w:rPr>
        <w:t>于疾病，中医护理主张整体护理，辨证施护，包括情志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食疗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9"/>
        </w:rPr>
        <w:t>用药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康复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依据患者情况实施静志安神法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转移注意法等</w:t>
      </w:r>
      <w:r>
        <w:rPr/>
        <w:t xml:space="preserve"> </w:t>
      </w:r>
      <w:r>
        <w:rPr>
          <w:spacing w:val="9"/>
        </w:rPr>
        <w:t>对患者进行中医情志护理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急性盆腔炎患者因</w:t>
      </w:r>
      <w:r>
        <w:rPr>
          <w:spacing w:val="8"/>
        </w:rPr>
        <w:t>病程较长，极</w:t>
      </w:r>
      <w:r>
        <w:rPr/>
        <w:t xml:space="preserve"> </w:t>
      </w:r>
      <w:r>
        <w:rPr>
          <w:spacing w:val="8"/>
        </w:rPr>
        <w:t>易引发焦虑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抑郁等负面情绪，故在治疗过程中护理人员应</w:t>
      </w:r>
      <w:r>
        <w:rPr>
          <w:spacing w:val="18"/>
        </w:rPr>
        <w:t xml:space="preserve"> </w:t>
      </w:r>
      <w:r>
        <w:rPr>
          <w:spacing w:val="9"/>
        </w:rPr>
        <w:t>充分了解患者心理状态，主动与患者沟通，</w:t>
      </w:r>
      <w:r>
        <w:rPr>
          <w:spacing w:val="8"/>
        </w:rPr>
        <w:t>对患者情绪进行</w:t>
      </w:r>
      <w:r>
        <w:rPr/>
        <w:t xml:space="preserve"> </w:t>
      </w:r>
      <w:r>
        <w:rPr>
          <w:spacing w:val="9"/>
        </w:rPr>
        <w:t>评分，并依据其实际病情制定相应的情志护理</w:t>
      </w:r>
      <w:r>
        <w:rPr>
          <w:spacing w:val="8"/>
        </w:rPr>
        <w:t>方案，针对患</w:t>
      </w:r>
      <w:r>
        <w:rPr/>
        <w:t xml:space="preserve"> </w:t>
      </w:r>
      <w:r>
        <w:rPr>
          <w:spacing w:val="1"/>
        </w:rPr>
        <w:t>者实际情况，实施一对一谈话</w:t>
      </w:r>
      <w:r>
        <w:rPr>
          <w:sz w:val="10"/>
          <w:szCs w:val="10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12</w:t>
      </w:r>
      <w:r>
        <w:rPr>
          <w:sz w:val="10"/>
          <w:szCs w:val="10"/>
          <w:spacing w:val="1"/>
          <w:position w:val="8"/>
        </w:rPr>
        <w:t>］</w:t>
      </w:r>
      <w:r>
        <w:rPr>
          <w:sz w:val="10"/>
          <w:szCs w:val="10"/>
          <w:spacing w:val="-14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"/>
        </w:rPr>
        <w:t>中药保留灌肠是中医最常</w:t>
      </w:r>
      <w:r>
        <w:rPr/>
        <w:t xml:space="preserve"> </w:t>
      </w:r>
      <w:r>
        <w:rPr>
          <w:spacing w:val="9"/>
        </w:rPr>
        <w:t>见的一种护理方式，留灌肠能够促使药物尽快达</w:t>
      </w:r>
      <w:r>
        <w:rPr>
          <w:spacing w:val="8"/>
        </w:rPr>
        <w:t>至肠内，因</w:t>
      </w:r>
      <w:r>
        <w:rPr/>
        <w:t xml:space="preserve"> </w:t>
      </w:r>
      <w:r>
        <w:rPr>
          <w:spacing w:val="9"/>
        </w:rPr>
        <w:t>为细胞外浓度较高，因此能够使用直肠以及</w:t>
      </w:r>
      <w:r>
        <w:rPr>
          <w:spacing w:val="8"/>
        </w:rPr>
        <w:t>盆腔之间的生理</w:t>
      </w:r>
      <w:r>
        <w:rPr/>
        <w:t xml:space="preserve"> </w:t>
      </w:r>
      <w:r>
        <w:rPr>
          <w:spacing w:val="16"/>
        </w:rPr>
        <w:t>位置，将中药直接经过肠黏膜静脉丛以及淋巴系</w:t>
      </w:r>
      <w:r>
        <w:rPr>
          <w:spacing w:val="15"/>
        </w:rPr>
        <w:t>统发挥药</w:t>
      </w:r>
      <w:r>
        <w:rPr/>
        <w:t xml:space="preserve"> </w:t>
      </w:r>
      <w:r>
        <w:rPr>
          <w:spacing w:val="8"/>
        </w:rPr>
        <w:t>效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8"/>
        </w:rPr>
        <w:t>中药外敷促使药液通过皮肤表层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角质层渗透以及真皮</w:t>
      </w:r>
      <w:r>
        <w:rPr/>
        <w:t xml:space="preserve"> </w:t>
      </w:r>
      <w:r>
        <w:rPr>
          <w:spacing w:val="9"/>
        </w:rPr>
        <w:t>转运进入血液循环，以此发挥其药理效应，对</w:t>
      </w:r>
      <w:r>
        <w:rPr>
          <w:spacing w:val="8"/>
        </w:rPr>
        <w:t>相应穴位进行</w:t>
      </w:r>
      <w:r>
        <w:rPr/>
        <w:t xml:space="preserve"> </w:t>
      </w:r>
      <w:r>
        <w:rPr>
          <w:spacing w:val="2"/>
        </w:rPr>
        <w:t>中药湿热敷，能够调理冲任，行气活血，九味双柏膏贴敷具有</w:t>
      </w:r>
      <w:r>
        <w:rPr>
          <w:spacing w:val="4"/>
        </w:rPr>
        <w:t xml:space="preserve"> </w:t>
      </w:r>
      <w:r>
        <w:rPr>
          <w:spacing w:val="15"/>
        </w:rPr>
        <w:t>显著的止痛效果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5"/>
        </w:rPr>
        <w:t>中医综合护理从各方面全方位</w:t>
      </w:r>
      <w:r>
        <w:rPr>
          <w:spacing w:val="14"/>
        </w:rPr>
        <w:t>的护理患</w:t>
      </w:r>
      <w:r>
        <w:rPr/>
        <w:t xml:space="preserve"> </w:t>
      </w:r>
      <w:r>
        <w:rPr>
          <w:spacing w:val="2"/>
        </w:rPr>
        <w:t>者，针对患者心理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生理采用不同干预方式，可显著减轻患者</w:t>
      </w:r>
      <w:r>
        <w:rPr>
          <w:spacing w:val="4"/>
        </w:rPr>
        <w:t xml:space="preserve"> </w:t>
      </w:r>
      <w:r>
        <w:rPr>
          <w:spacing w:val="1"/>
        </w:rPr>
        <w:t>痛苦，促进患者早日康复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735" w:right="200" w:firstLine="359"/>
        <w:spacing w:before="1" w:line="281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综上所述，对急性盆腔炎采用中医综合护理模式后，可</w:t>
      </w:r>
      <w:r>
        <w:rPr>
          <w:spacing w:val="12"/>
        </w:rPr>
        <w:t xml:space="preserve"> </w:t>
      </w:r>
      <w:r>
        <w:rPr>
          <w:spacing w:val="2"/>
        </w:rPr>
        <w:t>显著改善患者临床症状，减少负性情绪，可广泛应用于临床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spacing w:line="1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723"/>
        <w:spacing w:before="207" w:line="214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参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考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文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献</w:t>
      </w:r>
    </w:p>
    <w:p>
      <w:pPr>
        <w:pStyle w:val="BodyText"/>
        <w:ind w:left="449" w:right="29" w:hanging="449"/>
        <w:spacing w:before="225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</w:rPr>
        <w:t>1</w:t>
      </w:r>
      <w:r>
        <w:rPr>
          <w:sz w:val="15"/>
          <w:szCs w:val="15"/>
        </w:rPr>
        <w:t>］</w:t>
      </w:r>
      <w:r>
        <w:rPr>
          <w:sz w:val="15"/>
          <w:szCs w:val="15"/>
          <w:spacing w:val="65"/>
        </w:rPr>
        <w:t xml:space="preserve"> </w:t>
      </w:r>
      <w:r>
        <w:rPr>
          <w:sz w:val="15"/>
          <w:szCs w:val="15"/>
        </w:rPr>
        <w:t>王志平</w:t>
      </w:r>
      <w:r>
        <w:rPr>
          <w:rFonts w:ascii="Microsoft YaHei" w:hAnsi="Microsoft YaHei" w:eastAsia="Microsoft YaHei" w:cs="Microsoft YaHei"/>
          <w:sz w:val="15"/>
          <w:szCs w:val="15"/>
        </w:rPr>
        <w:t>．</w:t>
      </w:r>
      <w:r>
        <w:rPr>
          <w:sz w:val="15"/>
          <w:szCs w:val="15"/>
        </w:rPr>
        <w:t>综合护理在盆腔炎临床护理</w:t>
      </w:r>
      <w:r>
        <w:rPr>
          <w:sz w:val="15"/>
          <w:szCs w:val="15"/>
          <w:spacing w:val="-1"/>
        </w:rPr>
        <w:t>中的应用分析［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1"/>
        </w:rPr>
        <w:t>中国药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物与临床，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2020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7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1229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－1230．</w:t>
      </w:r>
    </w:p>
    <w:p>
      <w:pPr>
        <w:pStyle w:val="BodyText"/>
        <w:ind w:left="457" w:right="17" w:hanging="457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</w:t>
      </w:r>
      <w:r>
        <w:rPr>
          <w:sz w:val="15"/>
          <w:szCs w:val="15"/>
          <w:spacing w:val="-10"/>
        </w:rPr>
        <w:t>］  张俊君，谢妍，蔡立义，等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．</w:t>
      </w:r>
      <w:r>
        <w:rPr>
          <w:sz w:val="15"/>
          <w:szCs w:val="15"/>
          <w:spacing w:val="-10"/>
        </w:rPr>
        <w:t>动机访谈干预对急性盆腔炎患</w:t>
      </w:r>
      <w:r>
        <w:rPr>
          <w:sz w:val="15"/>
          <w:szCs w:val="15"/>
          <w:spacing w:val="-11"/>
        </w:rPr>
        <w:t>者自我效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能及生活质量的影响［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41"/>
          <w:w w:val="8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1"/>
          <w:w w:val="85"/>
        </w:rPr>
        <w:t>．</w:t>
      </w:r>
      <w:r>
        <w:rPr>
          <w:sz w:val="15"/>
          <w:szCs w:val="15"/>
          <w:spacing w:val="-15"/>
        </w:rPr>
        <w:t>山西医药杂志，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9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48</w:t>
      </w:r>
      <w:r>
        <w:rPr>
          <w:sz w:val="15"/>
          <w:szCs w:val="15"/>
          <w:spacing w:val="-1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5</w:t>
      </w:r>
      <w:r>
        <w:rPr>
          <w:sz w:val="15"/>
          <w:szCs w:val="15"/>
          <w:spacing w:val="-16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617－619．</w:t>
      </w:r>
    </w:p>
    <w:p>
      <w:pPr>
        <w:pStyle w:val="BodyText"/>
        <w:ind w:left="452" w:right="29" w:hanging="452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3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70"/>
          <w:w w:val="101"/>
        </w:rPr>
        <w:t xml:space="preserve"> </w:t>
      </w:r>
      <w:r>
        <w:rPr>
          <w:sz w:val="15"/>
          <w:szCs w:val="15"/>
          <w:spacing w:val="-2"/>
        </w:rPr>
        <w:t>林艳丽，刘春艳，方晓丹，等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中医综合护理对急性盆腔炎的疗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效观察［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4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7"/>
        </w:rPr>
        <w:t>．</w:t>
      </w:r>
      <w:r>
        <w:rPr>
          <w:sz w:val="15"/>
          <w:szCs w:val="15"/>
          <w:spacing w:val="-11"/>
        </w:rPr>
        <w:t>中国中医急症，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2018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27 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3</w:t>
      </w:r>
      <w:r>
        <w:rPr>
          <w:sz w:val="15"/>
          <w:szCs w:val="15"/>
          <w:spacing w:val="-11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562－564．</w:t>
      </w:r>
    </w:p>
    <w:p>
      <w:pPr>
        <w:pStyle w:val="BodyText"/>
        <w:ind w:left="449" w:right="29" w:hanging="449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4</w:t>
      </w:r>
      <w:r>
        <w:rPr>
          <w:sz w:val="15"/>
          <w:szCs w:val="15"/>
          <w:spacing w:val="-10"/>
        </w:rPr>
        <w:t>］</w:t>
      </w:r>
      <w:r>
        <w:rPr>
          <w:sz w:val="15"/>
          <w:szCs w:val="15"/>
          <w:spacing w:val="62"/>
        </w:rPr>
        <w:t xml:space="preserve"> </w:t>
      </w:r>
      <w:r>
        <w:rPr>
          <w:sz w:val="15"/>
          <w:szCs w:val="15"/>
          <w:spacing w:val="-10"/>
        </w:rPr>
        <w:t>谢幸，孔北华，段涛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．</w:t>
      </w:r>
      <w:r>
        <w:rPr>
          <w:sz w:val="15"/>
          <w:szCs w:val="15"/>
          <w:spacing w:val="-10"/>
        </w:rPr>
        <w:t>妇产科学［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M</w:t>
      </w:r>
      <w:r>
        <w:rPr>
          <w:sz w:val="15"/>
          <w:szCs w:val="15"/>
          <w:spacing w:val="-4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</w:rPr>
        <w:t>．</w:t>
      </w:r>
      <w:r>
        <w:rPr>
          <w:sz w:val="15"/>
          <w:szCs w:val="15"/>
          <w:spacing w:val="-10"/>
        </w:rPr>
        <w:t>第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9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0"/>
        </w:rPr>
        <w:t>版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．</w:t>
      </w:r>
      <w:r>
        <w:rPr>
          <w:sz w:val="15"/>
          <w:szCs w:val="15"/>
          <w:spacing w:val="-10"/>
        </w:rPr>
        <w:t>北京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0"/>
        </w:rPr>
        <w:t>: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人民卫生出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版社，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2018 </w:t>
      </w:r>
      <w:r>
        <w:rPr>
          <w:sz w:val="15"/>
          <w:szCs w:val="15"/>
          <w:spacing w:val="-17"/>
        </w:rPr>
        <w:t>: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338．</w:t>
      </w:r>
    </w:p>
    <w:p>
      <w:pPr>
        <w:pStyle w:val="BodyText"/>
        <w:ind w:left="452" w:right="29" w:hanging="452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9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5</w:t>
      </w:r>
      <w:r>
        <w:rPr>
          <w:sz w:val="15"/>
          <w:szCs w:val="15"/>
          <w:spacing w:val="-9"/>
        </w:rPr>
        <w:t>］</w:t>
      </w:r>
      <w:r>
        <w:rPr>
          <w:sz w:val="15"/>
          <w:szCs w:val="15"/>
          <w:spacing w:val="64"/>
        </w:rPr>
        <w:t xml:space="preserve"> </w:t>
      </w:r>
      <w:r>
        <w:rPr>
          <w:sz w:val="15"/>
          <w:szCs w:val="15"/>
          <w:spacing w:val="-9"/>
        </w:rPr>
        <w:t>罗颂平，刘雁峰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．</w:t>
      </w:r>
      <w:r>
        <w:rPr>
          <w:sz w:val="15"/>
          <w:szCs w:val="15"/>
          <w:spacing w:val="-9"/>
        </w:rPr>
        <w:t>中医妇科学［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M</w:t>
      </w:r>
      <w:r>
        <w:rPr>
          <w:sz w:val="15"/>
          <w:szCs w:val="15"/>
          <w:spacing w:val="-45"/>
          <w:w w:val="9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5"/>
          <w:w w:val="94"/>
        </w:rPr>
        <w:t>．</w:t>
      </w:r>
      <w:r>
        <w:rPr>
          <w:sz w:val="15"/>
          <w:szCs w:val="15"/>
          <w:spacing w:val="-9"/>
        </w:rPr>
        <w:t>第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版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．</w:t>
      </w:r>
      <w:r>
        <w:rPr>
          <w:sz w:val="15"/>
          <w:szCs w:val="15"/>
          <w:spacing w:val="-9"/>
        </w:rPr>
        <w:t>北京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9"/>
        </w:rPr>
        <w:t>人民卫生出版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社，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2017 </w:t>
      </w:r>
      <w:r>
        <w:rPr>
          <w:sz w:val="15"/>
          <w:szCs w:val="15"/>
          <w:spacing w:val="-16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532．</w:t>
      </w:r>
    </w:p>
    <w:p>
      <w:pPr>
        <w:pStyle w:val="BodyText"/>
        <w:ind w:left="455" w:right="29" w:hanging="455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6</w:t>
      </w:r>
      <w:r>
        <w:rPr>
          <w:sz w:val="15"/>
          <w:szCs w:val="15"/>
          <w:spacing w:val="1"/>
        </w:rPr>
        <w:t>］  中华人民共和国卫生部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．</w:t>
      </w:r>
      <w:r>
        <w:rPr>
          <w:sz w:val="15"/>
          <w:szCs w:val="15"/>
          <w:spacing w:val="1"/>
        </w:rPr>
        <w:t>中药新药临床研究指导原则［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M</w:t>
      </w:r>
      <w:r>
        <w:rPr>
          <w:sz w:val="15"/>
          <w:szCs w:val="15"/>
          <w:spacing w:val="-4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7"/>
        </w:rPr>
        <w:t>．</w:t>
      </w:r>
      <w:r>
        <w:rPr>
          <w:sz w:val="15"/>
          <w:szCs w:val="15"/>
          <w:spacing w:val="1"/>
        </w:rPr>
        <w:t>北 </w:t>
      </w:r>
      <w:r>
        <w:rPr>
          <w:sz w:val="15"/>
          <w:szCs w:val="15"/>
          <w:spacing w:val="-8"/>
        </w:rPr>
        <w:t>京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中国医药科技出版社，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2002</w:t>
      </w:r>
      <w:r>
        <w:rPr>
          <w:sz w:val="15"/>
          <w:szCs w:val="15"/>
          <w:spacing w:val="-8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247．</w:t>
      </w:r>
    </w:p>
    <w:p>
      <w:pPr>
        <w:pStyle w:val="BodyText"/>
        <w:ind w:left="450" w:right="29" w:hanging="451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7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71"/>
        </w:rPr>
        <w:t xml:space="preserve"> </w:t>
      </w:r>
      <w:r>
        <w:rPr>
          <w:sz w:val="15"/>
          <w:szCs w:val="15"/>
          <w:spacing w:val="-2"/>
        </w:rPr>
        <w:t>弋柳娜，张俊梅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自我效能干预对慢性盆腔炎患者疗效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、</w:t>
      </w:r>
      <w:r>
        <w:rPr>
          <w:sz w:val="15"/>
          <w:szCs w:val="15"/>
          <w:spacing w:val="-2"/>
        </w:rPr>
        <w:t>心理状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态及生存质量的影响［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J</w:t>
      </w:r>
      <w:r>
        <w:rPr>
          <w:sz w:val="15"/>
          <w:szCs w:val="15"/>
          <w:spacing w:val="-43"/>
          <w:w w:val="9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3"/>
          <w:w w:val="90"/>
        </w:rPr>
        <w:t>．</w:t>
      </w:r>
      <w:r>
        <w:rPr>
          <w:sz w:val="15"/>
          <w:szCs w:val="15"/>
          <w:spacing w:val="-7"/>
        </w:rPr>
        <w:t>贵州医药，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2020</w:t>
      </w:r>
      <w:r>
        <w:rPr>
          <w:sz w:val="15"/>
          <w:szCs w:val="15"/>
          <w:spacing w:val="-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44</w:t>
      </w:r>
      <w:r>
        <w:rPr>
          <w:sz w:val="15"/>
          <w:szCs w:val="15"/>
          <w:spacing w:val="-7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4</w:t>
      </w:r>
      <w:r>
        <w:rPr>
          <w:sz w:val="15"/>
          <w:szCs w:val="15"/>
          <w:spacing w:val="-7"/>
        </w:rPr>
        <w:t>) :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665－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666．</w:t>
      </w:r>
    </w:p>
    <w:p>
      <w:pPr>
        <w:pStyle w:val="BodyText"/>
        <w:ind w:left="451" w:right="28" w:hanging="451"/>
        <w:spacing w:before="47" w:line="22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</w:rPr>
        <w:t>8</w:t>
      </w:r>
      <w:r>
        <w:rPr>
          <w:sz w:val="15"/>
          <w:szCs w:val="15"/>
        </w:rPr>
        <w:t>］</w:t>
      </w:r>
      <w:r>
        <w:rPr>
          <w:sz w:val="15"/>
          <w:szCs w:val="15"/>
          <w:spacing w:val="65"/>
        </w:rPr>
        <w:t xml:space="preserve"> </w:t>
      </w:r>
      <w:r>
        <w:rPr>
          <w:sz w:val="15"/>
          <w:szCs w:val="15"/>
        </w:rPr>
        <w:t>王秀英</w:t>
      </w:r>
      <w:r>
        <w:rPr>
          <w:rFonts w:ascii="Microsoft YaHei" w:hAnsi="Microsoft YaHei" w:eastAsia="Microsoft YaHei" w:cs="Microsoft YaHei"/>
          <w:sz w:val="15"/>
          <w:szCs w:val="15"/>
        </w:rPr>
        <w:t>．</w:t>
      </w:r>
      <w:r>
        <w:rPr>
          <w:sz w:val="15"/>
          <w:szCs w:val="15"/>
        </w:rPr>
        <w:t>心理护理在慢性盆腔炎中的</w:t>
      </w:r>
      <w:r>
        <w:rPr>
          <w:sz w:val="15"/>
          <w:szCs w:val="15"/>
          <w:spacing w:val="-1"/>
        </w:rPr>
        <w:t>应用价值［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1"/>
        </w:rPr>
        <w:t>中国基层医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药，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2019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26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247－249．</w:t>
      </w:r>
    </w:p>
    <w:p>
      <w:pPr>
        <w:pStyle w:val="BodyText"/>
        <w:ind w:left="451" w:right="30" w:hanging="451"/>
        <w:spacing w:before="4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9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68"/>
          <w:w w:val="101"/>
        </w:rPr>
        <w:t xml:space="preserve"> </w:t>
      </w:r>
      <w:r>
        <w:rPr>
          <w:sz w:val="15"/>
          <w:szCs w:val="15"/>
          <w:spacing w:val="3"/>
        </w:rPr>
        <w:t>吴迪，童虎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延伸护理干预对盆腔炎患者健康行为及复发率的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影响［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4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5"/>
        </w:rPr>
        <w:t>．</w:t>
      </w:r>
      <w:r>
        <w:rPr>
          <w:sz w:val="15"/>
          <w:szCs w:val="15"/>
          <w:spacing w:val="-12"/>
        </w:rPr>
        <w:t>国际护理学杂志，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2020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39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9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1714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－1717．</w:t>
      </w:r>
    </w:p>
    <w:p>
      <w:pPr>
        <w:pStyle w:val="BodyText"/>
        <w:ind w:left="555" w:hanging="555"/>
        <w:spacing w:before="47" w:line="23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10</w:t>
      </w:r>
      <w:r>
        <w:rPr>
          <w:sz w:val="15"/>
          <w:szCs w:val="15"/>
          <w:spacing w:val="-14"/>
        </w:rPr>
        <w:t>］</w:t>
      </w:r>
      <w:r>
        <w:rPr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Arya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Ashok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Rebecca  Keener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Michael  Rubenstein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  al．Conse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quences  of  interleukin  1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β-triggered  chronic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inflammation  in  the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mo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use  prostate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gland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3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Altered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arc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hitecture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associated  with   pro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longed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CD4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+  infiltration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mimics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human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prolifera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tive  inflammato-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ry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atrophy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42"/>
          <w:w w:val="8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2"/>
          <w:w w:val="8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Prostate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2019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79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7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732－745．</w:t>
      </w:r>
    </w:p>
    <w:p>
      <w:pPr>
        <w:pStyle w:val="BodyText"/>
        <w:ind w:left="523" w:hanging="523"/>
        <w:spacing w:before="70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11</w:t>
      </w:r>
      <w:r>
        <w:rPr>
          <w:sz w:val="15"/>
          <w:szCs w:val="15"/>
          <w:spacing w:val="-14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Yue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Chang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Xiuli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Sun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Qi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Li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al．Silk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fibroin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scaffo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ld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as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poten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ti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choice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female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pelvi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reconstruction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study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on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biocom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patibility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  abdominal  wall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pelvic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  vagina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Microscopy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Research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Technique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2017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80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291－2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97．</w:t>
      </w:r>
    </w:p>
    <w:p>
      <w:pPr>
        <w:pStyle w:val="BodyText"/>
        <w:ind w:left="530" w:right="29" w:hanging="530"/>
        <w:spacing w:before="70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</w:rPr>
        <w:t>12</w:t>
      </w:r>
      <w:r>
        <w:rPr>
          <w:sz w:val="15"/>
          <w:szCs w:val="15"/>
        </w:rPr>
        <w:t>］</w:t>
      </w:r>
      <w:r>
        <w:rPr>
          <w:sz w:val="15"/>
          <w:szCs w:val="15"/>
          <w:spacing w:val="71"/>
          <w:w w:val="101"/>
        </w:rPr>
        <w:t xml:space="preserve"> </w:t>
      </w:r>
      <w:r>
        <w:rPr>
          <w:sz w:val="15"/>
          <w:szCs w:val="15"/>
        </w:rPr>
        <w:t>张建梅，王晓莉，赵智慧</w:t>
      </w:r>
      <w:r>
        <w:rPr>
          <w:rFonts w:ascii="Microsoft YaHei" w:hAnsi="Microsoft YaHei" w:eastAsia="Microsoft YaHei" w:cs="Microsoft YaHei"/>
          <w:sz w:val="15"/>
          <w:szCs w:val="15"/>
        </w:rPr>
        <w:t>．</w:t>
      </w:r>
      <w:r>
        <w:rPr>
          <w:sz w:val="15"/>
          <w:szCs w:val="15"/>
        </w:rPr>
        <w:t>基于保护动机理论的心理护理对高 </w:t>
      </w:r>
      <w:r>
        <w:rPr>
          <w:sz w:val="15"/>
          <w:szCs w:val="15"/>
          <w:spacing w:val="5"/>
        </w:rPr>
        <w:t>血压患者治疗依从性及生活质量的影响［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J</w:t>
      </w:r>
      <w:r>
        <w:rPr>
          <w:sz w:val="15"/>
          <w:szCs w:val="15"/>
          <w:spacing w:val="-4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9"/>
        </w:rPr>
        <w:t>．</w:t>
      </w:r>
      <w:r>
        <w:rPr>
          <w:sz w:val="15"/>
          <w:szCs w:val="15"/>
          <w:spacing w:val="5"/>
        </w:rPr>
        <w:t>临床心身疾病杂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9"/>
        </w:rPr>
        <w:t>志，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2017</w:t>
      </w:r>
      <w:r>
        <w:rPr>
          <w:sz w:val="15"/>
          <w:szCs w:val="15"/>
          <w:spacing w:val="-1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23 </w:t>
      </w:r>
      <w:r>
        <w:rPr>
          <w:sz w:val="15"/>
          <w:szCs w:val="15"/>
          <w:spacing w:val="-1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4</w:t>
      </w:r>
      <w:r>
        <w:rPr>
          <w:sz w:val="15"/>
          <w:szCs w:val="15"/>
          <w:spacing w:val="-19"/>
        </w:rPr>
        <w:t>)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9"/>
        </w:rPr>
        <w:t>: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113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－116.</w:t>
      </w:r>
    </w:p>
    <w:p>
      <w:pPr>
        <w:ind w:right="15"/>
        <w:spacing w:before="55" w:line="193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-2"/>
        </w:rPr>
        <w:t>收稿日期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2020－09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－14</w:t>
      </w:r>
    </w:p>
    <w:p>
      <w:pPr>
        <w:ind w:left="3728"/>
        <w:spacing w:before="5" w:line="221" w:lineRule="exact"/>
        <w:rPr>
          <w:rFonts w:ascii="NSimSun" w:hAnsi="NSimSun" w:eastAsia="NSimSun" w:cs="NSimSun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1"/>
          <w:position w:val="1"/>
        </w:rPr>
        <w:t>(</w:t>
      </w:r>
      <w:r>
        <w:rPr>
          <w:rFonts w:ascii="SimHei" w:hAnsi="SimHei" w:eastAsia="SimHei" w:cs="SimHei"/>
          <w:sz w:val="15"/>
          <w:szCs w:val="15"/>
          <w:spacing w:val="1"/>
          <w:position w:val="1"/>
        </w:rPr>
        <w:t>编辑</w:t>
      </w:r>
      <w:r>
        <w:rPr>
          <w:rFonts w:ascii="SimHei" w:hAnsi="SimHei" w:eastAsia="SimHei" w:cs="SimHei"/>
          <w:sz w:val="15"/>
          <w:szCs w:val="15"/>
          <w:spacing w:val="9"/>
          <w:position w:val="1"/>
        </w:rPr>
        <w:t xml:space="preserve">  </w:t>
      </w:r>
      <w:r>
        <w:rPr>
          <w:rFonts w:ascii="NSimSun" w:hAnsi="NSimSun" w:eastAsia="NSimSun" w:cs="NSimSun"/>
          <w:sz w:val="15"/>
          <w:szCs w:val="15"/>
          <w:spacing w:val="1"/>
          <w:position w:val="1"/>
        </w:rPr>
        <w:t>倩楠)</w:t>
      </w:r>
    </w:p>
    <w:p>
      <w:pPr>
        <w:spacing w:line="221" w:lineRule="exact"/>
        <w:sectPr>
          <w:type w:val="continuous"/>
          <w:pgSz w:w="11906" w:h="16157"/>
          <w:pgMar w:top="1131" w:right="1109" w:bottom="547" w:left="407" w:header="815" w:footer="354" w:gutter="0"/>
          <w:cols w:equalWidth="0" w:num="2">
            <w:col w:w="5584" w:space="100"/>
            <w:col w:w="4704" w:space="0"/>
          </w:cols>
        </w:sectPr>
        <w:rPr>
          <w:rFonts w:ascii="NSimSun" w:hAnsi="NSimSun" w:eastAsia="NSimSun" w:cs="NSimSun"/>
          <w:sz w:val="15"/>
          <w:szCs w:val="15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ind w:left="1595"/>
        <w:spacing w:before="142" w:line="180" w:lineRule="auto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spacing w:val="29"/>
        </w:rPr>
        <w:t>新生儿重症监护室极低体重儿实行早期护理干预后</w:t>
      </w:r>
    </w:p>
    <w:p>
      <w:pPr>
        <w:ind w:left="3217"/>
        <w:spacing w:before="40" w:line="180" w:lineRule="auto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spacing w:val="28"/>
        </w:rPr>
        <w:t>对喂养情况的影响分析与探讨</w:t>
      </w:r>
    </w:p>
    <w:p>
      <w:pPr>
        <w:pStyle w:val="BodyText"/>
        <w:ind w:left="3854"/>
        <w:spacing w:before="204" w:line="196" w:lineRule="auto"/>
        <w:rPr>
          <w:rFonts w:ascii="Microsoft YaHei" w:hAnsi="Microsoft YaHei" w:eastAsia="Microsoft YaHei" w:cs="Microsoft YaHei"/>
        </w:rPr>
      </w:pPr>
      <w:r>
        <w:rPr>
          <w:rFonts w:ascii="NSimSun" w:hAnsi="NSimSun" w:eastAsia="NSimSun" w:cs="NSimSun"/>
          <w:spacing w:val="3"/>
        </w:rPr>
        <w:t>马秋芳</w:t>
      </w:r>
      <w:r>
        <w:rPr>
          <w:rFonts w:ascii="NSimSun" w:hAnsi="NSimSun" w:eastAsia="NSimSun" w:cs="NSimSun"/>
          <w:spacing w:val="3"/>
        </w:rPr>
        <w:t xml:space="preserve">  </w:t>
      </w:r>
      <w:r>
        <w:rPr>
          <w:spacing w:val="3"/>
        </w:rPr>
        <w:t>河南省温县人民医院儿科  </w:t>
      </w:r>
      <w:r>
        <w:rPr>
          <w:rFonts w:ascii="Microsoft YaHei" w:hAnsi="Microsoft YaHei" w:eastAsia="Microsoft YaHei" w:cs="Microsoft YaHei"/>
          <w:spacing w:val="3"/>
        </w:rPr>
        <w:t>454850</w:t>
      </w:r>
    </w:p>
    <w:p>
      <w:pPr>
        <w:pStyle w:val="BodyText"/>
        <w:ind w:left="1092" w:right="327"/>
        <w:spacing w:before="222" w:line="235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4"/>
        </w:rPr>
        <w:t>摘要</w:t>
      </w:r>
      <w:r>
        <w:rPr>
          <w:rFonts w:ascii="SimHei" w:hAnsi="SimHei" w:eastAsia="SimHei" w:cs="SimHei"/>
          <w:spacing w:val="30"/>
        </w:rPr>
        <w:t xml:space="preserve">  </w:t>
      </w:r>
      <w:r>
        <w:rPr>
          <w:rFonts w:ascii="NSimSun" w:hAnsi="NSimSun" w:eastAsia="NSimSun" w:cs="NSimSun"/>
          <w:spacing w:val="4"/>
        </w:rPr>
        <w:t>目的:</w:t>
      </w:r>
      <w:r>
        <w:rPr>
          <w:rFonts w:ascii="NSimSun" w:hAnsi="NSimSun" w:eastAsia="NSimSun" w:cs="NSimSun"/>
          <w:spacing w:val="-41"/>
        </w:rPr>
        <w:t xml:space="preserve"> </w:t>
      </w:r>
      <w:r>
        <w:rPr>
          <w:spacing w:val="4"/>
        </w:rPr>
        <w:t>探究早期护理应用于新生儿重症</w:t>
      </w:r>
      <w:r>
        <w:rPr>
          <w:spacing w:val="3"/>
        </w:rPr>
        <w:t>监护室极低体重儿对喂养状况的影响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NSimSun" w:hAnsi="NSimSun" w:eastAsia="NSimSun" w:cs="NSimSun"/>
          <w:spacing w:val="3"/>
        </w:rPr>
        <w:t>方法:</w:t>
      </w:r>
      <w:r>
        <w:rPr>
          <w:rFonts w:ascii="NSimSun" w:hAnsi="NSimSun" w:eastAsia="NSimSun" w:cs="NSimSun"/>
          <w:spacing w:val="-40"/>
        </w:rPr>
        <w:t xml:space="preserve"> </w:t>
      </w:r>
      <w:r>
        <w:rPr>
          <w:spacing w:val="3"/>
        </w:rPr>
        <w:t>选取</w:t>
      </w:r>
      <w:r>
        <w:rPr>
          <w:rFonts w:ascii="Microsoft YaHei" w:hAnsi="Microsoft YaHei" w:eastAsia="Microsoft YaHei" w:cs="Microsoft YaHei"/>
          <w:spacing w:val="3"/>
        </w:rPr>
        <w:t>2018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3"/>
        </w:rPr>
        <w:t>年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9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3"/>
        </w:rPr>
        <w:t>月</w:t>
      </w:r>
      <w:r>
        <w:rPr>
          <w:rFonts w:ascii="Microsoft YaHei" w:hAnsi="Microsoft YaHei" w:eastAsia="Microsoft YaHei" w:cs="Microsoft YaHei"/>
          <w:spacing w:val="3"/>
        </w:rPr>
        <w:t>—2019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6"/>
        </w:rPr>
        <w:t>年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9 </w:t>
      </w:r>
      <w:r>
        <w:rPr>
          <w:spacing w:val="6"/>
        </w:rPr>
        <w:t>月我院收治的极低体重患儿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84 </w:t>
      </w:r>
      <w:r>
        <w:rPr>
          <w:spacing w:val="6"/>
        </w:rPr>
        <w:t>例，按照数字随机法分为试验组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42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6"/>
        </w:rPr>
        <w:t>例与</w:t>
      </w:r>
      <w:r>
        <w:rPr>
          <w:spacing w:val="5"/>
        </w:rPr>
        <w:t>对照组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42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5"/>
        </w:rPr>
        <w:t>例，两组患儿均实施常规治</w:t>
      </w:r>
      <w:r>
        <w:rPr/>
        <w:t xml:space="preserve"> </w:t>
      </w:r>
      <w:r>
        <w:rPr>
          <w:spacing w:val="5"/>
        </w:rPr>
        <w:t>疗，对照组实施常规护理与喂养方式，试验组实施口饲喂养，并实施</w:t>
      </w:r>
      <w:r>
        <w:rPr>
          <w:spacing w:val="4"/>
        </w:rPr>
        <w:t>鸟巢式护理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腹部抚触等早期综合护理干预，对</w:t>
      </w:r>
      <w:r>
        <w:rPr/>
        <w:t xml:space="preserve"> </w:t>
      </w:r>
      <w:r>
        <w:rPr>
          <w:spacing w:val="8"/>
        </w:rPr>
        <w:t>比分析两组患者足量胃肠喂养时间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恢复至出生体重时间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喂养不耐受时间与生长发育状况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NSimSun" w:hAnsi="NSimSun" w:eastAsia="NSimSun" w:cs="NSimSun"/>
          <w:spacing w:val="8"/>
        </w:rPr>
        <w:t>结果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8"/>
        </w:rPr>
        <w:t>:</w:t>
      </w:r>
      <w:r>
        <w:rPr>
          <w:rFonts w:ascii="NSimSun" w:hAnsi="NSimSun" w:eastAsia="NSimSun" w:cs="NSimSun"/>
          <w:spacing w:val="-32"/>
        </w:rPr>
        <w:t xml:space="preserve"> </w:t>
      </w:r>
      <w:r>
        <w:rPr>
          <w:spacing w:val="8"/>
        </w:rPr>
        <w:t>试验组患儿足</w:t>
      </w:r>
      <w:r>
        <w:rPr/>
        <w:t xml:space="preserve"> </w:t>
      </w:r>
      <w:r>
        <w:rPr>
          <w:spacing w:val="3"/>
        </w:rPr>
        <w:t>量胃肠喂养时间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恢复至出生体重时间与喂养不耐受时间明显低于对照组(</w:t>
      </w:r>
      <w:r>
        <w:rPr>
          <w:rFonts w:ascii="Microsoft YaHei" w:hAnsi="Microsoft YaHei" w:eastAsia="Microsoft YaHei" w:cs="Microsoft YaHei"/>
          <w:spacing w:val="3"/>
        </w:rPr>
        <w:t>P＜0．05</w:t>
      </w:r>
      <w:r>
        <w:rPr>
          <w:spacing w:val="3"/>
        </w:rPr>
        <w:t>) ;</w:t>
      </w:r>
      <w:r>
        <w:rPr>
          <w:spacing w:val="-17"/>
        </w:rPr>
        <w:t xml:space="preserve"> </w:t>
      </w:r>
      <w:r>
        <w:rPr>
          <w:spacing w:val="3"/>
        </w:rPr>
        <w:t>干预前两组患儿头围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身长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2"/>
        </w:rPr>
        <w:t>体重比较无统计学差异，干预后试验组患儿头围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身长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体重均</w:t>
      </w:r>
      <w:r>
        <w:rPr>
          <w:spacing w:val="1"/>
        </w:rPr>
        <w:t>高于对照组(</w:t>
      </w:r>
      <w:r>
        <w:rPr>
          <w:rFonts w:ascii="Microsoft YaHei" w:hAnsi="Microsoft YaHei" w:eastAsia="Microsoft YaHei" w:cs="Microsoft YaHei"/>
          <w:spacing w:val="1"/>
        </w:rPr>
        <w:t>P＜0．05</w:t>
      </w:r>
      <w:r>
        <w:rPr>
          <w:spacing w:val="1"/>
        </w:rPr>
        <w:t>)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NSimSun" w:hAnsi="NSimSun" w:eastAsia="NSimSun" w:cs="NSimSun"/>
          <w:spacing w:val="1"/>
        </w:rPr>
        <w:t>结论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1"/>
        </w:rPr>
        <w:t>:</w:t>
      </w:r>
      <w:r>
        <w:rPr>
          <w:rFonts w:ascii="NSimSun" w:hAnsi="NSimSun" w:eastAsia="NSimSun" w:cs="NSimSun"/>
          <w:spacing w:val="-33"/>
        </w:rPr>
        <w:t xml:space="preserve"> </w:t>
      </w:r>
      <w:r>
        <w:rPr>
          <w:spacing w:val="1"/>
        </w:rPr>
        <w:t>早期护理干预应用于</w:t>
      </w:r>
      <w:r>
        <w:rPr/>
        <w:t xml:space="preserve"> </w:t>
      </w:r>
      <w:r>
        <w:rPr>
          <w:spacing w:val="5"/>
        </w:rPr>
        <w:t>新生儿重症监护室极低体重患儿可缩短其胃肠喂养时间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喂养</w:t>
      </w:r>
      <w:r>
        <w:rPr>
          <w:spacing w:val="4"/>
        </w:rPr>
        <w:t>不耐受时间，加快体重恢复，有利于患儿生长发育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1099"/>
        <w:spacing w:before="1" w:line="214" w:lineRule="auto"/>
        <w:rPr/>
      </w:pPr>
      <w:r>
        <w:rPr>
          <w:rFonts w:ascii="SimHei" w:hAnsi="SimHei" w:eastAsia="SimHei" w:cs="SimHei"/>
          <w:spacing w:val="8"/>
        </w:rPr>
        <w:t>关键词</w:t>
      </w:r>
      <w:r>
        <w:rPr>
          <w:rFonts w:ascii="SimHei" w:hAnsi="SimHei" w:eastAsia="SimHei" w:cs="SimHei"/>
          <w:spacing w:val="8"/>
        </w:rPr>
        <w:t xml:space="preserve">  </w:t>
      </w:r>
      <w:r>
        <w:rPr>
          <w:spacing w:val="8"/>
        </w:rPr>
        <w:t>极低体重儿  重症监护室</w:t>
      </w:r>
      <w:r>
        <w:rPr>
          <w:spacing w:val="11"/>
        </w:rPr>
        <w:t xml:space="preserve">  </w:t>
      </w:r>
      <w:r>
        <w:rPr>
          <w:spacing w:val="8"/>
        </w:rPr>
        <w:t>新生儿</w:t>
      </w:r>
      <w:r>
        <w:rPr>
          <w:spacing w:val="13"/>
        </w:rPr>
        <w:t xml:space="preserve">  </w:t>
      </w:r>
      <w:r>
        <w:rPr>
          <w:spacing w:val="8"/>
        </w:rPr>
        <w:t>鸟巢护理</w:t>
      </w:r>
      <w:r>
        <w:rPr>
          <w:spacing w:val="11"/>
        </w:rPr>
        <w:t xml:space="preserve">  </w:t>
      </w:r>
      <w:r>
        <w:rPr>
          <w:spacing w:val="7"/>
        </w:rPr>
        <w:t>早期综合护理</w:t>
      </w:r>
    </w:p>
    <w:p>
      <w:pPr>
        <w:pStyle w:val="BodyText"/>
        <w:ind w:left="1106"/>
        <w:spacing w:before="87" w:line="176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-9"/>
        </w:rPr>
        <w:t>中图分类号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9"/>
        </w:rPr>
        <w:t>: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R473. 72    </w:t>
      </w:r>
      <w:r>
        <w:rPr>
          <w:rFonts w:ascii="SimHei" w:hAnsi="SimHei" w:eastAsia="SimHei" w:cs="SimHei"/>
          <w:spacing w:val="-9"/>
        </w:rPr>
        <w:t>文献标识码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9"/>
        </w:rPr>
        <w:t>: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B   </w:t>
      </w:r>
      <w:r>
        <w:rPr>
          <w:rFonts w:ascii="Microsoft YaHei" w:hAnsi="Microsoft YaHei" w:eastAsia="Microsoft YaHei" w:cs="Microsoft YaHei"/>
          <w:spacing w:val="-10"/>
        </w:rPr>
        <w:t xml:space="preserve"> doi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10"/>
        </w:rPr>
        <w:t>: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10.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19381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/j.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issn.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1001-7585. 2021.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12. 075</w:t>
      </w:r>
    </w:p>
    <w:p>
      <w:pPr>
        <w:pStyle w:val="BodyText"/>
        <w:ind w:left="1094"/>
        <w:spacing w:before="250" w:line="165" w:lineRule="exact"/>
        <w:rPr/>
      </w:pPr>
      <w:r>
        <w:rPr>
          <w:spacing w:val="8"/>
          <w:position w:val="-1"/>
        </w:rPr>
        <w:t>极低体重儿体重过轻，各系统及器官发育尚未成熟，易    出现诸多并发症，是新生儿重症监护</w:t>
      </w:r>
      <w:r>
        <w:rPr>
          <w:spacing w:val="7"/>
          <w:position w:val="-1"/>
        </w:rPr>
        <w:t>室重要救治对象</w:t>
      </w:r>
      <w:r>
        <w:rPr>
          <w:rFonts w:ascii="Microsoft YaHei" w:hAnsi="Microsoft YaHei" w:eastAsia="Microsoft YaHei" w:cs="Microsoft YaHei"/>
          <w:spacing w:val="7"/>
          <w:position w:val="-1"/>
        </w:rPr>
        <w:t>。</w:t>
      </w:r>
      <w:r>
        <w:rPr>
          <w:spacing w:val="7"/>
          <w:position w:val="-1"/>
        </w:rPr>
        <w:t>极低</w:t>
      </w:r>
    </w:p>
    <w:sectPr>
      <w:type w:val="continuous"/>
      <w:pgSz w:w="11906" w:h="16157"/>
      <w:pgMar w:top="1131" w:right="1109" w:bottom="547" w:left="407" w:header="815" w:footer="354" w:gutter="0"/>
      <w:cols w:equalWidth="0" w:num="1">
        <w:col w:w="1038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3"/>
      <w:spacing w:before="59" w:line="173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SimHei" w:hAnsi="SimHei" w:eastAsia="SimHei" w:cs="SimHei"/>
        <w:sz w:val="15"/>
        <w:szCs w:val="15"/>
        <w:color w:val="808080"/>
        <w:position w:val="-1"/>
      </w:rPr>
      <w:drawing>
        <wp:inline distT="0" distB="0" distL="0" distR="0">
          <wp:extent cx="179922" cy="11658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9922" cy="116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21"/>
      </w:rPr>
      <w:t xml:space="preserve">  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5"/>
      </w:rPr>
      <w:t>医学理论与实践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5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2021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2"/>
      </w:rPr>
      <w:t xml:space="preserve"> </w:t>
    </w:r>
    <w:r>
      <w:rPr>
        <w:u w:val="single" w:color="auto"/>
        <w:spacing w:val="5"/>
      </w:rPr>
      <w:t>年第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34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</w:rPr>
      <w:t xml:space="preserve"> </w:t>
    </w:r>
    <w:r>
      <w:rPr>
        <w:u w:val="single" w:color="auto"/>
        <w:spacing w:val="5"/>
      </w:rPr>
      <w:t>卷第</w:t>
    </w:r>
    <w:r>
      <w:rPr>
        <w:u w:val="single" w:color="auto"/>
        <w:spacing w:val="-3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12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  <w:w w:val="101"/>
      </w:rPr>
      <w:t xml:space="preserve"> </w:t>
    </w:r>
    <w:r>
      <w:rPr>
        <w:u w:val="single" w:color="auto"/>
        <w:spacing w:val="5"/>
      </w:rPr>
      <w:t>期            </w:t>
    </w:r>
    <w:r>
      <w:rPr>
        <w:rFonts w:ascii="Microsoft YaHei" w:hAnsi="Microsoft YaHei" w:eastAsia="Microsoft YaHei" w:cs="Microsoft YaHei"/>
        <w:u w:val="single" w:color="auto"/>
        <w:position w:val="1"/>
      </w:rPr>
      <w:t>Vol</w:t>
    </w:r>
    <w:r>
      <w:rPr>
        <w:rFonts w:ascii="Microsoft YaHei" w:hAnsi="Microsoft YaHei" w:eastAsia="Microsoft YaHei" w:cs="Microsoft YaHei"/>
        <w:u w:val="single" w:color="auto"/>
        <w:spacing w:val="5"/>
        <w:position w:val="1"/>
      </w:rPr>
      <w:t>.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34</w:t>
    </w:r>
    <w:r>
      <w:rPr>
        <w:sz w:val="15"/>
        <w:szCs w:val="15"/>
        <w:u w:val="single" w:color="auto"/>
        <w:spacing w:val="5"/>
      </w:rPr>
      <w:t>，</w:t>
    </w:r>
    <w:r>
      <w:rPr>
        <w:rFonts w:ascii="Microsoft YaHei" w:hAnsi="Microsoft YaHei" w:eastAsia="Microsoft YaHei" w:cs="Microsoft YaHei"/>
        <w:u w:val="single" w:color="auto"/>
        <w:position w:val="1"/>
      </w:rPr>
      <w:t>No</w:t>
    </w:r>
    <w:r>
      <w:rPr>
        <w:rFonts w:ascii="Microsoft YaHei" w:hAnsi="Microsoft YaHei" w:eastAsia="Microsoft YaHei" w:cs="Microsoft YaHei"/>
        <w:u w:val="single" w:color="auto"/>
        <w:spacing w:val="5"/>
        <w:position w:val="1"/>
      </w:rPr>
      <w:t>.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12</w:t>
    </w:r>
    <w:r>
      <w:rPr>
        <w:sz w:val="15"/>
        <w:szCs w:val="15"/>
        <w:u w:val="single" w:color="auto"/>
        <w:spacing w:val="5"/>
      </w:rPr>
      <w:t>，</w:t>
    </w:r>
    <w:r>
      <w:rPr>
        <w:rFonts w:ascii="Microsoft YaHei" w:hAnsi="Microsoft YaHei" w:eastAsia="Microsoft YaHei" w:cs="Microsoft YaHei"/>
        <w:u w:val="single" w:color="auto"/>
      </w:rPr>
      <w:t>Jun</w:t>
    </w:r>
    <w:r>
      <w:rPr>
        <w:rFonts w:ascii="Microsoft YaHei" w:hAnsi="Microsoft YaHei" w:eastAsia="Microsoft YaHei" w:cs="Microsoft YaHei"/>
        <w:u w:val="single" w:color="auto"/>
        <w:spacing w:val="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2021 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5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5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Theor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5"/>
      </w:rPr>
      <w:t>＆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35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Prac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16"/>
        <w:w w:val="101"/>
      </w:rPr>
      <w:t xml:space="preserve">  </w:t>
    </w:r>
    <w:r>
      <w:rPr>
        <w:sz w:val="15"/>
        <w:szCs w:val="15"/>
      </w:rPr>
      <w:drawing>
        <wp:inline distT="0" distB="0" distL="0" distR="0">
          <wp:extent cx="128016" cy="91440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8016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5"/>
        <w:szCs w:val="15"/>
        <w:color w:val="808080"/>
        <w:spacing w:val="4"/>
      </w:rPr>
      <w:t xml:space="preserve">    </w:t>
    </w:r>
    <w:r>
      <w:rPr>
        <w:rFonts w:ascii="Microsoft YaHei" w:hAnsi="Microsoft YaHei" w:eastAsia="Microsoft YaHei" w:cs="Microsoft YaHei"/>
        <w:sz w:val="20"/>
        <w:szCs w:val="20"/>
        <w:spacing w:val="5"/>
        <w:position w:val="1"/>
      </w:rPr>
      <w:t>2145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1"/>
      <w:spacing w:before="59" w:line="173" w:lineRule="auto"/>
      <w:rPr>
        <w:sz w:val="15"/>
        <w:szCs w:val="15"/>
      </w:rPr>
    </w:pPr>
    <w:r>
      <w:rPr>
        <w:rFonts w:ascii="Microsoft YaHei" w:hAnsi="Microsoft YaHei" w:eastAsia="Microsoft YaHei" w:cs="Microsoft YaHei"/>
        <w:sz w:val="20"/>
        <w:szCs w:val="20"/>
        <w:spacing w:val="-2"/>
      </w:rPr>
      <w:t>2146   </w:t>
    </w:r>
    <w:r>
      <w:rPr>
        <w:sz w:val="20"/>
        <w:szCs w:val="20"/>
      </w:rPr>
      <w:drawing>
        <wp:inline distT="0" distB="0" distL="0" distR="0">
          <wp:extent cx="125730" cy="91441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5730" cy="914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1"/>
      </w:rPr>
      <w:t xml:space="preserve">   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-2"/>
      </w:rPr>
      <w:t>J  Med  Theor  ＆  Prac  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2"/>
      </w:rPr>
      <w:t>Vol. 34</w:t>
    </w:r>
    <w:r>
      <w:rPr>
        <w:sz w:val="15"/>
        <w:szCs w:val="15"/>
        <w:u w:val="single" w:color="auto"/>
        <w:spacing w:val="-2"/>
      </w:rPr>
      <w:t>，</w:t>
    </w:r>
    <w:r>
      <w:rPr>
        <w:rFonts w:ascii="Microsoft YaHei" w:hAnsi="Microsoft YaHei" w:eastAsia="Microsoft YaHei" w:cs="Microsoft YaHei"/>
        <w:u w:val="single" w:color="auto"/>
        <w:spacing w:val="-2"/>
        <w:position w:val="1"/>
      </w:rPr>
      <w:t>No.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2"/>
      </w:rPr>
      <w:t>12</w:t>
    </w:r>
    <w:r>
      <w:rPr>
        <w:sz w:val="15"/>
        <w:szCs w:val="15"/>
        <w:u w:val="single" w:color="auto"/>
        <w:spacing w:val="-2"/>
      </w:rPr>
      <w:t>，</w:t>
    </w:r>
    <w:r>
      <w:rPr>
        <w:rFonts w:ascii="Microsoft YaHei" w:hAnsi="Microsoft YaHei" w:eastAsia="Microsoft YaHei" w:cs="Microsoft YaHei"/>
        <w:u w:val="single" w:color="auto"/>
        <w:spacing w:val="-2"/>
      </w:rPr>
      <w:t>Jun</w:t>
    </w:r>
    <w:r>
      <w:rPr>
        <w:rFonts w:ascii="Microsoft YaHei" w:hAnsi="Microsoft YaHei" w:eastAsia="Microsoft YaHei" w:cs="Microsoft YaHei"/>
        <w:u w:val="single" w:color="auto"/>
        <w:spacing w:val="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2"/>
      </w:rPr>
      <w:t>2021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3"/>
      </w:rPr>
      <w:t xml:space="preserve">                     2021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</w:rPr>
      <w:t xml:space="preserve"> </w:t>
    </w:r>
    <w:r>
      <w:rPr>
        <w:u w:val="single" w:color="auto"/>
        <w:spacing w:val="-3"/>
      </w:rPr>
      <w:t>年第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3"/>
      </w:rPr>
      <w:t>34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u w:val="single" w:color="auto"/>
        <w:spacing w:val="-3"/>
      </w:rPr>
      <w:t>卷第</w:t>
    </w:r>
    <w:r>
      <w:rPr>
        <w:u w:val="single" w:color="auto"/>
        <w:spacing w:val="-3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3"/>
      </w:rPr>
      <w:t>12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  <w:w w:val="101"/>
      </w:rPr>
      <w:t xml:space="preserve"> </w:t>
    </w:r>
    <w:r>
      <w:rPr>
        <w:u w:val="single" w:color="auto"/>
        <w:spacing w:val="-3"/>
      </w:rPr>
      <w:t>期   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19"/>
        <w:w w:val="125"/>
      </w:rPr>
      <w:t>医学理论与实践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48"/>
      </w:rPr>
      <w:t xml:space="preserve"> </w:t>
    </w:r>
    <w:r>
      <w:rPr>
        <w:sz w:val="15"/>
        <w:szCs w:val="15"/>
        <w:position w:val="-1"/>
      </w:rPr>
      <w:drawing>
        <wp:inline distT="0" distB="0" distL="0" distR="0">
          <wp:extent cx="179780" cy="118305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780" cy="118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3"/>
      <w:spacing w:before="59" w:line="173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SimHei" w:hAnsi="SimHei" w:eastAsia="SimHei" w:cs="SimHei"/>
        <w:sz w:val="15"/>
        <w:szCs w:val="15"/>
        <w:color w:val="808080"/>
        <w:position w:val="-1"/>
      </w:rPr>
      <w:drawing>
        <wp:inline distT="0" distB="0" distL="0" distR="0">
          <wp:extent cx="179922" cy="116585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9922" cy="116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21"/>
      </w:rPr>
      <w:t xml:space="preserve">  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5"/>
      </w:rPr>
      <w:t>医学理论与实践</w:t>
    </w:r>
    <w:r>
      <w:rPr>
        <w:rFonts w:ascii="SimHei" w:hAnsi="SimHei" w:eastAsia="SimHei" w:cs="SimHei"/>
        <w:sz w:val="15"/>
        <w:szCs w:val="15"/>
        <w:u w:val="single" w:color="000000"/>
        <w:color w:val="808080"/>
        <w:spacing w:val="5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2021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2"/>
      </w:rPr>
      <w:t xml:space="preserve"> </w:t>
    </w:r>
    <w:r>
      <w:rPr>
        <w:u w:val="single" w:color="auto"/>
        <w:spacing w:val="5"/>
      </w:rPr>
      <w:t>年第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34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</w:rPr>
      <w:t xml:space="preserve"> </w:t>
    </w:r>
    <w:r>
      <w:rPr>
        <w:u w:val="single" w:color="auto"/>
        <w:spacing w:val="5"/>
      </w:rPr>
      <w:t>卷第</w:t>
    </w:r>
    <w:r>
      <w:rPr>
        <w:u w:val="single" w:color="auto"/>
        <w:spacing w:val="-3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12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  <w:w w:val="101"/>
      </w:rPr>
      <w:t xml:space="preserve"> </w:t>
    </w:r>
    <w:r>
      <w:rPr>
        <w:u w:val="single" w:color="auto"/>
        <w:spacing w:val="5"/>
      </w:rPr>
      <w:t>期            </w:t>
    </w:r>
    <w:r>
      <w:rPr>
        <w:rFonts w:ascii="Microsoft YaHei" w:hAnsi="Microsoft YaHei" w:eastAsia="Microsoft YaHei" w:cs="Microsoft YaHei"/>
        <w:u w:val="single" w:color="auto"/>
        <w:position w:val="1"/>
      </w:rPr>
      <w:t>Vol</w:t>
    </w:r>
    <w:r>
      <w:rPr>
        <w:rFonts w:ascii="Microsoft YaHei" w:hAnsi="Microsoft YaHei" w:eastAsia="Microsoft YaHei" w:cs="Microsoft YaHei"/>
        <w:u w:val="single" w:color="auto"/>
        <w:spacing w:val="5"/>
        <w:position w:val="1"/>
      </w:rPr>
      <w:t>.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34</w:t>
    </w:r>
    <w:r>
      <w:rPr>
        <w:sz w:val="15"/>
        <w:szCs w:val="15"/>
        <w:u w:val="single" w:color="auto"/>
        <w:spacing w:val="5"/>
      </w:rPr>
      <w:t>，</w:t>
    </w:r>
    <w:r>
      <w:rPr>
        <w:rFonts w:ascii="Microsoft YaHei" w:hAnsi="Microsoft YaHei" w:eastAsia="Microsoft YaHei" w:cs="Microsoft YaHei"/>
        <w:u w:val="single" w:color="auto"/>
        <w:position w:val="1"/>
      </w:rPr>
      <w:t>No</w:t>
    </w:r>
    <w:r>
      <w:rPr>
        <w:rFonts w:ascii="Microsoft YaHei" w:hAnsi="Microsoft YaHei" w:eastAsia="Microsoft YaHei" w:cs="Microsoft YaHei"/>
        <w:u w:val="single" w:color="auto"/>
        <w:spacing w:val="5"/>
        <w:position w:val="1"/>
      </w:rPr>
      <w:t>.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12</w:t>
    </w:r>
    <w:r>
      <w:rPr>
        <w:sz w:val="15"/>
        <w:szCs w:val="15"/>
        <w:u w:val="single" w:color="auto"/>
        <w:spacing w:val="5"/>
      </w:rPr>
      <w:t>，</w:t>
    </w:r>
    <w:r>
      <w:rPr>
        <w:rFonts w:ascii="Microsoft YaHei" w:hAnsi="Microsoft YaHei" w:eastAsia="Microsoft YaHei" w:cs="Microsoft YaHei"/>
        <w:u w:val="single" w:color="auto"/>
      </w:rPr>
      <w:t>Jun</w:t>
    </w:r>
    <w:r>
      <w:rPr>
        <w:rFonts w:ascii="Microsoft YaHei" w:hAnsi="Microsoft YaHei" w:eastAsia="Microsoft YaHei" w:cs="Microsoft YaHei"/>
        <w:u w:val="single" w:color="auto"/>
        <w:spacing w:val="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5"/>
      </w:rPr>
      <w:t>2021 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5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5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Theor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5"/>
      </w:rPr>
      <w:t>＆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35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</w:rPr>
      <w:t>Prac</w:t>
    </w:r>
    <w:r>
      <w:rPr>
        <w:rFonts w:ascii="Microsoft YaHei" w:hAnsi="Microsoft YaHei" w:eastAsia="Microsoft YaHei" w:cs="Microsoft YaHei"/>
        <w:sz w:val="15"/>
        <w:szCs w:val="15"/>
        <w:u w:val="single" w:color="000000"/>
        <w:color w:val="808080"/>
        <w:spacing w:val="16"/>
        <w:w w:val="101"/>
      </w:rPr>
      <w:t xml:space="preserve">  </w:t>
    </w:r>
    <w:r>
      <w:rPr>
        <w:sz w:val="15"/>
        <w:szCs w:val="15"/>
      </w:rPr>
      <w:drawing>
        <wp:inline distT="0" distB="0" distL="0" distR="0">
          <wp:extent cx="128016" cy="91440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8016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5"/>
        <w:szCs w:val="15"/>
        <w:color w:val="808080"/>
        <w:spacing w:val="4"/>
      </w:rPr>
      <w:t xml:space="preserve">    </w:t>
    </w:r>
    <w:r>
      <w:rPr>
        <w:rFonts w:ascii="Microsoft YaHei" w:hAnsi="Microsoft YaHei" w:eastAsia="Microsoft YaHei" w:cs="Microsoft YaHei"/>
        <w:sz w:val="20"/>
        <w:szCs w:val="20"/>
        <w:spacing w:val="5"/>
        <w:position w:val="1"/>
      </w:rPr>
      <w:t>2147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2023-02-08T18:34:52Z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2025-10-28T21:30:19</vt:filetime>
  </property>
</Properties>
</file>