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191" w:lineRule="exact"/>
        <w:rPr/>
      </w:pPr>
      <w:r/>
    </w:p>
    <w:p>
      <w:pPr>
        <w:spacing w:line="191" w:lineRule="exact"/>
        <w:sectPr>
          <w:headerReference w:type="default" r:id="rId1"/>
          <w:pgSz w:w="11906" w:h="16838"/>
          <w:pgMar w:top="1518" w:right="780" w:bottom="0" w:left="407" w:header="1196" w:footer="0" w:gutter="0"/>
          <w:cols w:equalWidth="0" w:num="1">
            <w:col w:w="10717" w:space="0"/>
          </w:cols>
        </w:sectPr>
        <w:rPr/>
      </w:pPr>
    </w:p>
    <w:p>
      <w:pPr>
        <w:pStyle w:val="BodyText"/>
        <w:ind w:left="366" w:right="219" w:firstLine="80"/>
        <w:spacing w:before="38" w:line="229" w:lineRule="auto"/>
        <w:jc w:val="both"/>
        <w:rPr/>
      </w:pPr>
      <w:r>
        <w:rPr>
          <w:color w:val="231F20"/>
          <w:spacing w:val="-6"/>
        </w:rPr>
        <w:t>2.3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肌肉力量  治疗前，两组各肌肉 MMT 评级比较，差异无统计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学意义（P＞0.05</w:t>
      </w:r>
      <w:r>
        <w:rPr>
          <w:color w:val="231F20"/>
          <w:spacing w:val="-32"/>
          <w:w w:val="75"/>
        </w:rPr>
        <w:t>）；</w:t>
      </w:r>
      <w:r>
        <w:rPr>
          <w:color w:val="231F20"/>
          <w:spacing w:val="-2"/>
        </w:rPr>
        <w:t>治疗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2"/>
        </w:rPr>
        <w:t>1 个月后，两</w:t>
      </w:r>
      <w:r>
        <w:rPr>
          <w:color w:val="231F20"/>
          <w:spacing w:val="-3"/>
        </w:rPr>
        <w:t>组各肌肉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3"/>
        </w:rPr>
        <w:t>MMT 评级均较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前显著升高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0"/>
        </w:rPr>
        <w:t>，且观察组明显高于对照组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0"/>
        </w:rPr>
        <w:t>，差异有统计学</w:t>
      </w:r>
      <w:r>
        <w:rPr>
          <w:color w:val="231F20"/>
          <w:spacing w:val="9"/>
        </w:rPr>
        <w:t>意义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（P＜0.05）。见表 3。</w:t>
      </w:r>
    </w:p>
    <w:p>
      <w:pPr>
        <w:pStyle w:val="BodyText"/>
        <w:ind w:left="449"/>
        <w:spacing w:line="196" w:lineRule="auto"/>
        <w:rPr/>
      </w:pPr>
      <w:r>
        <w:rPr>
          <w:color w:val="231F20"/>
          <w:spacing w:val="-9"/>
        </w:rPr>
        <w:t>3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9"/>
        </w:rPr>
        <w:t>讨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9"/>
        </w:rPr>
        <w:t>论</w:t>
      </w:r>
    </w:p>
    <w:p>
      <w:pPr>
        <w:pStyle w:val="BodyText"/>
        <w:ind w:left="443" w:right="159" w:firstLine="368"/>
        <w:spacing w:before="33" w:line="226" w:lineRule="auto"/>
        <w:jc w:val="both"/>
        <w:rPr/>
      </w:pPr>
      <w:r>
        <w:rPr>
          <w:color w:val="231F20"/>
          <w:spacing w:val="-4"/>
        </w:rPr>
        <w:t>药陶罐疗法具有拔罐部位广泛、吸附力强、三</w:t>
      </w:r>
      <w:r>
        <w:rPr>
          <w:color w:val="231F20"/>
          <w:spacing w:val="-5"/>
        </w:rPr>
        <w:t>法联合、舒适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度高、操作简便、安全环保、花费少等优点，本研究选取手阳明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3"/>
        </w:rPr>
        <w:t>大肠经肩髃、臂臑、手三里等穴，手阳明大肠经是阳气盛</w:t>
      </w:r>
      <w:r>
        <w:rPr>
          <w:color w:val="231F20"/>
          <w:spacing w:val="2"/>
        </w:rPr>
        <w:t>极经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脉，通过温热刺激，能进一步激发人体阳气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"/>
        </w:rPr>
        <w:t>。外关穴能</w:t>
      </w:r>
      <w:r>
        <w:rPr>
          <w:color w:val="231F20"/>
          <w:spacing w:val="1"/>
        </w:rPr>
        <w:t>清热解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毒、解经止痛、通经活络</w:t>
      </w:r>
      <w:r>
        <w:rPr>
          <w:sz w:val="10"/>
          <w:szCs w:val="10"/>
          <w:color w:val="231F20"/>
          <w:spacing w:val="-7"/>
          <w:position w:val="6"/>
        </w:rPr>
        <w:t>[9]</w:t>
      </w:r>
      <w:r>
        <w:rPr>
          <w:color w:val="231F20"/>
          <w:spacing w:val="-7"/>
        </w:rPr>
        <w:t>，刺激后可使受阻</w:t>
      </w:r>
      <w:r>
        <w:rPr>
          <w:color w:val="231F20"/>
          <w:spacing w:val="-8"/>
        </w:rPr>
        <w:t>经脉畅通。本病属中</w:t>
      </w:r>
      <w:r>
        <w:rPr>
          <w:color w:val="231F20"/>
        </w:rPr>
        <w:t xml:space="preserve">  </w:t>
      </w:r>
      <w:r>
        <w:rPr>
          <w:color w:val="231F20"/>
          <w:spacing w:val="-13"/>
          <w:w w:val="98"/>
        </w:rPr>
        <w:t>医“痹证”“偏枯”范畴，《素问·痹论》指出“风寒湿三气杂至，合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2"/>
        </w:rPr>
        <w:t>而为痹”“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2"/>
        </w:rPr>
        <w:t>……寒气胜者为痛痹”，外感风寒湿特别是寒气</w:t>
      </w:r>
      <w:r>
        <w:rPr>
          <w:color w:val="231F20"/>
          <w:spacing w:val="-3"/>
        </w:rPr>
        <w:t>后可</w:t>
      </w:r>
      <w:r>
        <w:rPr>
          <w:color w:val="231F20"/>
        </w:rPr>
        <w:t xml:space="preserve">  </w:t>
      </w:r>
      <w:r>
        <w:rPr>
          <w:color w:val="231F20"/>
          <w:spacing w:val="-8"/>
          <w:w w:val="99"/>
        </w:rPr>
        <w:t>使气血不畅、经脉阻滞、筋骨疼痛难忍、活动受限。血行不畅、经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6"/>
          <w:w w:val="98"/>
        </w:rPr>
        <w:t>脉阻滞则肢体偏枯，进而半身不遂、感觉减退、手足拘急。本</w:t>
      </w:r>
      <w:r>
        <w:rPr>
          <w:color w:val="231F20"/>
          <w:spacing w:val="-7"/>
          <w:w w:val="98"/>
        </w:rPr>
        <w:t>研究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中，观察组治疗后半身不遂、感觉减退、手足拘急等中医症状评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2"/>
        </w:rPr>
        <w:t>分显著低于对照组，药陶罐疗法疗效较好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"/>
        </w:rPr>
        <w:t>，</w:t>
      </w:r>
      <w:r>
        <w:rPr>
          <w:color w:val="231F20"/>
          <w:spacing w:val="1"/>
        </w:rPr>
        <w:t>能有效改善主要证</w:t>
      </w:r>
      <w:r>
        <w:rPr>
          <w:color w:val="231F20"/>
        </w:rPr>
        <w:t xml:space="preserve">  </w:t>
      </w:r>
      <w:r>
        <w:rPr>
          <w:color w:val="231F20"/>
          <w:spacing w:val="-16"/>
          <w:w w:val="98"/>
        </w:rPr>
        <w:t>候，这是因为《内经》有云“阴胜则阳病，阳胜则阴病”“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6"/>
          <w:w w:val="98"/>
        </w:rPr>
        <w:t>阳胜则热，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阴胜则寒”，药陶罐通过扶助人体阳气，调整脏腑功能，促进过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6"/>
        </w:rPr>
        <w:t>盛的阴向阳转化，达到阴阳平衡、祛除寒气、疏通经脉的</w:t>
      </w:r>
      <w:r>
        <w:rPr>
          <w:color w:val="231F20"/>
          <w:spacing w:val="-7"/>
        </w:rPr>
        <w:t>目的。</w:t>
      </w:r>
    </w:p>
    <w:p>
      <w:pPr>
        <w:pStyle w:val="BodyText"/>
        <w:ind w:left="443" w:right="219" w:firstLine="283"/>
        <w:spacing w:before="5" w:line="226" w:lineRule="auto"/>
        <w:jc w:val="both"/>
        <w:rPr/>
      </w:pPr>
      <w:r>
        <w:rPr>
          <w:color w:val="231F20"/>
          <w:spacing w:val="-8"/>
        </w:rPr>
        <w:t>《千金要方》中关于偏枯有“半身不遂，肌肉偏不用而痛”的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3"/>
        </w:rPr>
        <w:t>说法，脑卒中后人体阳气受损，四肢关节疼痛不利，喜静</w:t>
      </w:r>
      <w:r>
        <w:rPr>
          <w:color w:val="231F20"/>
          <w:spacing w:val="2"/>
        </w:rPr>
        <w:t>而少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动，上肢血行不畅，肌肉少用而废，故及时恢复关节、肌肉功能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2"/>
        </w:rPr>
        <w:t>对于恢复有重要意义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2"/>
        </w:rPr>
        <w:t>。本研究中，观察组治疗后高岸肩关节功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能评分、FMA 评分、MMT 评级均显</w:t>
      </w:r>
      <w:r>
        <w:rPr>
          <w:color w:val="231F20"/>
          <w:spacing w:val="-7"/>
        </w:rPr>
        <w:t>著高于对照组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7"/>
        </w:rPr>
        <w:t>，提示药陶罐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疗法能有效改善肩功能，提高肌肉力量，恢复上肢运动功能。这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1"/>
        <w:spacing w:before="40" w:line="226" w:lineRule="auto"/>
        <w:jc w:val="both"/>
        <w:rPr/>
      </w:pPr>
      <w:r>
        <w:rPr>
          <w:color w:val="231F20"/>
          <w:spacing w:val="2"/>
        </w:rPr>
        <w:t>是因为药陶罐通过温热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2"/>
        </w:rPr>
        <w:t>、压痛点强刺激吸出体内瘀滞风寒，逐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其湿气，使肌肤腠理得开，以药酒渗入后，通过艾灸的温养作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用，使关节、经脉得以濡养，“通则不痛”，有效改善了疼痛与关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节活动度，提高肌肉力量，上肢运动功能得</w:t>
      </w:r>
      <w:r>
        <w:rPr>
          <w:color w:val="231F20"/>
          <w:spacing w:val="-6"/>
        </w:rPr>
        <w:t>复。</w:t>
      </w:r>
    </w:p>
    <w:p>
      <w:pPr>
        <w:pStyle w:val="BodyText"/>
        <w:ind w:right="71" w:firstLine="365"/>
        <w:spacing w:before="2" w:line="230" w:lineRule="auto"/>
        <w:rPr/>
      </w:pPr>
      <w:r>
        <w:rPr>
          <w:color w:val="231F20"/>
          <w:spacing w:val="3"/>
        </w:rPr>
        <w:t>综上所述，药陶罐疗法能有效改善症状，恢复上肢活动能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力，对关节、肌肉功能的提高有所帮助。</w:t>
      </w:r>
    </w:p>
    <w:p>
      <w:pPr>
        <w:pStyle w:val="BodyText"/>
        <w:ind w:left="4"/>
        <w:spacing w:line="182" w:lineRule="auto"/>
        <w:rPr/>
      </w:pPr>
      <w:r>
        <w:rPr>
          <w:color w:val="231F20"/>
          <w:spacing w:val="1"/>
        </w:rPr>
        <w:t>参考文献</w:t>
      </w:r>
    </w:p>
    <w:p>
      <w:pPr>
        <w:pStyle w:val="BodyText"/>
        <w:ind w:left="206" w:right="69" w:hanging="200"/>
        <w:spacing w:before="52" w:line="210" w:lineRule="auto"/>
        <w:rPr/>
      </w:pPr>
      <w:r>
        <w:rPr>
          <w:color w:val="231F20"/>
          <w:spacing w:val="-13"/>
        </w:rPr>
        <w:t>[1]任志宏，廖伟东，王涵，等.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3"/>
        </w:rPr>
        <w:t>中药熏蒸与手法治疗脑卒中后肩手综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合征的研究[J].现代中西医结合杂志，2019，28（20</w:t>
      </w:r>
      <w:r>
        <w:rPr>
          <w:color w:val="231F20"/>
          <w:spacing w:val="-26"/>
          <w:w w:val="52"/>
        </w:rPr>
        <w:t>）：</w:t>
      </w:r>
      <w:r>
        <w:rPr>
          <w:color w:val="231F20"/>
          <w:spacing w:val="-13"/>
        </w:rPr>
        <w:t>2185-2188.</w:t>
      </w:r>
    </w:p>
    <w:p>
      <w:pPr>
        <w:pStyle w:val="BodyText"/>
        <w:ind w:left="201" w:right="71" w:hanging="195"/>
        <w:spacing w:before="41" w:line="210" w:lineRule="auto"/>
        <w:rPr/>
      </w:pPr>
      <w:r>
        <w:rPr>
          <w:color w:val="231F20"/>
          <w:spacing w:val="-6"/>
        </w:rPr>
        <w:t>[2]张婷，王洁钰，马耀香.平衡针联合 Bobath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疗法治疗中风后肩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手综合征临床研究[J].针灸临床杂志，2019，35（12</w:t>
      </w:r>
      <w:r>
        <w:rPr>
          <w:color w:val="231F20"/>
          <w:spacing w:val="-30"/>
          <w:w w:val="60"/>
        </w:rPr>
        <w:t>）：</w:t>
      </w:r>
      <w:r>
        <w:rPr>
          <w:color w:val="231F20"/>
          <w:spacing w:val="-10"/>
        </w:rPr>
        <w:t>23-26.</w:t>
      </w:r>
    </w:p>
    <w:p>
      <w:pPr>
        <w:pStyle w:val="BodyText"/>
        <w:ind w:left="199" w:right="71" w:hanging="193"/>
        <w:spacing w:before="42" w:line="210" w:lineRule="auto"/>
        <w:rPr/>
      </w:pPr>
      <w:r>
        <w:rPr>
          <w:color w:val="231F20"/>
          <w:spacing w:val="-6"/>
        </w:rPr>
        <w:t>[3]赵建国，高长玉，顼宝玉，等.脑梗死和脑</w:t>
      </w:r>
      <w:r>
        <w:rPr>
          <w:color w:val="231F20"/>
          <w:spacing w:val="-7"/>
        </w:rPr>
        <w:t>出血中西医结合诊断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标准（试行）[J].中国中西医结合杂志，2006，26（10</w:t>
      </w:r>
      <w:r>
        <w:rPr>
          <w:color w:val="231F20"/>
          <w:spacing w:val="-32"/>
          <w:w w:val="64"/>
        </w:rPr>
        <w:t>）：</w:t>
      </w:r>
      <w:r>
        <w:rPr>
          <w:color w:val="231F20"/>
          <w:spacing w:val="-15"/>
        </w:rPr>
        <w:t>948-949.</w:t>
      </w:r>
    </w:p>
    <w:p>
      <w:pPr>
        <w:pStyle w:val="BodyText"/>
        <w:ind w:left="208" w:right="69" w:hanging="202"/>
        <w:spacing w:before="45" w:line="211" w:lineRule="auto"/>
        <w:rPr/>
      </w:pPr>
      <w:r>
        <w:rPr>
          <w:color w:val="231F20"/>
          <w:spacing w:val="-14"/>
        </w:rPr>
        <w:t>[4]王茂斌，Bryan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4"/>
        </w:rPr>
        <w:t>J.O'Young，Christopher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4"/>
        </w:rPr>
        <w:t>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4"/>
        </w:rPr>
        <w:t>.Ward.神经康复学[M].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北京：人民卫生出版社，2009：579-581.</w:t>
      </w:r>
    </w:p>
    <w:p>
      <w:pPr>
        <w:pStyle w:val="BodyText"/>
        <w:ind w:left="214" w:right="71" w:hanging="208"/>
        <w:spacing w:before="41" w:line="211" w:lineRule="auto"/>
        <w:rPr/>
      </w:pPr>
      <w:r>
        <w:rPr>
          <w:color w:val="231F20"/>
          <w:spacing w:val="1"/>
        </w:rPr>
        <w:t>[5]国家中医药管理局.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"/>
        </w:rPr>
        <w:t>中医病证诊断疗效标准[S].南京：南京大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学出版社，2012：20-21.</w:t>
      </w:r>
    </w:p>
    <w:p>
      <w:pPr>
        <w:pStyle w:val="BodyText"/>
        <w:ind w:left="198" w:right="12" w:hanging="192"/>
        <w:spacing w:before="36" w:line="221" w:lineRule="auto"/>
        <w:rPr/>
      </w:pPr>
      <w:r>
        <w:rPr>
          <w:color w:val="231F20"/>
          <w:spacing w:val="-4"/>
        </w:rPr>
        <w:t>[6]缪鸿石.康复医学理论与实践[M].上海：上海科学技术出版社，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6"/>
        </w:rPr>
        <w:t>2000：286-287.</w:t>
      </w:r>
    </w:p>
    <w:p>
      <w:pPr>
        <w:pStyle w:val="BodyText"/>
        <w:ind w:left="223" w:right="69" w:hanging="217"/>
        <w:spacing w:before="16" w:line="209" w:lineRule="auto"/>
        <w:rPr/>
      </w:pPr>
      <w:r>
        <w:rPr>
          <w:color w:val="231F20"/>
          <w:spacing w:val="-10"/>
          <w:w w:val="99"/>
        </w:rPr>
        <w:t>[7]李志斌，冯尚武，叶锦萍，等.虚拟现实训练结合作业疗法对</w:t>
      </w:r>
      <w:r>
        <w:rPr>
          <w:color w:val="231F20"/>
          <w:spacing w:val="-11"/>
          <w:w w:val="99"/>
        </w:rPr>
        <w:t>脑卒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中患者偏瘫上肢功能的影响[J].中国康复，2019，34（10</w:t>
      </w:r>
      <w:r>
        <w:rPr>
          <w:color w:val="231F20"/>
          <w:spacing w:val="-25"/>
          <w:w w:val="50"/>
        </w:rPr>
        <w:t>）：</w:t>
      </w:r>
      <w:r>
        <w:rPr>
          <w:color w:val="231F20"/>
          <w:spacing w:val="-17"/>
        </w:rPr>
        <w:t>532-5</w:t>
      </w:r>
      <w:r>
        <w:rPr>
          <w:color w:val="231F20"/>
          <w:spacing w:val="-18"/>
        </w:rPr>
        <w:t>34.</w:t>
      </w:r>
    </w:p>
    <w:p>
      <w:pPr>
        <w:pStyle w:val="BodyText"/>
        <w:ind w:left="193" w:right="71" w:hanging="187"/>
        <w:spacing w:before="44" w:line="209" w:lineRule="auto"/>
        <w:rPr/>
      </w:pPr>
      <w:r>
        <w:rPr>
          <w:color w:val="231F20"/>
          <w:spacing w:val="-6"/>
        </w:rPr>
        <w:t>[8]王洪立，吕飞舟，马晓生，等.颈椎病伴上</w:t>
      </w:r>
      <w:r>
        <w:rPr>
          <w:color w:val="231F20"/>
          <w:spacing w:val="-7"/>
        </w:rPr>
        <w:t>肢远端肌萎缩的临床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诊断与手术治疗[J].中华骨科杂志，2019，39（24</w:t>
      </w:r>
      <w:r>
        <w:rPr>
          <w:color w:val="231F20"/>
          <w:spacing w:val="-39"/>
          <w:w w:val="78"/>
        </w:rPr>
        <w:t>）：</w:t>
      </w:r>
      <w:r>
        <w:rPr>
          <w:color w:val="231F20"/>
          <w:spacing w:val="-12"/>
        </w:rPr>
        <w:t>1507</w:t>
      </w:r>
      <w:r>
        <w:rPr>
          <w:color w:val="231F20"/>
          <w:spacing w:val="-13"/>
        </w:rPr>
        <w:t>-1513.</w:t>
      </w:r>
    </w:p>
    <w:p>
      <w:pPr>
        <w:pStyle w:val="BodyText"/>
        <w:ind w:left="200" w:right="71" w:hanging="194"/>
        <w:spacing w:before="47" w:line="209" w:lineRule="auto"/>
        <w:rPr/>
      </w:pPr>
      <w:r>
        <w:rPr>
          <w:color w:val="231F20"/>
          <w:spacing w:val="-9"/>
        </w:rPr>
        <w:t>[9]辛思源，杨志新，郭建恩.“相对穴”内关-外关透针刺法的临床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4"/>
        </w:rPr>
        <w:t>应用[J].中华中医药杂志，2019，34（3</w:t>
      </w:r>
      <w:r>
        <w:rPr>
          <w:color w:val="231F20"/>
          <w:spacing w:val="-39"/>
          <w:w w:val="78"/>
        </w:rPr>
        <w:t>）：</w:t>
      </w:r>
      <w:r>
        <w:rPr>
          <w:color w:val="231F20"/>
          <w:spacing w:val="-15"/>
        </w:rPr>
        <w:t>176-179.</w:t>
      </w:r>
    </w:p>
    <w:p>
      <w:pPr>
        <w:spacing w:line="209" w:lineRule="auto"/>
        <w:sectPr>
          <w:type w:val="continuous"/>
          <w:pgSz w:w="11906" w:h="16838"/>
          <w:pgMar w:top="1518" w:right="780" w:bottom="0" w:left="407" w:header="1196" w:footer="0" w:gutter="0"/>
          <w:cols w:equalWidth="0" w:num="2">
            <w:col w:w="5604" w:space="100"/>
            <w:col w:w="5014" w:space="0"/>
          </w:cols>
        </w:sectPr>
        <w:rPr/>
      </w:pP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1333"/>
        <w:spacing w:before="133" w:line="179" w:lineRule="auto"/>
        <w:outlineLvl w:val="0"/>
        <w:rPr>
          <w:sz w:val="31"/>
          <w:szCs w:val="31"/>
        </w:rPr>
      </w:pPr>
      <w:r>
        <w:rPr>
          <w:sz w:val="31"/>
          <w:szCs w:val="31"/>
          <w:color w:val="231F20"/>
          <w:spacing w:val="-8"/>
        </w:rPr>
        <w:t>中药汤剂结合热敏灸治疗急性盆腔炎（湿热蕴结型）的临床效果</w:t>
      </w:r>
    </w:p>
    <w:p>
      <w:pPr>
        <w:spacing w:line="386" w:lineRule="auto"/>
        <w:rPr>
          <w:rFonts w:ascii="Arial"/>
          <w:sz w:val="21"/>
        </w:rPr>
      </w:pPr>
      <w:r/>
    </w:p>
    <w:p>
      <w:pPr>
        <w:pStyle w:val="BodyText"/>
        <w:ind w:left="5291"/>
        <w:spacing w:before="77" w:line="189" w:lineRule="auto"/>
        <w:rPr/>
      </w:pPr>
      <w:r>
        <w:rPr>
          <w:color w:val="231F20"/>
          <w:spacing w:val="-5"/>
        </w:rPr>
        <w:t>陈雪莲</w:t>
      </w:r>
    </w:p>
    <w:p>
      <w:pPr>
        <w:pStyle w:val="BodyText"/>
        <w:ind w:left="2865"/>
        <w:spacing w:before="3" w:line="193" w:lineRule="auto"/>
        <w:rPr/>
      </w:pPr>
      <w:r>
        <w:rPr>
          <w:color w:val="231F20"/>
        </w:rPr>
        <w:t>（中国人民解放军联勤保障部队天津康复疗养中心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</w:rPr>
        <w:t>天津 </w:t>
      </w:r>
      <w:r>
        <w:rPr>
          <w:color w:val="231F20"/>
          <w:spacing w:val="-1"/>
        </w:rPr>
        <w:t xml:space="preserve"> 300000）</w:t>
      </w:r>
    </w:p>
    <w:p>
      <w:pPr>
        <w:pStyle w:val="BodyText"/>
        <w:ind w:left="447"/>
        <w:spacing w:before="135" w:line="228" w:lineRule="auto"/>
        <w:jc w:val="both"/>
        <w:rPr/>
      </w:pPr>
      <w:r>
        <w:rPr>
          <w:color w:val="231F20"/>
          <w:spacing w:val="-1"/>
        </w:rPr>
        <w:t>摘</w:t>
      </w:r>
      <w:r>
        <w:rPr>
          <w:color w:val="231F20"/>
          <w:spacing w:val="13"/>
          <w:w w:val="101"/>
        </w:rPr>
        <w:t xml:space="preserve">   </w:t>
      </w:r>
      <w:r>
        <w:rPr>
          <w:color w:val="231F20"/>
          <w:spacing w:val="-1"/>
        </w:rPr>
        <w:t>要   </w:t>
      </w:r>
      <w:r>
        <w:rPr>
          <w:color w:val="066792"/>
          <w:spacing w:val="-1"/>
        </w:rPr>
        <w:t>目的</w:t>
      </w:r>
      <w:r>
        <w:rPr>
          <w:color w:val="231F20"/>
          <w:spacing w:val="-1"/>
        </w:rPr>
        <w:t>：评价湿热蕴结型急性盆腔炎应用</w:t>
      </w:r>
      <w:r>
        <w:rPr>
          <w:color w:val="231F20"/>
          <w:spacing w:val="-2"/>
        </w:rPr>
        <w:t>中药汤剂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口服+热敏灸方案的治疗效果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。</w:t>
      </w:r>
      <w:r>
        <w:rPr>
          <w:color w:val="066792"/>
          <w:spacing w:val="-2"/>
        </w:rPr>
        <w:t>方法</w:t>
      </w:r>
      <w:r>
        <w:rPr>
          <w:color w:val="231F20"/>
          <w:spacing w:val="-2"/>
        </w:rPr>
        <w:t>：选取2018年12月—2019年12月收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治的82例急性盆腔炎患者，随机分为对照组（接受中药汤剂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口服治疗）与观察组（接受中药汤剂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口服+热敏灸方案治疗</w:t>
      </w:r>
      <w:r>
        <w:rPr>
          <w:color w:val="231F20"/>
          <w:spacing w:val="-32"/>
          <w:w w:val="75"/>
        </w:rPr>
        <w:t>），</w:t>
      </w:r>
      <w:r>
        <w:rPr>
          <w:color w:val="231F20"/>
          <w:spacing w:val="-2"/>
        </w:rPr>
        <w:t>各41例。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将两组的血清炎性水平、治疗效果进行对比。</w:t>
      </w:r>
      <w:r>
        <w:rPr>
          <w:color w:val="066792"/>
          <w:spacing w:val="-4"/>
        </w:rPr>
        <w:t>结果</w:t>
      </w:r>
      <w:r>
        <w:rPr>
          <w:color w:val="231F20"/>
          <w:spacing w:val="-4"/>
        </w:rPr>
        <w:t>：治疗后，观察组的CRP、IL-6</w:t>
      </w:r>
      <w:r>
        <w:rPr>
          <w:color w:val="231F20"/>
          <w:spacing w:val="-5"/>
        </w:rPr>
        <w:t>、TNF-α水平明显低于对照组（P&lt;0.05</w:t>
      </w:r>
      <w:r>
        <w:rPr>
          <w:color w:val="231F20"/>
          <w:spacing w:val="-31"/>
          <w:w w:val="72"/>
        </w:rPr>
        <w:t>）；</w:t>
      </w:r>
      <w:r>
        <w:rPr>
          <w:color w:val="231F20"/>
          <w:spacing w:val="-5"/>
        </w:rPr>
        <w:t>相比对照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5"/>
        </w:rPr>
        <w:t>组，观察组的腰骶胀痛、带下量多、疲乏低热、小腹疼痛、行经紫暗有血块评分明显更低（P&lt;0.05）。</w:t>
      </w:r>
      <w:r>
        <w:rPr>
          <w:color w:val="066792"/>
          <w:spacing w:val="-5"/>
        </w:rPr>
        <w:t>结论</w:t>
      </w:r>
      <w:r>
        <w:rPr>
          <w:color w:val="231F20"/>
          <w:spacing w:val="-5"/>
        </w:rPr>
        <w:t>：给予湿热郁结型急</w:t>
      </w:r>
      <w:r>
        <w:rPr>
          <w:color w:val="231F20"/>
          <w:spacing w:val="-6"/>
        </w:rPr>
        <w:t>性盆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腔炎热敏疗法联合中药汤剂干预，明显提高了治疗效果，促进了炎性因子的消除。</w:t>
      </w:r>
    </w:p>
    <w:p>
      <w:pPr>
        <w:pStyle w:val="BodyText"/>
        <w:ind w:left="448"/>
        <w:spacing w:before="1" w:line="188" w:lineRule="auto"/>
        <w:rPr/>
      </w:pPr>
      <w:r>
        <w:rPr>
          <w:color w:val="231F20"/>
          <w:spacing w:val="-7"/>
        </w:rPr>
        <w:t>关键词</w:t>
      </w:r>
      <w:r>
        <w:rPr>
          <w:color w:val="231F20"/>
          <w:spacing w:val="27"/>
        </w:rPr>
        <w:t xml:space="preserve">  </w:t>
      </w:r>
      <w:r>
        <w:rPr>
          <w:color w:val="231F20"/>
          <w:spacing w:val="-7"/>
        </w:rPr>
        <w:t>热敏灸；急性盆腔炎；龙胆泻肝汤；炎性因子；临床效果</w:t>
      </w:r>
    </w:p>
    <w:p>
      <w:pPr>
        <w:pStyle w:val="BodyText"/>
        <w:ind w:left="2119"/>
        <w:spacing w:before="69" w:line="191" w:lineRule="auto"/>
        <w:rPr/>
      </w:pPr>
      <w:r>
        <w:rPr>
          <w:color w:val="231F20"/>
          <w:spacing w:val="-11"/>
        </w:rPr>
        <w:t>中图分类号：R711.33         文献标识码：B            文章编号：10</w:t>
      </w:r>
      <w:r>
        <w:rPr>
          <w:color w:val="231F20"/>
          <w:spacing w:val="-12"/>
        </w:rPr>
        <w:t>06-0979（2022）02-0134-03</w:t>
      </w:r>
    </w:p>
    <w:p>
      <w:pPr>
        <w:ind w:left="444"/>
        <w:spacing w:before="65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DOI:10.16040/j.cnki.cn15-1101.2022.02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.040</w:t>
      </w:r>
    </w:p>
    <w:p>
      <w:pPr>
        <w:spacing w:line="185" w:lineRule="exact"/>
        <w:rPr/>
      </w:pPr>
      <w:r/>
    </w:p>
    <w:p>
      <w:pPr>
        <w:spacing w:line="185" w:lineRule="exact"/>
        <w:sectPr>
          <w:type w:val="continuous"/>
          <w:pgSz w:w="11906" w:h="16838"/>
          <w:pgMar w:top="1518" w:right="780" w:bottom="0" w:left="407" w:header="1196" w:footer="0" w:gutter="0"/>
          <w:cols w:equalWidth="0" w:num="1">
            <w:col w:w="10717" w:space="0"/>
          </w:cols>
        </w:sectPr>
        <w:rPr/>
      </w:pPr>
    </w:p>
    <w:p>
      <w:pPr>
        <w:pStyle w:val="BodyText"/>
        <w:ind w:left="445" w:right="156" w:firstLine="370"/>
        <w:spacing w:before="39" w:line="218" w:lineRule="auto"/>
        <w:jc w:val="both"/>
        <w:rPr/>
      </w:pPr>
      <w:r>
        <w:rPr>
          <w:color w:val="231F20"/>
          <w:spacing w:val="2"/>
        </w:rPr>
        <w:t>急性盆腔炎多见于性活跃以及月经期，炎症反应可局限于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3"/>
        </w:rPr>
        <w:t>一个部位，也可以同时累及多个部位，最常引发该病的原</w:t>
      </w:r>
      <w:r>
        <w:rPr>
          <w:color w:val="231F20"/>
          <w:spacing w:val="2"/>
        </w:rPr>
        <w:t>发疾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病为输卵管卵巢炎以及输卵管炎，该病发展迅速，可引起</w:t>
      </w:r>
      <w:r>
        <w:rPr>
          <w:color w:val="231F20"/>
          <w:spacing w:val="2"/>
        </w:rPr>
        <w:t>败血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症、弥漫性腹膜炎以及感染性休克等，对生命健康有着较</w:t>
      </w:r>
      <w:r>
        <w:rPr>
          <w:color w:val="231F20"/>
          <w:spacing w:val="2"/>
        </w:rPr>
        <w:t>大威</w:t>
      </w:r>
      <w:r>
        <w:rPr>
          <w:color w:val="231F20"/>
        </w:rPr>
        <w:t xml:space="preserve">  </w:t>
      </w:r>
      <w:r>
        <w:rPr>
          <w:color w:val="231F20"/>
          <w:spacing w:val="-9"/>
          <w:w w:val="97"/>
        </w:rPr>
        <w:t>胁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9"/>
          <w:w w:val="97"/>
        </w:rPr>
        <w:t>。中医认为急性盆腔炎属于“痛经”“不孕症”“带下”等范畴，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原因与饮食不节、辛辣刺激食物有关，加之湿热瘀阻于子宫、冲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4"/>
        </w:rPr>
        <w:t>任、胞络等处，导致功能失常，可给予活血化瘀、清热解毒等疗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4"/>
        </w:rPr>
        <w:t>法干预，一定程度上可缓解临床症状，但是起效慢，需要结合其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2" w:firstLine="1"/>
        <w:spacing w:before="41" w:line="229" w:lineRule="auto"/>
        <w:jc w:val="both"/>
        <w:rPr/>
      </w:pPr>
      <w:r>
        <w:rPr>
          <w:color w:val="231F20"/>
          <w:spacing w:val="4"/>
        </w:rPr>
        <w:t>他方法进行干预</w:t>
      </w:r>
      <w:r>
        <w:rPr>
          <w:sz w:val="10"/>
          <w:szCs w:val="10"/>
          <w:color w:val="231F20"/>
          <w:spacing w:val="4"/>
          <w:position w:val="6"/>
        </w:rPr>
        <w:t>[1]</w:t>
      </w:r>
      <w:r>
        <w:rPr>
          <w:sz w:val="10"/>
          <w:szCs w:val="10"/>
          <w:color w:val="231F20"/>
          <w:spacing w:val="-11"/>
          <w:position w:val="6"/>
        </w:rPr>
        <w:t xml:space="preserve"> </w:t>
      </w:r>
      <w:r>
        <w:rPr>
          <w:color w:val="231F20"/>
          <w:spacing w:val="4"/>
        </w:rPr>
        <w:t>。近些年来热敏疗法在妇科疾病治疗中应用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较为广泛，通过穴位将药物扩散后，可迅速起到治疗效果。笔者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将热敏疗法联合中医药口服应用于急性盆腔炎，报道如下。</w:t>
      </w:r>
    </w:p>
    <w:p>
      <w:pPr>
        <w:pStyle w:val="BodyText"/>
        <w:ind w:left="18"/>
        <w:spacing w:before="1" w:line="193" w:lineRule="auto"/>
        <w:outlineLvl w:val="0"/>
        <w:rPr/>
      </w:pPr>
      <w:r>
        <w:rPr>
          <w:color w:val="231F20"/>
          <w:spacing w:val="-5"/>
        </w:rPr>
        <w:t>1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5"/>
        </w:rPr>
        <w:t>资料与方法</w:t>
      </w:r>
    </w:p>
    <w:p>
      <w:pPr>
        <w:pStyle w:val="BodyText"/>
        <w:ind w:right="72" w:firstLine="17"/>
        <w:spacing w:before="37" w:line="208" w:lineRule="auto"/>
        <w:jc w:val="both"/>
        <w:rPr/>
      </w:pPr>
      <w:r>
        <w:rPr>
          <w:color w:val="231F20"/>
          <w:spacing w:val="-7"/>
        </w:rPr>
        <w:t>1.1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一般资料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7"/>
        </w:rPr>
        <w:t>选取 2018 年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12 月—2019 年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12 月收治的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82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7"/>
        </w:rPr>
        <w:t>例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急性盆腔炎患者，随机分为对照组（接受中药汤剂口服治疗）与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观察组（接受中药汤剂口服+热敏灸方案治疗</w:t>
      </w:r>
      <w:r>
        <w:rPr>
          <w:color w:val="231F20"/>
          <w:spacing w:val="-27"/>
          <w:w w:val="62"/>
        </w:rPr>
        <w:t>），</w:t>
      </w:r>
      <w:r>
        <w:rPr>
          <w:color w:val="231F20"/>
          <w:spacing w:val="-1"/>
        </w:rPr>
        <w:t>各 41 例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"/>
        </w:rPr>
        <w:t>。纳入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标准：①符合《临床妇产科学》</w:t>
      </w:r>
      <w:r>
        <w:rPr>
          <w:sz w:val="10"/>
          <w:szCs w:val="10"/>
          <w:color w:val="231F20"/>
          <w:spacing w:val="-8"/>
          <w:position w:val="6"/>
        </w:rPr>
        <w:t>[2]</w:t>
      </w:r>
      <w:r>
        <w:rPr>
          <w:sz w:val="10"/>
          <w:szCs w:val="10"/>
          <w:color w:val="231F20"/>
          <w:spacing w:val="-7"/>
          <w:position w:val="6"/>
        </w:rPr>
        <w:t xml:space="preserve"> </w:t>
      </w:r>
      <w:r>
        <w:rPr>
          <w:color w:val="231F20"/>
          <w:spacing w:val="-8"/>
        </w:rPr>
        <w:t>中对急性盆腔炎的诊断标准；②</w:t>
      </w:r>
    </w:p>
    <w:p>
      <w:pPr>
        <w:spacing w:line="208" w:lineRule="auto"/>
        <w:sectPr>
          <w:type w:val="continuous"/>
          <w:pgSz w:w="11906" w:h="16838"/>
          <w:pgMar w:top="1518" w:right="780" w:bottom="0" w:left="407" w:header="1196" w:footer="0" w:gutter="0"/>
          <w:cols w:equalWidth="0" w:num="2">
            <w:col w:w="5602" w:space="100"/>
            <w:col w:w="5015" w:space="0"/>
          </w:cols>
        </w:sectPr>
        <w:rPr/>
      </w:pPr>
    </w:p>
    <w:p>
      <w:pPr>
        <w:spacing w:line="191" w:lineRule="exact"/>
        <w:rPr/>
      </w:pPr>
      <w:r/>
    </w:p>
    <w:p>
      <w:pPr>
        <w:spacing w:line="191" w:lineRule="exact"/>
        <w:sectPr>
          <w:headerReference w:type="default" r:id="rId2"/>
          <w:footerReference w:type="default" r:id="rId3"/>
          <w:pgSz w:w="11906" w:h="16838"/>
          <w:pgMar w:top="1518" w:right="781" w:bottom="1112" w:left="407" w:header="1196" w:footer="873" w:gutter="0"/>
          <w:cols w:equalWidth="0" w:num="1">
            <w:col w:w="10717" w:space="0"/>
          </w:cols>
        </w:sectPr>
        <w:rPr/>
      </w:pPr>
    </w:p>
    <w:p>
      <w:pPr>
        <w:pStyle w:val="BodyText"/>
        <w:ind w:left="366" w:right="141" w:firstLine="78"/>
        <w:spacing w:before="43" w:line="227" w:lineRule="auto"/>
        <w:jc w:val="both"/>
        <w:rPr/>
      </w:pPr>
      <w:r>
        <w:rPr>
          <w:color w:val="231F20"/>
          <w:spacing w:val="-8"/>
        </w:rPr>
        <w:t>符合《中药新药临床研究指导原则（试行）》</w:t>
      </w:r>
      <w:r>
        <w:rPr>
          <w:sz w:val="10"/>
          <w:szCs w:val="10"/>
          <w:color w:val="231F20"/>
          <w:spacing w:val="-8"/>
          <w:position w:val="6"/>
        </w:rPr>
        <w:t>[3]</w:t>
      </w:r>
      <w:r>
        <w:rPr>
          <w:sz w:val="10"/>
          <w:szCs w:val="10"/>
          <w:color w:val="231F20"/>
          <w:spacing w:val="-10"/>
          <w:position w:val="6"/>
        </w:rPr>
        <w:t xml:space="preserve"> </w:t>
      </w:r>
      <w:r>
        <w:rPr>
          <w:color w:val="231F20"/>
          <w:spacing w:val="-8"/>
        </w:rPr>
        <w:t>中对湿热郁结症候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的诊断标准；③临床资料完整，且同意参与研究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。排除标准：①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伴有肝肾功能障碍以及严重的心血管疾病；②处</w:t>
      </w:r>
      <w:r>
        <w:rPr>
          <w:color w:val="231F20"/>
          <w:spacing w:val="5"/>
        </w:rPr>
        <w:t>于哺乳期或者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是妊娠期；③伴有全身感染或者是其他妇科疾病</w:t>
      </w:r>
      <w:r>
        <w:rPr>
          <w:color w:val="231F20"/>
          <w:spacing w:val="5"/>
        </w:rPr>
        <w:t>；④不接受中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药汤剂治疗；⑤慢性盆腔炎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。观察组年龄 25</w:t>
      </w:r>
      <w:r>
        <w:rPr>
          <w:color w:val="231F20"/>
          <w:spacing w:val="-2"/>
        </w:rPr>
        <w:t>～62 岁，平均年龄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（41.23±5.52）岁；平均病程（5.36±0.87）d；疾病类型：输卵管炎症</w:t>
      </w:r>
    </w:p>
    <w:p>
      <w:pPr>
        <w:pStyle w:val="BodyText"/>
        <w:ind w:left="366" w:right="81" w:firstLine="94"/>
        <w:spacing w:before="3" w:line="219" w:lineRule="auto"/>
        <w:rPr/>
      </w:pPr>
      <w:r>
        <w:rPr>
          <w:color w:val="231F20"/>
          <w:spacing w:val="-4"/>
        </w:rPr>
        <w:t>18 例，输卵管积水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4"/>
        </w:rPr>
        <w:t>10 例，子宫内膜炎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4"/>
        </w:rPr>
        <w:t>1</w:t>
      </w:r>
      <w:r>
        <w:rPr>
          <w:color w:val="231F20"/>
          <w:spacing w:val="-5"/>
        </w:rPr>
        <w:t>0 例，盆腔结缔组织 3</w:t>
      </w:r>
      <w:r>
        <w:rPr>
          <w:color w:val="231F20"/>
        </w:rPr>
        <w:t xml:space="preserve">  </w:t>
      </w:r>
      <w:r>
        <w:rPr>
          <w:color w:val="231F20"/>
          <w:spacing w:val="-12"/>
        </w:rPr>
        <w:t>例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2"/>
        </w:rPr>
        <w:t>。对照组年龄 22～62 岁，平均年龄（40.89±5.54）岁；平均病程</w:t>
      </w:r>
      <w:r>
        <w:rPr>
          <w:color w:val="231F20"/>
        </w:rPr>
        <w:t xml:space="preserve">  </w:t>
      </w:r>
      <w:r>
        <w:rPr>
          <w:color w:val="231F20"/>
          <w:spacing w:val="-11"/>
        </w:rPr>
        <w:t>（5.12±0.80）d；疾病类型：输卵管炎症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1"/>
        </w:rPr>
        <w:t>19 例，输卵管积水 9 例，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子宫内膜炎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10 例，盆腔结缔组织 3 例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2"/>
        </w:rPr>
        <w:t>。两组一般资料对比，差</w:t>
      </w:r>
      <w:r>
        <w:rPr>
          <w:color w:val="231F20"/>
        </w:rPr>
        <w:t xml:space="preserve">  </w:t>
      </w:r>
      <w:r>
        <w:rPr>
          <w:color w:val="231F20"/>
          <w:spacing w:val="-12"/>
        </w:rPr>
        <w:t>异无统计学意义（P＞0.05）。</w:t>
      </w:r>
    </w:p>
    <w:p>
      <w:pPr>
        <w:pStyle w:val="BodyText"/>
        <w:ind w:left="444" w:right="71" w:firstLine="17"/>
        <w:spacing w:before="38" w:line="224" w:lineRule="auto"/>
        <w:rPr/>
      </w:pPr>
      <w:r>
        <w:rPr>
          <w:color w:val="231F20"/>
          <w:spacing w:val="-2"/>
        </w:rPr>
        <w:t>1.2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2"/>
        </w:rPr>
        <w:t>治疗方法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-2"/>
        </w:rPr>
        <w:t>对照组接受龙胆泻肝汤治疗，组方：黄芩、山栀</w:t>
      </w:r>
      <w:r>
        <w:rPr>
          <w:color w:val="231F20"/>
        </w:rPr>
        <w:t xml:space="preserve">  </w:t>
      </w:r>
      <w:r>
        <w:rPr>
          <w:color w:val="231F20"/>
          <w:spacing w:val="-16"/>
          <w:w w:val="97"/>
        </w:rPr>
        <w:t>子、车前子、赤芍各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6"/>
          <w:w w:val="97"/>
        </w:rPr>
        <w:t>9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6"/>
          <w:w w:val="97"/>
        </w:rPr>
        <w:t>g，泽泻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6"/>
          <w:w w:val="97"/>
        </w:rPr>
        <w:t>12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6"/>
          <w:w w:val="97"/>
        </w:rPr>
        <w:t>g，茯苓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6"/>
          <w:w w:val="97"/>
        </w:rPr>
        <w:t>12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6"/>
          <w:w w:val="97"/>
        </w:rPr>
        <w:t>g、黄芪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6"/>
          <w:w w:val="97"/>
        </w:rPr>
        <w:t>15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6"/>
          <w:w w:val="97"/>
        </w:rPr>
        <w:t>g、香附</w:t>
      </w:r>
      <w:r>
        <w:rPr>
          <w:color w:val="231F20"/>
        </w:rPr>
        <w:t xml:space="preserve">  </w:t>
      </w:r>
      <w:r>
        <w:rPr>
          <w:color w:val="231F20"/>
          <w:spacing w:val="-14"/>
        </w:rPr>
        <w:t>10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4"/>
        </w:rPr>
        <w:t>g，甘草、龙胆草各 6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4"/>
        </w:rPr>
        <w:t>g。用水煎煮留取 200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4"/>
        </w:rPr>
        <w:t>m</w:t>
      </w:r>
      <w:r>
        <w:rPr>
          <w:color w:val="231F20"/>
          <w:spacing w:val="-15"/>
        </w:rPr>
        <w:t>L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5"/>
        </w:rPr>
        <w:t>药汁，分早晚 2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次服用，连续治疗7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d。观察组在对照组的基础上加用热敏疗灸</w:t>
      </w:r>
      <w:r>
        <w:rPr>
          <w:color w:val="231F20"/>
        </w:rPr>
        <w:t xml:space="preserve">  </w:t>
      </w:r>
      <w:r>
        <w:rPr>
          <w:color w:val="231F20"/>
          <w:spacing w:val="-10"/>
        </w:rPr>
        <w:t>法，穴位选取以腹部、腰部穴位为主，例如子宫、关元、次髎、三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3"/>
        </w:rPr>
        <w:t>阴交、肾俞、气海、归来穴等。治疗方法：操作者先用回旋灸2 min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温通局部的气血，再以雀啄灸强化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7"/>
        </w:rPr>
        <w:t>1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min，循经往返灸 2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min 对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经气进行激发，再以温和灸发动感传，将经络加以开通；若出现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6"/>
          <w:w w:val="99"/>
        </w:rPr>
        <w:t>透热、扩热、近部不热远部热、表面不热深部热、热敏灸部位痛、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4"/>
        </w:rPr>
        <w:t>胀、麻、酸等非热感的其中一种灸感反应，则认为该处穴位已经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4"/>
        </w:rPr>
        <w:t>发生热敏化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4"/>
        </w:rPr>
        <w:t>。两组连续治疗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1 个月，进行为期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1 年</w:t>
      </w:r>
      <w:r>
        <w:rPr>
          <w:color w:val="231F20"/>
          <w:spacing w:val="-5"/>
        </w:rPr>
        <w:t>的随访。</w:t>
      </w:r>
    </w:p>
    <w:p>
      <w:pPr>
        <w:pStyle w:val="BodyText"/>
        <w:ind w:left="442" w:right="81" w:firstLine="18"/>
        <w:spacing w:before="40" w:line="223" w:lineRule="auto"/>
        <w:rPr/>
      </w:pPr>
      <w:r>
        <w:rPr>
          <w:color w:val="231F20"/>
          <w:spacing w:val="-7"/>
        </w:rPr>
        <w:t>1.3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观察指标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7"/>
        </w:rPr>
        <w:t>（1）对比两组治疗前、后的炎性因子，包含白细胞</w:t>
      </w:r>
      <w:r>
        <w:rPr>
          <w:color w:val="231F20"/>
        </w:rPr>
        <w:t xml:space="preserve">  </w:t>
      </w:r>
      <w:r>
        <w:rPr>
          <w:color w:val="231F20"/>
          <w:spacing w:val="-18"/>
        </w:rPr>
        <w:t>介素-6（IL-6）、血清 C 反应蛋白（CRP）、肿瘤坏死因子 α（TNF-α)</w:t>
      </w:r>
      <w:r>
        <w:rPr>
          <w:color w:val="231F20"/>
        </w:rPr>
        <w:t xml:space="preserve">   </w:t>
      </w:r>
      <w:r>
        <w:rPr>
          <w:color w:val="231F20"/>
          <w:spacing w:val="-6"/>
        </w:rPr>
        <w:t>水平；测定方法，抽者空腹静脉血 3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mL，且置于抗凝试管当中，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在零下 20℃环境中保存，采用免疫学检</w:t>
      </w:r>
      <w:r>
        <w:rPr>
          <w:color w:val="231F20"/>
          <w:spacing w:val="-3"/>
        </w:rPr>
        <w:t>测法测定 IL-6 水平，采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用免疫比浊法测定 CRP 水平，采用双抗体夹心法酶联免疫吸附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5"/>
        </w:rPr>
        <w:t>试验法测定 TNF-α 水平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5"/>
        </w:rPr>
        <w:t>。（2）根据中医主要症候对临床症状进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行评估，主要症状包含腰骶胀痛、带下量多、疲乏低热、小腹疼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5"/>
        </w:rPr>
        <w:t>痛、行经紫暗有血块等，轻度不适计 2 分，中度不适计 4</w:t>
      </w:r>
      <w:r>
        <w:rPr>
          <w:color w:val="231F20"/>
          <w:spacing w:val="-6"/>
        </w:rPr>
        <w:t xml:space="preserve"> 分，重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度不适计 6 分。</w:t>
      </w:r>
    </w:p>
    <w:p>
      <w:pPr>
        <w:pStyle w:val="BodyText"/>
        <w:ind w:left="448" w:right="141" w:firstLine="13"/>
        <w:spacing w:before="28" w:line="216" w:lineRule="auto"/>
        <w:rPr/>
      </w:pPr>
      <w:r>
        <w:pict>
          <v:shape id="_x0000_s6" style="position:absolute;margin-left:87.3972pt;margin-top:17.8869pt;mso-position-vertical-relative:text;mso-position-horizontal-relative:text;width:3.35pt;height:0.2pt;z-index:-251658240;" filled="false" strokecolor="#231F20" strokeweight="0.20pt" coordsize="66,4" coordorigin="0,0" path="m0,1l66,1e">
            <v:stroke joinstyle="miter" miterlimit="10"/>
          </v:shape>
        </w:pict>
      </w:r>
      <w:r>
        <w:rPr>
          <w:color w:val="231F20"/>
          <w:spacing w:val="-2"/>
        </w:rPr>
        <w:t>1.4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2"/>
        </w:rPr>
        <w:t>统计学方法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-2"/>
        </w:rPr>
        <w:t>采用 SPSS22.0 软件分析处理数据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，计量资料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以均数±标准差（</w:t>
      </w:r>
      <w:r>
        <w:rPr>
          <w:color w:val="231F20"/>
          <w:spacing w:val="-14"/>
        </w:rPr>
        <w:t>x</w:t>
      </w:r>
      <w:r>
        <w:rPr>
          <w:color w:val="231F20"/>
          <w:spacing w:val="-14"/>
        </w:rPr>
        <w:t>±s）表示，行 t 检验。P＜0.05 表示</w:t>
      </w:r>
      <w:r>
        <w:rPr>
          <w:color w:val="231F20"/>
          <w:spacing w:val="-15"/>
        </w:rPr>
        <w:t>差异有统计学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意义。</w:t>
      </w:r>
    </w:p>
    <w:p>
      <w:pPr>
        <w:pStyle w:val="BodyText"/>
        <w:ind w:left="446"/>
        <w:spacing w:before="55" w:line="195" w:lineRule="auto"/>
        <w:rPr/>
      </w:pPr>
      <w:r>
        <w:rPr>
          <w:color w:val="231F20"/>
          <w:spacing w:val="-9"/>
          <w:w w:val="99"/>
        </w:rPr>
        <w:t>2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-9"/>
          <w:w w:val="99"/>
        </w:rPr>
        <w:t>结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9"/>
          <w:w w:val="99"/>
        </w:rPr>
        <w:t>果</w:t>
      </w:r>
    </w:p>
    <w:p>
      <w:pPr>
        <w:pStyle w:val="BodyText"/>
        <w:ind w:left="446" w:right="71"/>
        <w:spacing w:before="29" w:line="212" w:lineRule="auto"/>
        <w:rPr/>
      </w:pPr>
      <w:r>
        <w:rPr>
          <w:color w:val="231F20"/>
          <w:spacing w:val="-5"/>
        </w:rPr>
        <w:t>2.1 两组炎性因子比较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-5"/>
        </w:rPr>
        <w:t>治疗后，与对照组相比，观察组的 CRP、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IL-6、TNF-α 水平明显降低（P&lt;0.05</w:t>
      </w:r>
      <w:r>
        <w:rPr>
          <w:color w:val="231F20"/>
          <w:spacing w:val="-24"/>
          <w:w w:val="56"/>
        </w:rPr>
        <w:t>），</w:t>
      </w:r>
      <w:r>
        <w:rPr>
          <w:color w:val="231F20"/>
          <w:spacing w:val="-9"/>
        </w:rPr>
        <w:t>见表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9"/>
        </w:rPr>
        <w:t>1。</w:t>
      </w:r>
    </w:p>
    <w:p>
      <w:pPr>
        <w:pStyle w:val="BodyText"/>
        <w:ind w:left="1902"/>
        <w:spacing w:before="46" w:line="197" w:lineRule="auto"/>
        <w:rPr>
          <w:sz w:val="15"/>
          <w:szCs w:val="15"/>
        </w:rPr>
      </w:pPr>
      <w:r>
        <w:pict>
          <v:shape id="_x0000_s8" style="position:absolute;margin-left:181.998pt;margin-top:3.63102pt;mso-position-vertical-relative:text;mso-position-horizontal-relative:text;width:2.7pt;height:0.2pt;z-index:251660288;" filled="false" strokecolor="#231F20" strokeweight="0.20pt" coordsize="54,4" coordorigin="0,0" path="m0,1l53,1e">
            <v:stroke joinstyle="miter" miterlimit="10"/>
          </v:shape>
        </w:pict>
      </w:r>
      <w:r>
        <w:rPr>
          <w:sz w:val="15"/>
          <w:szCs w:val="15"/>
          <w:color w:val="231F20"/>
          <w:spacing w:val="-5"/>
        </w:rPr>
        <w:t>表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1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-5"/>
        </w:rPr>
        <w:t>两组炎性因子比较（</w:t>
      </w:r>
      <w:r>
        <w:rPr>
          <w:sz w:val="15"/>
          <w:szCs w:val="15"/>
          <w:color w:val="231F20"/>
          <w:spacing w:val="-5"/>
        </w:rPr>
        <w:t>x</w:t>
      </w:r>
      <w:r>
        <w:rPr>
          <w:sz w:val="15"/>
          <w:szCs w:val="15"/>
          <w:color w:val="231F20"/>
          <w:spacing w:val="-5"/>
        </w:rPr>
        <w:t>±s）</w:t>
      </w:r>
    </w:p>
    <w:p>
      <w:pPr>
        <w:spacing w:line="95" w:lineRule="exact"/>
        <w:rPr/>
      </w:pPr>
      <w:r/>
    </w:p>
    <w:tbl>
      <w:tblPr>
        <w:tblStyle w:val="TableNormal"/>
        <w:tblW w:w="4948" w:type="dxa"/>
        <w:tblInd w:w="44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56"/>
        <w:gridCol w:w="580"/>
        <w:gridCol w:w="619"/>
        <w:gridCol w:w="616"/>
        <w:gridCol w:w="621"/>
        <w:gridCol w:w="616"/>
        <w:gridCol w:w="621"/>
        <w:gridCol w:w="619"/>
      </w:tblGrid>
      <w:tr>
        <w:trPr>
          <w:trHeight w:val="274" w:hRule="atLeast"/>
        </w:trPr>
        <w:tc>
          <w:tcPr>
            <w:tcW w:w="656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152"/>
              <w:spacing w:before="195" w:line="191" w:lineRule="auto"/>
              <w:rPr/>
            </w:pPr>
            <w:r>
              <w:rPr>
                <w:color w:val="231F20"/>
                <w:spacing w:val="7"/>
              </w:rPr>
              <w:t>组别</w:t>
            </w:r>
          </w:p>
        </w:tc>
        <w:tc>
          <w:tcPr>
            <w:tcW w:w="580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115"/>
              <w:spacing w:before="196" w:line="189" w:lineRule="auto"/>
              <w:rPr/>
            </w:pPr>
            <w:r>
              <w:rPr>
                <w:color w:val="231F20"/>
                <w:spacing w:val="7"/>
              </w:rPr>
              <w:t>例数</w:t>
            </w:r>
          </w:p>
        </w:tc>
        <w:tc>
          <w:tcPr>
            <w:tcW w:w="1235" w:type="dxa"/>
            <w:vAlign w:val="top"/>
            <w:gridSpan w:val="2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45"/>
              <w:spacing w:before="55" w:line="187" w:lineRule="auto"/>
              <w:rPr/>
            </w:pPr>
            <w:r>
              <w:rPr>
                <w:color w:val="231F20"/>
                <w:spacing w:val="-16"/>
              </w:rPr>
              <w:t>CRP（mg/L）</w:t>
            </w:r>
          </w:p>
        </w:tc>
        <w:tc>
          <w:tcPr>
            <w:tcW w:w="2477" w:type="dxa"/>
            <w:vAlign w:val="top"/>
            <w:gridSpan w:val="4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96"/>
              <w:spacing w:before="54" w:line="188" w:lineRule="auto"/>
              <w:rPr/>
            </w:pPr>
            <w:r>
              <w:rPr>
                <w:color w:val="231F20"/>
                <w:spacing w:val="-12"/>
              </w:rPr>
              <w:t>IL-6（pg/mL）</w:t>
            </w:r>
            <w:r>
              <w:rPr>
                <w:color w:val="231F20"/>
                <w:spacing w:val="4"/>
              </w:rPr>
              <w:t xml:space="preserve">     </w:t>
            </w:r>
            <w:r>
              <w:rPr>
                <w:color w:val="231F20"/>
                <w:spacing w:val="-12"/>
              </w:rPr>
              <w:t>TNF-α（ng/mL）</w:t>
            </w:r>
          </w:p>
        </w:tc>
      </w:tr>
      <w:tr>
        <w:trPr>
          <w:trHeight w:val="276" w:hRule="atLeast"/>
        </w:trPr>
        <w:tc>
          <w:tcPr>
            <w:tcW w:w="656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0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9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75"/>
              <w:spacing w:before="57" w:line="194" w:lineRule="auto"/>
              <w:rPr/>
            </w:pPr>
            <w:r>
              <w:rPr>
                <w:color w:val="231F20"/>
                <w:spacing w:val="7"/>
              </w:rPr>
              <w:t>治疗前</w:t>
            </w:r>
          </w:p>
        </w:tc>
        <w:tc>
          <w:tcPr>
            <w:tcW w:w="616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75"/>
              <w:spacing w:before="57" w:line="194" w:lineRule="auto"/>
              <w:rPr/>
            </w:pPr>
            <w:r>
              <w:rPr>
                <w:color w:val="231F20"/>
                <w:spacing w:val="7"/>
              </w:rPr>
              <w:t>治疗后</w:t>
            </w:r>
          </w:p>
        </w:tc>
        <w:tc>
          <w:tcPr>
            <w:tcW w:w="62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77"/>
              <w:spacing w:before="57" w:line="194" w:lineRule="auto"/>
              <w:rPr/>
            </w:pPr>
            <w:r>
              <w:rPr>
                <w:color w:val="231F20"/>
                <w:spacing w:val="7"/>
              </w:rPr>
              <w:t>治疗前</w:t>
            </w:r>
          </w:p>
        </w:tc>
        <w:tc>
          <w:tcPr>
            <w:tcW w:w="616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75"/>
              <w:spacing w:before="57" w:line="194" w:lineRule="auto"/>
              <w:rPr/>
            </w:pPr>
            <w:r>
              <w:rPr>
                <w:color w:val="231F20"/>
                <w:spacing w:val="7"/>
              </w:rPr>
              <w:t>治疗后</w:t>
            </w:r>
          </w:p>
        </w:tc>
        <w:tc>
          <w:tcPr>
            <w:tcW w:w="62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77"/>
              <w:spacing w:before="57" w:line="194" w:lineRule="auto"/>
              <w:rPr/>
            </w:pPr>
            <w:r>
              <w:rPr>
                <w:color w:val="231F20"/>
                <w:spacing w:val="7"/>
              </w:rPr>
              <w:t>治疗前</w:t>
            </w:r>
          </w:p>
        </w:tc>
        <w:tc>
          <w:tcPr>
            <w:tcW w:w="619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75"/>
              <w:spacing w:before="57" w:line="194" w:lineRule="auto"/>
              <w:rPr/>
            </w:pPr>
            <w:r>
              <w:rPr>
                <w:color w:val="231F20"/>
                <w:spacing w:val="7"/>
              </w:rPr>
              <w:t>治疗后</w:t>
            </w:r>
          </w:p>
        </w:tc>
      </w:tr>
      <w:tr>
        <w:trPr>
          <w:trHeight w:val="516" w:hRule="atLeast"/>
        </w:trPr>
        <w:tc>
          <w:tcPr>
            <w:tcW w:w="65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2"/>
              <w:spacing w:before="177" w:line="211" w:lineRule="auto"/>
              <w:rPr/>
            </w:pPr>
            <w:r>
              <w:rPr>
                <w:color w:val="231F20"/>
                <w:spacing w:val="8"/>
              </w:rPr>
              <w:t>对照组</w:t>
            </w:r>
          </w:p>
        </w:tc>
        <w:tc>
          <w:tcPr>
            <w:tcW w:w="58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93"/>
              <w:spacing w:before="207" w:line="200" w:lineRule="auto"/>
              <w:rPr/>
            </w:pPr>
            <w:r>
              <w:rPr>
                <w:color w:val="231F20"/>
                <w:spacing w:val="-6"/>
              </w:rPr>
              <w:t>40</w:t>
            </w:r>
          </w:p>
        </w:tc>
        <w:tc>
          <w:tcPr>
            <w:tcW w:w="61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5"/>
              <w:spacing w:before="77" w:line="204" w:lineRule="auto"/>
              <w:rPr/>
            </w:pPr>
            <w:r>
              <w:rPr>
                <w:color w:val="231F20"/>
                <w:spacing w:val="-9"/>
              </w:rPr>
              <w:t>16.22±</w:t>
            </w:r>
          </w:p>
          <w:p>
            <w:pPr>
              <w:pStyle w:val="TableText"/>
              <w:ind w:left="176"/>
              <w:spacing w:before="40" w:line="158" w:lineRule="auto"/>
              <w:rPr/>
            </w:pPr>
            <w:r>
              <w:rPr>
                <w:color w:val="231F20"/>
                <w:spacing w:val="-5"/>
              </w:rPr>
              <w:t>2.52</w:t>
            </w:r>
          </w:p>
        </w:tc>
        <w:tc>
          <w:tcPr>
            <w:tcW w:w="61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5"/>
              <w:spacing w:before="77" w:line="204" w:lineRule="auto"/>
              <w:rPr/>
            </w:pPr>
            <w:r>
              <w:rPr>
                <w:color w:val="231F20"/>
                <w:spacing w:val="-9"/>
              </w:rPr>
              <w:t>11.11±</w:t>
            </w:r>
          </w:p>
          <w:p>
            <w:pPr>
              <w:pStyle w:val="TableText"/>
              <w:ind w:left="176"/>
              <w:spacing w:before="40" w:line="158" w:lineRule="auto"/>
              <w:rPr/>
            </w:pPr>
            <w:r>
              <w:rPr>
                <w:color w:val="231F20"/>
                <w:spacing w:val="-5"/>
              </w:rPr>
              <w:t>2.63</w:t>
            </w:r>
          </w:p>
        </w:tc>
        <w:tc>
          <w:tcPr>
            <w:tcW w:w="62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34"/>
              <w:spacing w:before="77" w:line="204" w:lineRule="auto"/>
              <w:rPr/>
            </w:pPr>
            <w:r>
              <w:rPr>
                <w:color w:val="231F20"/>
                <w:spacing w:val="-6"/>
              </w:rPr>
              <w:t>5.63±</w:t>
            </w:r>
          </w:p>
          <w:p>
            <w:pPr>
              <w:pStyle w:val="TableText"/>
              <w:ind w:left="191"/>
              <w:spacing w:before="40" w:line="158" w:lineRule="auto"/>
              <w:rPr/>
            </w:pPr>
            <w:r>
              <w:rPr>
                <w:color w:val="231F20"/>
                <w:spacing w:val="-9"/>
              </w:rPr>
              <w:t>1.01</w:t>
            </w:r>
          </w:p>
        </w:tc>
        <w:tc>
          <w:tcPr>
            <w:tcW w:w="61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33"/>
              <w:spacing w:before="77" w:line="204" w:lineRule="auto"/>
              <w:rPr/>
            </w:pPr>
            <w:r>
              <w:rPr>
                <w:color w:val="231F20"/>
                <w:spacing w:val="-7"/>
              </w:rPr>
              <w:t>3.69±</w:t>
            </w:r>
          </w:p>
          <w:p>
            <w:pPr>
              <w:pStyle w:val="TableText"/>
              <w:ind w:left="175"/>
              <w:spacing w:before="40" w:line="158" w:lineRule="auto"/>
              <w:rPr/>
            </w:pPr>
            <w:r>
              <w:rPr>
                <w:color w:val="231F20"/>
                <w:spacing w:val="-5"/>
              </w:rPr>
              <w:t>0.74</w:t>
            </w:r>
          </w:p>
        </w:tc>
        <w:tc>
          <w:tcPr>
            <w:tcW w:w="62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8"/>
              <w:spacing w:before="77" w:line="204" w:lineRule="auto"/>
              <w:rPr/>
            </w:pPr>
            <w:r>
              <w:rPr>
                <w:color w:val="231F20"/>
                <w:spacing w:val="-9"/>
              </w:rPr>
              <w:t>12.88±</w:t>
            </w:r>
          </w:p>
          <w:p>
            <w:pPr>
              <w:pStyle w:val="TableText"/>
              <w:ind w:left="178"/>
              <w:spacing w:before="40" w:line="158" w:lineRule="auto"/>
              <w:rPr/>
            </w:pPr>
            <w:r>
              <w:rPr>
                <w:color w:val="231F20"/>
                <w:spacing w:val="-5"/>
              </w:rPr>
              <w:t>2.63</w:t>
            </w:r>
          </w:p>
        </w:tc>
        <w:tc>
          <w:tcPr>
            <w:tcW w:w="61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5"/>
              <w:spacing w:before="77" w:line="204" w:lineRule="auto"/>
              <w:rPr/>
            </w:pPr>
            <w:r>
              <w:rPr>
                <w:color w:val="231F20"/>
                <w:spacing w:val="-9"/>
              </w:rPr>
              <w:t>10.11±</w:t>
            </w:r>
          </w:p>
          <w:p>
            <w:pPr>
              <w:pStyle w:val="TableText"/>
              <w:ind w:left="189"/>
              <w:spacing w:before="40" w:line="158" w:lineRule="auto"/>
              <w:rPr/>
            </w:pPr>
            <w:r>
              <w:rPr>
                <w:color w:val="231F20"/>
                <w:spacing w:val="-9"/>
              </w:rPr>
              <w:t>1.01</w:t>
            </w:r>
          </w:p>
        </w:tc>
      </w:tr>
      <w:tr>
        <w:trPr>
          <w:trHeight w:val="506" w:hRule="atLeast"/>
        </w:trPr>
        <w:tc>
          <w:tcPr>
            <w:tcW w:w="656" w:type="dxa"/>
            <w:vAlign w:val="top"/>
          </w:tcPr>
          <w:p>
            <w:pPr>
              <w:pStyle w:val="TableText"/>
              <w:ind w:left="75"/>
              <w:spacing w:before="177" w:line="192" w:lineRule="auto"/>
              <w:rPr/>
            </w:pPr>
            <w:r>
              <w:rPr>
                <w:color w:val="231F20"/>
                <w:spacing w:val="7"/>
              </w:rPr>
              <w:t>观察组</w:t>
            </w:r>
          </w:p>
        </w:tc>
        <w:tc>
          <w:tcPr>
            <w:tcW w:w="580" w:type="dxa"/>
            <w:vAlign w:val="top"/>
          </w:tcPr>
          <w:p>
            <w:pPr>
              <w:pStyle w:val="TableText"/>
              <w:ind w:left="193"/>
              <w:spacing w:before="200" w:line="200" w:lineRule="auto"/>
              <w:rPr/>
            </w:pPr>
            <w:r>
              <w:rPr>
                <w:color w:val="231F20"/>
                <w:spacing w:val="-6"/>
              </w:rPr>
              <w:t>40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105"/>
              <w:spacing w:before="69" w:line="204" w:lineRule="auto"/>
              <w:rPr/>
            </w:pPr>
            <w:r>
              <w:rPr>
                <w:color w:val="231F20"/>
                <w:spacing w:val="-9"/>
              </w:rPr>
              <w:t>16.36±</w:t>
            </w:r>
          </w:p>
          <w:p>
            <w:pPr>
              <w:pStyle w:val="TableText"/>
              <w:ind w:left="176"/>
              <w:spacing w:before="40" w:line="167" w:lineRule="exact"/>
              <w:rPr/>
            </w:pPr>
            <w:r>
              <w:rPr>
                <w:color w:val="231F20"/>
                <w:spacing w:val="-5"/>
                <w:position w:val="-1"/>
              </w:rPr>
              <w:t>2.36</w:t>
            </w:r>
          </w:p>
        </w:tc>
        <w:tc>
          <w:tcPr>
            <w:tcW w:w="616" w:type="dxa"/>
            <w:vAlign w:val="top"/>
          </w:tcPr>
          <w:p>
            <w:pPr>
              <w:pStyle w:val="TableText"/>
              <w:ind w:left="132"/>
              <w:spacing w:before="69" w:line="204" w:lineRule="auto"/>
              <w:rPr/>
            </w:pPr>
            <w:r>
              <w:rPr>
                <w:color w:val="231F20"/>
                <w:spacing w:val="-6"/>
              </w:rPr>
              <w:t>6.66±</w:t>
            </w:r>
          </w:p>
          <w:p>
            <w:pPr>
              <w:pStyle w:val="TableText"/>
              <w:ind w:left="188"/>
              <w:spacing w:before="40" w:line="167" w:lineRule="exact"/>
              <w:rPr/>
            </w:pPr>
            <w:r>
              <w:rPr>
                <w:color w:val="231F20"/>
                <w:spacing w:val="-9"/>
                <w:position w:val="-1"/>
              </w:rPr>
              <w:t>1.02</w:t>
            </w:r>
          </w:p>
        </w:tc>
        <w:tc>
          <w:tcPr>
            <w:tcW w:w="621" w:type="dxa"/>
            <w:vAlign w:val="top"/>
          </w:tcPr>
          <w:p>
            <w:pPr>
              <w:pStyle w:val="TableText"/>
              <w:ind w:left="134"/>
              <w:spacing w:before="69" w:line="204" w:lineRule="auto"/>
              <w:rPr/>
            </w:pPr>
            <w:r>
              <w:rPr>
                <w:color w:val="231F20"/>
                <w:spacing w:val="-6"/>
              </w:rPr>
              <w:t>5.99±</w:t>
            </w:r>
          </w:p>
          <w:p>
            <w:pPr>
              <w:pStyle w:val="TableText"/>
              <w:ind w:left="191"/>
              <w:spacing w:before="40" w:line="167" w:lineRule="exact"/>
              <w:rPr/>
            </w:pPr>
            <w:r>
              <w:rPr>
                <w:color w:val="231F20"/>
                <w:spacing w:val="-9"/>
                <w:position w:val="-1"/>
              </w:rPr>
              <w:t>1.01</w:t>
            </w:r>
          </w:p>
        </w:tc>
        <w:tc>
          <w:tcPr>
            <w:tcW w:w="616" w:type="dxa"/>
            <w:vAlign w:val="top"/>
          </w:tcPr>
          <w:p>
            <w:pPr>
              <w:pStyle w:val="TableText"/>
              <w:ind w:left="131"/>
              <w:spacing w:before="69" w:line="204" w:lineRule="auto"/>
              <w:rPr/>
            </w:pPr>
            <w:r>
              <w:rPr>
                <w:color w:val="231F20"/>
                <w:spacing w:val="-6"/>
              </w:rPr>
              <w:t>2.01±</w:t>
            </w:r>
          </w:p>
          <w:p>
            <w:pPr>
              <w:pStyle w:val="TableText"/>
              <w:ind w:left="175"/>
              <w:spacing w:before="40" w:line="167" w:lineRule="exact"/>
              <w:rPr/>
            </w:pPr>
            <w:r>
              <w:rPr>
                <w:color w:val="231F20"/>
                <w:spacing w:val="-5"/>
                <w:position w:val="-1"/>
              </w:rPr>
              <w:t>0.36</w:t>
            </w:r>
          </w:p>
        </w:tc>
        <w:tc>
          <w:tcPr>
            <w:tcW w:w="621" w:type="dxa"/>
            <w:vAlign w:val="top"/>
          </w:tcPr>
          <w:p>
            <w:pPr>
              <w:pStyle w:val="TableText"/>
              <w:ind w:left="108"/>
              <w:spacing w:before="69" w:line="204" w:lineRule="auto"/>
              <w:rPr/>
            </w:pPr>
            <w:r>
              <w:rPr>
                <w:color w:val="231F20"/>
                <w:spacing w:val="-9"/>
              </w:rPr>
              <w:t>12.63±</w:t>
            </w:r>
          </w:p>
          <w:p>
            <w:pPr>
              <w:pStyle w:val="TableText"/>
              <w:ind w:left="178"/>
              <w:spacing w:before="40" w:line="167" w:lineRule="exact"/>
              <w:rPr/>
            </w:pPr>
            <w:r>
              <w:rPr>
                <w:color w:val="231F20"/>
                <w:spacing w:val="-5"/>
                <w:position w:val="-1"/>
              </w:rPr>
              <w:t>2.55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132"/>
              <w:spacing w:before="69" w:line="204" w:lineRule="auto"/>
              <w:rPr/>
            </w:pPr>
            <w:r>
              <w:rPr>
                <w:color w:val="231F20"/>
                <w:spacing w:val="-6"/>
              </w:rPr>
              <w:t>6.89±</w:t>
            </w:r>
          </w:p>
          <w:p>
            <w:pPr>
              <w:pStyle w:val="TableText"/>
              <w:ind w:left="189"/>
              <w:spacing w:before="40" w:line="167" w:lineRule="exact"/>
              <w:rPr/>
            </w:pPr>
            <w:r>
              <w:rPr>
                <w:color w:val="231F20"/>
                <w:spacing w:val="-9"/>
                <w:position w:val="-1"/>
              </w:rPr>
              <w:t>1.03</w:t>
            </w:r>
          </w:p>
        </w:tc>
      </w:tr>
      <w:tr>
        <w:trPr>
          <w:trHeight w:val="253" w:hRule="atLeast"/>
        </w:trPr>
        <w:tc>
          <w:tcPr>
            <w:tcW w:w="656" w:type="dxa"/>
            <w:vAlign w:val="top"/>
          </w:tcPr>
          <w:p>
            <w:pPr>
              <w:pStyle w:val="TableText"/>
              <w:ind w:left="275"/>
              <w:spacing w:before="82" w:line="161" w:lineRule="exact"/>
              <w:rPr/>
            </w:pPr>
            <w:r>
              <w:rPr>
                <w:color w:val="231F20"/>
              </w:rPr>
              <w:t>t</w:t>
            </w:r>
          </w:p>
        </w:tc>
        <w:tc>
          <w:tcPr>
            <w:tcW w:w="5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9" w:type="dxa"/>
            <w:vAlign w:val="top"/>
          </w:tcPr>
          <w:p>
            <w:pPr>
              <w:pStyle w:val="TableText"/>
              <w:ind w:left="134"/>
              <w:spacing w:before="76" w:line="167" w:lineRule="exact"/>
              <w:rPr/>
            </w:pPr>
            <w:r>
              <w:rPr>
                <w:color w:val="231F20"/>
                <w:spacing w:val="-6"/>
                <w:position w:val="-1"/>
              </w:rPr>
              <w:t>0.260</w:t>
            </w:r>
          </w:p>
        </w:tc>
        <w:tc>
          <w:tcPr>
            <w:tcW w:w="616" w:type="dxa"/>
            <w:vAlign w:val="top"/>
          </w:tcPr>
          <w:p>
            <w:pPr>
              <w:pStyle w:val="TableText"/>
              <w:ind w:left="109"/>
              <w:spacing w:before="76" w:line="167" w:lineRule="exact"/>
              <w:rPr/>
            </w:pPr>
            <w:r>
              <w:rPr>
                <w:color w:val="231F20"/>
                <w:spacing w:val="-9"/>
                <w:position w:val="-1"/>
              </w:rPr>
              <w:t>10.101</w:t>
            </w:r>
          </w:p>
        </w:tc>
        <w:tc>
          <w:tcPr>
            <w:tcW w:w="621" w:type="dxa"/>
            <w:vAlign w:val="top"/>
          </w:tcPr>
          <w:p>
            <w:pPr>
              <w:pStyle w:val="TableText"/>
              <w:ind w:left="150"/>
              <w:spacing w:before="76" w:line="167" w:lineRule="exact"/>
              <w:rPr/>
            </w:pPr>
            <w:r>
              <w:rPr>
                <w:color w:val="231F20"/>
                <w:spacing w:val="-9"/>
                <w:position w:val="-1"/>
              </w:rPr>
              <w:t>1.614</w:t>
            </w:r>
          </w:p>
        </w:tc>
        <w:tc>
          <w:tcPr>
            <w:tcW w:w="616" w:type="dxa"/>
            <w:vAlign w:val="top"/>
          </w:tcPr>
          <w:p>
            <w:pPr>
              <w:pStyle w:val="TableText"/>
              <w:ind w:left="109"/>
              <w:spacing w:before="76" w:line="167" w:lineRule="exact"/>
              <w:rPr/>
            </w:pPr>
            <w:r>
              <w:rPr>
                <w:color w:val="231F20"/>
                <w:spacing w:val="-9"/>
                <w:position w:val="-1"/>
              </w:rPr>
              <w:t>13.072</w:t>
            </w:r>
          </w:p>
        </w:tc>
        <w:tc>
          <w:tcPr>
            <w:tcW w:w="621" w:type="dxa"/>
            <w:vAlign w:val="top"/>
          </w:tcPr>
          <w:p>
            <w:pPr>
              <w:pStyle w:val="TableText"/>
              <w:ind w:left="136"/>
              <w:spacing w:before="76" w:line="167" w:lineRule="exact"/>
              <w:rPr/>
            </w:pPr>
            <w:r>
              <w:rPr>
                <w:color w:val="231F20"/>
                <w:spacing w:val="-6"/>
                <w:position w:val="-1"/>
              </w:rPr>
              <w:t>0.437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109"/>
              <w:spacing w:before="76" w:line="167" w:lineRule="exact"/>
              <w:rPr/>
            </w:pPr>
            <w:r>
              <w:rPr>
                <w:color w:val="231F20"/>
                <w:spacing w:val="-9"/>
                <w:position w:val="-1"/>
              </w:rPr>
              <w:t>14.293</w:t>
            </w:r>
          </w:p>
        </w:tc>
      </w:tr>
      <w:tr>
        <w:trPr>
          <w:trHeight w:val="273" w:hRule="atLeast"/>
        </w:trPr>
        <w:tc>
          <w:tcPr>
            <w:tcW w:w="65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50"/>
              <w:spacing w:before="83" w:line="165" w:lineRule="auto"/>
              <w:rPr/>
            </w:pPr>
            <w:r>
              <w:rPr>
                <w:color w:val="231F20"/>
                <w:spacing w:val="6"/>
              </w:rPr>
              <w:t>P</w:t>
            </w:r>
          </w:p>
        </w:tc>
        <w:tc>
          <w:tcPr>
            <w:tcW w:w="580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34"/>
              <w:spacing w:before="76" w:line="174" w:lineRule="auto"/>
              <w:rPr/>
            </w:pPr>
            <w:r>
              <w:rPr>
                <w:color w:val="231F20"/>
                <w:spacing w:val="-6"/>
              </w:rPr>
              <w:t>0.796</w:t>
            </w:r>
          </w:p>
        </w:tc>
        <w:tc>
          <w:tcPr>
            <w:tcW w:w="61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34"/>
              <w:spacing w:before="76" w:line="174" w:lineRule="auto"/>
              <w:rPr/>
            </w:pPr>
            <w:r>
              <w:rPr>
                <w:color w:val="231F20"/>
                <w:spacing w:val="-6"/>
              </w:rPr>
              <w:t>0.001</w:t>
            </w:r>
          </w:p>
        </w:tc>
        <w:tc>
          <w:tcPr>
            <w:tcW w:w="62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36"/>
              <w:spacing w:before="76" w:line="174" w:lineRule="auto"/>
              <w:rPr/>
            </w:pPr>
            <w:r>
              <w:rPr>
                <w:color w:val="231F20"/>
                <w:spacing w:val="-6"/>
              </w:rPr>
              <w:t>0.111</w:t>
            </w:r>
          </w:p>
        </w:tc>
        <w:tc>
          <w:tcPr>
            <w:tcW w:w="61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34"/>
              <w:spacing w:before="76" w:line="174" w:lineRule="auto"/>
              <w:rPr/>
            </w:pPr>
            <w:r>
              <w:rPr>
                <w:color w:val="231F20"/>
                <w:spacing w:val="-6"/>
              </w:rPr>
              <w:t>0.001</w:t>
            </w:r>
          </w:p>
        </w:tc>
        <w:tc>
          <w:tcPr>
            <w:tcW w:w="62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36"/>
              <w:spacing w:before="76" w:line="174" w:lineRule="auto"/>
              <w:rPr/>
            </w:pPr>
            <w:r>
              <w:rPr>
                <w:color w:val="231F20"/>
                <w:spacing w:val="-6"/>
              </w:rPr>
              <w:t>0.663</w:t>
            </w:r>
          </w:p>
        </w:tc>
        <w:tc>
          <w:tcPr>
            <w:tcW w:w="61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34"/>
              <w:spacing w:before="76" w:line="174" w:lineRule="auto"/>
              <w:rPr/>
            </w:pPr>
            <w:r>
              <w:rPr>
                <w:color w:val="231F20"/>
                <w:spacing w:val="-6"/>
              </w:rPr>
              <w:t>0.001</w:t>
            </w:r>
          </w:p>
        </w:tc>
      </w:tr>
    </w:tbl>
    <w:p>
      <w:pPr>
        <w:pStyle w:val="BodyText"/>
        <w:ind w:left="445" w:right="141" w:firstLine="1"/>
        <w:spacing w:before="175" w:line="192" w:lineRule="auto"/>
        <w:rPr/>
      </w:pPr>
      <w:r>
        <w:rPr>
          <w:color w:val="231F20"/>
          <w:spacing w:val="1"/>
        </w:rPr>
        <w:t>2.2 两组症候评分比较  相比对照组，观察</w:t>
      </w:r>
      <w:r>
        <w:rPr>
          <w:color w:val="231F20"/>
        </w:rPr>
        <w:t>组的腰骶胀痛、带下 </w:t>
      </w:r>
      <w:r>
        <w:rPr>
          <w:color w:val="231F20"/>
          <w:spacing w:val="7"/>
        </w:rPr>
        <w:t>量多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7"/>
        </w:rPr>
        <w:t>、疲乏低热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7"/>
        </w:rPr>
        <w:t>、小腹疼痛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7"/>
        </w:rPr>
        <w:t>、行经紫暗有血块评分明</w:t>
      </w:r>
      <w:r>
        <w:rPr>
          <w:color w:val="231F20"/>
          <w:spacing w:val="6"/>
        </w:rPr>
        <w:t>显更低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6" w:line="193" w:lineRule="auto"/>
        <w:rPr/>
      </w:pPr>
      <w:r>
        <w:rPr>
          <w:color w:val="231F20"/>
          <w:spacing w:val="-5"/>
        </w:rPr>
        <w:t>（P&lt;0.05</w:t>
      </w:r>
      <w:r>
        <w:rPr>
          <w:color w:val="231F20"/>
          <w:spacing w:val="-23"/>
          <w:w w:val="54"/>
        </w:rPr>
        <w:t>），</w:t>
      </w:r>
      <w:r>
        <w:rPr>
          <w:color w:val="231F20"/>
          <w:spacing w:val="-5"/>
        </w:rPr>
        <w:t>见表 2。</w:t>
      </w:r>
    </w:p>
    <w:p>
      <w:pPr>
        <w:pStyle w:val="BodyText"/>
        <w:ind w:left="1417"/>
        <w:spacing w:before="47" w:line="196" w:lineRule="auto"/>
        <w:rPr>
          <w:sz w:val="15"/>
          <w:szCs w:val="15"/>
        </w:rPr>
      </w:pPr>
      <w:r>
        <w:pict>
          <v:shape id="_x0000_s10" style="position:absolute;margin-left:157.692pt;margin-top:3.59857pt;mso-position-vertical-relative:text;mso-position-horizontal-relative:text;width:2.75pt;height:0.2pt;z-index:251659264;" filled="false" strokecolor="#231F20" strokeweight="0.20pt" coordsize="55,4" coordorigin="0,0" path="m0,1l54,1e">
            <v:stroke joinstyle="miter" miterlimit="10"/>
          </v:shape>
        </w:pict>
      </w:r>
      <w:r>
        <w:rPr>
          <w:sz w:val="15"/>
          <w:szCs w:val="15"/>
          <w:color w:val="231F20"/>
          <w:spacing w:val="-7"/>
        </w:rPr>
        <w:t>表 2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-7"/>
        </w:rPr>
        <w:t>两组症候评分比较（</w:t>
      </w:r>
      <w:r>
        <w:rPr>
          <w:sz w:val="15"/>
          <w:szCs w:val="15"/>
          <w:color w:val="231F20"/>
          <w:spacing w:val="-7"/>
        </w:rPr>
        <w:t>x</w:t>
      </w:r>
      <w:r>
        <w:rPr>
          <w:sz w:val="15"/>
          <w:szCs w:val="15"/>
          <w:color w:val="231F20"/>
          <w:spacing w:val="-7"/>
        </w:rPr>
        <w:t>±s，分）</w:t>
      </w:r>
    </w:p>
    <w:p>
      <w:pPr>
        <w:spacing w:line="34" w:lineRule="exact"/>
        <w:rPr/>
      </w:pPr>
      <w:r/>
    </w:p>
    <w:tbl>
      <w:tblPr>
        <w:tblStyle w:val="TableNormal"/>
        <w:tblW w:w="4947" w:type="dxa"/>
        <w:tblInd w:w="7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25"/>
        <w:gridCol w:w="459"/>
        <w:gridCol w:w="777"/>
        <w:gridCol w:w="770"/>
        <w:gridCol w:w="773"/>
        <w:gridCol w:w="770"/>
        <w:gridCol w:w="773"/>
      </w:tblGrid>
      <w:tr>
        <w:trPr>
          <w:trHeight w:val="573" w:hRule="atLeast"/>
        </w:trPr>
        <w:tc>
          <w:tcPr>
            <w:tcW w:w="62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60"/>
              <w:spacing w:before="205" w:line="191" w:lineRule="auto"/>
              <w:rPr/>
            </w:pPr>
            <w:r>
              <w:rPr>
                <w:color w:val="231F20"/>
                <w:spacing w:val="7"/>
              </w:rPr>
              <w:t>组别</w:t>
            </w:r>
          </w:p>
        </w:tc>
        <w:tc>
          <w:tcPr>
            <w:tcW w:w="45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77"/>
              <w:spacing w:before="206" w:line="189" w:lineRule="auto"/>
              <w:rPr/>
            </w:pPr>
            <w:r>
              <w:rPr>
                <w:color w:val="231F20"/>
                <w:spacing w:val="7"/>
              </w:rPr>
              <w:t>例数</w:t>
            </w:r>
          </w:p>
        </w:tc>
        <w:tc>
          <w:tcPr>
            <w:tcW w:w="77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71"/>
              <w:spacing w:before="197" w:line="199" w:lineRule="auto"/>
              <w:rPr/>
            </w:pPr>
            <w:r>
              <w:rPr>
                <w:color w:val="231F20"/>
                <w:spacing w:val="8"/>
              </w:rPr>
              <w:t>腰骶胀痛</w:t>
            </w:r>
          </w:p>
        </w:tc>
        <w:tc>
          <w:tcPr>
            <w:tcW w:w="77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72"/>
              <w:spacing w:before="205" w:line="189" w:lineRule="auto"/>
              <w:rPr/>
            </w:pPr>
            <w:r>
              <w:rPr>
                <w:color w:val="231F20"/>
                <w:spacing w:val="8"/>
              </w:rPr>
              <w:t>带下量多</w:t>
            </w:r>
          </w:p>
        </w:tc>
        <w:tc>
          <w:tcPr>
            <w:tcW w:w="77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70"/>
              <w:spacing w:before="205" w:line="191" w:lineRule="auto"/>
              <w:rPr/>
            </w:pPr>
            <w:r>
              <w:rPr>
                <w:color w:val="231F20"/>
                <w:spacing w:val="8"/>
              </w:rPr>
              <w:t>疲乏低热</w:t>
            </w:r>
          </w:p>
        </w:tc>
        <w:tc>
          <w:tcPr>
            <w:tcW w:w="77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71"/>
              <w:spacing w:before="205" w:line="191" w:lineRule="auto"/>
              <w:rPr/>
            </w:pPr>
            <w:r>
              <w:rPr>
                <w:color w:val="231F20"/>
                <w:spacing w:val="8"/>
              </w:rPr>
              <w:t>小腹疼痛</w:t>
            </w:r>
          </w:p>
        </w:tc>
        <w:tc>
          <w:tcPr>
            <w:tcW w:w="77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54" w:right="64" w:hanging="80"/>
              <w:spacing w:before="80" w:line="225" w:lineRule="auto"/>
              <w:rPr/>
            </w:pPr>
            <w:r>
              <w:rPr>
                <w:color w:val="231F20"/>
                <w:spacing w:val="8"/>
              </w:rPr>
              <w:t>行经紫暗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8"/>
              </w:rPr>
              <w:t>有血块</w:t>
            </w:r>
          </w:p>
        </w:tc>
      </w:tr>
      <w:tr>
        <w:trPr>
          <w:trHeight w:val="259" w:hRule="atLeast"/>
        </w:trPr>
        <w:tc>
          <w:tcPr>
            <w:tcW w:w="62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0"/>
              <w:spacing w:before="53" w:line="182" w:lineRule="auto"/>
              <w:rPr/>
            </w:pPr>
            <w:r>
              <w:rPr>
                <w:color w:val="231F20"/>
                <w:spacing w:val="8"/>
              </w:rPr>
              <w:t>对照组</w:t>
            </w:r>
          </w:p>
        </w:tc>
        <w:tc>
          <w:tcPr>
            <w:tcW w:w="45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54"/>
              <w:spacing w:before="84" w:line="165" w:lineRule="exact"/>
              <w:rPr/>
            </w:pPr>
            <w:r>
              <w:rPr>
                <w:color w:val="231F20"/>
                <w:spacing w:val="-6"/>
                <w:position w:val="-1"/>
              </w:rPr>
              <w:t>40</w:t>
            </w:r>
          </w:p>
        </w:tc>
        <w:tc>
          <w:tcPr>
            <w:tcW w:w="77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3"/>
              <w:spacing w:before="80" w:line="157" w:lineRule="auto"/>
              <w:rPr/>
            </w:pPr>
            <w:r>
              <w:rPr>
                <w:color w:val="231F20"/>
                <w:spacing w:val="-8"/>
              </w:rPr>
              <w:t>3.14±0.58</w:t>
            </w:r>
          </w:p>
        </w:tc>
        <w:tc>
          <w:tcPr>
            <w:tcW w:w="77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4"/>
              <w:spacing w:before="80" w:line="157" w:lineRule="auto"/>
              <w:rPr/>
            </w:pPr>
            <w:r>
              <w:rPr>
                <w:color w:val="231F20"/>
                <w:spacing w:val="-8"/>
              </w:rPr>
              <w:t>3.06±0.25</w:t>
            </w:r>
          </w:p>
        </w:tc>
        <w:tc>
          <w:tcPr>
            <w:tcW w:w="77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3"/>
              <w:spacing w:before="80" w:line="157" w:lineRule="auto"/>
              <w:rPr/>
            </w:pPr>
            <w:r>
              <w:rPr>
                <w:color w:val="231F20"/>
                <w:spacing w:val="-8"/>
              </w:rPr>
              <w:t>3.22±0.24</w:t>
            </w:r>
          </w:p>
        </w:tc>
        <w:tc>
          <w:tcPr>
            <w:tcW w:w="77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0"/>
              <w:spacing w:before="80" w:line="157" w:lineRule="auto"/>
              <w:rPr/>
            </w:pPr>
            <w:r>
              <w:rPr>
                <w:color w:val="231F20"/>
                <w:spacing w:val="-8"/>
              </w:rPr>
              <w:t>2.89±0.25</w:t>
            </w:r>
          </w:p>
        </w:tc>
        <w:tc>
          <w:tcPr>
            <w:tcW w:w="77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6"/>
              <w:spacing w:before="80" w:line="157" w:lineRule="auto"/>
              <w:rPr/>
            </w:pPr>
            <w:r>
              <w:rPr>
                <w:color w:val="231F20"/>
                <w:spacing w:val="-8"/>
              </w:rPr>
              <w:t>3.14±0.44</w:t>
            </w:r>
          </w:p>
        </w:tc>
      </w:tr>
      <w:tr>
        <w:trPr>
          <w:trHeight w:val="265" w:hRule="atLeast"/>
        </w:trPr>
        <w:tc>
          <w:tcPr>
            <w:tcW w:w="625" w:type="dxa"/>
            <w:vAlign w:val="top"/>
          </w:tcPr>
          <w:p>
            <w:pPr>
              <w:pStyle w:val="TableText"/>
              <w:ind w:left="83"/>
              <w:spacing w:before="57" w:line="184" w:lineRule="auto"/>
              <w:rPr/>
            </w:pPr>
            <w:r>
              <w:rPr>
                <w:color w:val="231F20"/>
                <w:spacing w:val="7"/>
              </w:rPr>
              <w:t>观察组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154"/>
              <w:spacing w:before="80" w:line="163" w:lineRule="auto"/>
              <w:rPr/>
            </w:pPr>
            <w:r>
              <w:rPr>
                <w:color w:val="231F20"/>
                <w:spacing w:val="-6"/>
              </w:rPr>
              <w:t>40</w:t>
            </w:r>
          </w:p>
        </w:tc>
        <w:tc>
          <w:tcPr>
            <w:tcW w:w="777" w:type="dxa"/>
            <w:vAlign w:val="top"/>
          </w:tcPr>
          <w:p>
            <w:pPr>
              <w:pStyle w:val="TableText"/>
              <w:ind w:left="71"/>
              <w:spacing w:before="75" w:line="167" w:lineRule="auto"/>
              <w:rPr/>
            </w:pPr>
            <w:r>
              <w:rPr>
                <w:color w:val="231F20"/>
                <w:spacing w:val="-8"/>
              </w:rPr>
              <w:t>2.11±0.36</w:t>
            </w:r>
          </w:p>
        </w:tc>
        <w:tc>
          <w:tcPr>
            <w:tcW w:w="770" w:type="dxa"/>
            <w:vAlign w:val="top"/>
          </w:tcPr>
          <w:p>
            <w:pPr>
              <w:pStyle w:val="TableText"/>
              <w:ind w:left="85"/>
              <w:spacing w:before="75" w:line="167" w:lineRule="auto"/>
              <w:rPr/>
            </w:pPr>
            <w:r>
              <w:rPr>
                <w:color w:val="231F20"/>
                <w:spacing w:val="-9"/>
              </w:rPr>
              <w:t>1.86±0.25</w:t>
            </w:r>
          </w:p>
        </w:tc>
        <w:tc>
          <w:tcPr>
            <w:tcW w:w="773" w:type="dxa"/>
            <w:vAlign w:val="top"/>
          </w:tcPr>
          <w:p>
            <w:pPr>
              <w:pStyle w:val="TableText"/>
              <w:ind w:left="71"/>
              <w:spacing w:before="75" w:line="167" w:lineRule="auto"/>
              <w:rPr/>
            </w:pPr>
            <w:r>
              <w:rPr>
                <w:color w:val="231F20"/>
                <w:spacing w:val="-8"/>
              </w:rPr>
              <w:t>2.05±0.11</w:t>
            </w:r>
          </w:p>
        </w:tc>
        <w:tc>
          <w:tcPr>
            <w:tcW w:w="770" w:type="dxa"/>
            <w:vAlign w:val="top"/>
          </w:tcPr>
          <w:p>
            <w:pPr>
              <w:pStyle w:val="TableText"/>
              <w:ind w:left="83"/>
              <w:spacing w:before="75" w:line="167" w:lineRule="auto"/>
              <w:rPr/>
            </w:pPr>
            <w:r>
              <w:rPr>
                <w:color w:val="231F20"/>
                <w:spacing w:val="-9"/>
              </w:rPr>
              <w:t>1.03±0.21</w:t>
            </w:r>
          </w:p>
        </w:tc>
        <w:tc>
          <w:tcPr>
            <w:tcW w:w="773" w:type="dxa"/>
            <w:vAlign w:val="top"/>
          </w:tcPr>
          <w:p>
            <w:pPr>
              <w:pStyle w:val="TableText"/>
              <w:ind w:left="74"/>
              <w:spacing w:before="75" w:line="167" w:lineRule="auto"/>
              <w:rPr/>
            </w:pPr>
            <w:r>
              <w:rPr>
                <w:color w:val="231F20"/>
                <w:spacing w:val="-8"/>
              </w:rPr>
              <w:t>2.01±0.26</w:t>
            </w:r>
          </w:p>
        </w:tc>
      </w:tr>
      <w:tr>
        <w:trPr>
          <w:trHeight w:val="246" w:hRule="atLeast"/>
        </w:trPr>
        <w:tc>
          <w:tcPr>
            <w:tcW w:w="625" w:type="dxa"/>
            <w:vAlign w:val="top"/>
          </w:tcPr>
          <w:p>
            <w:pPr>
              <w:pStyle w:val="TableText"/>
              <w:ind w:left="297"/>
              <w:spacing w:before="74" w:line="161" w:lineRule="exact"/>
              <w:rPr/>
            </w:pPr>
            <w:r>
              <w:rPr>
                <w:color w:val="231F20"/>
              </w:rPr>
              <w:t>t</w:t>
            </w:r>
          </w:p>
        </w:tc>
        <w:tc>
          <w:tcPr>
            <w:tcW w:w="459" w:type="dxa"/>
            <w:vAlign w:val="top"/>
          </w:tcPr>
          <w:p>
            <w:pPr>
              <w:spacing w:line="235" w:lineRule="exact"/>
              <w:rPr>
                <w:rFonts w:ascii="Arial"/>
                <w:sz w:val="20"/>
              </w:rPr>
            </w:pPr>
            <w:r/>
          </w:p>
        </w:tc>
        <w:tc>
          <w:tcPr>
            <w:tcW w:w="777" w:type="dxa"/>
            <w:vAlign w:val="top"/>
          </w:tcPr>
          <w:p>
            <w:pPr>
              <w:pStyle w:val="TableText"/>
              <w:ind w:left="214"/>
              <w:spacing w:before="69" w:line="166" w:lineRule="exact"/>
              <w:rPr/>
            </w:pPr>
            <w:r>
              <w:rPr>
                <w:color w:val="231F20"/>
                <w:spacing w:val="-6"/>
                <w:position w:val="-1"/>
              </w:rPr>
              <w:t>9.543</w:t>
            </w:r>
          </w:p>
        </w:tc>
        <w:tc>
          <w:tcPr>
            <w:tcW w:w="770" w:type="dxa"/>
            <w:vAlign w:val="top"/>
          </w:tcPr>
          <w:p>
            <w:pPr>
              <w:pStyle w:val="TableText"/>
              <w:ind w:left="175"/>
              <w:spacing w:before="69" w:line="166" w:lineRule="exact"/>
              <w:rPr/>
            </w:pPr>
            <w:r>
              <w:rPr>
                <w:color w:val="231F20"/>
                <w:spacing w:val="-7"/>
                <w:position w:val="-1"/>
              </w:rPr>
              <w:t>21.466</w:t>
            </w:r>
          </w:p>
        </w:tc>
        <w:tc>
          <w:tcPr>
            <w:tcW w:w="773" w:type="dxa"/>
            <w:vAlign w:val="top"/>
          </w:tcPr>
          <w:p>
            <w:pPr>
              <w:pStyle w:val="TableText"/>
              <w:ind w:left="173"/>
              <w:spacing w:before="69" w:line="166" w:lineRule="exact"/>
              <w:rPr/>
            </w:pPr>
            <w:r>
              <w:rPr>
                <w:color w:val="231F20"/>
                <w:spacing w:val="-7"/>
                <w:position w:val="-1"/>
              </w:rPr>
              <w:t>28.028</w:t>
            </w:r>
          </w:p>
        </w:tc>
        <w:tc>
          <w:tcPr>
            <w:tcW w:w="770" w:type="dxa"/>
            <w:vAlign w:val="top"/>
          </w:tcPr>
          <w:p>
            <w:pPr>
              <w:pStyle w:val="TableText"/>
              <w:ind w:left="175"/>
              <w:spacing w:before="69" w:line="166" w:lineRule="exact"/>
              <w:rPr/>
            </w:pPr>
            <w:r>
              <w:rPr>
                <w:color w:val="231F20"/>
                <w:spacing w:val="-7"/>
                <w:position w:val="-1"/>
              </w:rPr>
              <w:t>36.030</w:t>
            </w:r>
          </w:p>
        </w:tc>
        <w:tc>
          <w:tcPr>
            <w:tcW w:w="773" w:type="dxa"/>
            <w:vAlign w:val="top"/>
          </w:tcPr>
          <w:p>
            <w:pPr>
              <w:pStyle w:val="TableText"/>
              <w:ind w:left="190"/>
              <w:spacing w:before="69" w:line="166" w:lineRule="exact"/>
              <w:rPr/>
            </w:pPr>
            <w:r>
              <w:rPr>
                <w:color w:val="231F20"/>
                <w:spacing w:val="-9"/>
                <w:position w:val="-1"/>
              </w:rPr>
              <w:t>13.984</w:t>
            </w:r>
          </w:p>
        </w:tc>
      </w:tr>
      <w:tr>
        <w:trPr>
          <w:trHeight w:val="273" w:hRule="atLeast"/>
        </w:trPr>
        <w:tc>
          <w:tcPr>
            <w:tcW w:w="62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73"/>
              <w:spacing w:before="82" w:line="165" w:lineRule="auto"/>
              <w:rPr/>
            </w:pPr>
            <w:r>
              <w:rPr>
                <w:color w:val="231F20"/>
                <w:spacing w:val="6"/>
              </w:rPr>
              <w:t>P</w:t>
            </w:r>
          </w:p>
        </w:tc>
        <w:tc>
          <w:tcPr>
            <w:tcW w:w="459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13"/>
              <w:spacing w:before="77" w:line="173" w:lineRule="auto"/>
              <w:rPr/>
            </w:pPr>
            <w:r>
              <w:rPr>
                <w:color w:val="231F20"/>
                <w:spacing w:val="-6"/>
              </w:rPr>
              <w:t>0.002</w:t>
            </w:r>
          </w:p>
        </w:tc>
        <w:tc>
          <w:tcPr>
            <w:tcW w:w="77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13"/>
              <w:spacing w:before="77" w:line="173" w:lineRule="auto"/>
              <w:rPr/>
            </w:pPr>
            <w:r>
              <w:rPr>
                <w:color w:val="231F20"/>
                <w:spacing w:val="-6"/>
              </w:rPr>
              <w:t>0.001</w:t>
            </w:r>
          </w:p>
        </w:tc>
        <w:tc>
          <w:tcPr>
            <w:tcW w:w="77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11"/>
              <w:spacing w:before="77" w:line="173" w:lineRule="auto"/>
              <w:rPr/>
            </w:pPr>
            <w:r>
              <w:rPr>
                <w:color w:val="231F20"/>
                <w:spacing w:val="-6"/>
              </w:rPr>
              <w:t>0.001</w:t>
            </w:r>
          </w:p>
        </w:tc>
        <w:tc>
          <w:tcPr>
            <w:tcW w:w="77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11"/>
              <w:spacing w:before="77" w:line="173" w:lineRule="auto"/>
              <w:rPr/>
            </w:pPr>
            <w:r>
              <w:rPr>
                <w:color w:val="231F20"/>
                <w:spacing w:val="-6"/>
              </w:rPr>
              <w:t>0.001</w:t>
            </w:r>
          </w:p>
        </w:tc>
        <w:tc>
          <w:tcPr>
            <w:tcW w:w="77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15"/>
              <w:spacing w:before="77" w:line="173" w:lineRule="auto"/>
              <w:rPr/>
            </w:pPr>
            <w:r>
              <w:rPr>
                <w:color w:val="231F20"/>
                <w:spacing w:val="-6"/>
              </w:rPr>
              <w:t>0.001</w:t>
            </w:r>
          </w:p>
        </w:tc>
      </w:tr>
    </w:tbl>
    <w:p>
      <w:pPr>
        <w:pStyle w:val="BodyText"/>
        <w:ind w:left="82"/>
        <w:spacing w:before="149" w:line="197" w:lineRule="auto"/>
        <w:outlineLvl w:val="0"/>
        <w:rPr/>
      </w:pPr>
      <w:r>
        <w:rPr>
          <w:color w:val="231F20"/>
          <w:spacing w:val="-9"/>
        </w:rPr>
        <w:t>3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9"/>
        </w:rPr>
        <w:t>讨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9"/>
        </w:rPr>
        <w:t>论</w:t>
      </w:r>
    </w:p>
    <w:p>
      <w:pPr>
        <w:pStyle w:val="BodyText"/>
        <w:ind w:left="77" w:right="70" w:firstLine="368"/>
        <w:spacing w:before="27" w:line="226" w:lineRule="auto"/>
        <w:jc w:val="both"/>
        <w:rPr/>
      </w:pPr>
      <w:r>
        <w:rPr>
          <w:color w:val="231F20"/>
          <w:spacing w:val="3"/>
        </w:rPr>
        <w:t>根据《中药新药临床研究指导原则》可知中医将盆</w:t>
      </w:r>
      <w:r>
        <w:rPr>
          <w:color w:val="231F20"/>
          <w:spacing w:val="2"/>
        </w:rPr>
        <w:t>腔炎分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为湿毒壅热型、温热瘀结型两种，温热瘀结型所占比例较大，患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3"/>
        </w:rPr>
        <w:t>者可表现为下腹疼痛、劳累以及性交时症状加重，同时伴有发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热、寒战等症状，多数患者白带异常，发生的原因与流产、不洁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性交、经期寒凉侵袭有关。</w:t>
      </w:r>
    </w:p>
    <w:p>
      <w:pPr>
        <w:pStyle w:val="BodyText"/>
        <w:ind w:left="77" w:firstLine="385"/>
        <w:spacing w:before="8" w:line="226" w:lineRule="auto"/>
        <w:jc w:val="both"/>
        <w:rPr/>
      </w:pPr>
      <w:r>
        <w:rPr>
          <w:color w:val="231F20"/>
          <w:spacing w:val="-2"/>
        </w:rPr>
        <w:t>中医认为女性胞为血室，湿热之邪容易郁结，常为热</w:t>
      </w:r>
      <w:r>
        <w:rPr>
          <w:color w:val="231F20"/>
          <w:spacing w:val="-3"/>
        </w:rPr>
        <w:t>、瘀、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湿三邪合而为患，邪阻于内，不通则发病，伤于带脉，则致带下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4"/>
        </w:rPr>
        <w:t>失常。治疗原则以清热解毒、凉血化瘀、止痛为主。本研究中选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10"/>
        </w:rPr>
        <w:t>用的龙胆泻肝汤去除了具有生发之性且易伐肝阴的柴胡，去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除当归、生地黄等药物，减少了药方中滋腻黏邪药性，辅之以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黄芪可益气生血，诸药联合配伍起到了正气祛邪、益气扶正的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功效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"/>
        </w:rPr>
        <w:t>。方中龙胆草、山栀子具有清泄下焦功效；泽泻联合</w:t>
      </w:r>
      <w:r>
        <w:rPr>
          <w:color w:val="231F20"/>
          <w:spacing w:val="1"/>
        </w:rPr>
        <w:t>车前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子具有清热利湿效用；牡丹皮联合赤芍具有活血散瘀、清热凉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血功效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7"/>
        </w:rPr>
        <w:t>；香附用于女性妇科疾病治疗可以调节月经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7"/>
        </w:rPr>
        <w:t>，理气止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痛，但是该药属于寒凉药物，加以茯苓可健脾生血，改善机体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状态。该药物作用于盆腔炎患者可以改善临床症状，减少阴道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黏液、宫颈分泌物湿片镜下白细胞、中性粒细胞总数，达到了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消除炎症的目的。但是单纯使用中医药干预起效慢，不利于对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急性疾病的控制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8"/>
        </w:rPr>
        <w:t>，笔者借鉴治疗妇科疾病的热敏疗法用于盆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腔炎的治疗。</w:t>
      </w:r>
    </w:p>
    <w:p>
      <w:pPr>
        <w:pStyle w:val="BodyText"/>
        <w:ind w:left="78" w:right="70" w:firstLine="366"/>
        <w:spacing w:before="3" w:line="226" w:lineRule="auto"/>
        <w:jc w:val="both"/>
        <w:rPr/>
      </w:pPr>
      <w:r>
        <w:rPr>
          <w:color w:val="231F20"/>
          <w:spacing w:val="10"/>
        </w:rPr>
        <w:t>本研究通过龙胆泻肝汤辅之以热敏疗法治疗湿热蕴结型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3"/>
        </w:rPr>
        <w:t>急性盆腔炎，可以快速使其气血通畅，通过经络将药物快速深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入病灶，综合叠加效用，可改善机体状态，促进炎性因子的消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散，控制病情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2"/>
        </w:rPr>
        <w:t>。本文研究结果显示：与对照组</w:t>
      </w:r>
      <w:r>
        <w:rPr>
          <w:color w:val="231F20"/>
          <w:spacing w:val="1"/>
        </w:rPr>
        <w:t>相比，观察组的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CRP、IL-6、TNF-α 水平明显降低（P&lt;0.</w:t>
      </w:r>
      <w:r>
        <w:rPr>
          <w:color w:val="231F20"/>
          <w:spacing w:val="-15"/>
        </w:rPr>
        <w:t>05）。</w:t>
      </w:r>
    </w:p>
    <w:p>
      <w:pPr>
        <w:pStyle w:val="BodyText"/>
        <w:ind w:left="76" w:right="70" w:firstLine="370"/>
        <w:spacing w:before="9" w:line="221" w:lineRule="auto"/>
        <w:jc w:val="both"/>
        <w:rPr/>
      </w:pPr>
      <w:r>
        <w:rPr>
          <w:color w:val="231F20"/>
          <w:spacing w:val="-4"/>
        </w:rPr>
        <w:t>另外热敏疗法属于腧穴敏化新类型，有着扩热、</w:t>
      </w:r>
      <w:r>
        <w:rPr>
          <w:color w:val="231F20"/>
          <w:spacing w:val="-5"/>
        </w:rPr>
        <w:t>传热、透热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的效用，表面不能感觉到热，但是深部可有热感，局部没有热感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3"/>
        </w:rPr>
        <w:t>而远处有热感，当腧穴激发了热敏效用后，可以将艾灸的功效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最大程度发挥，关元穴属于任脉，刺激该穴位可以调和取穴，温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热胞宫；刺激气海穴可以补元气、通经气、利下焦；逐一刺激各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穴位可以迅速调畅气血、改善机体状态，加之热敏灸的透热、传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导效用，效果更佳，也利于临床症状的缓解</w:t>
      </w:r>
      <w:r>
        <w:rPr>
          <w:sz w:val="10"/>
          <w:szCs w:val="10"/>
          <w:color w:val="231F20"/>
          <w:spacing w:val="-2"/>
          <w:position w:val="6"/>
        </w:rPr>
        <w:t>[4]</w:t>
      </w:r>
      <w:r>
        <w:rPr>
          <w:sz w:val="10"/>
          <w:szCs w:val="10"/>
          <w:color w:val="231F20"/>
          <w:spacing w:val="-13"/>
          <w:position w:val="6"/>
        </w:rPr>
        <w:t xml:space="preserve"> </w:t>
      </w:r>
      <w:r>
        <w:rPr>
          <w:color w:val="231F20"/>
          <w:spacing w:val="-2"/>
        </w:rPr>
        <w:t>。本文研究结果显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示：相比对照组，观察组的腰骶胀痛、带下量多、疲乏低热、小腹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9"/>
        </w:rPr>
        <w:t>疼痛、行经紫暗有血块评分明显更低（P&lt;0.05）。蔡艺淑</w:t>
      </w:r>
      <w:r>
        <w:rPr>
          <w:sz w:val="10"/>
          <w:szCs w:val="10"/>
          <w:color w:val="231F20"/>
          <w:spacing w:val="-9"/>
          <w:position w:val="6"/>
        </w:rPr>
        <w:t>[5]</w:t>
      </w:r>
      <w:r>
        <w:rPr>
          <w:color w:val="231F20"/>
          <w:spacing w:val="-9"/>
        </w:rPr>
        <w:t>在热敏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灸治疗慢性盆腔炎中得出结论：相比对照组，观察组的腰骶胀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痛、带下量多、小腹疼痛评分明显更低（P&lt;0.05</w:t>
      </w:r>
      <w:r>
        <w:rPr>
          <w:color w:val="231F20"/>
          <w:spacing w:val="-26"/>
          <w:w w:val="61"/>
        </w:rPr>
        <w:t>），</w:t>
      </w:r>
      <w:r>
        <w:rPr>
          <w:color w:val="231F20"/>
          <w:spacing w:val="-5"/>
        </w:rPr>
        <w:t>认为热敏灸具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有治疗舒适、无痛苦的优势，且具有温中止痛的效用，便于热力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透入腹部，促进疗效的发挥，可迅速缓解临床症状，与本文研究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2"/>
        </w:rPr>
        <w:t>结果类似。</w:t>
      </w:r>
    </w:p>
    <w:p>
      <w:pPr>
        <w:spacing w:line="221" w:lineRule="auto"/>
        <w:sectPr>
          <w:type w:val="continuous"/>
          <w:pgSz w:w="11906" w:h="16838"/>
          <w:pgMar w:top="1518" w:right="781" w:bottom="1112" w:left="407" w:header="1196" w:footer="873" w:gutter="0"/>
          <w:cols w:equalWidth="0" w:num="2">
            <w:col w:w="5527" w:space="100"/>
            <w:col w:w="5091" w:space="0"/>
          </w:cols>
        </w:sectPr>
        <w:rPr/>
      </w:pPr>
    </w:p>
    <w:p>
      <w:pPr>
        <w:spacing w:line="240" w:lineRule="exact"/>
        <w:rPr/>
      </w:pPr>
      <w:r/>
    </w:p>
    <w:p>
      <w:pPr>
        <w:spacing w:line="240" w:lineRule="exact"/>
        <w:sectPr>
          <w:headerReference w:type="default" r:id="rId4"/>
          <w:footerReference w:type="default" r:id="rId5"/>
          <w:pgSz w:w="11906" w:h="16838"/>
          <w:pgMar w:top="1518" w:right="790" w:bottom="400" w:left="407" w:header="1196" w:footer="0" w:gutter="0"/>
          <w:cols w:equalWidth="0" w:num="1">
            <w:col w:w="10708" w:space="0"/>
          </w:cols>
        </w:sectPr>
        <w:rPr/>
      </w:pPr>
    </w:p>
    <w:p>
      <w:pPr>
        <w:ind w:firstLine="441"/>
        <w:spacing w:before="107" w:line="2297" w:lineRule="exact"/>
        <w:rPr/>
      </w:pPr>
      <w:r>
        <w:rPr>
          <w:position w:val="-45"/>
        </w:rPr>
        <w:drawing>
          <wp:inline distT="0" distB="0" distL="0" distR="0">
            <wp:extent cx="3119103" cy="1458898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9103" cy="1458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303"/>
        <w:spacing w:before="238" w:line="197" w:lineRule="auto"/>
        <w:outlineLvl w:val="1"/>
        <w:rPr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图 3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4"/>
        </w:rPr>
        <w:t>炎细胞数量（个）及炎细胞核总面积（像素）</w:t>
      </w:r>
    </w:p>
    <w:p>
      <w:pPr>
        <w:pStyle w:val="BodyText"/>
        <w:ind w:left="449"/>
        <w:spacing w:before="57" w:line="197" w:lineRule="auto"/>
        <w:rPr/>
      </w:pPr>
      <w:r>
        <w:rPr>
          <w:color w:val="231F20"/>
          <w:spacing w:val="-9"/>
        </w:rPr>
        <w:t>3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9"/>
        </w:rPr>
        <w:t>讨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9"/>
        </w:rPr>
        <w:t>论</w:t>
      </w:r>
    </w:p>
    <w:p>
      <w:pPr>
        <w:pStyle w:val="BodyText"/>
        <w:ind w:left="444" w:right="225" w:firstLine="366"/>
        <w:spacing w:before="31" w:line="226" w:lineRule="auto"/>
        <w:jc w:val="both"/>
        <w:rPr/>
      </w:pPr>
      <w:r>
        <w:rPr>
          <w:color w:val="231F20"/>
          <w:spacing w:val="10"/>
        </w:rPr>
        <w:t>需氧菌性阴道炎是由女性阴道内需氧菌异常繁殖而引起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3"/>
        </w:rPr>
        <w:t>的炎症，主要表现为需氧菌不断增多，导致乳杆菌等优势</w:t>
      </w:r>
      <w:r>
        <w:rPr>
          <w:color w:val="231F20"/>
          <w:spacing w:val="2"/>
        </w:rPr>
        <w:t>菌群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被替代，阴道微生态环境失衡，出现脓性、黄色或黄绿色的阴道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"/>
        </w:rPr>
        <w:t>分泌物、阴道壁红肿热痛等明显的阴道炎症反应</w:t>
      </w:r>
      <w:r>
        <w:rPr>
          <w:sz w:val="10"/>
          <w:szCs w:val="10"/>
          <w:color w:val="231F20"/>
          <w:spacing w:val="-2"/>
          <w:position w:val="6"/>
        </w:rPr>
        <w:t>[7]</w:t>
      </w:r>
      <w:r>
        <w:rPr>
          <w:sz w:val="10"/>
          <w:szCs w:val="10"/>
          <w:color w:val="231F20"/>
          <w:spacing w:val="-12"/>
          <w:position w:val="6"/>
        </w:rPr>
        <w:t xml:space="preserve"> </w:t>
      </w:r>
      <w:r>
        <w:rPr>
          <w:color w:val="231F20"/>
          <w:spacing w:val="-2"/>
        </w:rPr>
        <w:t>。现</w:t>
      </w:r>
      <w:r>
        <w:rPr>
          <w:color w:val="231F20"/>
          <w:spacing w:val="-3"/>
        </w:rPr>
        <w:t>阶段，针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对需氧菌性阴道炎的主要治疗策略包括针对感染性炎症的抗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生素治疗、基于非感染性炎症的皮质类固醇激素治疗，以</w:t>
      </w:r>
      <w:r>
        <w:rPr>
          <w:color w:val="231F20"/>
          <w:spacing w:val="2"/>
        </w:rPr>
        <w:t>及针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对萎缩性阴道炎的雌激素治疗</w:t>
      </w:r>
      <w:r>
        <w:rPr>
          <w:sz w:val="10"/>
          <w:szCs w:val="10"/>
          <w:color w:val="231F20"/>
          <w:spacing w:val="-1"/>
          <w:position w:val="6"/>
        </w:rPr>
        <w:t>[8-13]</w:t>
      </w:r>
      <w:r>
        <w:rPr>
          <w:color w:val="231F20"/>
          <w:spacing w:val="-1"/>
        </w:rPr>
        <w:t>。传统中医将需氧菌性阴道炎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属于中医妇科学中“带下病”范畴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5"/>
        </w:rPr>
        <w:t>。治疗以清热燥湿，祛风止痒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为主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4"/>
        </w:rPr>
        <w:t>。常用狼牙汤、加味易黄汤</w:t>
      </w:r>
      <w:r>
        <w:rPr>
          <w:sz w:val="10"/>
          <w:szCs w:val="10"/>
          <w:color w:val="231F20"/>
          <w:spacing w:val="-4"/>
          <w:position w:val="6"/>
        </w:rPr>
        <w:t>[13]</w:t>
      </w:r>
      <w:r>
        <w:rPr>
          <w:color w:val="231F20"/>
          <w:spacing w:val="-4"/>
        </w:rPr>
        <w:t>等内服治疗，或选用</w:t>
      </w:r>
      <w:r>
        <w:rPr>
          <w:color w:val="231F20"/>
          <w:spacing w:val="-5"/>
        </w:rPr>
        <w:t>龙胆泻肝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汤外洗、加减止带汤坐浴</w:t>
      </w:r>
      <w:r>
        <w:rPr>
          <w:sz w:val="10"/>
          <w:szCs w:val="10"/>
          <w:color w:val="231F20"/>
          <w:spacing w:val="-4"/>
          <w:position w:val="6"/>
        </w:rPr>
        <w:t>[15]</w:t>
      </w:r>
      <w:r>
        <w:rPr>
          <w:color w:val="231F20"/>
          <w:spacing w:val="-4"/>
        </w:rPr>
        <w:t>等外治疗法。</w:t>
      </w:r>
    </w:p>
    <w:p>
      <w:pPr>
        <w:pStyle w:val="BodyText"/>
        <w:ind w:left="443" w:right="154" w:firstLine="368"/>
        <w:spacing w:before="1" w:line="227" w:lineRule="auto"/>
        <w:jc w:val="both"/>
        <w:rPr/>
      </w:pPr>
      <w:r>
        <w:pict>
          <v:shape id="_x0000_s14" style="position:absolute;margin-left:245.201pt;margin-top:29.798pt;mso-position-vertical-relative:text;mso-position-horizontal-relative:text;width:5.7pt;height:5.7pt;z-index:-251655168;" filled="false" strokecolor="#231F20" strokeweight="0.19pt" coordsize="113,113" coordorigin="0,0" path="m111,55c111,85,85,111,55,111c25,111,1,85,1,55c1,25,25,1,55,1c85,1,111,25,111,55c111,55,111,55,111,55e">
            <v:stroke joinstyle="miter" miterlimit="10"/>
          </v:shape>
        </w:pict>
      </w:r>
      <w:r>
        <w:rPr>
          <w:color w:val="231F20"/>
          <w:spacing w:val="-10"/>
        </w:rPr>
        <w:t>苦参（Sophora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10"/>
        </w:rPr>
        <w:t>flavescens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0"/>
        </w:rPr>
        <w:t>Ai</w:t>
      </w:r>
      <w:r>
        <w:rPr>
          <w:color w:val="231F20"/>
          <w:spacing w:val="-11"/>
        </w:rPr>
        <w:t>t.</w:t>
      </w:r>
      <w:r>
        <w:rPr>
          <w:color w:val="231F20"/>
          <w:spacing w:val="-24"/>
          <w:w w:val="56"/>
        </w:rPr>
        <w:t>），</w:t>
      </w:r>
      <w:r>
        <w:rPr>
          <w:color w:val="231F20"/>
          <w:spacing w:val="-11"/>
        </w:rPr>
        <w:t>为豆科槐属植物，具有“治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湿郁伏热，烦躁口渴，热痢腹痛，黄疸遗浊，赤白带下，小便赤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2"/>
        </w:rPr>
        <w:t>涩”的作用</w:t>
      </w:r>
      <w:r>
        <w:rPr>
          <w:sz w:val="10"/>
          <w:szCs w:val="10"/>
          <w:color w:val="231F20"/>
          <w:spacing w:val="-2"/>
          <w:position w:val="6"/>
        </w:rPr>
        <w:t>[16]</w:t>
      </w:r>
      <w:r>
        <w:rPr>
          <w:sz w:val="10"/>
          <w:szCs w:val="10"/>
          <w:color w:val="231F20"/>
          <w:spacing w:val="-8"/>
          <w:position w:val="6"/>
        </w:rPr>
        <w:t xml:space="preserve"> </w:t>
      </w:r>
      <w:r>
        <w:rPr>
          <w:color w:val="231F20"/>
          <w:spacing w:val="-2"/>
        </w:rPr>
        <w:t>。因此常将苦参用于阴道炎的治疗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2"/>
        </w:rPr>
        <w:t>。坤立舒</w:t>
      </w:r>
      <w:r>
        <w:rPr>
          <w:color w:val="231F20"/>
          <w:spacing w:val="-25"/>
        </w:rPr>
        <w:t xml:space="preserve"> </w:t>
      </w:r>
      <w:r>
        <w:rPr>
          <w:sz w:val="10"/>
          <w:szCs w:val="10"/>
          <w:color w:val="231F20"/>
          <w:spacing w:val="-2"/>
          <w:position w:val="6"/>
        </w:rPr>
        <w:t>R</w:t>
      </w:r>
      <w:r>
        <w:rPr>
          <w:color w:val="231F20"/>
          <w:spacing w:val="-2"/>
        </w:rPr>
        <w:t>苦参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凝胶，其主要成分为苦参提取物苦参总碱。研究显示，苦参总碱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2"/>
        </w:rPr>
        <w:t>对非感染性炎症有抑制作用，且具有良好的抑菌效果</w:t>
      </w:r>
      <w:r>
        <w:rPr>
          <w:sz w:val="10"/>
          <w:szCs w:val="10"/>
          <w:color w:val="231F20"/>
          <w:spacing w:val="-2"/>
          <w:position w:val="6"/>
        </w:rPr>
        <w:t>[17] </w:t>
      </w:r>
      <w:r>
        <w:rPr>
          <w:color w:val="231F20"/>
          <w:spacing w:val="-2"/>
        </w:rPr>
        <w:t>。因此，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苦参凝胶临床常用于治疗女性下生殖道感染疾病，包括细</w:t>
      </w:r>
      <w:r>
        <w:rPr>
          <w:color w:val="231F20"/>
          <w:spacing w:val="2"/>
        </w:rPr>
        <w:t>菌性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阴道病、外阴阴道假丝酵母菌病、滴虫阴道炎、混合性阴道</w:t>
      </w:r>
      <w:r>
        <w:rPr>
          <w:color w:val="231F20"/>
          <w:spacing w:val="-2"/>
        </w:rPr>
        <w:t>炎、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萎缩性阴道炎、宫颈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HPV 感染等</w:t>
      </w:r>
      <w:r>
        <w:rPr>
          <w:sz w:val="10"/>
          <w:szCs w:val="10"/>
          <w:color w:val="231F20"/>
          <w:spacing w:val="-6"/>
          <w:position w:val="6"/>
        </w:rPr>
        <w:t>[3]</w:t>
      </w:r>
      <w:r>
        <w:rPr>
          <w:color w:val="231F20"/>
          <w:spacing w:val="-6"/>
        </w:rPr>
        <w:t>。</w:t>
      </w:r>
    </w:p>
    <w:p>
      <w:pPr>
        <w:pStyle w:val="BodyText"/>
        <w:ind w:left="444" w:right="225" w:firstLine="366"/>
        <w:spacing w:before="5" w:line="227" w:lineRule="auto"/>
        <w:jc w:val="both"/>
        <w:rPr/>
      </w:pPr>
      <w:r>
        <w:rPr>
          <w:color w:val="231F20"/>
          <w:spacing w:val="3"/>
        </w:rPr>
        <w:t>本实验基于小鼠需氧菌性阴道炎模型，研究发现苦</w:t>
      </w:r>
      <w:r>
        <w:rPr>
          <w:color w:val="231F20"/>
          <w:spacing w:val="2"/>
        </w:rPr>
        <w:t>参凝胶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能够抑制阴道内过量需氧菌增长，减轻炎细胞侵袭程度，</w:t>
      </w:r>
      <w:r>
        <w:rPr>
          <w:color w:val="231F20"/>
          <w:spacing w:val="2"/>
        </w:rPr>
        <w:t>促进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阴道上皮黏膜修复，进而减轻需氧菌性阴道炎炎症症状、</w:t>
      </w:r>
      <w:r>
        <w:rPr>
          <w:color w:val="231F20"/>
          <w:spacing w:val="2"/>
        </w:rPr>
        <w:t>促进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阴道微环境恢复平衡状态，对需氧菌性阴道炎具有一定</w:t>
      </w:r>
      <w:r>
        <w:rPr>
          <w:color w:val="231F20"/>
          <w:spacing w:val="2"/>
        </w:rPr>
        <w:t>的治疗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作用。</w:t>
      </w:r>
    </w:p>
    <w:p>
      <w:pPr>
        <w:pStyle w:val="BodyText"/>
        <w:ind w:left="448"/>
        <w:spacing w:before="5" w:line="182" w:lineRule="auto"/>
        <w:rPr/>
      </w:pPr>
      <w:r>
        <w:rPr>
          <w:color w:val="231F20"/>
          <w:spacing w:val="1"/>
        </w:rPr>
        <w:t>参考文献</w:t>
      </w:r>
    </w:p>
    <w:p>
      <w:pPr>
        <w:pStyle w:val="BodyText"/>
        <w:ind w:left="651" w:right="163" w:hanging="201"/>
        <w:spacing w:before="81" w:line="219" w:lineRule="auto"/>
        <w:rPr/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280644</wp:posOffset>
            </wp:positionH>
            <wp:positionV relativeFrom="paragraph">
              <wp:posOffset>692639</wp:posOffset>
            </wp:positionV>
            <wp:extent cx="6479540" cy="635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7954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14"/>
        </w:rPr>
        <w:t>[1]Donders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4"/>
        </w:rPr>
        <w:t>GG，Bellen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4"/>
        </w:rPr>
        <w:t>G，Grinceviciene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4"/>
        </w:rPr>
        <w:t>S，et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4"/>
        </w:rPr>
        <w:t>al.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4"/>
        </w:rPr>
        <w:t>Aerobic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4"/>
        </w:rPr>
        <w:t>vag</w:t>
      </w:r>
      <w:r>
        <w:rPr>
          <w:color w:val="231F20"/>
          <w:spacing w:val="-15"/>
        </w:rPr>
        <w:t>ini-</w:t>
      </w:r>
      <w:r>
        <w:rPr>
          <w:color w:val="231F20"/>
        </w:rPr>
        <w:t xml:space="preserve">  </w:t>
      </w:r>
      <w:r>
        <w:rPr>
          <w:color w:val="231F20"/>
          <w:spacing w:val="-14"/>
        </w:rPr>
        <w:t>tis： no   longer   a   stranger     [J].   Research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-14"/>
        </w:rPr>
        <w:t>in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-14"/>
        </w:rPr>
        <w:t>Microbiology，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3"/>
        </w:rPr>
        <w:t>2017，168（9-10</w:t>
      </w:r>
      <w:r>
        <w:rPr>
          <w:color w:val="231F20"/>
          <w:spacing w:val="-30"/>
          <w:w w:val="60"/>
        </w:rPr>
        <w:t>）：</w:t>
      </w:r>
      <w:r>
        <w:rPr>
          <w:color w:val="231F20"/>
          <w:spacing w:val="-13"/>
        </w:rPr>
        <w:t>845-858.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90" w:right="61" w:hanging="190"/>
        <w:spacing w:before="1" w:line="208" w:lineRule="auto"/>
        <w:rPr/>
      </w:pPr>
      <w:r>
        <w:rPr>
          <w:color w:val="231F20"/>
          <w:spacing w:val="3"/>
        </w:rPr>
        <w:t>[2]欧丹.需氧菌性阴道炎的临床治疗研究进展[J].世界最新医学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8"/>
        </w:rPr>
        <w:t>信息文摘，2017，17（84</w:t>
      </w:r>
      <w:r>
        <w:rPr>
          <w:color w:val="231F20"/>
          <w:spacing w:val="-31"/>
          <w:w w:val="63"/>
        </w:rPr>
        <w:t>）：</w:t>
      </w:r>
      <w:r>
        <w:rPr>
          <w:color w:val="231F20"/>
          <w:spacing w:val="-18"/>
        </w:rPr>
        <w:t>27-30.</w:t>
      </w:r>
    </w:p>
    <w:p>
      <w:pPr>
        <w:pStyle w:val="BodyText"/>
        <w:ind w:left="194" w:right="61" w:hanging="194"/>
        <w:spacing w:before="44" w:line="209" w:lineRule="auto"/>
        <w:rPr/>
      </w:pPr>
      <w:r>
        <w:rPr>
          <w:color w:val="231F20"/>
          <w:spacing w:val="-2"/>
        </w:rPr>
        <w:t>[3]杜惠兰，魏绍斌，谈勇，等.苦参凝胶临床应用指导意见[J</w:t>
      </w:r>
      <w:r>
        <w:rPr>
          <w:color w:val="231F20"/>
          <w:spacing w:val="-3"/>
        </w:rPr>
        <w:t>].中</w:t>
      </w:r>
      <w:r>
        <w:rPr>
          <w:color w:val="231F20"/>
        </w:rPr>
        <w:t xml:space="preserve"> </w:t>
      </w:r>
      <w:r>
        <w:rPr>
          <w:color w:val="231F20"/>
          <w:spacing w:val="-19"/>
        </w:rPr>
        <w:t>草药，2020，51（8</w:t>
      </w:r>
      <w:r>
        <w:rPr>
          <w:color w:val="231F20"/>
          <w:spacing w:val="-29"/>
          <w:w w:val="57"/>
        </w:rPr>
        <w:t>）：</w:t>
      </w:r>
      <w:r>
        <w:rPr>
          <w:color w:val="231F20"/>
          <w:spacing w:val="-19"/>
        </w:rPr>
        <w:t>2088-2094.</w:t>
      </w:r>
    </w:p>
    <w:p>
      <w:pPr>
        <w:pStyle w:val="BodyText"/>
        <w:ind w:left="112" w:right="60" w:hanging="112"/>
        <w:spacing w:before="43" w:line="215" w:lineRule="auto"/>
        <w:rPr/>
      </w:pPr>
      <w:r>
        <w:rPr>
          <w:color w:val="231F20"/>
          <w:spacing w:val="-7"/>
        </w:rPr>
        <w:t>[4]王小梅，王雪梅，戚桂杰，等.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7"/>
        </w:rPr>
        <w:t>甲硝唑片联合苦参凝</w:t>
      </w:r>
      <w:r>
        <w:rPr>
          <w:color w:val="231F20"/>
          <w:spacing w:val="-8"/>
        </w:rPr>
        <w:t>胶治疗细菌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性阴道炎的临床疗效分析[J].中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4"/>
        </w:rPr>
        <w:t>国生化药物杂志，2015，35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（7</w:t>
      </w:r>
      <w:r>
        <w:rPr>
          <w:color w:val="231F20"/>
          <w:spacing w:val="-40"/>
          <w:w w:val="80"/>
        </w:rPr>
        <w:t>）：</w:t>
      </w:r>
      <w:r>
        <w:rPr>
          <w:color w:val="231F20"/>
          <w:spacing w:val="-12"/>
        </w:rPr>
        <w:t>128-129.</w:t>
      </w:r>
    </w:p>
    <w:p>
      <w:pPr>
        <w:pStyle w:val="BodyText"/>
        <w:ind w:left="197" w:right="61" w:hanging="197"/>
        <w:spacing w:before="46" w:line="209" w:lineRule="auto"/>
        <w:rPr/>
      </w:pPr>
      <w:r>
        <w:rPr>
          <w:color w:val="231F20"/>
          <w:spacing w:val="-6"/>
        </w:rPr>
        <w:t>[5]王秀，李见春，孙晓东，等.苦参凝胶治疗</w:t>
      </w:r>
      <w:r>
        <w:rPr>
          <w:color w:val="231F20"/>
          <w:spacing w:val="-7"/>
        </w:rPr>
        <w:t>阴道假丝酵母病的药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效学研究[J].国际药学研究杂志，2016，43（3</w:t>
      </w:r>
      <w:r>
        <w:rPr>
          <w:color w:val="231F20"/>
          <w:spacing w:val="-30"/>
          <w:w w:val="59"/>
        </w:rPr>
        <w:t>）：</w:t>
      </w:r>
      <w:r>
        <w:rPr>
          <w:color w:val="231F20"/>
          <w:spacing w:val="-11"/>
        </w:rPr>
        <w:t>529-532.</w:t>
      </w:r>
    </w:p>
    <w:p>
      <w:pPr>
        <w:pStyle w:val="BodyText"/>
        <w:ind w:left="192" w:hanging="192"/>
        <w:spacing w:before="44" w:line="209" w:lineRule="auto"/>
        <w:rPr/>
      </w:pPr>
      <w:r>
        <w:rPr>
          <w:color w:val="231F20"/>
        </w:rPr>
        <w:t>[6]王雪峰，杨月芳.苦参栓对大鼠阴道刺激试验[J</w:t>
      </w:r>
      <w:r>
        <w:rPr>
          <w:color w:val="231F20"/>
          <w:spacing w:val="-1"/>
        </w:rPr>
        <w:t>].黑龙江医药，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2006（4</w:t>
      </w:r>
      <w:r>
        <w:rPr>
          <w:color w:val="231F20"/>
          <w:spacing w:val="-30"/>
          <w:w w:val="60"/>
        </w:rPr>
        <w:t>）：</w:t>
      </w:r>
      <w:r>
        <w:rPr>
          <w:color w:val="231F20"/>
          <w:spacing w:val="-14"/>
        </w:rPr>
        <w:t>259-260.</w:t>
      </w:r>
    </w:p>
    <w:p>
      <w:pPr>
        <w:pStyle w:val="BodyText"/>
        <w:ind w:left="217" w:right="61" w:hanging="217"/>
        <w:spacing w:before="44" w:line="209" w:lineRule="auto"/>
        <w:rPr/>
      </w:pPr>
      <w:r>
        <w:rPr>
          <w:color w:val="231F20"/>
          <w:spacing w:val="3"/>
        </w:rPr>
        <w:t>[7]钟锦萍.需氧菌性阴道炎患者的微生态特征观察分析[J].深圳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6"/>
        </w:rPr>
        <w:t>中西医结合杂志，2016，26（22</w:t>
      </w:r>
      <w:r>
        <w:rPr>
          <w:color w:val="231F20"/>
          <w:spacing w:val="-30"/>
          <w:w w:val="60"/>
        </w:rPr>
        <w:t>）：</w:t>
      </w:r>
      <w:r>
        <w:rPr>
          <w:color w:val="231F20"/>
          <w:spacing w:val="-16"/>
        </w:rPr>
        <w:t>48-49.</w:t>
      </w:r>
    </w:p>
    <w:p>
      <w:pPr>
        <w:pStyle w:val="BodyText"/>
        <w:ind w:left="209" w:right="61" w:hanging="209"/>
        <w:spacing w:before="44" w:line="209" w:lineRule="auto"/>
        <w:rPr/>
      </w:pPr>
      <w:r>
        <w:rPr>
          <w:color w:val="231F20"/>
          <w:spacing w:val="-2"/>
        </w:rPr>
        <w:t>[8]程薇，周新娥.需氧菌性阴道炎的病因、诊断及治疗进展[J</w:t>
      </w:r>
      <w:r>
        <w:rPr>
          <w:color w:val="231F20"/>
          <w:spacing w:val="-3"/>
        </w:rPr>
        <w:t>].海</w:t>
      </w:r>
      <w:r>
        <w:rPr>
          <w:color w:val="231F20"/>
        </w:rPr>
        <w:t xml:space="preserve"> </w:t>
      </w:r>
      <w:r>
        <w:rPr>
          <w:color w:val="231F20"/>
          <w:spacing w:val="-19"/>
        </w:rPr>
        <w:t>南医学，2020，31（4</w:t>
      </w:r>
      <w:r>
        <w:rPr>
          <w:color w:val="231F20"/>
          <w:spacing w:val="-29"/>
          <w:w w:val="57"/>
        </w:rPr>
        <w:t>）：</w:t>
      </w:r>
      <w:r>
        <w:rPr>
          <w:color w:val="231F20"/>
          <w:spacing w:val="-19"/>
        </w:rPr>
        <w:t>523-52</w:t>
      </w:r>
      <w:r>
        <w:rPr>
          <w:color w:val="231F20"/>
          <w:spacing w:val="-20"/>
        </w:rPr>
        <w:t>8.</w:t>
      </w:r>
    </w:p>
    <w:p>
      <w:pPr>
        <w:pStyle w:val="BodyText"/>
        <w:ind w:left="188" w:right="58" w:hanging="188"/>
        <w:spacing w:before="74" w:line="204" w:lineRule="auto"/>
        <w:rPr/>
      </w:pPr>
      <w:r>
        <w:rPr>
          <w:color w:val="231F20"/>
          <w:spacing w:val="-13"/>
        </w:rPr>
        <w:t>[9]Donders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3"/>
        </w:rPr>
        <w:t>GG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3"/>
        </w:rPr>
        <w:t>，Ruban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3"/>
        </w:rPr>
        <w:t>K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3"/>
        </w:rPr>
        <w:t>，Bellen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3"/>
        </w:rPr>
        <w:t>G.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3"/>
        </w:rPr>
        <w:t>Sel</w:t>
      </w:r>
      <w:r>
        <w:rPr>
          <w:color w:val="231F20"/>
          <w:spacing w:val="-14"/>
        </w:rPr>
        <w:t>ecting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4"/>
        </w:rPr>
        <w:t>anti -microbial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4"/>
        </w:rPr>
        <w:t>treatment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4"/>
        </w:rPr>
        <w:t>of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4"/>
        </w:rPr>
        <w:t>aerobic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4"/>
        </w:rPr>
        <w:t>va</w:t>
      </w:r>
      <w:r>
        <w:rPr>
          <w:color w:val="231F20"/>
          <w:spacing w:val="-15"/>
        </w:rPr>
        <w:t>ginitis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5"/>
        </w:rPr>
        <w:t>[J].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5"/>
        </w:rPr>
        <w:t>Current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5"/>
        </w:rPr>
        <w:t>Infectious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5"/>
        </w:rPr>
        <w:t>Disease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5"/>
        </w:rPr>
        <w:t>Re-</w:t>
      </w:r>
      <w:r>
        <w:rPr>
          <w:color w:val="231F20"/>
        </w:rPr>
        <w:t xml:space="preserve"> </w:t>
      </w:r>
      <w:r>
        <w:rPr>
          <w:color w:val="231F20"/>
          <w:spacing w:val="-23"/>
          <w:w w:val="98"/>
        </w:rPr>
        <w:t>ports，2015，17（5</w:t>
      </w:r>
      <w:r>
        <w:rPr>
          <w:color w:val="231F20"/>
          <w:spacing w:val="-29"/>
          <w:w w:val="58"/>
        </w:rPr>
        <w:t>）：</w:t>
      </w:r>
      <w:r>
        <w:rPr>
          <w:color w:val="231F20"/>
          <w:spacing w:val="-23"/>
          <w:w w:val="98"/>
        </w:rPr>
        <w:t>477.</w:t>
      </w:r>
    </w:p>
    <w:p>
      <w:pPr>
        <w:pStyle w:val="BodyText"/>
        <w:ind w:left="271" w:right="48" w:hanging="271"/>
        <w:spacing w:before="84" w:line="208" w:lineRule="auto"/>
        <w:rPr/>
      </w:pPr>
      <w:r>
        <w:rPr>
          <w:color w:val="231F20"/>
          <w:spacing w:val="-16"/>
        </w:rPr>
        <w:t>[10]Sobel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6"/>
        </w:rPr>
        <w:t>JD，Reichman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6"/>
        </w:rPr>
        <w:t>O，Misra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6"/>
        </w:rPr>
        <w:t>D，et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6"/>
        </w:rPr>
        <w:t>al.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6"/>
        </w:rPr>
        <w:t>Prognosis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6"/>
        </w:rPr>
        <w:t>and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6"/>
        </w:rPr>
        <w:t>treat-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ment  of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15"/>
        </w:rPr>
        <w:t>desquamative  inflammatory  vaginitis    [J].  Obstet  Gy-</w:t>
      </w:r>
      <w:r>
        <w:rPr>
          <w:color w:val="231F20"/>
        </w:rPr>
        <w:t xml:space="preserve"> </w:t>
      </w:r>
      <w:r>
        <w:rPr>
          <w:color w:val="231F20"/>
          <w:spacing w:val="-18"/>
        </w:rPr>
        <w:t>necol，2011，117（4</w:t>
      </w:r>
      <w:r>
        <w:rPr>
          <w:color w:val="231F20"/>
          <w:spacing w:val="-29"/>
          <w:w w:val="58"/>
        </w:rPr>
        <w:t>）：</w:t>
      </w:r>
      <w:r>
        <w:rPr>
          <w:color w:val="231F20"/>
          <w:spacing w:val="-18"/>
        </w:rPr>
        <w:t>850-855.</w:t>
      </w:r>
    </w:p>
    <w:p>
      <w:pPr>
        <w:pStyle w:val="BodyText"/>
        <w:ind w:left="267" w:right="64" w:hanging="267"/>
        <w:spacing w:before="71" w:line="204" w:lineRule="auto"/>
        <w:rPr/>
      </w:pPr>
      <w:r>
        <w:rPr>
          <w:color w:val="231F20"/>
          <w:spacing w:val="-16"/>
        </w:rPr>
        <w:t>[11]Wang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6"/>
        </w:rPr>
        <w:t>C，Han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6"/>
        </w:rPr>
        <w:t>C，Geng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6"/>
        </w:rPr>
        <w:t>N，et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6"/>
        </w:rPr>
        <w:t>al.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6"/>
        </w:rPr>
        <w:t>Efficacy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6"/>
        </w:rPr>
        <w:t>of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6"/>
        </w:rPr>
        <w:t>oral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6"/>
        </w:rPr>
        <w:t>moxifloxacin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for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3"/>
        </w:rPr>
        <w:t>aerobic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3"/>
        </w:rPr>
        <w:t>vaginitis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3"/>
        </w:rPr>
        <w:t>[J].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3"/>
        </w:rPr>
        <w:t>European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3"/>
        </w:rPr>
        <w:t>Journal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3"/>
        </w:rPr>
        <w:t>of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3"/>
        </w:rPr>
        <w:t>Clinic</w:t>
      </w:r>
      <w:r>
        <w:rPr>
          <w:color w:val="231F20"/>
          <w:spacing w:val="-14"/>
        </w:rPr>
        <w:t>al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4"/>
        </w:rPr>
        <w:t>Microbi-</w:t>
      </w:r>
      <w:r>
        <w:rPr>
          <w:color w:val="231F20"/>
        </w:rPr>
        <w:t xml:space="preserve"> </w:t>
      </w:r>
      <w:r>
        <w:rPr>
          <w:color w:val="231F20"/>
          <w:spacing w:val="-19"/>
        </w:rPr>
        <w:t>ology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9"/>
        </w:rPr>
        <w:t>&amp;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9"/>
        </w:rPr>
        <w:t>Infectious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9"/>
        </w:rPr>
        <w:t>Diseases，2016，35（1</w:t>
      </w:r>
      <w:r>
        <w:rPr>
          <w:color w:val="231F20"/>
          <w:spacing w:val="-29"/>
          <w:w w:val="57"/>
        </w:rPr>
        <w:t>）：</w:t>
      </w:r>
      <w:r>
        <w:rPr>
          <w:color w:val="231F20"/>
          <w:spacing w:val="-19"/>
        </w:rPr>
        <w:t>95-</w:t>
      </w:r>
      <w:r>
        <w:rPr>
          <w:color w:val="231F20"/>
          <w:spacing w:val="-20"/>
        </w:rPr>
        <w:t>101.</w:t>
      </w:r>
    </w:p>
    <w:p>
      <w:pPr>
        <w:pStyle w:val="BodyText"/>
        <w:ind w:left="267" w:right="48" w:hanging="267"/>
        <w:spacing w:before="86" w:line="204" w:lineRule="auto"/>
        <w:rPr/>
      </w:pPr>
      <w:r>
        <w:rPr>
          <w:color w:val="231F20"/>
          <w:spacing w:val="-18"/>
        </w:rPr>
        <w:t>[12]Fan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8"/>
        </w:rPr>
        <w:t>A，Yue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8"/>
        </w:rPr>
        <w:t>Y，Geng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8"/>
        </w:rPr>
        <w:t>N，et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8"/>
        </w:rPr>
        <w:t>al.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8"/>
        </w:rPr>
        <w:t>Aero</w:t>
      </w:r>
      <w:r>
        <w:rPr>
          <w:color w:val="231F20"/>
          <w:spacing w:val="-19"/>
        </w:rPr>
        <w:t>bic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9"/>
        </w:rPr>
        <w:t>vaginitis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9"/>
        </w:rPr>
        <w:t>and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9"/>
        </w:rPr>
        <w:t>mixed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9"/>
        </w:rPr>
        <w:t>in-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fections：comparison   of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5"/>
        </w:rPr>
        <w:t>clinical   and   laboratory   findings   [J].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9"/>
        </w:rPr>
        <w:t>Archives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9"/>
        </w:rPr>
        <w:t>of Gynecology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9"/>
        </w:rPr>
        <w:t>and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9"/>
        </w:rPr>
        <w:t>Obstetrics，2013，287（2</w:t>
      </w:r>
      <w:r>
        <w:rPr>
          <w:color w:val="231F20"/>
          <w:spacing w:val="-31"/>
          <w:w w:val="61"/>
        </w:rPr>
        <w:t>）：</w:t>
      </w:r>
      <w:r>
        <w:rPr>
          <w:color w:val="231F20"/>
          <w:spacing w:val="-19"/>
        </w:rPr>
        <w:t>329-335.</w:t>
      </w:r>
    </w:p>
    <w:p>
      <w:pPr>
        <w:pStyle w:val="BodyText"/>
        <w:ind w:left="272" w:right="48" w:hanging="272"/>
        <w:spacing w:before="85" w:line="193" w:lineRule="auto"/>
        <w:rPr/>
      </w:pPr>
      <w:r>
        <w:rPr>
          <w:color w:val="231F20"/>
          <w:spacing w:val="-14"/>
        </w:rPr>
        <w:t>[13]Casa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4"/>
        </w:rPr>
        <w:t>V，Noll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4"/>
        </w:rPr>
        <w:t>H，Gonser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4"/>
        </w:rPr>
        <w:t>S，et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4"/>
        </w:rPr>
        <w:t>al.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4"/>
        </w:rPr>
        <w:t>Ant</w:t>
      </w:r>
      <w:r>
        <w:rPr>
          <w:color w:val="231F20"/>
          <w:spacing w:val="-15"/>
        </w:rPr>
        <w:t>imicrobial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5"/>
        </w:rPr>
        <w:t>activity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5"/>
        </w:rPr>
        <w:t>of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5"/>
        </w:rPr>
        <w:t>de-</w:t>
      </w:r>
      <w:r>
        <w:rPr>
          <w:color w:val="231F20"/>
        </w:rPr>
        <w:t xml:space="preserve"> </w:t>
      </w:r>
      <w:r>
        <w:rPr>
          <w:color w:val="231F20"/>
          <w:spacing w:val="-16"/>
        </w:rPr>
        <w:t>qualinium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6"/>
        </w:rPr>
        <w:t>chloride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6"/>
        </w:rPr>
        <w:t>against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6"/>
        </w:rPr>
        <w:t>leading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6"/>
        </w:rPr>
        <w:t>germs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6"/>
        </w:rPr>
        <w:t>of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6"/>
        </w:rPr>
        <w:t>v</w:t>
      </w:r>
      <w:r>
        <w:rPr>
          <w:color w:val="231F20"/>
          <w:spacing w:val="-17"/>
        </w:rPr>
        <w:t>aginal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7"/>
        </w:rPr>
        <w:t>infections</w:t>
      </w:r>
    </w:p>
    <w:p>
      <w:pPr>
        <w:pStyle w:val="BodyText"/>
        <w:ind w:left="275"/>
        <w:spacing w:before="60" w:line="180" w:lineRule="auto"/>
        <w:rPr/>
      </w:pPr>
      <w:r>
        <w:rPr>
          <w:color w:val="231F20"/>
          <w:spacing w:val="-17"/>
        </w:rPr>
        <w:t>[J].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7"/>
        </w:rPr>
        <w:t>Arzneimittelforschung</w:t>
      </w:r>
      <w:r>
        <w:rPr>
          <w:color w:val="231F20"/>
          <w:spacing w:val="-18"/>
        </w:rPr>
        <w:t>，2002，52（9</w:t>
      </w:r>
      <w:r>
        <w:rPr>
          <w:color w:val="231F20"/>
          <w:spacing w:val="-29"/>
          <w:w w:val="57"/>
        </w:rPr>
        <w:t>）：</w:t>
      </w:r>
      <w:r>
        <w:rPr>
          <w:color w:val="231F20"/>
          <w:spacing w:val="-18"/>
        </w:rPr>
        <w:t>699-705.</w:t>
      </w:r>
    </w:p>
    <w:p>
      <w:pPr>
        <w:pStyle w:val="BodyText"/>
        <w:ind w:left="312" w:right="61" w:hanging="312"/>
        <w:spacing w:before="59" w:line="209" w:lineRule="auto"/>
        <w:rPr/>
      </w:pPr>
      <w:r>
        <w:rPr>
          <w:color w:val="231F20"/>
          <w:spacing w:val="-2"/>
        </w:rPr>
        <w:t>[14]刘薇，王翠玉.加味易黄汤内服外用治疗黄带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100 例</w:t>
      </w:r>
      <w:r>
        <w:rPr>
          <w:color w:val="231F20"/>
          <w:spacing w:val="-3"/>
        </w:rPr>
        <w:t>[J].四川</w:t>
      </w:r>
      <w:r>
        <w:rPr>
          <w:color w:val="231F20"/>
        </w:rPr>
        <w:t xml:space="preserve"> </w:t>
      </w:r>
      <w:r>
        <w:rPr>
          <w:color w:val="231F20"/>
          <w:spacing w:val="-21"/>
        </w:rPr>
        <w:t>中医，2010，28（10</w:t>
      </w:r>
      <w:r>
        <w:rPr>
          <w:color w:val="231F20"/>
          <w:spacing w:val="-29"/>
          <w:w w:val="57"/>
        </w:rPr>
        <w:t>）：</w:t>
      </w:r>
      <w:r>
        <w:rPr>
          <w:color w:val="231F20"/>
          <w:spacing w:val="-21"/>
        </w:rPr>
        <w:t>95-96.</w:t>
      </w:r>
    </w:p>
    <w:p>
      <w:pPr>
        <w:pStyle w:val="BodyText"/>
        <w:ind w:left="292" w:right="61" w:hanging="292"/>
        <w:spacing w:before="44" w:line="209" w:lineRule="auto"/>
        <w:rPr/>
      </w:pPr>
      <w:r>
        <w:rPr>
          <w:color w:val="231F20"/>
          <w:spacing w:val="2"/>
        </w:rPr>
        <w:t>[15]岳光丽.加减止带方结合中药坐浴对需氧菌阴道炎的临床疗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效观察[D].南京：南京中医药大学，2014.</w:t>
      </w:r>
    </w:p>
    <w:p>
      <w:pPr>
        <w:pStyle w:val="BodyText"/>
        <w:ind w:left="287" w:hanging="287"/>
        <w:spacing w:before="45" w:line="209" w:lineRule="auto"/>
        <w:rPr/>
      </w:pPr>
      <w:r>
        <w:rPr>
          <w:color w:val="231F20"/>
          <w:spacing w:val="-3"/>
        </w:rPr>
        <w:t>[16]靖媛，苑述刚，阮时宝.苦参的历代研究与</w:t>
      </w:r>
      <w:r>
        <w:rPr>
          <w:color w:val="231F20"/>
          <w:spacing w:val="-4"/>
        </w:rPr>
        <w:t>应用[J].光明中医，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2007（12</w:t>
      </w:r>
      <w:r>
        <w:rPr>
          <w:color w:val="231F20"/>
          <w:spacing w:val="-30"/>
          <w:w w:val="60"/>
        </w:rPr>
        <w:t>）：</w:t>
      </w:r>
      <w:r>
        <w:rPr>
          <w:color w:val="231F20"/>
          <w:spacing w:val="-14"/>
        </w:rPr>
        <w:t>47-50.</w:t>
      </w:r>
    </w:p>
    <w:p>
      <w:pPr>
        <w:pStyle w:val="BodyText"/>
        <w:ind w:left="286" w:right="61" w:hanging="286"/>
        <w:spacing w:before="43" w:line="210" w:lineRule="auto"/>
        <w:rPr/>
      </w:pPr>
      <w:r>
        <w:rPr>
          <w:color w:val="231F20"/>
        </w:rPr>
        <w:t>[17]谭焕然，张宝恒.苦参碱抗炎症作用的实验研究[J].中西医结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9"/>
        </w:rPr>
        <w:t>合杂志，1985（2</w:t>
      </w:r>
      <w:r>
        <w:rPr>
          <w:color w:val="231F20"/>
          <w:spacing w:val="-41"/>
          <w:w w:val="82"/>
        </w:rPr>
        <w:t>）：</w:t>
      </w:r>
      <w:r>
        <w:rPr>
          <w:color w:val="231F20"/>
          <w:spacing w:val="-19"/>
        </w:rPr>
        <w:t>108-110.</w:t>
      </w:r>
    </w:p>
    <w:p>
      <w:pPr>
        <w:spacing w:line="210" w:lineRule="auto"/>
        <w:sectPr>
          <w:type w:val="continuous"/>
          <w:pgSz w:w="11906" w:h="16838"/>
          <w:pgMar w:top="1518" w:right="790" w:bottom="400" w:left="407" w:header="1196" w:footer="0" w:gutter="0"/>
          <w:cols w:equalWidth="0" w:num="2">
            <w:col w:w="5610" w:space="100"/>
            <w:col w:w="4998" w:space="0"/>
          </w:cols>
        </w:sectPr>
        <w:rPr/>
      </w:pPr>
    </w:p>
    <w:p>
      <w:pPr>
        <w:spacing w:before="169"/>
        <w:rPr/>
      </w:pPr>
      <w:r/>
    </w:p>
    <w:p>
      <w:pPr>
        <w:sectPr>
          <w:type w:val="continuous"/>
          <w:pgSz w:w="11906" w:h="16838"/>
          <w:pgMar w:top="1518" w:right="790" w:bottom="400" w:left="407" w:header="1196" w:footer="0" w:gutter="0"/>
          <w:cols w:equalWidth="0" w:num="1">
            <w:col w:w="10708" w:space="0"/>
          </w:cols>
        </w:sectPr>
        <w:rPr/>
      </w:pPr>
    </w:p>
    <w:p>
      <w:pPr>
        <w:pStyle w:val="BodyText"/>
        <w:ind w:left="371"/>
        <w:spacing w:before="38" w:line="197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8"/>
        </w:rPr>
        <w:t>（上接</w:t>
      </w:r>
      <w:r>
        <w:rPr>
          <w:sz w:val="17"/>
          <w:szCs w:val="17"/>
          <w:color w:val="231F20"/>
          <w:spacing w:val="17"/>
          <w:w w:val="101"/>
        </w:rPr>
        <w:t xml:space="preserve"> </w:t>
      </w:r>
      <w:r>
        <w:rPr>
          <w:sz w:val="17"/>
          <w:szCs w:val="17"/>
          <w:color w:val="231F20"/>
          <w:spacing w:val="-8"/>
        </w:rPr>
        <w:t>135</w:t>
      </w:r>
      <w:r>
        <w:rPr>
          <w:sz w:val="17"/>
          <w:szCs w:val="17"/>
          <w:color w:val="231F20"/>
          <w:spacing w:val="17"/>
        </w:rPr>
        <w:t xml:space="preserve"> </w:t>
      </w:r>
      <w:r>
        <w:rPr>
          <w:sz w:val="17"/>
          <w:szCs w:val="17"/>
          <w:color w:val="231F20"/>
          <w:spacing w:val="-8"/>
        </w:rPr>
        <w:t>页）</w:t>
      </w:r>
    </w:p>
    <w:p>
      <w:pPr>
        <w:pStyle w:val="BodyText"/>
        <w:ind w:left="447" w:right="225" w:firstLine="362"/>
        <w:spacing w:before="184" w:line="231" w:lineRule="auto"/>
        <w:rPr/>
      </w:pPr>
      <w:r>
        <w:rPr>
          <w:color w:val="231F20"/>
          <w:spacing w:val="3"/>
        </w:rPr>
        <w:t>综上所述，热敏疗法联合中药汤剂治疗湿热郁结型</w:t>
      </w:r>
      <w:r>
        <w:rPr>
          <w:color w:val="231F20"/>
          <w:spacing w:val="2"/>
        </w:rPr>
        <w:t>急性盆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腔炎效果较好，亦可快速消除炎性因子，促进机体康复。</w:t>
      </w:r>
    </w:p>
    <w:p>
      <w:pPr>
        <w:pStyle w:val="BodyText"/>
        <w:ind w:left="448"/>
        <w:spacing w:line="182" w:lineRule="auto"/>
        <w:rPr/>
      </w:pPr>
      <w:r>
        <w:rPr>
          <w:color w:val="231F20"/>
          <w:spacing w:val="1"/>
        </w:rPr>
        <w:t>参考文献</w:t>
      </w:r>
    </w:p>
    <w:p>
      <w:pPr>
        <w:pStyle w:val="BodyText"/>
        <w:ind w:left="562" w:right="224" w:hanging="112"/>
        <w:spacing w:before="53" w:line="215" w:lineRule="auto"/>
        <w:rPr/>
      </w:pPr>
      <w:r>
        <w:rPr>
          <w:color w:val="231F20"/>
          <w:spacing w:val="-6"/>
        </w:rPr>
        <w:t>[1]顾莹，芮宇骋，周芳，等.金刚藤咀嚼</w:t>
      </w:r>
      <w:r>
        <w:rPr>
          <w:color w:val="231F20"/>
          <w:spacing w:val="-7"/>
        </w:rPr>
        <w:t>片辨证治疗湿热蕴结证慢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性盆腔炎性包块的临床效果评价[J].中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4"/>
        </w:rPr>
        <w:t>国性科学，2018，27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（10</w:t>
      </w:r>
      <w:r>
        <w:rPr>
          <w:color w:val="231F20"/>
          <w:spacing w:val="-39"/>
          <w:w w:val="78"/>
        </w:rPr>
        <w:t>）：</w:t>
      </w:r>
      <w:r>
        <w:rPr>
          <w:color w:val="231F20"/>
          <w:spacing w:val="-12"/>
        </w:rPr>
        <w:t>115-118.</w:t>
      </w:r>
    </w:p>
    <w:p>
      <w:pPr>
        <w:pStyle w:val="BodyText"/>
        <w:ind w:left="450"/>
        <w:spacing w:before="44" w:line="197" w:lineRule="exact"/>
        <w:rPr/>
      </w:pPr>
      <w:r>
        <w:rPr>
          <w:color w:val="231F20"/>
          <w:spacing w:val="-1"/>
        </w:rPr>
        <w:t>[2]《新编中华临床医药卫生全书》编委</w:t>
      </w:r>
      <w:r>
        <w:rPr>
          <w:color w:val="231F20"/>
          <w:spacing w:val="-2"/>
        </w:rPr>
        <w:t>会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2"/>
        </w:rPr>
        <w:t>.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临床妇产科学[M].北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97"/>
        <w:spacing w:before="177" w:line="197" w:lineRule="auto"/>
        <w:rPr/>
      </w:pPr>
      <w:r>
        <w:rPr>
          <w:color w:val="231F20"/>
          <w:spacing w:val="-16"/>
        </w:rPr>
        <w:t>京：中医古籍出版社，2006：169-172.</w:t>
      </w:r>
    </w:p>
    <w:p>
      <w:pPr>
        <w:pStyle w:val="BodyText"/>
        <w:ind w:left="218" w:right="61" w:hanging="219"/>
        <w:spacing w:before="39" w:line="211" w:lineRule="auto"/>
        <w:rPr/>
      </w:pPr>
      <w:r>
        <w:rPr>
          <w:color w:val="231F20"/>
          <w:spacing w:val="-1"/>
        </w:rPr>
        <w:t>[3]郑筱萸.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中药新药临床研究指导原则[M].北京：中国医药科技</w:t>
      </w:r>
      <w:r>
        <w:rPr>
          <w:color w:val="231F20"/>
        </w:rPr>
        <w:t xml:space="preserve"> </w:t>
      </w:r>
      <w:r>
        <w:rPr>
          <w:color w:val="231F20"/>
          <w:spacing w:val="-19"/>
        </w:rPr>
        <w:t>出版社，2002：236-260.</w:t>
      </w:r>
    </w:p>
    <w:p>
      <w:pPr>
        <w:pStyle w:val="BodyText"/>
        <w:ind w:left="199" w:right="61" w:hanging="199"/>
        <w:spacing w:before="38" w:line="215" w:lineRule="auto"/>
        <w:rPr/>
      </w:pPr>
      <w:r>
        <w:rPr>
          <w:color w:val="231F20"/>
          <w:spacing w:val="-1"/>
        </w:rPr>
        <w:t>[4]吴芳，李鹏利，杨冬梅.热敏灸联合清热调血汤对湿热蕴结型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痛经患者疗效，镇痛效应及子宫动脉血流影响[J].辽宁中医药 </w:t>
      </w:r>
      <w:r>
        <w:rPr>
          <w:color w:val="231F20"/>
          <w:spacing w:val="-21"/>
        </w:rPr>
        <w:t>大学学报，2020，22（5</w:t>
      </w:r>
      <w:r>
        <w:rPr>
          <w:color w:val="231F20"/>
          <w:spacing w:val="-41"/>
          <w:w w:val="82"/>
        </w:rPr>
        <w:t>）：</w:t>
      </w:r>
      <w:r>
        <w:rPr>
          <w:color w:val="231F20"/>
          <w:spacing w:val="-21"/>
        </w:rPr>
        <w:t>136-139.</w:t>
      </w:r>
    </w:p>
    <w:p>
      <w:pPr>
        <w:pStyle w:val="BodyText"/>
        <w:ind w:left="193" w:right="61" w:hanging="194"/>
        <w:spacing w:before="43" w:line="190" w:lineRule="auto"/>
        <w:rPr/>
      </w:pPr>
      <w:r>
        <w:rPr>
          <w:color w:val="231F20"/>
          <w:spacing w:val="6"/>
        </w:rPr>
        <w:t>[5]蔡艺淑.热敏灸配合中药灌肠治疗慢性</w:t>
      </w:r>
      <w:r>
        <w:rPr>
          <w:color w:val="231F20"/>
          <w:spacing w:val="5"/>
        </w:rPr>
        <w:t>盆腔炎患者的效果观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察[J].基层医学论坛，2019，23（34</w:t>
      </w:r>
      <w:r>
        <w:rPr>
          <w:color w:val="231F20"/>
          <w:spacing w:val="-31"/>
          <w:w w:val="63"/>
        </w:rPr>
        <w:t>）：</w:t>
      </w:r>
      <w:r>
        <w:rPr>
          <w:color w:val="231F20"/>
          <w:spacing w:val="-14"/>
        </w:rPr>
        <w:t>4988-4990.</w:t>
      </w:r>
    </w:p>
    <w:sectPr>
      <w:type w:val="continuous"/>
      <w:pgSz w:w="11906" w:h="16838"/>
      <w:pgMar w:top="1518" w:right="790" w:bottom="400" w:left="407" w:header="1196" w:footer="0" w:gutter="0"/>
      <w:cols w:equalWidth="0" w:num="2">
        <w:col w:w="5610" w:space="100"/>
        <w:col w:w="499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8" w:lineRule="auto"/>
      <w:jc w:val="right"/>
      <w:rPr>
        <w:sz w:val="17"/>
        <w:szCs w:val="17"/>
      </w:rPr>
    </w:pPr>
    <w:r>
      <w:rPr>
        <w:sz w:val="17"/>
        <w:szCs w:val="17"/>
        <w:color w:val="231F20"/>
        <w:spacing w:val="-11"/>
      </w:rPr>
      <w:t>（下转</w:t>
    </w:r>
    <w:r>
      <w:rPr>
        <w:sz w:val="17"/>
        <w:szCs w:val="17"/>
        <w:color w:val="231F20"/>
        <w:spacing w:val="14"/>
      </w:rPr>
      <w:t xml:space="preserve"> </w:t>
    </w:r>
    <w:r>
      <w:rPr>
        <w:sz w:val="17"/>
        <w:szCs w:val="17"/>
        <w:color w:val="231F20"/>
        <w:spacing w:val="-11"/>
      </w:rPr>
      <w:t>144</w:t>
    </w:r>
    <w:r>
      <w:rPr>
        <w:sz w:val="17"/>
        <w:szCs w:val="17"/>
        <w:color w:val="231F20"/>
        <w:spacing w:val="17"/>
      </w:rPr>
      <w:t xml:space="preserve"> </w:t>
    </w:r>
    <w:r>
      <w:rPr>
        <w:sz w:val="17"/>
        <w:szCs w:val="17"/>
        <w:color w:val="231F20"/>
        <w:spacing w:val="-11"/>
      </w:rPr>
      <w:t>页）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1"/>
      <w:spacing w:before="50" w:line="183" w:lineRule="auto"/>
      <w:tabs>
        <w:tab w:val="left" w:pos="505"/>
      </w:tabs>
      <w:rPr/>
    </w:pPr>
    <w:r>
      <w:pict>
        <v:shape id="WordPictureWatermark2" style="position:absolute;margin-left:20.4pt;margin-top:814.49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>
      <w:rPr>
        <w:sz w:val="20"/>
        <w:szCs w:val="20"/>
        <w:u w:val="single" w:color="auto"/>
        <w:color w:val="231F20"/>
      </w:rPr>
      <w:tab/>
    </w:r>
    <w:r>
      <w:rPr>
        <w:sz w:val="20"/>
        <w:szCs w:val="20"/>
        <w:u w:val="single" w:color="auto"/>
        <w:color w:val="231F20"/>
        <w:spacing w:val="-11"/>
      </w:rPr>
      <w:t>134                       </w:t>
    </w:r>
    <w:r>
      <w:rPr>
        <w:u w:val="single" w:color="auto"/>
        <w:color w:val="231F20"/>
        <w:spacing w:val="-11"/>
        <w:position w:val="2"/>
      </w:rPr>
      <w:t>内蒙古中医药第 41 卷2022 年 2 月第 2 期 </w:t>
    </w:r>
    <w:r>
      <w:rPr>
        <w:u w:val="single" w:color="auto"/>
        <w:color w:val="231F20"/>
        <w:spacing w:val="-12"/>
        <w:position w:val="2"/>
      </w:rPr>
      <w:t>Inner Mongolia Journal of</w:t>
    </w:r>
    <w:r>
      <w:rPr>
        <w:u w:val="single" w:color="auto"/>
        <w:color w:val="231F20"/>
        <w:spacing w:val="-19"/>
        <w:position w:val="2"/>
      </w:rPr>
      <w:t xml:space="preserve"> </w:t>
    </w:r>
    <w:r>
      <w:rPr>
        <w:u w:val="single" w:color="auto"/>
        <w:color w:val="231F20"/>
        <w:spacing w:val="-12"/>
        <w:position w:val="2"/>
      </w:rPr>
      <w:t>Traditional Chinese</w:t>
    </w:r>
    <w:r>
      <w:rPr>
        <w:u w:val="single" w:color="auto"/>
        <w:color w:val="231F20"/>
        <w:spacing w:val="-2"/>
        <w:position w:val="2"/>
      </w:rPr>
      <w:t xml:space="preserve"> </w:t>
    </w:r>
    <w:r>
      <w:rPr>
        <w:u w:val="single" w:color="auto"/>
        <w:color w:val="231F20"/>
        <w:spacing w:val="-12"/>
        <w:position w:val="2"/>
      </w:rPr>
      <w:t>Medicine  Vol.41</w:t>
    </w:r>
    <w:r>
      <w:rPr>
        <w:u w:val="single" w:color="auto"/>
        <w:color w:val="231F20"/>
        <w:spacing w:val="44"/>
        <w:position w:val="2"/>
      </w:rPr>
      <w:t xml:space="preserve"> </w:t>
    </w:r>
    <w:r>
      <w:rPr>
        <w:u w:val="single" w:color="auto"/>
        <w:color w:val="231F20"/>
        <w:spacing w:val="-12"/>
        <w:position w:val="2"/>
      </w:rPr>
      <w:t>No.2  2022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3"/>
      <w:spacing w:before="50" w:line="183" w:lineRule="auto"/>
      <w:rPr>
        <w:sz w:val="20"/>
        <w:szCs w:val="20"/>
      </w:rPr>
    </w:pPr>
    <w:r>
      <w:pict>
        <v:shape id="WordPictureWatermark4" style="position:absolute;margin-left:20.4pt;margin-top:814.49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>
      <w:rPr>
        <w:u w:val="single" w:color="auto"/>
        <w:color w:val="231F20"/>
        <w:spacing w:val="-12"/>
        <w:position w:val="2"/>
      </w:rPr>
      <w:t>内蒙古中医药第 41 卷2022 年 2 月第 2 期 Inner Mongolia Journ</w:t>
    </w:r>
    <w:r>
      <w:rPr>
        <w:u w:val="single" w:color="auto"/>
        <w:color w:val="231F20"/>
        <w:spacing w:val="-13"/>
        <w:position w:val="2"/>
      </w:rPr>
      <w:t>al of</w:t>
    </w:r>
    <w:r>
      <w:rPr>
        <w:u w:val="single" w:color="auto"/>
        <w:color w:val="231F20"/>
        <w:spacing w:val="-19"/>
        <w:position w:val="2"/>
      </w:rPr>
      <w:t xml:space="preserve"> </w:t>
    </w:r>
    <w:r>
      <w:rPr>
        <w:u w:val="single" w:color="auto"/>
        <w:color w:val="231F20"/>
        <w:spacing w:val="-13"/>
        <w:position w:val="2"/>
      </w:rPr>
      <w:t>Traditional Chinese Medicine  Vol.41</w:t>
    </w:r>
    <w:r>
      <w:rPr>
        <w:u w:val="single" w:color="auto"/>
        <w:color w:val="231F20"/>
        <w:spacing w:val="44"/>
        <w:position w:val="2"/>
      </w:rPr>
      <w:t xml:space="preserve"> </w:t>
    </w:r>
    <w:r>
      <w:rPr>
        <w:u w:val="single" w:color="auto"/>
        <w:color w:val="231F20"/>
        <w:spacing w:val="-13"/>
        <w:position w:val="2"/>
      </w:rPr>
      <w:t>No.2</w:t>
    </w:r>
    <w:r>
      <w:rPr>
        <w:u w:val="single" w:color="auto"/>
        <w:color w:val="231F20"/>
        <w:spacing w:val="41"/>
        <w:w w:val="101"/>
        <w:position w:val="2"/>
      </w:rPr>
      <w:t xml:space="preserve"> </w:t>
    </w:r>
    <w:r>
      <w:rPr>
        <w:u w:val="single" w:color="auto"/>
        <w:color w:val="231F20"/>
        <w:spacing w:val="-13"/>
        <w:position w:val="2"/>
      </w:rPr>
      <w:t>2022</w:t>
    </w:r>
    <w:r>
      <w:rPr>
        <w:u w:val="single" w:color="auto"/>
        <w:color w:val="231F20"/>
        <w:position w:val="2"/>
      </w:rPr>
      <w:t xml:space="preserve">                      </w:t>
    </w:r>
    <w:r>
      <w:rPr>
        <w:sz w:val="20"/>
        <w:szCs w:val="20"/>
        <w:u w:val="single" w:color="auto"/>
        <w:color w:val="231F20"/>
        <w:spacing w:val="-13"/>
      </w:rPr>
      <w:t>135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1"/>
      <w:spacing w:before="50" w:line="183" w:lineRule="auto"/>
      <w:tabs>
        <w:tab w:val="left" w:pos="505"/>
      </w:tabs>
      <w:rPr/>
    </w:pPr>
    <w:r>
      <w:pict>
        <v:shape id="WordPictureWatermark12" style="position:absolute;margin-left:20.4pt;margin-top:814.49pt;mso-position-vertical-relative:page;mso-position-horizontal-relative:page;width:475.5pt;height:9.7pt;z-index:251660288;" o:allowincell="f" filled="false" stroked="false" type="#_x0000_t75">
          <v:imagedata o:title="" r:id="rId1"/>
        </v:shape>
      </w:pict>
    </w:r>
    <w:r>
      <w:rPr>
        <w:sz w:val="20"/>
        <w:szCs w:val="20"/>
        <w:u w:val="single" w:color="auto"/>
        <w:color w:val="231F20"/>
      </w:rPr>
      <w:tab/>
    </w:r>
    <w:r>
      <w:rPr>
        <w:sz w:val="20"/>
        <w:szCs w:val="20"/>
        <w:u w:val="single" w:color="auto"/>
        <w:color w:val="231F20"/>
        <w:spacing w:val="-11"/>
      </w:rPr>
      <w:t>144                       </w:t>
    </w:r>
    <w:r>
      <w:rPr>
        <w:u w:val="single" w:color="auto"/>
        <w:color w:val="231F20"/>
        <w:spacing w:val="-11"/>
        <w:position w:val="2"/>
      </w:rPr>
      <w:t>内蒙古中医药第 41 卷2022 年 2 月第 2 期 </w:t>
    </w:r>
    <w:r>
      <w:rPr>
        <w:u w:val="single" w:color="auto"/>
        <w:color w:val="231F20"/>
        <w:spacing w:val="-12"/>
        <w:position w:val="2"/>
      </w:rPr>
      <w:t>Inner Mongolia Journal of</w:t>
    </w:r>
    <w:r>
      <w:rPr>
        <w:u w:val="single" w:color="auto"/>
        <w:color w:val="231F20"/>
        <w:spacing w:val="-19"/>
        <w:position w:val="2"/>
      </w:rPr>
      <w:t xml:space="preserve"> </w:t>
    </w:r>
    <w:r>
      <w:rPr>
        <w:u w:val="single" w:color="auto"/>
        <w:color w:val="231F20"/>
        <w:spacing w:val="-12"/>
        <w:position w:val="2"/>
      </w:rPr>
      <w:t>Traditional Chinese</w:t>
    </w:r>
    <w:r>
      <w:rPr>
        <w:u w:val="single" w:color="auto"/>
        <w:color w:val="231F20"/>
        <w:spacing w:val="-2"/>
        <w:position w:val="2"/>
      </w:rPr>
      <w:t xml:space="preserve"> </w:t>
    </w:r>
    <w:r>
      <w:rPr>
        <w:u w:val="single" w:color="auto"/>
        <w:color w:val="231F20"/>
        <w:spacing w:val="-12"/>
        <w:position w:val="2"/>
      </w:rPr>
      <w:t>Medicine  Vol.41</w:t>
    </w:r>
    <w:r>
      <w:rPr>
        <w:u w:val="single" w:color="auto"/>
        <w:color w:val="231F20"/>
        <w:spacing w:val="44"/>
        <w:position w:val="2"/>
      </w:rPr>
      <w:t xml:space="preserve"> </w:t>
    </w:r>
    <w:r>
      <w:rPr>
        <w:u w:val="single" w:color="auto"/>
        <w:color w:val="231F20"/>
        <w:spacing w:val="-12"/>
        <w:position w:val="2"/>
      </w:rPr>
      <w:t>No.2  2022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image" Target="media/image5.jpeg"/><Relationship Id="rId6" Type="http://schemas.openxmlformats.org/officeDocument/2006/relationships/image" Target="media/image4.png"/><Relationship Id="rId5" Type="http://schemas.openxmlformats.org/officeDocument/2006/relationships/footer" Target="footer2.xml"/><Relationship Id="rId4" Type="http://schemas.openxmlformats.org/officeDocument/2006/relationships/header" Target="header3.xml"/><Relationship Id="rId3" Type="http://schemas.openxmlformats.org/officeDocument/2006/relationships/footer" Target="footer1.xml"/><Relationship Id="rId2" Type="http://schemas.openxmlformats.org/officeDocument/2006/relationships/header" Target="header2.xml"/><Relationship Id="rId10" Type="http://schemas.openxmlformats.org/officeDocument/2006/relationships/fontTable" Target="fontTable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2023-06-30T16:23:34Z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2025-10-28T21:30:20</vt:filetime>
  </property>
</Properties>
</file>