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16"/>
        <w:spacing w:before="48" w:line="178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>•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position w:val="-2"/>
        </w:rPr>
        <w:t>论       著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>•              </w:t>
      </w:r>
      <w:r>
        <w:rPr>
          <w:shd w:val="clear" w:fill="DCDDDF"/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Electronic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3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Journal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3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of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1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Practical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8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Gynecological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Endocrinology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 xml:space="preserve">  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2023</w:t>
      </w:r>
      <w:r>
        <w:rPr>
          <w:rFonts w:ascii="SimHei" w:hAnsi="SimHei" w:eastAsia="SimHei" w:cs="SimHei"/>
          <w:sz w:val="21"/>
          <w:szCs w:val="21"/>
          <w:color w:val="231F20"/>
          <w:spacing w:val="-63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Vol.10</w:t>
      </w:r>
      <w:r>
        <w:rPr>
          <w:rFonts w:ascii="SimHei" w:hAnsi="SimHei" w:eastAsia="SimHei" w:cs="SimHei"/>
          <w:sz w:val="21"/>
          <w:szCs w:val="21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No.20</w:t>
      </w:r>
    </w:p>
    <w:p>
      <w:pPr>
        <w:ind w:firstLine="725"/>
        <w:spacing w:before="3" w:line="56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50"/>
        <w:spacing w:before="268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DOI：10.3969/j.issn.2095-8803.2023.20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.004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770"/>
        <w:spacing w:before="181" w:line="18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-3"/>
        </w:rPr>
        <w:t>中药联合针灸治疗慢性盆腔炎临床观察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741"/>
        <w:spacing w:before="69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4"/>
        </w:rPr>
        <w:t>刘秀清</w:t>
      </w:r>
    </w:p>
    <w:p>
      <w:pPr>
        <w:pStyle w:val="BodyText"/>
        <w:ind w:left="716"/>
        <w:spacing w:before="55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</w:rPr>
        <w:t>（柳州市潭中人民医院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妇产科，广西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柳州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545007</w:t>
      </w:r>
      <w:r>
        <w:rPr>
          <w:rFonts w:ascii="KaiTi" w:hAnsi="KaiTi" w:eastAsia="KaiTi" w:cs="KaiTi"/>
          <w:sz w:val="21"/>
          <w:szCs w:val="21"/>
          <w:color w:val="231F20"/>
        </w:rPr>
        <w:t>）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728" w:right="15" w:firstLine="305"/>
        <w:spacing w:before="78" w:line="242" w:lineRule="auto"/>
        <w:jc w:val="both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【摘要】目的   </w:t>
      </w:r>
      <w:r>
        <w:rPr>
          <w:sz w:val="18"/>
          <w:szCs w:val="18"/>
          <w:color w:val="231F20"/>
          <w:spacing w:val="-4"/>
        </w:rPr>
        <w:t>分析中药联合针灸治疗慢性盆腔炎的临床疗效。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方法    </w:t>
      </w:r>
      <w:r>
        <w:rPr>
          <w:sz w:val="18"/>
          <w:szCs w:val="18"/>
          <w:color w:val="231F20"/>
          <w:spacing w:val="-4"/>
        </w:rPr>
        <w:t>选取60例慢性盆腔炎患者，将其根据随机数字表法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分为对照组与研究组，各30例。对照组采用中药治疗，研究组采用中药联合针灸治疗。比较两组临</w:t>
      </w:r>
      <w:r>
        <w:rPr>
          <w:sz w:val="18"/>
          <w:szCs w:val="18"/>
          <w:color w:val="231F20"/>
          <w:spacing w:val="-5"/>
        </w:rPr>
        <w:t>床疗效。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结果   </w:t>
      </w:r>
      <w:r>
        <w:rPr>
          <w:sz w:val="18"/>
          <w:szCs w:val="18"/>
          <w:color w:val="231F20"/>
          <w:spacing w:val="-5"/>
        </w:rPr>
        <w:t>研究组临床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症状好转时间均短于对照组，差异有统计学意义（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＜</w:t>
      </w:r>
      <w:r>
        <w:rPr>
          <w:sz w:val="18"/>
          <w:szCs w:val="18"/>
          <w:color w:val="231F20"/>
          <w:spacing w:val="-6"/>
        </w:rPr>
        <w:t>0.05）</w:t>
      </w:r>
      <w:r>
        <w:rPr>
          <w:sz w:val="18"/>
          <w:szCs w:val="18"/>
          <w:color w:val="231F20"/>
          <w:spacing w:val="-7"/>
        </w:rPr>
        <w:t>。治疗后，研究组血清炎性因子水平低于对照组，生活质量评分高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于对照组，差异有统计学意义（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＜</w:t>
      </w:r>
      <w:r>
        <w:rPr>
          <w:sz w:val="18"/>
          <w:szCs w:val="18"/>
          <w:color w:val="231F20"/>
          <w:spacing w:val="-6"/>
        </w:rPr>
        <w:t>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结论   </w:t>
      </w:r>
      <w:r>
        <w:rPr>
          <w:sz w:val="18"/>
          <w:szCs w:val="18"/>
          <w:color w:val="231F20"/>
          <w:spacing w:val="-6"/>
        </w:rPr>
        <w:t>慢性盆腔炎患者采用中药联合针灸治疗，可有效改善患者的临床症状及炎性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7"/>
        </w:rPr>
        <w:t>因子水平，提高患者的生活质量，值得临床推广。</w:t>
      </w:r>
    </w:p>
    <w:p>
      <w:pPr>
        <w:pStyle w:val="BodyText"/>
        <w:ind w:left="1034"/>
        <w:spacing w:before="17" w:line="20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【关键词】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9"/>
        </w:rPr>
        <w:t>中药；针灸；二仙汤；慢性盆腔炎；临床疗效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732" w:right="959"/>
        <w:spacing w:before="53" w:line="308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0"/>
        </w:rPr>
        <w:t>Clinical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observation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on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chronic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pelvic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inflammatory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disease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treated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by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Chinese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medicine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combined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b/>
          <w:bCs/>
          <w:color w:val="231F20"/>
          <w:spacing w:val="10"/>
        </w:rPr>
        <w:t>with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b/>
          <w:bCs/>
          <w:color w:val="231F20"/>
          <w:spacing w:val="14"/>
        </w:rPr>
        <w:t>acupuncture</w:t>
      </w:r>
    </w:p>
    <w:p>
      <w:pPr>
        <w:ind w:left="737"/>
        <w:spacing w:before="152" w:line="23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Xiuqing</w:t>
      </w:r>
    </w:p>
    <w:p>
      <w:pPr>
        <w:ind w:left="751"/>
        <w:spacing w:before="58" w:line="24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(Department of Obstetrics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Gynecology,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Tanzhong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People's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of Liuzhou,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Liuzhou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545007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China)</w:t>
      </w:r>
    </w:p>
    <w:p>
      <w:pPr>
        <w:pStyle w:val="BodyText"/>
        <w:ind w:left="725" w:firstLine="303"/>
        <w:spacing w:before="229" w:line="320" w:lineRule="auto"/>
        <w:jc w:val="both"/>
        <w:rPr/>
      </w:pPr>
      <w:r>
        <w:rPr>
          <w:b/>
          <w:bCs/>
          <w:color w:val="231F20"/>
          <w:spacing w:val="7"/>
        </w:rPr>
        <w:t>【Abstract】Objective</w:t>
      </w:r>
      <w:r>
        <w:rPr>
          <w:color w:val="231F20"/>
          <w:spacing w:val="2"/>
        </w:rPr>
        <w:t xml:space="preserve">  </w:t>
      </w:r>
      <w:r>
        <w:rPr>
          <w:b/>
          <w:bCs/>
          <w:color w:val="231F20"/>
          <w:spacing w:val="7"/>
        </w:rPr>
        <w:t>To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7"/>
        </w:rPr>
        <w:t>analyze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clinical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effect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TCM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combined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acupuncture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on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chronic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pelvic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inflammatory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5"/>
        </w:rPr>
        <w:t>disease.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5"/>
        </w:rPr>
        <w:t>Methods</w:t>
      </w:r>
      <w:r>
        <w:rPr>
          <w:color w:val="231F20"/>
          <w:spacing w:val="3"/>
        </w:rPr>
        <w:t xml:space="preserve">  </w:t>
      </w:r>
      <w:r>
        <w:rPr>
          <w:b/>
          <w:bCs/>
          <w:color w:val="231F20"/>
          <w:spacing w:val="5"/>
        </w:rPr>
        <w:t>60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5"/>
        </w:rPr>
        <w:t>patien</w:t>
      </w:r>
      <w:r>
        <w:rPr>
          <w:b/>
          <w:bCs/>
          <w:color w:val="231F20"/>
          <w:spacing w:val="4"/>
        </w:rPr>
        <w:t>ts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with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4"/>
        </w:rPr>
        <w:t>chronic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4"/>
        </w:rPr>
        <w:t>pelvic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4"/>
        </w:rPr>
        <w:t>inflammatory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4"/>
        </w:rPr>
        <w:t>disease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were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4"/>
        </w:rPr>
        <w:t>selected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4"/>
        </w:rPr>
        <w:t>divided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4"/>
        </w:rPr>
        <w:t>into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4"/>
        </w:rPr>
        <w:t>control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4"/>
        </w:rPr>
        <w:t>group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4"/>
        </w:rPr>
        <w:t>study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10"/>
        </w:rPr>
        <w:t>group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10"/>
        </w:rPr>
        <w:t>with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10"/>
        </w:rPr>
        <w:t>30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10"/>
        </w:rPr>
        <w:t>cases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10"/>
        </w:rPr>
        <w:t>each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10"/>
        </w:rPr>
        <w:t>according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10"/>
        </w:rPr>
        <w:t>to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10"/>
        </w:rPr>
        <w:t>r</w:t>
      </w:r>
      <w:r>
        <w:rPr>
          <w:b/>
          <w:bCs/>
          <w:color w:val="231F20"/>
          <w:spacing w:val="9"/>
        </w:rPr>
        <w:t>andom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number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9"/>
        </w:rPr>
        <w:t>table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method.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9"/>
        </w:rPr>
        <w:t>The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9"/>
        </w:rPr>
        <w:t>control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group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9"/>
        </w:rPr>
        <w:t>was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9"/>
        </w:rPr>
        <w:t>treated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9"/>
        </w:rPr>
        <w:t>with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9"/>
        </w:rPr>
        <w:t>Chinese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medicine,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7"/>
        </w:rPr>
        <w:t>and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7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7"/>
        </w:rPr>
        <w:t>study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7"/>
        </w:rPr>
        <w:t>group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7"/>
        </w:rPr>
        <w:t>was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7"/>
        </w:rPr>
        <w:t>treated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7"/>
        </w:rPr>
        <w:t>with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Chinese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6"/>
        </w:rPr>
        <w:t>medicine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combined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acupuncture.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clinical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6"/>
        </w:rPr>
        <w:t>efficacy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9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6"/>
        </w:rPr>
        <w:t>two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6"/>
        </w:rPr>
        <w:t>groups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was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7"/>
        </w:rPr>
        <w:t>compared.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7"/>
        </w:rPr>
        <w:t>Results</w:t>
      </w:r>
      <w:r>
        <w:rPr>
          <w:color w:val="231F20"/>
          <w:spacing w:val="1"/>
        </w:rPr>
        <w:t xml:space="preserve">  </w:t>
      </w:r>
      <w:r>
        <w:rPr>
          <w:b/>
          <w:bCs/>
          <w:color w:val="231F20"/>
          <w:spacing w:val="7"/>
        </w:rPr>
        <w:t>The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7"/>
        </w:rPr>
        <w:t>improvement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7"/>
        </w:rPr>
        <w:t>tim</w:t>
      </w:r>
      <w:r>
        <w:rPr>
          <w:b/>
          <w:bCs/>
          <w:color w:val="231F20"/>
          <w:spacing w:val="6"/>
        </w:rPr>
        <w:t>e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6"/>
        </w:rPr>
        <w:t>clinical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symptoms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in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study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group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6"/>
        </w:rPr>
        <w:t>was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shorter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than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that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in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control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6"/>
        </w:rPr>
        <w:t>group,</w:t>
      </w:r>
      <w:r>
        <w:rPr>
          <w:color w:val="231F20"/>
        </w:rPr>
        <w:t xml:space="preserve">   </w:t>
      </w:r>
      <w:r>
        <w:rPr>
          <w:b/>
          <w:bCs/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</w:rPr>
        <w:t>difference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</w:rPr>
        <w:t>was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</w:rPr>
        <w:t>statistically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</w:rPr>
        <w:t>significant</w:t>
      </w:r>
      <w:r>
        <w:rPr>
          <w:color w:val="231F20"/>
          <w:spacing w:val="14"/>
        </w:rPr>
        <w:t xml:space="preserve"> </w:t>
      </w:r>
      <w:r>
        <w:rPr>
          <w:b/>
          <w:bCs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1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7"/>
        </w:rPr>
        <w:t xml:space="preserve"> </w:t>
      </w:r>
      <w:r>
        <w:rPr>
          <w:b/>
          <w:bCs/>
          <w:color w:val="231F20"/>
          <w:spacing w:val="14"/>
        </w:rPr>
        <w:t>＜0.05).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</w:rPr>
        <w:t>After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14"/>
        </w:rPr>
        <w:t>,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</w:rPr>
        <w:t>serum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</w:rPr>
        <w:t>inflammatory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factor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level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</w:rPr>
        <w:t>of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</w:rPr>
        <w:t>study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group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3"/>
        </w:rPr>
        <w:t>was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3"/>
        </w:rPr>
        <w:t>lower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than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3"/>
        </w:rPr>
        <w:t>that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color w:val="231F20"/>
          <w:spacing w:val="-39"/>
        </w:rPr>
        <w:t xml:space="preserve"> </w:t>
      </w:r>
      <w:r>
        <w:rPr>
          <w:b/>
          <w:bCs/>
          <w:color w:val="231F20"/>
          <w:spacing w:val="3"/>
        </w:rPr>
        <w:t>the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3"/>
        </w:rPr>
        <w:t>control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3"/>
        </w:rPr>
        <w:t>group,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3"/>
        </w:rPr>
        <w:t>and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3"/>
        </w:rPr>
        <w:t>the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life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3"/>
        </w:rPr>
        <w:t>quality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3"/>
        </w:rPr>
        <w:t>score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was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higher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3"/>
        </w:rPr>
        <w:t>than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that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color w:val="231F20"/>
          <w:spacing w:val="-39"/>
        </w:rPr>
        <w:t xml:space="preserve"> </w:t>
      </w:r>
      <w:r>
        <w:rPr>
          <w:b/>
          <w:bCs/>
          <w:color w:val="231F20"/>
          <w:spacing w:val="3"/>
        </w:rPr>
        <w:t>the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3"/>
        </w:rPr>
        <w:t>control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3"/>
        </w:rPr>
        <w:t>gr</w:t>
      </w:r>
      <w:r>
        <w:rPr>
          <w:b/>
          <w:bCs/>
          <w:color w:val="231F20"/>
          <w:spacing w:val="2"/>
        </w:rPr>
        <w:t>oup,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2"/>
        </w:rPr>
        <w:t>difference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2"/>
        </w:rPr>
        <w:t>was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5"/>
        </w:rPr>
        <w:t>statistically</w:t>
      </w:r>
      <w:r>
        <w:rPr>
          <w:color w:val="231F20"/>
          <w:spacing w:val="8"/>
        </w:rPr>
        <w:t xml:space="preserve"> </w:t>
      </w:r>
      <w:r>
        <w:rPr>
          <w:b/>
          <w:bCs/>
          <w:color w:val="231F20"/>
          <w:spacing w:val="5"/>
        </w:rPr>
        <w:t>significant</w:t>
      </w:r>
      <w:r>
        <w:rPr>
          <w:color w:val="231F20"/>
          <w:spacing w:val="5"/>
        </w:rPr>
        <w:t xml:space="preserve"> </w:t>
      </w:r>
      <w:r>
        <w:rPr>
          <w:b/>
          <w:bCs/>
          <w:color w:val="231F20"/>
          <w:spacing w:val="5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5"/>
        </w:rPr>
        <w:t xml:space="preserve"> </w:t>
      </w:r>
      <w:r>
        <w:rPr>
          <w:b/>
          <w:bCs/>
          <w:color w:val="231F20"/>
          <w:spacing w:val="5"/>
        </w:rPr>
        <w:t>＜0.05).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Conclusion</w:t>
      </w:r>
      <w:r>
        <w:rPr>
          <w:color w:val="231F20"/>
          <w:spacing w:val="5"/>
        </w:rPr>
        <w:t xml:space="preserve">  </w:t>
      </w:r>
      <w:r>
        <w:rPr>
          <w:b/>
          <w:bCs/>
          <w:color w:val="231F20"/>
          <w:spacing w:val="5"/>
        </w:rPr>
        <w:t>Chronic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pelvic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inflammatory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5"/>
        </w:rPr>
        <w:t>disease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5"/>
        </w:rPr>
        <w:t>with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5"/>
        </w:rPr>
        <w:t>Chinese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medicine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5"/>
        </w:rPr>
        <w:t>combined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5"/>
        </w:rPr>
        <w:t>with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5"/>
        </w:rPr>
        <w:t>acupuncture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5"/>
        </w:rPr>
        <w:t>can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effectively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5"/>
        </w:rPr>
        <w:t>improve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5"/>
        </w:rPr>
        <w:t>the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5"/>
        </w:rPr>
        <w:t>level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5"/>
        </w:rPr>
        <w:t>clinical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5"/>
        </w:rPr>
        <w:t>symptoms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5"/>
        </w:rPr>
        <w:t>and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inflammatory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5"/>
        </w:rPr>
        <w:t>factors,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improve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5"/>
        </w:rPr>
        <w:t>the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qual</w:t>
      </w:r>
      <w:r>
        <w:rPr>
          <w:b/>
          <w:bCs/>
          <w:color w:val="231F20"/>
          <w:spacing w:val="4"/>
        </w:rPr>
        <w:t>ity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life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2"/>
        </w:rPr>
        <w:t>patients,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2"/>
        </w:rPr>
        <w:t>worthy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2"/>
        </w:rPr>
        <w:t>of</w:t>
      </w:r>
      <w:r>
        <w:rPr>
          <w:color w:val="231F20"/>
          <w:spacing w:val="-43"/>
        </w:rPr>
        <w:t xml:space="preserve"> </w:t>
      </w:r>
      <w:r>
        <w:rPr>
          <w:b/>
          <w:bCs/>
          <w:color w:val="231F20"/>
          <w:spacing w:val="2"/>
        </w:rPr>
        <w:t>clinical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2"/>
        </w:rPr>
        <w:t>p</w:t>
      </w:r>
      <w:r>
        <w:rPr>
          <w:b/>
          <w:bCs/>
          <w:color w:val="231F20"/>
          <w:spacing w:val="1"/>
        </w:rPr>
        <w:t>romotion.</w:t>
      </w:r>
    </w:p>
    <w:p>
      <w:pPr>
        <w:pStyle w:val="BodyText"/>
        <w:ind w:left="1029"/>
        <w:rPr/>
      </w:pPr>
      <w:r>
        <w:rPr>
          <w:b/>
          <w:bCs/>
          <w:color w:val="231F20"/>
          <w:spacing w:val="13"/>
        </w:rPr>
        <w:t>【</w:t>
      </w:r>
      <w:r>
        <w:rPr>
          <w:b/>
          <w:bCs/>
          <w:color w:val="231F20"/>
        </w:rPr>
        <w:t>Key</w:t>
      </w:r>
      <w:r>
        <w:rPr>
          <w:color w:val="231F20"/>
          <w:spacing w:val="-41"/>
        </w:rPr>
        <w:t xml:space="preserve"> </w:t>
      </w:r>
      <w:r>
        <w:rPr>
          <w:b/>
          <w:bCs/>
          <w:color w:val="231F20"/>
        </w:rPr>
        <w:t>words</w:t>
      </w:r>
      <w:r>
        <w:rPr>
          <w:b/>
          <w:bCs/>
          <w:color w:val="231F20"/>
          <w:spacing w:val="13"/>
        </w:rPr>
        <w:t>】</w:t>
      </w:r>
      <w:r>
        <w:rPr>
          <w:b/>
          <w:bCs/>
          <w:color w:val="231F20"/>
        </w:rPr>
        <w:t>Traditional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</w:rPr>
        <w:t>chinese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</w:rPr>
        <w:t>medicine</w:t>
      </w:r>
      <w:r>
        <w:rPr>
          <w:b/>
          <w:bCs/>
          <w:color w:val="231F20"/>
          <w:spacing w:val="13"/>
        </w:rPr>
        <w:t>;</w:t>
      </w:r>
      <w:r>
        <w:rPr>
          <w:color w:val="231F20"/>
          <w:spacing w:val="-41"/>
        </w:rPr>
        <w:t xml:space="preserve"> </w:t>
      </w:r>
      <w:r>
        <w:rPr>
          <w:b/>
          <w:bCs/>
          <w:color w:val="231F20"/>
        </w:rPr>
        <w:t>Acupuncture</w:t>
      </w:r>
      <w:r>
        <w:rPr>
          <w:b/>
          <w:bCs/>
          <w:color w:val="231F20"/>
          <w:spacing w:val="13"/>
        </w:rPr>
        <w:t>;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</w:rPr>
        <w:t>Erxian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</w:rPr>
        <w:t>decoction</w:t>
      </w:r>
      <w:r>
        <w:rPr>
          <w:b/>
          <w:bCs/>
          <w:color w:val="231F20"/>
          <w:spacing w:val="13"/>
        </w:rPr>
        <w:t>;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Chronic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</w:rPr>
        <w:t>pelvic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</w:rPr>
        <w:t>inflammatory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</w:rPr>
        <w:t>disease</w:t>
      </w:r>
      <w:r>
        <w:rPr>
          <w:b/>
          <w:bCs/>
          <w:color w:val="231F20"/>
          <w:spacing w:val="13"/>
        </w:rPr>
        <w:t>;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Clinical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</w:rPr>
        <w:t>effect</w:t>
      </w:r>
    </w:p>
    <w:p>
      <w:pPr>
        <w:spacing w:before="237"/>
        <w:rPr/>
      </w:pPr>
      <w:r/>
    </w:p>
    <w:p>
      <w:pPr>
        <w:sectPr>
          <w:footerReference w:type="default" r:id="rId1"/>
          <w:pgSz w:w="11906" w:h="16838"/>
          <w:pgMar w:top="1058" w:right="1117" w:bottom="547" w:left="407" w:header="0" w:footer="354" w:gutter="0"/>
          <w:cols w:equalWidth="0" w:num="1">
            <w:col w:w="10381" w:space="0"/>
          </w:cols>
        </w:sectPr>
        <w:rPr/>
      </w:pPr>
    </w:p>
    <w:p>
      <w:pPr>
        <w:pStyle w:val="BodyText"/>
        <w:ind w:left="729" w:right="326" w:firstLine="423"/>
        <w:spacing w:before="44" w:line="28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盆腔炎在临床妇科发病率较高，主要临床表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现为下腹痛、白带增多等，引起患者的发病因素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主要是病原体侵入，导致疼痛</w:t>
      </w:r>
      <w:r>
        <w:rPr>
          <w:sz w:val="12"/>
          <w:szCs w:val="12"/>
          <w:color w:val="231F20"/>
          <w:spacing w:val="-1"/>
          <w:position w:val="9"/>
        </w:rPr>
        <w:t>[1]</w:t>
      </w:r>
      <w:r>
        <w:rPr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。盆腔炎分为慢性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盆腔炎与急性盆腔炎，根据世界卫生组织相关临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床资料显示，慢性盆腔炎发病率已上升20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%</w:t>
      </w:r>
      <w:r>
        <w:rPr>
          <w:sz w:val="21"/>
          <w:szCs w:val="21"/>
          <w:color w:val="231F20"/>
          <w:spacing w:val="-1"/>
        </w:rPr>
        <w:t>。慢性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9"/>
        </w:rPr>
        <w:t>盆腔炎不仅会引起患者阴道出血，若未及时进行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治疗，会使患者病情恶化，甚至增加不孕率，影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响患者的生活质量</w:t>
      </w:r>
      <w:r>
        <w:rPr>
          <w:sz w:val="12"/>
          <w:szCs w:val="12"/>
          <w:color w:val="231F20"/>
          <w:spacing w:val="-1"/>
          <w:position w:val="9"/>
        </w:rPr>
        <w:t>[2]</w:t>
      </w:r>
      <w:r>
        <w:rPr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。在确诊急性盆腔炎时，如果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临床未采取针对性治疗措施，也会导致患者病情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延长。慢性盆腔炎复发率高，治愈率低，临床上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治疗十分困难。在长期治疗过程中，患者面临身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体负担、经济压力。炎性因子水平与盆腔炎的严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3"/>
        <w:spacing w:before="40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重程度密切相关，在各种炎症因素的作用下，临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9"/>
        </w:rPr>
        <w:t>床采取传统中药治疗方式，通过减少炎性因子以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保证患者的临床疗效</w:t>
      </w:r>
      <w:r>
        <w:rPr>
          <w:sz w:val="12"/>
          <w:szCs w:val="12"/>
          <w:color w:val="231F20"/>
          <w:spacing w:val="-1"/>
          <w:position w:val="9"/>
        </w:rPr>
        <w:t>[3]</w:t>
      </w:r>
      <w:r>
        <w:rPr>
          <w:sz w:val="12"/>
          <w:szCs w:val="12"/>
          <w:color w:val="231F20"/>
          <w:spacing w:val="-29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。若长期使用中药治疗，会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产生耐药性，治疗效果不理想。基于此，本研究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中药联合针灸治疗慢性盆腔炎的临床疗效，现报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6"/>
        </w:rPr>
        <w:t>道如下。</w:t>
      </w:r>
    </w:p>
    <w:p>
      <w:pPr>
        <w:pStyle w:val="BodyText"/>
        <w:ind w:left="16"/>
        <w:spacing w:before="10" w:line="17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1</w:t>
      </w:r>
      <w:r>
        <w:rPr>
          <w:sz w:val="22"/>
          <w:szCs w:val="22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>资料与方法</w:t>
      </w:r>
    </w:p>
    <w:p>
      <w:pPr>
        <w:pStyle w:val="BodyText"/>
        <w:ind w:left="15"/>
        <w:spacing w:before="48" w:line="185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2" w:right="14" w:firstLine="418"/>
        <w:spacing w:before="55" w:line="27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28"/>
        </w:rPr>
        <w:t>选取2020年2月至2022年2月本院</w:t>
      </w:r>
      <w:r>
        <w:rPr>
          <w:sz w:val="21"/>
          <w:szCs w:val="21"/>
          <w:color w:val="231F20"/>
          <w:spacing w:val="27"/>
        </w:rPr>
        <w:t>收治的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7"/>
        </w:rPr>
        <w:t>60例慢性盆腔炎患者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27"/>
        </w:rPr>
        <w:t>，将其根据随机数字表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0"/>
        </w:rPr>
        <w:t>法分为对照组与研究组，各30例。研究组平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20"/>
        </w:rPr>
        <w:t>均年龄（38.51</w:t>
      </w:r>
      <w:r>
        <w:rPr>
          <w:sz w:val="21"/>
          <w:szCs w:val="21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20"/>
        </w:rPr>
        <w:t>2.66）岁。对照</w:t>
      </w:r>
      <w:r>
        <w:rPr>
          <w:sz w:val="21"/>
          <w:szCs w:val="21"/>
          <w:color w:val="231F20"/>
          <w:spacing w:val="19"/>
        </w:rPr>
        <w:t>组平均年龄</w:t>
      </w:r>
    </w:p>
    <w:p>
      <w:pPr>
        <w:spacing w:line="275" w:lineRule="auto"/>
        <w:sectPr>
          <w:type w:val="continuous"/>
          <w:pgSz w:w="11906" w:h="16838"/>
          <w:pgMar w:top="1058" w:right="1117" w:bottom="547" w:left="407" w:header="0" w:footer="354" w:gutter="0"/>
          <w:cols w:equalWidth="0" w:num="2">
            <w:col w:w="5660" w:space="100"/>
            <w:col w:w="4621" w:space="0"/>
          </w:cols>
        </w:sectPr>
        <w:rPr>
          <w:sz w:val="21"/>
          <w:szCs w:val="21"/>
        </w:rPr>
      </w:pPr>
    </w:p>
    <w:p>
      <w:pPr>
        <w:ind w:left="743"/>
        <w:spacing w:before="282" w:line="210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  <w:position w:val="-2"/>
        </w:rPr>
        <w:t>10</w:t>
      </w:r>
    </w:p>
    <w:p>
      <w:pPr>
        <w:spacing w:line="210" w:lineRule="exact"/>
        <w:sectPr>
          <w:type w:val="continuous"/>
          <w:pgSz w:w="11906" w:h="16838"/>
          <w:pgMar w:top="1058" w:right="1117" w:bottom="547" w:left="407" w:header="0" w:footer="354" w:gutter="0"/>
          <w:cols w:equalWidth="0" w:num="1">
            <w:col w:w="10381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224"/>
        <w:rPr/>
      </w:pPr>
      <w:r>
        <w:pict>
          <v:shape id="_x0000_s10" style="position:absolute;margin-left:56.6929pt;margin-top:74.1926pt;mso-position-vertical-relative:page;mso-position-horizontal-relative:page;width:481.9pt;height:0.5pt;z-index:251662336;" o:allowincell="f" filled="false" strokecolor="#939598" strokeweight="0.47pt" coordsize="9637,10" coordorigin="0,0" path="m0,4l9637,4e">
            <v:stroke joinstyle="miter" miterlimit="4"/>
          </v:shape>
        </w:pict>
      </w:r>
      <w:r/>
    </w:p>
    <w:p>
      <w:pPr>
        <w:sectPr>
          <w:headerReference w:type="default" r:id="rId2"/>
          <w:footerReference w:type="default" r:id="rId3"/>
          <w:pgSz w:w="11906" w:h="16838"/>
          <w:pgMar w:top="1464" w:right="1132" w:bottom="836" w:left="407" w:header="1045" w:footer="354" w:gutter="0"/>
          <w:cols w:equalWidth="0" w:num="1">
            <w:col w:w="10365" w:space="0"/>
          </w:cols>
        </w:sectPr>
        <w:rPr/>
      </w:pPr>
    </w:p>
    <w:p>
      <w:pPr>
        <w:ind w:left="727" w:right="324" w:hanging="11"/>
        <w:spacing w:before="48" w:line="22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（37.21±3.54）岁。两组患者一般资料比较差异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无统计学意义（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＞0.05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具有可比性。</w:t>
      </w:r>
    </w:p>
    <w:p>
      <w:pPr>
        <w:ind w:left="1153"/>
        <w:spacing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纳入标准：①经临床确诊为慢性盆腔炎；</w:t>
      </w:r>
    </w:p>
    <w:p>
      <w:pPr>
        <w:ind w:left="730"/>
        <w:spacing w:before="23" w:line="18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②患者及其家属同意参与本研究。排除标准：</w:t>
      </w:r>
    </w:p>
    <w:p>
      <w:pPr>
        <w:ind w:left="730"/>
        <w:spacing w:before="67"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①精神疾病者；②依从性差者。</w:t>
      </w:r>
    </w:p>
    <w:p>
      <w:pPr>
        <w:pStyle w:val="BodyText"/>
        <w:ind w:left="743"/>
        <w:spacing w:before="33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1.2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方法</w:t>
      </w:r>
    </w:p>
    <w:p>
      <w:pPr>
        <w:ind w:left="743"/>
        <w:spacing w:before="53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1.2.1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对照组</w:t>
      </w:r>
    </w:p>
    <w:p>
      <w:pPr>
        <w:ind w:left="731" w:right="324" w:firstLine="423"/>
        <w:spacing w:before="55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患者采用二仙汤（仙茅、仙灵脾、当归、巴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戟天、知母、黄柏六味组成）治疗，由本院药房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熬制，每日1剂，分2次服用，月经期暂停服用，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治疗3个月经周期。</w:t>
      </w:r>
    </w:p>
    <w:p>
      <w:pPr>
        <w:ind w:left="743"/>
        <w:spacing w:before="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1.2.2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研究组</w:t>
      </w:r>
    </w:p>
    <w:p>
      <w:pPr>
        <w:ind w:left="729" w:right="324" w:firstLine="425"/>
        <w:spacing w:before="57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患者在对照组基础上，采用阳关、三阴交进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行针灸治疗。严格消毒针灸位置皮肤，取毫针按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照外下方斜刺角度针刺，进针长度控制在1寸左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右，小幅度地提插捻转针感，得气留针，1次/d，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连续治疗1周。</w:t>
      </w:r>
    </w:p>
    <w:p>
      <w:pPr>
        <w:pStyle w:val="BodyText"/>
        <w:ind w:left="743"/>
        <w:spacing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1.3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观察指标</w:t>
      </w:r>
    </w:p>
    <w:p>
      <w:pPr>
        <w:ind w:left="736" w:right="324" w:firstLine="413"/>
        <w:spacing w:before="5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①比较两组临床症状改善时间，包括白带异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常、下腹疼痛、阴道瘙痒及阴道分泌物增多。</w:t>
      </w:r>
    </w:p>
    <w:p>
      <w:pPr>
        <w:ind w:left="730" w:right="324"/>
        <w:spacing w:before="57" w:line="21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②比较两组治疗前后炎性因子水平，包括肿瘤坏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死因子-α（tumor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necrosis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factor-α,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TNF-α )  、超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敏-C反应蛋白（high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sensitivi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ty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c-reaction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protein，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hs-CRP）、白细胞介素-2（interleukin-2，IL-2）。</w:t>
      </w:r>
    </w:p>
    <w:p>
      <w:pPr>
        <w:ind w:left="728" w:right="316" w:firstLine="1"/>
        <w:spacing w:before="27"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③比较两组治疗前后健康状况调查简表（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SF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-36）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评分，包括生理功能、生理职能、躯体疼痛、总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体健康、生命活力、社会功能、情感职能及精神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健康，评分越高表示生活质量越高。</w:t>
      </w:r>
    </w:p>
    <w:p>
      <w:pPr>
        <w:pStyle w:val="BodyText"/>
        <w:ind w:left="743"/>
        <w:spacing w:before="55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1.4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统计学方法</w:t>
      </w:r>
    </w:p>
    <w:p>
      <w:pPr>
        <w:ind w:left="730" w:right="325" w:firstLine="420"/>
        <w:spacing w:before="55" w:line="22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12" style="position:absolute;margin-left:89.4448pt;margin-top:21.2857pt;mso-position-vertical-relative:text;mso-position-horizontal-relative:text;width:6pt;height:0.6pt;z-index:-251658240;" filled="false" strokecolor="#231F20" strokeweight="0.57pt" coordsize="120,12" coordorigin="0,0" path="m0,5l119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采用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SPSS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26.0统计学软件进行数据处理。计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量资料以（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2"/>
        </w:rPr>
        <w:t>s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）表示，比较采用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2"/>
        </w:rPr>
        <w:t>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检验。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＜0.05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表示差异有统计学意义。</w:t>
      </w:r>
    </w:p>
    <w:p>
      <w:pPr>
        <w:pStyle w:val="BodyText"/>
        <w:ind w:left="738"/>
        <w:spacing w:before="1" w:line="175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2"/>
        </w:rPr>
        <w:t>2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"/>
        </w:rPr>
        <w:t>结果</w:t>
      </w:r>
    </w:p>
    <w:p>
      <w:pPr>
        <w:pStyle w:val="BodyText"/>
        <w:ind w:left="737"/>
        <w:spacing w:before="47" w:line="186" w:lineRule="auto"/>
        <w:outlineLvl w:val="1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两组临床症状改善时间比较</w:t>
      </w:r>
    </w:p>
    <w:p>
      <w:pPr>
        <w:ind w:left="730" w:right="324" w:firstLine="418"/>
        <w:spacing w:before="55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研究组白带异常、下腹疼痛、阴道瘙痒、阴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道分泌物增多等临床症状好转时间均短于对照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组，差异有统计学意义（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＜0.05）。见表1。</w:t>
      </w:r>
    </w:p>
    <w:p>
      <w:pPr>
        <w:pStyle w:val="BodyText"/>
        <w:ind w:left="737"/>
        <w:spacing w:before="1" w:line="184" w:lineRule="auto"/>
        <w:outlineLvl w:val="1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</w:t>
      </w:r>
      <w:r>
        <w:rPr>
          <w:sz w:val="21"/>
          <w:szCs w:val="21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两组治疗前后炎性因子水平比较</w:t>
      </w:r>
    </w:p>
    <w:p>
      <w:pPr>
        <w:ind w:left="728" w:right="324" w:firstLine="424"/>
        <w:spacing w:before="55" w:line="19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治疗前，两组TNF-α、hs-CRP、IL-2血清炎性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因子水平比较差异无统计学意义（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＞0.05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治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疗后，两组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TNF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-α、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hs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CRP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IL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-2血清炎性因子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水平均较治疗前降低，且研究组低于对照组，差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7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异有统计学意义（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＜0.05）。见表2。</w:t>
      </w:r>
    </w:p>
    <w:p>
      <w:pPr>
        <w:ind w:left="502"/>
        <w:spacing w:before="81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4" style="position:absolute;margin-left:165.053pt;margin-top:5.11836pt;mso-position-vertical-relative:text;mso-position-horizontal-relative:text;width:5.1pt;height:0.6pt;z-index:-251657216;" filled="false" strokecolor="#231F20" strokeweight="0.57pt" coordsize="101,12" coordorigin="0,0" path="m0,5l101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表1   两组临床症状改善时间比较（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，d）</w:t>
      </w:r>
    </w:p>
    <w:tbl>
      <w:tblPr>
        <w:tblStyle w:val="TableNormal"/>
        <w:tblW w:w="46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8"/>
        <w:gridCol w:w="415"/>
        <w:gridCol w:w="864"/>
        <w:gridCol w:w="860"/>
        <w:gridCol w:w="894"/>
        <w:gridCol w:w="975"/>
      </w:tblGrid>
      <w:tr>
        <w:trPr>
          <w:trHeight w:val="521" w:hRule="atLeast"/>
        </w:trPr>
        <w:tc>
          <w:tcPr>
            <w:tcW w:w="5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5"/>
              <w:spacing w:before="178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41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9"/>
              <w:spacing w:before="178" w:line="178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8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8"/>
              <w:spacing w:before="178" w:line="179" w:lineRule="auto"/>
              <w:rPr/>
            </w:pPr>
            <w:r>
              <w:rPr>
                <w:color w:val="231F20"/>
                <w:spacing w:val="-5"/>
              </w:rPr>
              <w:t>白带异常</w:t>
            </w:r>
          </w:p>
        </w:tc>
        <w:tc>
          <w:tcPr>
            <w:tcW w:w="8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2"/>
              <w:spacing w:before="179" w:line="177" w:lineRule="auto"/>
              <w:rPr/>
            </w:pPr>
            <w:r>
              <w:rPr>
                <w:color w:val="231F20"/>
                <w:spacing w:val="-1"/>
              </w:rPr>
              <w:t>下腹疼痛</w:t>
            </w:r>
          </w:p>
        </w:tc>
        <w:tc>
          <w:tcPr>
            <w:tcW w:w="8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8"/>
              <w:spacing w:before="178" w:line="179" w:lineRule="auto"/>
              <w:rPr/>
            </w:pPr>
            <w:r>
              <w:rPr>
                <w:color w:val="231F20"/>
                <w:spacing w:val="-4"/>
              </w:rPr>
              <w:t>阴道瘙痒</w:t>
            </w:r>
          </w:p>
        </w:tc>
        <w:tc>
          <w:tcPr>
            <w:tcW w:w="9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68" w:line="179" w:lineRule="auto"/>
              <w:rPr/>
            </w:pPr>
            <w:r>
              <w:rPr>
                <w:color w:val="231F20"/>
                <w:spacing w:val="-3"/>
              </w:rPr>
              <w:t>阴道分泌物</w:t>
            </w:r>
          </w:p>
          <w:p>
            <w:pPr>
              <w:pStyle w:val="TableText"/>
              <w:ind w:left="302"/>
              <w:spacing w:before="3" w:line="176" w:lineRule="auto"/>
              <w:rPr/>
            </w:pPr>
            <w:r>
              <w:rPr>
                <w:color w:val="231F20"/>
                <w:spacing w:val="-1"/>
              </w:rPr>
              <w:t>增多</w:t>
            </w:r>
          </w:p>
        </w:tc>
      </w:tr>
      <w:tr>
        <w:trPr>
          <w:trHeight w:val="299" w:hRule="atLeast"/>
        </w:trPr>
        <w:tc>
          <w:tcPr>
            <w:tcW w:w="5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74" w:line="174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4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66" w:line="183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8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64" w:line="185" w:lineRule="auto"/>
              <w:rPr/>
            </w:pPr>
            <w:r>
              <w:rPr>
                <w:color w:val="231F20"/>
                <w:spacing w:val="-5"/>
              </w:rPr>
              <w:t>6.58±1.05</w:t>
            </w:r>
          </w:p>
        </w:tc>
        <w:tc>
          <w:tcPr>
            <w:tcW w:w="8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64" w:line="185" w:lineRule="auto"/>
              <w:rPr/>
            </w:pPr>
            <w:r>
              <w:rPr>
                <w:color w:val="231F20"/>
                <w:spacing w:val="-4"/>
              </w:rPr>
              <w:t>4.78±1.37</w:t>
            </w:r>
          </w:p>
        </w:tc>
        <w:tc>
          <w:tcPr>
            <w:tcW w:w="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"/>
              <w:spacing w:before="64" w:line="185" w:lineRule="auto"/>
              <w:rPr/>
            </w:pPr>
            <w:r>
              <w:rPr>
                <w:color w:val="231F20"/>
                <w:spacing w:val="-5"/>
              </w:rPr>
              <w:t>6.92±1.23</w:t>
            </w:r>
          </w:p>
        </w:tc>
        <w:tc>
          <w:tcPr>
            <w:tcW w:w="9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64" w:line="185" w:lineRule="auto"/>
              <w:rPr/>
            </w:pPr>
            <w:r>
              <w:rPr>
                <w:color w:val="231F20"/>
                <w:spacing w:val="-5"/>
              </w:rPr>
              <w:t>6.39±1.95</w:t>
            </w:r>
          </w:p>
        </w:tc>
      </w:tr>
      <w:tr>
        <w:trPr>
          <w:trHeight w:val="319" w:hRule="atLeast"/>
        </w:trPr>
        <w:tc>
          <w:tcPr>
            <w:tcW w:w="598" w:type="dxa"/>
            <w:vAlign w:val="top"/>
          </w:tcPr>
          <w:p>
            <w:pPr>
              <w:pStyle w:val="TableText"/>
              <w:ind w:left="49"/>
              <w:spacing w:before="79" w:line="178" w:lineRule="auto"/>
              <w:rPr/>
            </w:pPr>
            <w:r>
              <w:rPr>
                <w:color w:val="231F20"/>
                <w:spacing w:val="-1"/>
              </w:rPr>
              <w:t>研究组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left="137"/>
              <w:spacing w:before="75" w:line="192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35"/>
              <w:spacing w:before="5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5.96±1.24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31"/>
              <w:spacing w:before="5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2.48±1.56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31"/>
              <w:spacing w:before="5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4.23±1.39</w:t>
            </w:r>
            <w:r>
              <w:rPr>
                <w:sz w:val="9"/>
                <w:szCs w:val="9"/>
                <w:color w:val="231F20"/>
                <w:spacing w:val="4"/>
                <w:position w:val="7"/>
              </w:rPr>
              <w:t>a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70"/>
              <w:spacing w:before="5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4.64±2.06</w:t>
            </w:r>
            <w:r>
              <w:rPr>
                <w:sz w:val="9"/>
                <w:szCs w:val="9"/>
                <w:color w:val="231F20"/>
                <w:spacing w:val="4"/>
                <w:position w:val="7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598" w:type="dxa"/>
            <w:vAlign w:val="top"/>
          </w:tcPr>
          <w:p>
            <w:pPr>
              <w:ind w:left="275"/>
              <w:spacing w:before="64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9"/>
                <w:position w:val="1"/>
              </w:rPr>
              <w:t>t</w:t>
            </w:r>
          </w:p>
        </w:tc>
        <w:tc>
          <w:tcPr>
            <w:tcW w:w="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4" w:type="dxa"/>
            <w:vAlign w:val="top"/>
          </w:tcPr>
          <w:p>
            <w:pPr>
              <w:pStyle w:val="TableText"/>
              <w:ind w:left="247"/>
              <w:spacing w:before="64" w:line="181" w:lineRule="auto"/>
              <w:rPr/>
            </w:pPr>
            <w:r>
              <w:rPr>
                <w:color w:val="231F20"/>
                <w:spacing w:val="-11"/>
              </w:rPr>
              <w:t>2.090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244"/>
              <w:spacing w:before="64" w:line="181" w:lineRule="auto"/>
              <w:rPr/>
            </w:pPr>
            <w:r>
              <w:rPr>
                <w:color w:val="231F20"/>
                <w:spacing w:val="-11"/>
              </w:rPr>
              <w:t>6.068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44"/>
              <w:spacing w:before="64" w:line="181" w:lineRule="auto"/>
              <w:rPr/>
            </w:pPr>
            <w:r>
              <w:rPr>
                <w:color w:val="231F20"/>
                <w:spacing w:val="-10"/>
              </w:rPr>
              <w:t>7.938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287"/>
              <w:spacing w:before="64" w:line="181" w:lineRule="auto"/>
              <w:rPr/>
            </w:pPr>
            <w:r>
              <w:rPr>
                <w:color w:val="231F20"/>
                <w:spacing w:val="-11"/>
              </w:rPr>
              <w:t>3.379</w:t>
            </w:r>
          </w:p>
        </w:tc>
      </w:tr>
      <w:tr>
        <w:trPr>
          <w:trHeight w:val="313" w:hRule="atLeast"/>
        </w:trPr>
        <w:tc>
          <w:tcPr>
            <w:tcW w:w="598" w:type="dxa"/>
            <w:vAlign w:val="top"/>
            <w:tcBorders>
              <w:bottom w:val="single" w:color="231F20" w:sz="4" w:space="0"/>
            </w:tcBorders>
          </w:tcPr>
          <w:p>
            <w:pPr>
              <w:ind w:left="258"/>
              <w:spacing w:before="78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position w:val="1"/>
              </w:rPr>
              <w:t>P</w:t>
            </w:r>
          </w:p>
        </w:tc>
        <w:tc>
          <w:tcPr>
            <w:tcW w:w="4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0"/>
              <w:spacing w:before="74" w:line="188" w:lineRule="auto"/>
              <w:rPr/>
            </w:pPr>
            <w:r>
              <w:rPr>
                <w:color w:val="231F20"/>
                <w:spacing w:val="-3"/>
              </w:rPr>
              <w:t>&lt;0.05</w:t>
            </w:r>
          </w:p>
        </w:tc>
        <w:tc>
          <w:tcPr>
            <w:tcW w:w="8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6"/>
              <w:spacing w:before="74" w:line="188" w:lineRule="auto"/>
              <w:rPr/>
            </w:pPr>
            <w:r>
              <w:rPr>
                <w:color w:val="231F20"/>
                <w:spacing w:val="-3"/>
              </w:rPr>
              <w:t>&lt;0.05</w:t>
            </w:r>
          </w:p>
        </w:tc>
        <w:tc>
          <w:tcPr>
            <w:tcW w:w="8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8"/>
              <w:spacing w:before="74" w:line="188" w:lineRule="auto"/>
              <w:rPr/>
            </w:pPr>
            <w:r>
              <w:rPr>
                <w:color w:val="231F20"/>
                <w:spacing w:val="-3"/>
              </w:rPr>
              <w:t>&lt;0.05</w:t>
            </w:r>
          </w:p>
        </w:tc>
        <w:tc>
          <w:tcPr>
            <w:tcW w:w="9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74" w:line="188" w:lineRule="auto"/>
              <w:rPr/>
            </w:pPr>
            <w:r>
              <w:rPr>
                <w:color w:val="231F20"/>
                <w:spacing w:val="-3"/>
              </w:rPr>
              <w:t>&lt;0.05</w:t>
            </w:r>
          </w:p>
        </w:tc>
      </w:tr>
    </w:tbl>
    <w:p>
      <w:pPr>
        <w:ind w:left="327"/>
        <w:spacing w:before="56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ind w:left="457"/>
        <w:spacing w:before="175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6" style="position:absolute;margin-left:180.786pt;margin-top:9.76137pt;mso-position-vertical-relative:text;mso-position-horizontal-relative:text;width:5.1pt;height:0.6pt;z-index:-251656192;" filled="false" strokecolor="#231F20" strokeweight="0.57pt" coordsize="101,12" coordorigin="0,0" path="m0,5l101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表2   两组治疗前后炎性因子水平比较（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</w:t>
      </w:r>
    </w:p>
    <w:tbl>
      <w:tblPr>
        <w:tblStyle w:val="TableNormal"/>
        <w:tblW w:w="460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2"/>
        <w:gridCol w:w="154"/>
        <w:gridCol w:w="640"/>
        <w:gridCol w:w="334"/>
        <w:gridCol w:w="749"/>
        <w:gridCol w:w="268"/>
        <w:gridCol w:w="907"/>
        <w:gridCol w:w="491"/>
        <w:gridCol w:w="512"/>
      </w:tblGrid>
      <w:tr>
        <w:trPr>
          <w:trHeight w:val="496" w:hRule="atLeast"/>
        </w:trPr>
        <w:tc>
          <w:tcPr>
            <w:tcW w:w="706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03"/>
              <w:spacing w:before="165" w:line="179" w:lineRule="auto"/>
              <w:rPr/>
            </w:pPr>
            <w:r>
              <w:rPr>
                <w:color w:val="231F20"/>
                <w:spacing w:val="-2"/>
              </w:rPr>
              <w:t>指标</w:t>
            </w:r>
          </w:p>
        </w:tc>
        <w:tc>
          <w:tcPr>
            <w:tcW w:w="640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63"/>
              <w:spacing w:before="168" w:line="176" w:lineRule="auto"/>
              <w:rPr/>
            </w:pPr>
            <w:r>
              <w:rPr>
                <w:color w:val="231F20"/>
                <w:spacing w:val="-3"/>
              </w:rPr>
              <w:t>时间</w:t>
            </w:r>
          </w:p>
        </w:tc>
        <w:tc>
          <w:tcPr>
            <w:tcW w:w="334" w:type="dxa"/>
            <w:vAlign w:val="top"/>
            <w:textDirection w:val="tbRlV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54"/>
              <w:spacing w:before="99" w:line="178" w:lineRule="auto"/>
              <w:rPr/>
            </w:pPr>
            <w:r>
              <w:rPr>
                <w:color w:val="231F20"/>
                <w:spacing w:val="-4"/>
              </w:rPr>
              <w:t>例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数</w:t>
            </w:r>
          </w:p>
        </w:tc>
        <w:tc>
          <w:tcPr>
            <w:tcW w:w="1017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49"/>
              <w:spacing w:before="56" w:line="177" w:lineRule="auto"/>
              <w:rPr/>
            </w:pPr>
            <w:r>
              <w:rPr>
                <w:color w:val="231F20"/>
                <w:spacing w:val="-1"/>
              </w:rPr>
              <w:t>研究组</w:t>
            </w:r>
          </w:p>
          <w:p>
            <w:pPr>
              <w:pStyle w:val="TableText"/>
              <w:ind w:left="138"/>
              <w:spacing w:line="176" w:lineRule="auto"/>
              <w:rPr/>
            </w:pP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=30）</w:t>
            </w:r>
          </w:p>
        </w:tc>
        <w:tc>
          <w:tcPr>
            <w:tcW w:w="907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97"/>
              <w:spacing w:before="58" w:line="174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  <w:p>
            <w:pPr>
              <w:pStyle w:val="TableText"/>
              <w:ind w:left="85"/>
              <w:spacing w:line="177" w:lineRule="auto"/>
              <w:rPr/>
            </w:pP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=30）</w:t>
            </w:r>
          </w:p>
        </w:tc>
        <w:tc>
          <w:tcPr>
            <w:tcW w:w="491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209"/>
              <w:spacing w:before="16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9"/>
                <w:position w:val="1"/>
              </w:rPr>
              <w:t>t</w:t>
            </w:r>
          </w:p>
        </w:tc>
        <w:tc>
          <w:tcPr>
            <w:tcW w:w="51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205"/>
              <w:spacing w:before="161" w:line="207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position w:val="1"/>
              </w:rPr>
              <w:t>P</w:t>
            </w:r>
          </w:p>
        </w:tc>
      </w:tr>
      <w:tr>
        <w:trPr>
          <w:trHeight w:val="311" w:hRule="atLeast"/>
        </w:trPr>
        <w:tc>
          <w:tcPr>
            <w:tcW w:w="706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26"/>
              <w:spacing w:before="153" w:line="147" w:lineRule="exact"/>
              <w:rPr/>
            </w:pPr>
            <w:r>
              <w:rPr>
                <w:color w:val="231F20"/>
                <w:spacing w:val="-4"/>
                <w:position w:val="-1"/>
              </w:rPr>
              <w:t>TNF-α</w:t>
            </w:r>
          </w:p>
        </w:tc>
        <w:tc>
          <w:tcPr>
            <w:tcW w:w="6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78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</w:tc>
        <w:tc>
          <w:tcPr>
            <w:tcW w:w="3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73" w:line="187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18"/>
              <w:spacing w:before="71" w:line="189" w:lineRule="auto"/>
              <w:rPr/>
            </w:pPr>
            <w:r>
              <w:rPr>
                <w:color w:val="231F20"/>
                <w:spacing w:val="-6"/>
              </w:rPr>
              <w:t>1.78±0.24</w:t>
            </w:r>
          </w:p>
        </w:tc>
        <w:tc>
          <w:tcPr>
            <w:tcW w:w="9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71" w:line="189" w:lineRule="auto"/>
              <w:rPr/>
            </w:pPr>
            <w:r>
              <w:rPr>
                <w:color w:val="231F20"/>
                <w:spacing w:val="-6"/>
              </w:rPr>
              <w:t>1.79±0.23</w:t>
            </w:r>
          </w:p>
        </w:tc>
        <w:tc>
          <w:tcPr>
            <w:tcW w:w="4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73" w:line="187" w:lineRule="auto"/>
              <w:rPr/>
            </w:pPr>
            <w:r>
              <w:rPr>
                <w:color w:val="231F20"/>
                <w:spacing w:val="-15"/>
              </w:rPr>
              <w:t>0.165</w:t>
            </w:r>
          </w:p>
        </w:tc>
        <w:tc>
          <w:tcPr>
            <w:tcW w:w="5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71" w:line="189" w:lineRule="auto"/>
              <w:rPr/>
            </w:pPr>
            <w:r>
              <w:rPr>
                <w:color w:val="231F20"/>
                <w:spacing w:val="-7"/>
              </w:rPr>
              <w:t>&gt;0.05</w:t>
            </w:r>
          </w:p>
        </w:tc>
      </w:tr>
      <w:tr>
        <w:trPr>
          <w:trHeight w:val="329" w:hRule="atLeast"/>
        </w:trPr>
        <w:tc>
          <w:tcPr>
            <w:tcW w:w="706" w:type="dxa"/>
            <w:vAlign w:val="top"/>
            <w:gridSpan w:val="2"/>
          </w:tcPr>
          <w:p>
            <w:pPr>
              <w:pStyle w:val="TableText"/>
              <w:spacing w:before="31" w:line="189" w:lineRule="auto"/>
              <w:jc w:val="right"/>
              <w:rPr/>
            </w:pPr>
            <w:r>
              <w:rPr>
                <w:color w:val="231F20"/>
                <w:spacing w:val="-22"/>
                <w:w w:val="99"/>
              </w:rPr>
              <w:t>（pg/ml）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71"/>
              <w:spacing w:before="89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72"/>
              <w:spacing w:before="85" w:line="192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</w:tcPr>
          <w:p>
            <w:pPr>
              <w:pStyle w:val="TableText"/>
              <w:ind w:left="104"/>
              <w:spacing w:before="6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0.48±0.25</w:t>
            </w:r>
            <w:r>
              <w:rPr>
                <w:sz w:val="9"/>
                <w:szCs w:val="9"/>
                <w:color w:val="231F20"/>
                <w:spacing w:val="-3"/>
                <w:position w:val="7"/>
              </w:rPr>
              <w:t>ab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67"/>
              <w:spacing w:before="64" w:line="209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0.98±0.47</w:t>
            </w:r>
            <w:r>
              <w:rPr>
                <w:sz w:val="9"/>
                <w:szCs w:val="9"/>
                <w:color w:val="231F20"/>
                <w:spacing w:val="2"/>
                <w:position w:val="7"/>
              </w:rPr>
              <w:t>a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65"/>
              <w:spacing w:before="85" w:line="192" w:lineRule="auto"/>
              <w:rPr/>
            </w:pPr>
            <w:r>
              <w:rPr>
                <w:color w:val="231F20"/>
                <w:spacing w:val="-15"/>
              </w:rPr>
              <w:t>5.144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50"/>
              <w:spacing w:before="83" w:line="194" w:lineRule="auto"/>
              <w:rPr/>
            </w:pPr>
            <w:r>
              <w:rPr>
                <w:color w:val="231F20"/>
                <w:spacing w:val="-7"/>
              </w:rPr>
              <w:t>&lt;0.05</w:t>
            </w:r>
          </w:p>
        </w:tc>
      </w:tr>
      <w:tr>
        <w:trPr>
          <w:trHeight w:val="307" w:hRule="atLeast"/>
        </w:trPr>
        <w:tc>
          <w:tcPr>
            <w:tcW w:w="706" w:type="dxa"/>
            <w:vAlign w:val="top"/>
            <w:gridSpan w:val="2"/>
          </w:tcPr>
          <w:p>
            <w:pPr>
              <w:pStyle w:val="TableText"/>
              <w:ind w:left="103"/>
              <w:spacing w:before="121" w:line="175" w:lineRule="exact"/>
              <w:rPr/>
            </w:pPr>
            <w:r>
              <w:rPr>
                <w:color w:val="231F20"/>
                <w:spacing w:val="-7"/>
                <w:position w:val="-1"/>
              </w:rPr>
              <w:t>hs-CRP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71"/>
              <w:spacing w:before="77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72"/>
              <w:spacing w:before="73" w:line="184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</w:tcPr>
          <w:p>
            <w:pPr>
              <w:pStyle w:val="TableText"/>
              <w:ind w:left="104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2.84±0.38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68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2.81±0.47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64"/>
              <w:spacing w:before="73" w:line="184" w:lineRule="auto"/>
              <w:rPr/>
            </w:pPr>
            <w:r>
              <w:rPr>
                <w:color w:val="231F20"/>
                <w:spacing w:val="-15"/>
              </w:rPr>
              <w:t>0.272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50"/>
              <w:spacing w:before="70" w:line="186" w:lineRule="auto"/>
              <w:rPr/>
            </w:pPr>
            <w:r>
              <w:rPr>
                <w:color w:val="231F20"/>
                <w:spacing w:val="-7"/>
              </w:rPr>
              <w:t>&gt;0.05</w:t>
            </w:r>
          </w:p>
        </w:tc>
      </w:tr>
      <w:tr>
        <w:trPr>
          <w:trHeight w:val="325" w:hRule="atLeast"/>
        </w:trPr>
        <w:tc>
          <w:tcPr>
            <w:tcW w:w="706" w:type="dxa"/>
            <w:vAlign w:val="top"/>
            <w:gridSpan w:val="2"/>
          </w:tcPr>
          <w:p>
            <w:pPr>
              <w:pStyle w:val="TableText"/>
              <w:spacing w:before="34" w:line="189" w:lineRule="auto"/>
              <w:jc w:val="right"/>
              <w:rPr/>
            </w:pPr>
            <w:r>
              <w:rPr>
                <w:color w:val="231F20"/>
                <w:spacing w:val="-16"/>
              </w:rPr>
              <w:t>（mg/L）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71"/>
              <w:spacing w:before="86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72"/>
              <w:spacing w:before="82" w:line="191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</w:tcPr>
          <w:p>
            <w:pPr>
              <w:pStyle w:val="TableText"/>
              <w:ind w:left="118"/>
              <w:spacing w:before="62" w:line="208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1.02±0.24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ab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82"/>
              <w:spacing w:before="62" w:line="208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1.74±0.20</w:t>
            </w:r>
            <w:r>
              <w:rPr>
                <w:sz w:val="9"/>
                <w:szCs w:val="9"/>
                <w:color w:val="231F20"/>
                <w:spacing w:val="5"/>
                <w:position w:val="7"/>
              </w:rPr>
              <w:t>a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40"/>
              <w:spacing w:before="82" w:line="191" w:lineRule="auto"/>
              <w:rPr/>
            </w:pPr>
            <w:r>
              <w:rPr>
                <w:color w:val="231F20"/>
                <w:spacing w:val="-18"/>
              </w:rPr>
              <w:t>12.623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50"/>
              <w:spacing w:before="80" w:line="193" w:lineRule="auto"/>
              <w:rPr/>
            </w:pPr>
            <w:r>
              <w:rPr>
                <w:color w:val="231F20"/>
                <w:spacing w:val="-7"/>
              </w:rPr>
              <w:t>&lt;0.05</w:t>
            </w:r>
          </w:p>
        </w:tc>
      </w:tr>
      <w:tr>
        <w:trPr>
          <w:trHeight w:val="307" w:hRule="atLeast"/>
        </w:trPr>
        <w:tc>
          <w:tcPr>
            <w:tcW w:w="706" w:type="dxa"/>
            <w:vAlign w:val="top"/>
            <w:gridSpan w:val="2"/>
          </w:tcPr>
          <w:p>
            <w:pPr>
              <w:pStyle w:val="TableText"/>
              <w:ind w:left="225"/>
              <w:spacing w:before="122" w:line="175" w:lineRule="exact"/>
              <w:rPr/>
            </w:pPr>
            <w:r>
              <w:rPr>
                <w:color w:val="231F20"/>
                <w:position w:val="-1"/>
              </w:rPr>
              <w:t>IL</w:t>
            </w:r>
            <w:r>
              <w:rPr>
                <w:color w:val="231F20"/>
                <w:spacing w:val="3"/>
                <w:position w:val="-1"/>
              </w:rPr>
              <w:t>-2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71"/>
              <w:spacing w:before="78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72"/>
              <w:spacing w:before="74" w:line="183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</w:tcPr>
          <w:p>
            <w:pPr>
              <w:pStyle w:val="TableText"/>
              <w:ind w:left="105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6.37±1.04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68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6.85±1.38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79"/>
              <w:spacing w:before="74" w:line="183" w:lineRule="auto"/>
              <w:rPr/>
            </w:pPr>
            <w:r>
              <w:rPr>
                <w:color w:val="231F20"/>
                <w:spacing w:val="-17"/>
              </w:rPr>
              <w:t>1.521</w:t>
            </w:r>
          </w:p>
        </w:tc>
        <w:tc>
          <w:tcPr>
            <w:tcW w:w="512" w:type="dxa"/>
            <w:vAlign w:val="top"/>
          </w:tcPr>
          <w:p>
            <w:pPr>
              <w:pStyle w:val="TableText"/>
              <w:ind w:left="50"/>
              <w:spacing w:before="70" w:line="186" w:lineRule="auto"/>
              <w:rPr/>
            </w:pPr>
            <w:r>
              <w:rPr>
                <w:color w:val="231F20"/>
                <w:spacing w:val="-7"/>
              </w:rPr>
              <w:t>&gt;0.05</w:t>
            </w:r>
          </w:p>
        </w:tc>
      </w:tr>
      <w:tr>
        <w:trPr>
          <w:trHeight w:val="325" w:hRule="atLeast"/>
        </w:trPr>
        <w:tc>
          <w:tcPr>
            <w:tcW w:w="706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spacing w:before="35" w:line="189" w:lineRule="auto"/>
              <w:jc w:val="right"/>
              <w:rPr/>
            </w:pPr>
            <w:r>
              <w:rPr>
                <w:color w:val="231F20"/>
                <w:spacing w:val="-21"/>
                <w:w w:val="93"/>
              </w:rPr>
              <w:t>（ng/ml）</w:t>
            </w:r>
          </w:p>
        </w:tc>
        <w:tc>
          <w:tcPr>
            <w:tcW w:w="6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1"/>
              <w:spacing w:before="87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</w:tc>
        <w:tc>
          <w:tcPr>
            <w:tcW w:w="3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"/>
              <w:spacing w:before="84" w:line="190" w:lineRule="auto"/>
              <w:rPr/>
            </w:pPr>
            <w:r>
              <w:rPr>
                <w:color w:val="231F20"/>
                <w:spacing w:val="-10"/>
              </w:rPr>
              <w:t>30</w:t>
            </w:r>
          </w:p>
        </w:tc>
        <w:tc>
          <w:tcPr>
            <w:tcW w:w="1017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124"/>
              <w:spacing w:before="62" w:line="208" w:lineRule="auto"/>
              <w:rPr>
                <w:sz w:val="9"/>
                <w:szCs w:val="9"/>
              </w:rPr>
            </w:pPr>
            <w:r>
              <w:rPr>
                <w:color w:val="231F20"/>
                <w:spacing w:val="-9"/>
              </w:rPr>
              <w:t>2.68±1.17</w:t>
            </w:r>
            <w:r>
              <w:rPr>
                <w:sz w:val="9"/>
                <w:szCs w:val="9"/>
                <w:color w:val="231F20"/>
                <w:spacing w:val="-4"/>
                <w:position w:val="7"/>
              </w:rPr>
              <w:t>ab</w:t>
            </w:r>
          </w:p>
        </w:tc>
        <w:tc>
          <w:tcPr>
            <w:tcW w:w="9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8"/>
              <w:spacing w:before="62" w:line="208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4.98±1.25</w:t>
            </w:r>
            <w:r>
              <w:rPr>
                <w:sz w:val="9"/>
                <w:szCs w:val="9"/>
                <w:color w:val="231F20"/>
                <w:spacing w:val="4"/>
                <w:position w:val="7"/>
              </w:rPr>
              <w:t>a</w:t>
            </w:r>
          </w:p>
        </w:tc>
        <w:tc>
          <w:tcPr>
            <w:tcW w:w="4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"/>
              <w:spacing w:before="84" w:line="190" w:lineRule="auto"/>
              <w:rPr/>
            </w:pPr>
            <w:r>
              <w:rPr>
                <w:color w:val="231F20"/>
                <w:spacing w:val="-13"/>
              </w:rPr>
              <w:t>7.358</w:t>
            </w:r>
          </w:p>
        </w:tc>
        <w:tc>
          <w:tcPr>
            <w:tcW w:w="5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"/>
              <w:spacing w:before="80" w:line="193" w:lineRule="auto"/>
              <w:rPr/>
            </w:pPr>
            <w:r>
              <w:rPr>
                <w:color w:val="231F20"/>
                <w:spacing w:val="-7"/>
              </w:rPr>
              <w:t>&lt;0.05</w:t>
            </w:r>
          </w:p>
        </w:tc>
      </w:tr>
      <w:tr>
        <w:trPr>
          <w:trHeight w:val="2555" w:hRule="atLeast"/>
        </w:trPr>
        <w:tc>
          <w:tcPr>
            <w:tcW w:w="4607" w:type="dxa"/>
            <w:vAlign w:val="top"/>
            <w:gridSpan w:val="9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" w:right="33" w:firstLine="318"/>
              <w:spacing w:before="55" w:line="203" w:lineRule="auto"/>
              <w:rPr>
                <w:sz w:val="16"/>
                <w:szCs w:val="16"/>
              </w:rPr>
            </w:pPr>
            <w:r>
              <w:pict>
                <v:shape id="_x0000_s18" style="position:absolute;margin-left:-58.8479pt;margin-top:116.363pt;mso-position-vertical-relative:top-margin-area;mso-position-horizontal-relative:right-margin-area;width:5.1pt;height:0.6pt;z-index:-251655168;" filled="false" strokecolor="#231F20" strokeweight="0.57pt" coordsize="101,12" coordorigin="0,0" path="m0,5l101,5e">
                  <v:stroke joinstyle="miter" miterlimit="10"/>
                </v:shape>
              </w:pict>
            </w:r>
            <w:r>
              <w:rPr>
                <w:sz w:val="16"/>
                <w:szCs w:val="16"/>
                <w:color w:val="231F20"/>
                <w:spacing w:val="2"/>
              </w:rPr>
              <w:t>注：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与本组治疗前比较，</w:t>
            </w:r>
            <w:r>
              <w:rPr>
                <w:sz w:val="9"/>
                <w:szCs w:val="9"/>
                <w:color w:val="231F20"/>
                <w:position w:val="7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P</w:t>
            </w:r>
            <w:r>
              <w:rPr>
                <w:sz w:val="16"/>
                <w:szCs w:val="16"/>
                <w:color w:val="231F20"/>
                <w:spacing w:val="2"/>
              </w:rPr>
              <w:t>＜0.05；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与对照组治疗后比较，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4"/>
                <w:position w:val="7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4"/>
              </w:rPr>
              <w:t>P</w:t>
            </w:r>
            <w:r>
              <w:rPr>
                <w:sz w:val="16"/>
                <w:szCs w:val="16"/>
                <w:color w:val="231F20"/>
                <w:spacing w:val="-4"/>
              </w:rPr>
              <w:t>＜0.05</w:t>
            </w:r>
          </w:p>
          <w:p>
            <w:pPr>
              <w:pStyle w:val="TableText"/>
              <w:ind w:left="11"/>
              <w:spacing w:before="89" w:line="185" w:lineRule="auto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color w:val="231F20"/>
                <w:spacing w:val="-1"/>
              </w:rPr>
              <w:t>2.3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sz w:val="21"/>
                <w:szCs w:val="21"/>
                <w:color w:val="231F20"/>
                <w:spacing w:val="-1"/>
              </w:rPr>
              <w:t>两组治疗前后生活质量评分比较</w:t>
            </w:r>
          </w:p>
          <w:p>
            <w:pPr>
              <w:pStyle w:val="TableText"/>
              <w:ind w:left="2" w:firstLine="424"/>
              <w:spacing w:before="54" w:line="22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31F20"/>
                <w:spacing w:val="9"/>
              </w:rPr>
              <w:t>治疗前，两组生活质量评分比较差异无统计</w:t>
            </w:r>
            <w:r>
              <w:rPr>
                <w:sz w:val="21"/>
                <w:szCs w:val="21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4"/>
              </w:rPr>
              <w:t>学意义（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color w:val="231F20"/>
                <w:spacing w:val="4"/>
              </w:rPr>
              <w:t>P</w:t>
            </w:r>
            <w:r>
              <w:rPr>
                <w:sz w:val="21"/>
                <w:szCs w:val="21"/>
                <w:color w:val="231F20"/>
                <w:spacing w:val="4"/>
              </w:rPr>
              <w:t>＞0.05</w:t>
            </w:r>
            <w:r>
              <w:rPr>
                <w:sz w:val="21"/>
                <w:szCs w:val="21"/>
                <w:color w:val="231F20"/>
                <w:spacing w:val="-12"/>
              </w:rPr>
              <w:t>）；</w:t>
            </w:r>
            <w:r>
              <w:rPr>
                <w:sz w:val="21"/>
                <w:szCs w:val="21"/>
                <w:color w:val="231F20"/>
                <w:spacing w:val="4"/>
              </w:rPr>
              <w:t>治疗后，两组生活质量评分</w:t>
            </w:r>
            <w:r>
              <w:rPr>
                <w:sz w:val="21"/>
                <w:szCs w:val="21"/>
                <w:color w:val="231F20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9"/>
              </w:rPr>
              <w:t>均高于治疗前，且研究组高于对照组，差异有统</w:t>
            </w:r>
            <w:r>
              <w:rPr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9"/>
              </w:rPr>
              <w:t>计学意义（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i/>
                <w:iCs/>
                <w:color w:val="231F20"/>
                <w:spacing w:val="-9"/>
              </w:rPr>
              <w:t>P</w:t>
            </w:r>
            <w:r>
              <w:rPr>
                <w:sz w:val="21"/>
                <w:szCs w:val="21"/>
                <w:color w:val="231F20"/>
                <w:spacing w:val="-9"/>
              </w:rPr>
              <w:t>＜0.05）。见表3。</w:t>
            </w:r>
          </w:p>
          <w:p>
            <w:pPr>
              <w:pStyle w:val="TableText"/>
              <w:ind w:left="277"/>
              <w:spacing w:before="7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表3   两组治疗前后生活质量评分比较（</w:t>
            </w:r>
            <w:r>
              <w:rPr>
                <w:sz w:val="18"/>
                <w:szCs w:val="18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</w:rPr>
              <w:t>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±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color w:val="231F20"/>
              </w:rPr>
              <w:t>s </w:t>
            </w:r>
            <w:r>
              <w:rPr>
                <w:sz w:val="18"/>
                <w:szCs w:val="18"/>
                <w:color w:val="231F20"/>
              </w:rPr>
              <w:t>，</w:t>
            </w:r>
            <w:r>
              <w:rPr>
                <w:sz w:val="18"/>
                <w:szCs w:val="18"/>
                <w:color w:val="231F20"/>
                <w:spacing w:val="-1"/>
              </w:rPr>
              <w:t>分）</w:t>
            </w:r>
          </w:p>
        </w:tc>
      </w:tr>
      <w:tr>
        <w:trPr>
          <w:trHeight w:val="502" w:hRule="atLeast"/>
        </w:trPr>
        <w:tc>
          <w:tcPr>
            <w:tcW w:w="1346" w:type="dxa"/>
            <w:vAlign w:val="top"/>
            <w:gridSpan w:val="3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09"/>
              <w:spacing w:before="172" w:line="174" w:lineRule="auto"/>
              <w:rPr/>
            </w:pPr>
            <w:r>
              <w:rPr>
                <w:color w:val="231F20"/>
                <w:spacing w:val="-1"/>
              </w:rPr>
              <w:t>项目      时间</w:t>
            </w:r>
          </w:p>
        </w:tc>
        <w:tc>
          <w:tcPr>
            <w:tcW w:w="1351" w:type="dxa"/>
            <w:vAlign w:val="top"/>
            <w:gridSpan w:val="3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39"/>
              <w:spacing w:before="63" w:line="174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  <w:p>
            <w:pPr>
              <w:pStyle w:val="TableText"/>
              <w:ind w:left="127"/>
              <w:spacing w:line="178" w:lineRule="auto"/>
              <w:rPr/>
            </w:pP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=30）</w:t>
            </w:r>
          </w:p>
        </w:tc>
        <w:tc>
          <w:tcPr>
            <w:tcW w:w="907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31"/>
              <w:spacing w:before="60" w:line="177" w:lineRule="auto"/>
              <w:rPr/>
            </w:pPr>
            <w:r>
              <w:rPr>
                <w:color w:val="231F20"/>
                <w:spacing w:val="-1"/>
              </w:rPr>
              <w:t>研究组</w:t>
            </w:r>
          </w:p>
          <w:p>
            <w:pPr>
              <w:pStyle w:val="TableText"/>
              <w:spacing w:line="178" w:lineRule="auto"/>
              <w:rPr/>
            </w:pPr>
            <w:r>
              <w:rPr>
                <w:color w:val="231F20"/>
                <w:spacing w:val="-17"/>
              </w:rPr>
              <w:t>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7"/>
              </w:rPr>
              <w:t>n</w:t>
            </w:r>
            <w:r>
              <w:rPr>
                <w:color w:val="231F20"/>
                <w:spacing w:val="-17"/>
              </w:rPr>
              <w:t>=30）</w:t>
            </w:r>
          </w:p>
        </w:tc>
        <w:tc>
          <w:tcPr>
            <w:tcW w:w="1003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187"/>
              <w:spacing w:before="16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4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3"/>
                <w:position w:val="1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4"/>
                <w:position w:val="1"/>
              </w:rPr>
              <w:t>P</w:t>
            </w:r>
          </w:p>
        </w:tc>
      </w:tr>
      <w:tr>
        <w:trPr>
          <w:trHeight w:val="4675" w:hRule="atLeast"/>
        </w:trPr>
        <w:tc>
          <w:tcPr>
            <w:tcW w:w="552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111"/>
              <w:spacing w:before="107" w:line="174" w:lineRule="auto"/>
              <w:rPr/>
            </w:pPr>
            <w:r>
              <w:rPr>
                <w:color w:val="231F20"/>
                <w:spacing w:val="-2"/>
              </w:rPr>
              <w:t>生理</w:t>
            </w:r>
          </w:p>
          <w:p>
            <w:pPr>
              <w:pStyle w:val="TableText"/>
              <w:ind w:left="113"/>
              <w:spacing w:before="3" w:line="177" w:lineRule="auto"/>
              <w:rPr/>
            </w:pPr>
            <w:r>
              <w:rPr>
                <w:color w:val="231F20"/>
                <w:spacing w:val="-2"/>
              </w:rPr>
              <w:t>功能</w:t>
            </w:r>
          </w:p>
          <w:p>
            <w:pPr>
              <w:pStyle w:val="TableText"/>
              <w:ind w:left="111"/>
              <w:spacing w:before="154" w:line="174" w:lineRule="auto"/>
              <w:rPr/>
            </w:pPr>
            <w:r>
              <w:rPr>
                <w:color w:val="231F20"/>
                <w:spacing w:val="-2"/>
              </w:rPr>
              <w:t>生理</w:t>
            </w:r>
          </w:p>
          <w:p>
            <w:pPr>
              <w:pStyle w:val="TableText"/>
              <w:ind w:left="113"/>
              <w:spacing w:before="3" w:line="178" w:lineRule="auto"/>
              <w:rPr/>
            </w:pPr>
            <w:r>
              <w:rPr>
                <w:color w:val="231F20"/>
                <w:spacing w:val="-2"/>
              </w:rPr>
              <w:t>职能</w:t>
            </w:r>
          </w:p>
          <w:p>
            <w:pPr>
              <w:pStyle w:val="TableText"/>
              <w:ind w:left="109"/>
              <w:spacing w:before="145" w:line="182" w:lineRule="auto"/>
              <w:rPr/>
            </w:pPr>
            <w:r>
              <w:rPr>
                <w:color w:val="231F20"/>
                <w:spacing w:val="-1"/>
              </w:rPr>
              <w:t>躯体</w:t>
            </w:r>
          </w:p>
          <w:p>
            <w:pPr>
              <w:pStyle w:val="TableText"/>
              <w:ind w:left="109"/>
              <w:spacing w:before="1" w:line="177" w:lineRule="auto"/>
              <w:rPr/>
            </w:pPr>
            <w:r>
              <w:rPr>
                <w:color w:val="231F20"/>
                <w:spacing w:val="-1"/>
              </w:rPr>
              <w:t>疼痛</w:t>
            </w:r>
          </w:p>
          <w:p>
            <w:pPr>
              <w:pStyle w:val="TableText"/>
              <w:ind w:left="115"/>
              <w:spacing w:before="147" w:line="181" w:lineRule="auto"/>
              <w:rPr/>
            </w:pPr>
            <w:r>
              <w:rPr>
                <w:color w:val="231F20"/>
                <w:spacing w:val="-3"/>
              </w:rPr>
              <w:t>总体</w:t>
            </w:r>
          </w:p>
          <w:p>
            <w:pPr>
              <w:pStyle w:val="TableText"/>
              <w:ind w:left="109"/>
              <w:spacing w:before="1" w:line="181" w:lineRule="auto"/>
              <w:rPr/>
            </w:pPr>
            <w:r>
              <w:rPr>
                <w:color w:val="231F20"/>
                <w:spacing w:val="-1"/>
              </w:rPr>
              <w:t>健康</w:t>
            </w:r>
          </w:p>
          <w:p>
            <w:pPr>
              <w:pStyle w:val="TableText"/>
              <w:ind w:left="111"/>
              <w:spacing w:before="144" w:line="181" w:lineRule="auto"/>
              <w:rPr/>
            </w:pPr>
            <w:r>
              <w:rPr>
                <w:color w:val="231F20"/>
                <w:spacing w:val="-2"/>
              </w:rPr>
              <w:t>生命</w:t>
            </w:r>
          </w:p>
          <w:p>
            <w:pPr>
              <w:pStyle w:val="TableText"/>
              <w:ind w:left="113"/>
              <w:spacing w:before="4" w:line="177" w:lineRule="auto"/>
              <w:rPr/>
            </w:pPr>
            <w:r>
              <w:rPr>
                <w:color w:val="231F20"/>
                <w:spacing w:val="-2"/>
              </w:rPr>
              <w:t>活力</w:t>
            </w:r>
          </w:p>
          <w:p>
            <w:pPr>
              <w:pStyle w:val="TableText"/>
              <w:ind w:left="109"/>
              <w:spacing w:before="150" w:line="175" w:lineRule="auto"/>
              <w:rPr/>
            </w:pPr>
            <w:r>
              <w:rPr>
                <w:color w:val="231F20"/>
                <w:spacing w:val="-1"/>
              </w:rPr>
              <w:t>社会</w:t>
            </w:r>
          </w:p>
          <w:p>
            <w:pPr>
              <w:pStyle w:val="TableText"/>
              <w:ind w:left="113"/>
              <w:spacing w:before="7" w:line="177" w:lineRule="auto"/>
              <w:rPr/>
            </w:pPr>
            <w:r>
              <w:rPr>
                <w:color w:val="231F20"/>
                <w:spacing w:val="-2"/>
              </w:rPr>
              <w:t>功能</w:t>
            </w:r>
          </w:p>
          <w:p>
            <w:pPr>
              <w:pStyle w:val="TableText"/>
              <w:ind w:left="108"/>
              <w:spacing w:before="147" w:line="180" w:lineRule="auto"/>
              <w:rPr/>
            </w:pPr>
            <w:r>
              <w:rPr>
                <w:color w:val="231F20"/>
                <w:spacing w:val="-1"/>
              </w:rPr>
              <w:t>情感</w:t>
            </w:r>
          </w:p>
          <w:p>
            <w:pPr>
              <w:pStyle w:val="TableText"/>
              <w:ind w:left="113"/>
              <w:spacing w:before="4" w:line="178" w:lineRule="auto"/>
              <w:rPr/>
            </w:pPr>
            <w:r>
              <w:rPr>
                <w:color w:val="231F20"/>
                <w:spacing w:val="-2"/>
              </w:rPr>
              <w:t>职能</w:t>
            </w:r>
          </w:p>
          <w:p>
            <w:pPr>
              <w:pStyle w:val="TableText"/>
              <w:ind w:left="109"/>
              <w:spacing w:before="146" w:line="180" w:lineRule="auto"/>
              <w:rPr/>
            </w:pPr>
            <w:r>
              <w:rPr>
                <w:color w:val="231F20"/>
                <w:spacing w:val="-1"/>
              </w:rPr>
              <w:t>精神</w:t>
            </w:r>
          </w:p>
          <w:p>
            <w:pPr>
              <w:pStyle w:val="TableText"/>
              <w:ind w:left="109"/>
              <w:spacing w:before="1" w:line="181" w:lineRule="auto"/>
              <w:rPr/>
            </w:pPr>
            <w:r>
              <w:rPr>
                <w:color w:val="231F20"/>
                <w:spacing w:val="-1"/>
              </w:rPr>
              <w:t>健康</w:t>
            </w:r>
          </w:p>
        </w:tc>
        <w:tc>
          <w:tcPr>
            <w:tcW w:w="794" w:type="dxa"/>
            <w:vAlign w:val="top"/>
            <w:gridSpan w:val="2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105"/>
              <w:spacing w:before="6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4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4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4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4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5"/>
              <w:spacing w:before="75" w:line="179" w:lineRule="auto"/>
              <w:rPr/>
            </w:pPr>
            <w:r>
              <w:rPr>
                <w:color w:val="231F20"/>
                <w:spacing w:val="-2"/>
              </w:rPr>
              <w:t>治疗后</w:t>
            </w:r>
          </w:p>
          <w:p>
            <w:pPr>
              <w:pStyle w:val="TableText"/>
              <w:ind w:left="105"/>
              <w:spacing w:before="74" w:line="179" w:lineRule="auto"/>
              <w:rPr/>
            </w:pPr>
            <w:r>
              <w:rPr>
                <w:color w:val="231F20"/>
                <w:spacing w:val="-2"/>
              </w:rPr>
              <w:t>治疗前</w:t>
            </w:r>
          </w:p>
          <w:p>
            <w:pPr>
              <w:pStyle w:val="TableText"/>
              <w:ind w:left="108"/>
              <w:spacing w:before="75" w:line="176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1083" w:type="dxa"/>
            <w:vAlign w:val="top"/>
            <w:gridSpan w:val="2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44"/>
              <w:spacing w:before="58" w:line="225" w:lineRule="auto"/>
              <w:rPr/>
            </w:pPr>
            <w:r>
              <w:rPr>
                <w:color w:val="231F20"/>
                <w:spacing w:val="-6"/>
              </w:rPr>
              <w:t>60.47±8.64</w:t>
            </w:r>
          </w:p>
          <w:p>
            <w:pPr>
              <w:pStyle w:val="TableText"/>
              <w:ind w:left="42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71.63±7.16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a</w:t>
            </w:r>
          </w:p>
          <w:p>
            <w:pPr>
              <w:pStyle w:val="TableText"/>
              <w:ind w:left="44"/>
              <w:spacing w:before="18" w:line="225" w:lineRule="auto"/>
              <w:rPr/>
            </w:pPr>
            <w:r>
              <w:rPr>
                <w:color w:val="231F20"/>
                <w:spacing w:val="-6"/>
              </w:rPr>
              <w:t>62.46±6.38</w:t>
            </w:r>
          </w:p>
          <w:p>
            <w:pPr>
              <w:pStyle w:val="TableText"/>
              <w:ind w:left="42"/>
              <w:spacing w:before="1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73.61±7.12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a</w:t>
            </w:r>
          </w:p>
          <w:p>
            <w:pPr>
              <w:pStyle w:val="TableText"/>
              <w:ind w:left="42"/>
              <w:spacing w:before="18" w:line="225" w:lineRule="auto"/>
              <w:rPr/>
            </w:pPr>
            <w:r>
              <w:rPr>
                <w:color w:val="231F20"/>
                <w:spacing w:val="-6"/>
              </w:rPr>
              <w:t>75.97±9.62</w:t>
            </w:r>
          </w:p>
          <w:p>
            <w:pPr>
              <w:pStyle w:val="TableText"/>
              <w:ind w:left="42"/>
              <w:spacing w:before="1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79.68±9.43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a</w:t>
            </w:r>
          </w:p>
          <w:p>
            <w:pPr>
              <w:pStyle w:val="TableText"/>
              <w:ind w:left="44"/>
              <w:spacing w:before="19" w:line="225" w:lineRule="auto"/>
              <w:rPr/>
            </w:pPr>
            <w:r>
              <w:rPr>
                <w:color w:val="231F20"/>
                <w:spacing w:val="-7"/>
              </w:rPr>
              <w:t>60.92±11.62</w:t>
            </w:r>
          </w:p>
          <w:p>
            <w:pPr>
              <w:pStyle w:val="TableText"/>
              <w:ind w:left="44"/>
              <w:spacing w:before="1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65.16±11.87</w:t>
            </w:r>
            <w:r>
              <w:rPr>
                <w:sz w:val="9"/>
                <w:szCs w:val="9"/>
                <w:color w:val="231F20"/>
                <w:spacing w:val="4"/>
                <w:position w:val="7"/>
              </w:rPr>
              <w:t>a</w:t>
            </w:r>
          </w:p>
          <w:p>
            <w:pPr>
              <w:pStyle w:val="TableText"/>
              <w:ind w:left="44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67.04±8.62</w:t>
            </w:r>
          </w:p>
          <w:p>
            <w:pPr>
              <w:pStyle w:val="TableText"/>
              <w:ind w:left="42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75.12±7.47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a</w:t>
            </w:r>
          </w:p>
          <w:p>
            <w:pPr>
              <w:pStyle w:val="TableText"/>
              <w:ind w:left="44"/>
              <w:spacing w:before="19" w:line="225" w:lineRule="auto"/>
              <w:rPr/>
            </w:pPr>
            <w:r>
              <w:rPr>
                <w:color w:val="231F20"/>
                <w:spacing w:val="-7"/>
              </w:rPr>
              <w:t>62.85±10.14</w:t>
            </w:r>
          </w:p>
          <w:p>
            <w:pPr>
              <w:pStyle w:val="TableText"/>
              <w:ind w:left="42"/>
              <w:spacing w:before="1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72.40±9.34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a</w:t>
            </w:r>
          </w:p>
          <w:p>
            <w:pPr>
              <w:pStyle w:val="TableText"/>
              <w:ind w:left="42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70.87±4.32</w:t>
            </w:r>
          </w:p>
          <w:p>
            <w:pPr>
              <w:pStyle w:val="TableText"/>
              <w:ind w:left="45"/>
              <w:spacing w:before="1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81.11±5.64</w:t>
            </w:r>
            <w:r>
              <w:rPr>
                <w:sz w:val="9"/>
                <w:szCs w:val="9"/>
                <w:color w:val="231F20"/>
                <w:position w:val="7"/>
              </w:rPr>
              <w:t>a</w:t>
            </w:r>
          </w:p>
          <w:p>
            <w:pPr>
              <w:pStyle w:val="TableText"/>
              <w:ind w:left="42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72.30±8.64</w:t>
            </w:r>
          </w:p>
          <w:p>
            <w:pPr>
              <w:pStyle w:val="TableText"/>
              <w:ind w:left="68"/>
              <w:spacing w:line="197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80.19±8.21</w:t>
            </w:r>
            <w:r>
              <w:rPr>
                <w:sz w:val="9"/>
                <w:szCs w:val="9"/>
                <w:color w:val="231F20"/>
                <w:position w:val="7"/>
              </w:rPr>
              <w:t>a</w:t>
            </w:r>
          </w:p>
        </w:tc>
        <w:tc>
          <w:tcPr>
            <w:tcW w:w="2178" w:type="dxa"/>
            <w:vAlign w:val="top"/>
            <w:gridSpan w:val="4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74"/>
              <w:spacing w:before="58" w:line="225" w:lineRule="auto"/>
              <w:rPr/>
            </w:pPr>
            <w:r>
              <w:rPr>
                <w:color w:val="231F20"/>
                <w:spacing w:val="-6"/>
              </w:rPr>
              <w:t>60.34±7.74      0.061 </w:t>
            </w:r>
            <w:r>
              <w:rPr>
                <w:color w:val="231F20"/>
                <w:spacing w:val="-7"/>
              </w:rPr>
              <w:t xml:space="preserve"> ＞0.05</w:t>
            </w:r>
          </w:p>
          <w:p>
            <w:pPr>
              <w:pStyle w:val="TableText"/>
              <w:ind w:left="72"/>
              <w:rPr/>
            </w:pPr>
            <w:r>
              <w:rPr>
                <w:color w:val="231F20"/>
                <w:spacing w:val="-5"/>
              </w:rPr>
              <w:t>79.47±8.91</w:t>
            </w:r>
            <w:r>
              <w:rPr>
                <w:sz w:val="9"/>
                <w:szCs w:val="9"/>
                <w:color w:val="231F20"/>
                <w:spacing w:val="-5"/>
                <w:position w:val="7"/>
              </w:rPr>
              <w:t>ab      </w:t>
            </w:r>
            <w:r>
              <w:rPr>
                <w:color w:val="231F20"/>
                <w:spacing w:val="-5"/>
              </w:rPr>
              <w:t>-</w:t>
            </w:r>
            <w:r>
              <w:rPr>
                <w:color w:val="231F20"/>
                <w:spacing w:val="-6"/>
              </w:rPr>
              <w:t>3.757 ＜0.05</w:t>
            </w:r>
          </w:p>
          <w:p>
            <w:pPr>
              <w:pStyle w:val="TableText"/>
              <w:ind w:left="74"/>
              <w:spacing w:before="18" w:line="225" w:lineRule="auto"/>
              <w:rPr/>
            </w:pPr>
            <w:r>
              <w:rPr>
                <w:color w:val="231F20"/>
                <w:spacing w:val="-6"/>
              </w:rPr>
              <w:t>62.92±6.51     -0.276 ＞0.05</w:t>
            </w:r>
          </w:p>
          <w:p>
            <w:pPr>
              <w:pStyle w:val="TableText"/>
              <w:ind w:left="75"/>
              <w:rPr/>
            </w:pPr>
            <w:r>
              <w:rPr>
                <w:color w:val="231F20"/>
                <w:spacing w:val="-6"/>
              </w:rPr>
              <w:t>80.14±7.69</w:t>
            </w:r>
            <w:r>
              <w:rPr>
                <w:sz w:val="9"/>
                <w:szCs w:val="9"/>
                <w:color w:val="231F20"/>
                <w:spacing w:val="-6"/>
                <w:position w:val="7"/>
              </w:rPr>
              <w:t>ab      </w:t>
            </w:r>
            <w:r>
              <w:rPr>
                <w:color w:val="231F20"/>
                <w:spacing w:val="-6"/>
              </w:rPr>
              <w:t>-3.413 ＜0.05</w:t>
            </w:r>
          </w:p>
          <w:p>
            <w:pPr>
              <w:pStyle w:val="TableText"/>
              <w:ind w:left="72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75.43±9.54      0.218  </w:t>
            </w:r>
            <w:r>
              <w:rPr>
                <w:color w:val="231F20"/>
                <w:spacing w:val="-7"/>
              </w:rPr>
              <w:t>＞0.05</w:t>
            </w:r>
          </w:p>
          <w:p>
            <w:pPr>
              <w:pStyle w:val="TableText"/>
              <w:ind w:left="75"/>
              <w:spacing w:before="1"/>
              <w:rPr/>
            </w:pPr>
            <w:r>
              <w:rPr>
                <w:color w:val="231F20"/>
                <w:spacing w:val="-6"/>
              </w:rPr>
              <w:t>85.12±6.93</w:t>
            </w:r>
            <w:r>
              <w:rPr>
                <w:sz w:val="9"/>
                <w:szCs w:val="9"/>
                <w:color w:val="231F20"/>
                <w:spacing w:val="-6"/>
                <w:position w:val="7"/>
              </w:rPr>
              <w:t>ab      </w:t>
            </w:r>
            <w:r>
              <w:rPr>
                <w:color w:val="231F20"/>
                <w:spacing w:val="-6"/>
              </w:rPr>
              <w:t>-2.546 ＜0.05</w:t>
            </w:r>
          </w:p>
          <w:p>
            <w:pPr>
              <w:pStyle w:val="TableText"/>
              <w:ind w:left="74"/>
              <w:spacing w:before="19" w:line="225" w:lineRule="auto"/>
              <w:rPr/>
            </w:pPr>
            <w:r>
              <w:rPr>
                <w:color w:val="231F20"/>
                <w:spacing w:val="-7"/>
              </w:rPr>
              <w:t>61.01±11.89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7"/>
              </w:rPr>
              <w:t>-0.030 ＞0.05</w:t>
            </w:r>
          </w:p>
          <w:p>
            <w:pPr>
              <w:pStyle w:val="TableText"/>
              <w:ind w:left="72"/>
              <w:spacing w:before="1"/>
              <w:rPr/>
            </w:pPr>
            <w:r>
              <w:rPr>
                <w:color w:val="231F20"/>
                <w:spacing w:val="-7"/>
              </w:rPr>
              <w:t>75.43±11.24</w:t>
            </w:r>
            <w:r>
              <w:rPr>
                <w:sz w:val="9"/>
                <w:szCs w:val="9"/>
                <w:color w:val="231F20"/>
                <w:spacing w:val="-7"/>
                <w:position w:val="7"/>
              </w:rPr>
              <w:t>ab</w:t>
            </w:r>
            <w:r>
              <w:rPr>
                <w:sz w:val="9"/>
                <w:szCs w:val="9"/>
                <w:color w:val="231F20"/>
                <w:spacing w:val="10"/>
                <w:w w:val="102"/>
                <w:position w:val="7"/>
              </w:rPr>
              <w:t xml:space="preserve">  </w:t>
            </w:r>
            <w:r>
              <w:rPr>
                <w:color w:val="231F20"/>
                <w:spacing w:val="-7"/>
              </w:rPr>
              <w:t>-3.441 ＜0.05</w:t>
            </w:r>
          </w:p>
          <w:p>
            <w:pPr>
              <w:pStyle w:val="TableText"/>
              <w:ind w:left="74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67.13±8.47     -0.041 ＞0.05</w:t>
            </w:r>
          </w:p>
          <w:p>
            <w:pPr>
              <w:pStyle w:val="TableText"/>
              <w:ind w:left="75"/>
              <w:rPr/>
            </w:pPr>
            <w:r>
              <w:rPr>
                <w:color w:val="231F20"/>
                <w:spacing w:val="-6"/>
              </w:rPr>
              <w:t>81.56±8.94</w:t>
            </w:r>
            <w:r>
              <w:rPr>
                <w:sz w:val="9"/>
                <w:szCs w:val="9"/>
                <w:color w:val="231F20"/>
                <w:spacing w:val="-6"/>
                <w:position w:val="7"/>
              </w:rPr>
              <w:t>ab      </w:t>
            </w:r>
            <w:r>
              <w:rPr>
                <w:color w:val="231F20"/>
                <w:spacing w:val="-6"/>
              </w:rPr>
              <w:t>-3.028 ＜0.05</w:t>
            </w:r>
          </w:p>
          <w:p>
            <w:pPr>
              <w:pStyle w:val="TableText"/>
              <w:ind w:left="74"/>
              <w:spacing w:before="19" w:line="225" w:lineRule="auto"/>
              <w:rPr/>
            </w:pPr>
            <w:r>
              <w:rPr>
                <w:color w:val="231F20"/>
                <w:spacing w:val="-7"/>
              </w:rPr>
              <w:t>62.86±10.03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7"/>
              </w:rPr>
              <w:t>-0.004 ＞0.05</w:t>
            </w:r>
          </w:p>
          <w:p>
            <w:pPr>
              <w:pStyle w:val="TableText"/>
              <w:ind w:left="72"/>
              <w:spacing w:before="1"/>
              <w:rPr/>
            </w:pPr>
            <w:r>
              <w:rPr>
                <w:color w:val="231F20"/>
                <w:spacing w:val="-7"/>
              </w:rPr>
              <w:t>79.12±10.21</w:t>
            </w:r>
            <w:r>
              <w:rPr>
                <w:sz w:val="9"/>
                <w:szCs w:val="9"/>
                <w:color w:val="231F20"/>
                <w:spacing w:val="-7"/>
                <w:position w:val="7"/>
              </w:rPr>
              <w:t>ab</w:t>
            </w:r>
            <w:r>
              <w:rPr>
                <w:sz w:val="9"/>
                <w:szCs w:val="9"/>
                <w:color w:val="231F20"/>
                <w:spacing w:val="10"/>
                <w:w w:val="102"/>
                <w:position w:val="7"/>
              </w:rPr>
              <w:t xml:space="preserve">  </w:t>
            </w:r>
            <w:r>
              <w:rPr>
                <w:color w:val="231F20"/>
                <w:spacing w:val="-7"/>
              </w:rPr>
              <w:t>-2.660 ＜0.05</w:t>
            </w:r>
          </w:p>
          <w:p>
            <w:pPr>
              <w:pStyle w:val="TableText"/>
              <w:ind w:left="72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70.46±3.64      0.398  </w:t>
            </w:r>
            <w:r>
              <w:rPr>
                <w:color w:val="231F20"/>
                <w:spacing w:val="-7"/>
              </w:rPr>
              <w:t>＞0.05</w:t>
            </w:r>
          </w:p>
          <w:p>
            <w:pPr>
              <w:pStyle w:val="TableText"/>
              <w:ind w:left="75"/>
              <w:spacing w:before="1"/>
              <w:rPr/>
            </w:pPr>
            <w:r>
              <w:rPr>
                <w:color w:val="231F20"/>
                <w:spacing w:val="-6"/>
              </w:rPr>
              <w:t>89.92±5.01</w:t>
            </w:r>
            <w:r>
              <w:rPr>
                <w:sz w:val="9"/>
                <w:szCs w:val="9"/>
                <w:color w:val="231F20"/>
                <w:spacing w:val="-6"/>
                <w:position w:val="7"/>
              </w:rPr>
              <w:t>ab      </w:t>
            </w:r>
            <w:r>
              <w:rPr>
                <w:color w:val="231F20"/>
                <w:spacing w:val="-6"/>
              </w:rPr>
              <w:t>-6.397 ＜0.05</w:t>
            </w:r>
          </w:p>
          <w:p>
            <w:pPr>
              <w:pStyle w:val="TableText"/>
              <w:ind w:left="72"/>
              <w:spacing w:before="19" w:line="225" w:lineRule="auto"/>
              <w:rPr/>
            </w:pPr>
            <w:r>
              <w:rPr>
                <w:color w:val="231F20"/>
                <w:spacing w:val="-6"/>
              </w:rPr>
              <w:t>72.16±8.94      0.062  </w:t>
            </w:r>
            <w:r>
              <w:rPr>
                <w:color w:val="231F20"/>
                <w:spacing w:val="-7"/>
              </w:rPr>
              <w:t>＞0.05</w:t>
            </w:r>
          </w:p>
          <w:p>
            <w:pPr>
              <w:pStyle w:val="TableText"/>
              <w:ind w:left="97"/>
              <w:spacing w:line="197" w:lineRule="auto"/>
              <w:rPr/>
            </w:pPr>
            <w:r>
              <w:rPr>
                <w:color w:val="231F20"/>
                <w:spacing w:val="-8"/>
              </w:rPr>
              <w:t>89.13±8.27</w:t>
            </w:r>
            <w:r>
              <w:rPr>
                <w:sz w:val="9"/>
                <w:szCs w:val="9"/>
                <w:color w:val="231F20"/>
                <w:spacing w:val="-8"/>
                <w:position w:val="7"/>
              </w:rPr>
              <w:t>ab       </w:t>
            </w:r>
            <w:r>
              <w:rPr>
                <w:color w:val="231F20"/>
                <w:spacing w:val="-8"/>
              </w:rPr>
              <w:t>-4.202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＜0.05</w:t>
            </w:r>
          </w:p>
        </w:tc>
      </w:tr>
    </w:tbl>
    <w:p>
      <w:pPr>
        <w:ind w:left="9" w:right="33" w:firstLine="318"/>
        <w:spacing w:before="57" w:line="18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注：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与本组治疗前比较，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＜0.05；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与对照组治疗后比较，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4"/>
          <w:position w:val="7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＜0.05</w:t>
      </w:r>
    </w:p>
    <w:p>
      <w:pPr>
        <w:spacing w:line="183" w:lineRule="auto"/>
        <w:sectPr>
          <w:type w:val="continuous"/>
          <w:pgSz w:w="11906" w:h="16838"/>
          <w:pgMar w:top="1464" w:right="1132" w:bottom="836" w:left="407" w:header="1045" w:footer="354" w:gutter="0"/>
          <w:cols w:equalWidth="0" w:num="2">
            <w:col w:w="5658" w:space="100"/>
            <w:col w:w="4608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before="176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1493" w:right="0" w:bottom="836" w:left="407" w:header="1046" w:footer="354" w:gutter="0"/>
          <w:cols w:equalWidth="0" w:num="1">
            <w:col w:w="11498" w:space="0"/>
          </w:cols>
        </w:sectPr>
        <w:rPr/>
      </w:pPr>
    </w:p>
    <w:p>
      <w:pPr>
        <w:pStyle w:val="BodyText"/>
        <w:ind w:left="736"/>
        <w:spacing w:before="80" w:line="174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3"/>
        </w:rPr>
        <w:t>3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3"/>
        </w:rPr>
        <w:t>讨论</w:t>
      </w:r>
    </w:p>
    <w:p>
      <w:pPr>
        <w:pStyle w:val="BodyText"/>
        <w:ind w:left="726" w:right="326" w:firstLine="425"/>
        <w:spacing w:before="52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盆腔炎是临床发病率较高的生殖道疾病，其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发病原因是患者受到病原体感染，出现炎症，出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现下腹疼痛、阴道分泌物增多、异常出血和发热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等。在临床实践中，通过了解患者体内炎性因子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的浓度，判断患者病情的严重程度，制定相应的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治疗方案。传统治疗方案需要长期用药，使患者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体内产生耐药性，严重影响患者的治疗效果。因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此临床提出采用中药联合针灸的治疗方案，临床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效果显著，使患者的炎性因子水平稳定，具有较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20"/>
        </w:rPr>
        <w:t>高的临床应用价值。慢性盆腔炎已成为妇科高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发疾病，当患者的生殖器及周围组织出现慢性炎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9"/>
        </w:rPr>
        <w:t>症，可导致患者病理组织而引发疾病。慢性盆腔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8"/>
        </w:rPr>
        <w:t>炎患者大多由急性盆腔炎引起，未经彻底治疗。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若发生急性盆腔炎，由于患者免疫力降低，患病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2"/>
        </w:rPr>
        <w:t>时间长，进展为慢性盆腔炎。</w:t>
      </w:r>
    </w:p>
    <w:p>
      <w:pPr>
        <w:pStyle w:val="BodyText"/>
        <w:ind w:left="728" w:right="326" w:firstLine="433"/>
        <w:spacing w:before="23" w:line="28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随着人们生活和两性观念的逐渐开放，对性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9"/>
        </w:rPr>
        <w:t>生活的要求也逐渐降低，导致慢性盆腔炎患者发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病率呈逐年上升趋势。由于慢性盆腔炎在临床治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20"/>
        </w:rPr>
        <w:t>疗过程中，具有复发率高、治疗难度较高的特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点，因此一旦患病，会导致其反复发作，出现白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position w:val="-1"/>
        </w:rPr>
        <w:t>带异常，严重者会导致下腹痛</w:t>
      </w:r>
      <w:r>
        <w:rPr>
          <w:sz w:val="12"/>
          <w:szCs w:val="12"/>
          <w:color w:val="231F20"/>
          <w:position w:val="8"/>
        </w:rPr>
        <w:t>[4，5]</w:t>
      </w:r>
      <w:r>
        <w:rPr>
          <w:sz w:val="12"/>
          <w:szCs w:val="12"/>
          <w:color w:val="231F20"/>
          <w:spacing w:val="-30"/>
          <w:position w:val="8"/>
        </w:rPr>
        <w:t xml:space="preserve"> </w:t>
      </w:r>
      <w:r>
        <w:rPr>
          <w:sz w:val="21"/>
          <w:szCs w:val="21"/>
          <w:color w:val="231F20"/>
          <w:position w:val="-1"/>
        </w:rPr>
        <w:t>。因此，应在急 </w:t>
      </w:r>
      <w:r>
        <w:rPr>
          <w:sz w:val="21"/>
          <w:szCs w:val="21"/>
          <w:color w:val="231F20"/>
          <w:spacing w:val="9"/>
        </w:rPr>
        <w:t>性盆腔炎期间对患者进行彻底治疗，消除慢性盆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腔炎的诱发因素，采取积极的防治措施，提高治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</w:rPr>
        <w:t>疗效果</w:t>
      </w:r>
      <w:r>
        <w:rPr>
          <w:sz w:val="12"/>
          <w:szCs w:val="12"/>
          <w:color w:val="231F20"/>
          <w:position w:val="9"/>
        </w:rPr>
        <w:t>[6，7]</w:t>
      </w:r>
      <w:r>
        <w:rPr>
          <w:sz w:val="12"/>
          <w:szCs w:val="12"/>
          <w:color w:val="231F20"/>
          <w:spacing w:val="-27"/>
          <w:position w:val="9"/>
        </w:rPr>
        <w:t xml:space="preserve"> </w:t>
      </w:r>
      <w:r>
        <w:rPr>
          <w:sz w:val="21"/>
          <w:szCs w:val="21"/>
          <w:color w:val="231F20"/>
        </w:rPr>
        <w:t>。临床治疗过程中，应排除各种诱发慢 </w:t>
      </w:r>
      <w:r>
        <w:rPr>
          <w:sz w:val="21"/>
          <w:szCs w:val="21"/>
          <w:color w:val="231F20"/>
          <w:spacing w:val="7"/>
        </w:rPr>
        <w:t>性盆腔炎的因素，并采取有效的临床预防措施，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应给予患者巩固疾病相关知识，告知患者疾病可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复发，对患者进行后续辨证治疗，根据患者的临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床病因，采取针对性的临床治疗措施，提高患者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免疫力，做到标本兼治。临床多采用西药治疗，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7"/>
        </w:rPr>
        <w:t>一般采用甲硝唑等抗生素对患者进行综合治疗，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虽然在治疗过程中可发挥临床作用，但长期使用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抗生素会导致患者产生耐药性。如果患者进行静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脉注射，药物无法直达病变部位，难以清除盆腔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粘连组织。二仙汤治疗可起到镇痛消炎、清热除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湿的临床作用，可提高临床治疗效果，减轻患者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临床症状</w:t>
      </w:r>
      <w:r>
        <w:rPr>
          <w:sz w:val="12"/>
          <w:szCs w:val="12"/>
          <w:color w:val="231F20"/>
          <w:spacing w:val="-2"/>
          <w:position w:val="9"/>
        </w:rPr>
        <w:t>[8]</w:t>
      </w:r>
      <w:r>
        <w:rPr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sz w:val="21"/>
          <w:szCs w:val="21"/>
          <w:color w:val="231F20"/>
          <w:spacing w:val="-2"/>
        </w:rPr>
        <w:t>，还可以通过减轻患者的疼痛。患者应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接受辅助治疗，并分析患者的具体临床症状，制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2" w:firstLine="1"/>
        <w:spacing w:before="40" w:line="29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定具体的方法，促进疼痛缓解</w:t>
      </w:r>
      <w:r>
        <w:rPr>
          <w:sz w:val="12"/>
          <w:szCs w:val="12"/>
          <w:color w:val="231F20"/>
          <w:spacing w:val="-1"/>
          <w:position w:val="9"/>
        </w:rPr>
        <w:t>[9]</w:t>
      </w:r>
      <w:r>
        <w:rPr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。通过结合针</w:t>
      </w:r>
      <w:r>
        <w:rPr>
          <w:sz w:val="21"/>
          <w:szCs w:val="21"/>
          <w:color w:val="231F20"/>
          <w:spacing w:val="-2"/>
        </w:rPr>
        <w:t>灸治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疗，提高患者治疗效果，帮助患者建立更符合医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院方向的针对性临床治疗体系。针灸是中医针灸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临床常用的治疗方法，通过加热经络等作用，促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3"/>
        </w:rPr>
        <w:t>进体内血液循环，临床使用价值高</w:t>
      </w:r>
      <w:r>
        <w:rPr>
          <w:sz w:val="12"/>
          <w:szCs w:val="12"/>
          <w:color w:val="231F20"/>
          <w:spacing w:val="-3"/>
          <w:position w:val="9"/>
        </w:rPr>
        <w:t>[10]</w:t>
      </w:r>
      <w:r>
        <w:rPr>
          <w:sz w:val="21"/>
          <w:szCs w:val="21"/>
          <w:color w:val="231F20"/>
          <w:spacing w:val="-3"/>
        </w:rPr>
        <w:t>，充分发挥中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9"/>
        </w:rPr>
        <w:t>医治疗优势。可根据患者病情的严重程度，增加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或减少患者的临床用药剂量。在临床医学中，针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灸通过刺激患者经络，帮助患者加强体内的血液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2"/>
        </w:rPr>
        <w:t>循环，具有较高的临床价值。</w:t>
      </w:r>
    </w:p>
    <w:p>
      <w:pPr>
        <w:pStyle w:val="BodyText"/>
        <w:ind w:right="1133" w:firstLine="419"/>
        <w:spacing w:before="3" w:line="29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综上所述，采用中药联合针灸治疗慢性盆腔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20"/>
        </w:rPr>
        <w:t>炎患者，可改善患者的临床症状及炎性因子水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2"/>
        </w:rPr>
        <w:t>平，提高患者的生活质量，值得临床推广。</w:t>
      </w:r>
    </w:p>
    <w:p>
      <w:pPr>
        <w:ind w:left="1788"/>
        <w:spacing w:before="278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献</w:t>
      </w:r>
    </w:p>
    <w:p>
      <w:pPr>
        <w:pStyle w:val="BodyText"/>
        <w:ind w:left="423" w:right="1133" w:hanging="417"/>
        <w:spacing w:before="170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[1]</w:t>
      </w:r>
      <w:r>
        <w:rPr>
          <w:sz w:val="18"/>
          <w:szCs w:val="18"/>
          <w:color w:val="231F20"/>
          <w:spacing w:val="32"/>
        </w:rPr>
        <w:t xml:space="preserve">  </w:t>
      </w:r>
      <w:r>
        <w:rPr>
          <w:sz w:val="18"/>
          <w:szCs w:val="18"/>
          <w:color w:val="231F20"/>
          <w:spacing w:val="-8"/>
        </w:rPr>
        <w:t>陈颖,甄玉婷,徐朝辉,等.化痰通络汤联合温</w:t>
      </w:r>
      <w:r>
        <w:rPr>
          <w:sz w:val="18"/>
          <w:szCs w:val="18"/>
          <w:color w:val="231F20"/>
          <w:spacing w:val="-9"/>
        </w:rPr>
        <w:t>针灸肩三针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治疗脑卒中后肩手综合征痰瘀阻络证的临床观察[J].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中医药导报,2022,28(12):115-118,135.</w:t>
      </w:r>
    </w:p>
    <w:p>
      <w:pPr>
        <w:pStyle w:val="BodyText"/>
        <w:ind w:left="431" w:right="1135" w:hanging="425"/>
        <w:spacing w:before="32" w:line="26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[2]</w:t>
      </w:r>
      <w:r>
        <w:rPr>
          <w:sz w:val="18"/>
          <w:szCs w:val="18"/>
          <w:color w:val="231F20"/>
          <w:spacing w:val="32"/>
        </w:rPr>
        <w:t xml:space="preserve">  </w:t>
      </w:r>
      <w:r>
        <w:rPr>
          <w:sz w:val="18"/>
          <w:szCs w:val="18"/>
          <w:color w:val="231F20"/>
          <w:spacing w:val="-2"/>
        </w:rPr>
        <w:t>陈慧,刘玉玲.妇可靖胶囊联合抗生素治疗</w:t>
      </w:r>
      <w:r>
        <w:rPr>
          <w:sz w:val="18"/>
          <w:szCs w:val="18"/>
          <w:color w:val="231F20"/>
          <w:spacing w:val="-3"/>
        </w:rPr>
        <w:t>慢性盆腔炎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临床观察[J].辽宁中医杂志,2022,49(3):146-1</w:t>
      </w:r>
      <w:r>
        <w:rPr>
          <w:sz w:val="18"/>
          <w:szCs w:val="18"/>
          <w:color w:val="231F20"/>
          <w:spacing w:val="-11"/>
        </w:rPr>
        <w:t>48.</w:t>
      </w:r>
    </w:p>
    <w:p>
      <w:pPr>
        <w:pStyle w:val="BodyText"/>
        <w:ind w:left="422" w:right="1132" w:hanging="416"/>
        <w:spacing w:before="3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[3]</w:t>
      </w:r>
      <w:r>
        <w:rPr>
          <w:sz w:val="18"/>
          <w:szCs w:val="18"/>
          <w:color w:val="231F20"/>
          <w:spacing w:val="43"/>
        </w:rPr>
        <w:t xml:space="preserve">  </w:t>
      </w:r>
      <w:r>
        <w:rPr>
          <w:sz w:val="18"/>
          <w:szCs w:val="18"/>
          <w:color w:val="231F20"/>
          <w:spacing w:val="-6"/>
        </w:rPr>
        <w:t>丁晶文,李晶,毛婷.温通逐瘀汤灌肠联合西药治疗慢性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盆腔炎急性发作疗效及对血清</w:t>
      </w:r>
      <w:r>
        <w:rPr>
          <w:sz w:val="18"/>
          <w:szCs w:val="18"/>
          <w:color w:val="231F20"/>
        </w:rPr>
        <w:t>IL</w:t>
      </w:r>
      <w:r>
        <w:rPr>
          <w:sz w:val="18"/>
          <w:szCs w:val="18"/>
          <w:color w:val="231F20"/>
          <w:spacing w:val="3"/>
        </w:rPr>
        <w:t>-8、</w:t>
      </w:r>
      <w:r>
        <w:rPr>
          <w:sz w:val="18"/>
          <w:szCs w:val="18"/>
          <w:color w:val="231F20"/>
        </w:rPr>
        <w:t>TGF</w:t>
      </w:r>
      <w:r>
        <w:rPr>
          <w:sz w:val="18"/>
          <w:szCs w:val="18"/>
          <w:color w:val="231F20"/>
          <w:spacing w:val="3"/>
        </w:rPr>
        <w:t>-β</w:t>
      </w:r>
      <w:r>
        <w:rPr>
          <w:sz w:val="10"/>
          <w:szCs w:val="10"/>
          <w:color w:val="231F20"/>
          <w:spacing w:val="3"/>
          <w:position w:val="-3"/>
        </w:rPr>
        <w:t>1</w:t>
      </w:r>
      <w:r>
        <w:rPr>
          <w:sz w:val="18"/>
          <w:szCs w:val="18"/>
          <w:color w:val="231F20"/>
          <w:spacing w:val="3"/>
        </w:rPr>
        <w:t>和</w:t>
      </w:r>
      <w:r>
        <w:rPr>
          <w:sz w:val="18"/>
          <w:szCs w:val="18"/>
          <w:color w:val="231F20"/>
        </w:rPr>
        <w:t>MCP</w:t>
      </w:r>
      <w:r>
        <w:rPr>
          <w:sz w:val="18"/>
          <w:szCs w:val="18"/>
          <w:color w:val="231F20"/>
          <w:spacing w:val="3"/>
        </w:rPr>
        <w:t>-1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的影响[J].检验医学与临床,2022,19(2</w:t>
      </w:r>
      <w:r>
        <w:rPr>
          <w:sz w:val="18"/>
          <w:szCs w:val="18"/>
          <w:color w:val="231F20"/>
          <w:spacing w:val="-2"/>
        </w:rPr>
        <w:t>1):2958-2961,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2966.</w:t>
      </w:r>
    </w:p>
    <w:p>
      <w:pPr>
        <w:pStyle w:val="BodyText"/>
        <w:ind w:left="419" w:right="1133" w:hanging="413"/>
        <w:spacing w:before="10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[4]</w:t>
      </w:r>
      <w:r>
        <w:rPr>
          <w:sz w:val="18"/>
          <w:szCs w:val="18"/>
          <w:color w:val="231F20"/>
          <w:spacing w:val="34"/>
        </w:rPr>
        <w:t xml:space="preserve">  </w:t>
      </w:r>
      <w:r>
        <w:rPr>
          <w:sz w:val="18"/>
          <w:szCs w:val="18"/>
          <w:color w:val="231F20"/>
          <w:spacing w:val="1"/>
        </w:rPr>
        <w:t>杨潇,李彩荣,刘欣艳.八髎穴导气针法联合温针灸治 </w:t>
      </w:r>
      <w:r>
        <w:rPr>
          <w:sz w:val="18"/>
          <w:szCs w:val="18"/>
          <w:color w:val="231F20"/>
          <w:spacing w:val="1"/>
        </w:rPr>
        <w:t>疗脾肾阳虚型溃疡性结肠炎临床观察[J].针灸临床杂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1"/>
        </w:rPr>
        <w:t>志,2021,37(7):29-32.</w:t>
      </w:r>
    </w:p>
    <w:p>
      <w:pPr>
        <w:pStyle w:val="BodyText"/>
        <w:ind w:left="425" w:right="1132" w:hanging="419"/>
        <w:spacing w:before="33" w:line="26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[5]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-5"/>
        </w:rPr>
        <w:t>汪琼,张锋,杨振.益母败酱汤联合西药治疗慢性盆腔炎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患者临床观察[J].西部中医药,2021,34(2):</w:t>
      </w:r>
      <w:r>
        <w:rPr>
          <w:sz w:val="18"/>
          <w:szCs w:val="18"/>
          <w:color w:val="231F20"/>
          <w:spacing w:val="-11"/>
        </w:rPr>
        <w:t>96-99.</w:t>
      </w:r>
    </w:p>
    <w:p>
      <w:pPr>
        <w:pStyle w:val="BodyText"/>
        <w:ind w:left="418" w:right="1132" w:hanging="412"/>
        <w:spacing w:before="30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[6]</w:t>
      </w:r>
      <w:r>
        <w:rPr>
          <w:sz w:val="18"/>
          <w:szCs w:val="18"/>
          <w:color w:val="231F20"/>
          <w:spacing w:val="33"/>
          <w:w w:val="101"/>
        </w:rPr>
        <w:t xml:space="preserve">  </w:t>
      </w:r>
      <w:r>
        <w:rPr>
          <w:sz w:val="18"/>
          <w:szCs w:val="18"/>
          <w:color w:val="231F20"/>
          <w:spacing w:val="12"/>
        </w:rPr>
        <w:t>张勇,陈玲玲.温针灸联合四逆汤加味治疗寒凝血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9"/>
        </w:rPr>
        <w:t>瘀型原发性痛经的疗效及对患者中医证候、血清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PGE</w:t>
      </w:r>
      <w:r>
        <w:rPr>
          <w:sz w:val="10"/>
          <w:szCs w:val="10"/>
          <w:color w:val="231F20"/>
          <w:spacing w:val="3"/>
          <w:position w:val="-3"/>
        </w:rPr>
        <w:t>2</w:t>
      </w:r>
      <w:r>
        <w:rPr>
          <w:sz w:val="18"/>
          <w:szCs w:val="18"/>
          <w:color w:val="231F20"/>
          <w:spacing w:val="3"/>
        </w:rPr>
        <w:t>和</w:t>
      </w:r>
      <w:r>
        <w:rPr>
          <w:sz w:val="18"/>
          <w:szCs w:val="18"/>
          <w:color w:val="231F20"/>
        </w:rPr>
        <w:t>PGF</w:t>
      </w:r>
      <w:r>
        <w:rPr>
          <w:sz w:val="18"/>
          <w:szCs w:val="18"/>
          <w:color w:val="231F20"/>
          <w:spacing w:val="3"/>
        </w:rPr>
        <w:t>2a水平的影响[J].海南医学,2021,32</w:t>
      </w:r>
      <w:r>
        <w:rPr>
          <w:sz w:val="18"/>
          <w:szCs w:val="18"/>
          <w:color w:val="231F20"/>
          <w:spacing w:val="2"/>
        </w:rPr>
        <w:t>(14):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1817-1820.</w:t>
      </w:r>
    </w:p>
    <w:p>
      <w:pPr>
        <w:pStyle w:val="BodyText"/>
        <w:ind w:left="421" w:right="1133" w:hanging="415"/>
        <w:spacing w:before="10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[7]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-8"/>
        </w:rPr>
        <w:t>贾海波,王春葳,辛红,等.自拟安神养血汤联合温针灸及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耳穴治疗顽固性失眠的临床疗效评价[J].河北中医药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1"/>
        </w:rPr>
        <w:t>学报,2021,36(1):43-46。</w:t>
      </w:r>
    </w:p>
    <w:p>
      <w:pPr>
        <w:pStyle w:val="BodyText"/>
        <w:ind w:left="419" w:right="1133" w:hanging="413"/>
        <w:spacing w:before="32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[8]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-8"/>
        </w:rPr>
        <w:t>黄欣欣,董文波,夏金凤,等.温针灸联合穴位放血治疗腰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"/>
        </w:rPr>
        <w:t>椎间盘突出症疗效及对炎症因子、β-EP的影响[J].湖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7"/>
        </w:rPr>
        <w:t>南中医药大学学报,2021,41(6):934-938.</w:t>
      </w:r>
    </w:p>
    <w:p>
      <w:pPr>
        <w:pStyle w:val="BodyText"/>
        <w:ind w:left="423" w:right="1134" w:hanging="417"/>
        <w:spacing w:before="33" w:line="26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[9]</w:t>
      </w:r>
      <w:r>
        <w:rPr>
          <w:sz w:val="18"/>
          <w:szCs w:val="18"/>
          <w:color w:val="231F20"/>
          <w:spacing w:val="33"/>
        </w:rPr>
        <w:t xml:space="preserve">  </w:t>
      </w:r>
      <w:r>
        <w:rPr>
          <w:sz w:val="18"/>
          <w:szCs w:val="18"/>
          <w:color w:val="231F20"/>
          <w:spacing w:val="-5"/>
        </w:rPr>
        <w:t>叶美秀.中药联合温针灸治疗慢性盆腔炎临床</w:t>
      </w:r>
      <w:r>
        <w:rPr>
          <w:sz w:val="18"/>
          <w:szCs w:val="18"/>
          <w:color w:val="231F20"/>
          <w:spacing w:val="-6"/>
        </w:rPr>
        <w:t>观察[J].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实用中医药杂志,2022,38(6):902</w:t>
      </w:r>
      <w:r>
        <w:rPr>
          <w:sz w:val="18"/>
          <w:szCs w:val="18"/>
          <w:color w:val="231F20"/>
          <w:spacing w:val="-8"/>
        </w:rPr>
        <w:t>-904.</w:t>
      </w:r>
    </w:p>
    <w:p>
      <w:pPr>
        <w:pStyle w:val="BodyText"/>
        <w:ind w:left="423" w:right="1133" w:hanging="417"/>
        <w:spacing w:before="33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[10]</w:t>
      </w:r>
      <w:r>
        <w:rPr>
          <w:sz w:val="18"/>
          <w:szCs w:val="18"/>
          <w:color w:val="231F20"/>
          <w:spacing w:val="68"/>
        </w:rPr>
        <w:t xml:space="preserve"> </w:t>
      </w:r>
      <w:r>
        <w:rPr>
          <w:sz w:val="18"/>
          <w:szCs w:val="18"/>
          <w:color w:val="231F20"/>
          <w:spacing w:val="1"/>
        </w:rPr>
        <w:t>黄英昌,郑敏,李英梅.内服中药联合温针灸治疗慢性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盆腔炎55例临床观察[J].中国中医药咨讯,201</w:t>
      </w:r>
      <w:r>
        <w:rPr>
          <w:sz w:val="18"/>
          <w:szCs w:val="18"/>
          <w:color w:val="231F20"/>
          <w:spacing w:val="-5"/>
        </w:rPr>
        <w:t>1,3(20):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154,163.</w:t>
      </w:r>
    </w:p>
    <w:sectPr>
      <w:type w:val="continuous"/>
      <w:pgSz w:w="11906" w:h="16838"/>
      <w:pgMar w:top="1493" w:right="0" w:bottom="836" w:left="407" w:header="1046" w:footer="354" w:gutter="0"/>
      <w:cols w:equalWidth="0" w:num="2">
        <w:col w:w="5660" w:space="100"/>
        <w:col w:w="573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3"/>
      </w:rPr>
      <w:t>(c)1994-2024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1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9"/>
      </w:rPr>
      <w:t>11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3"/>
      </w:rPr>
      <w:t>(c)1994-2024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3"/>
      <w:spacing w:before="1" w:line="191" w:lineRule="auto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0"/>
      </w:rPr>
      <w:t>12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3"/>
      </w:rPr>
      <w:t>(c)1994-2024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3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5"/>
      <w:spacing w:before="73" w:line="170" w:lineRule="auto"/>
      <w:tabs>
        <w:tab w:val="left" w:pos="805"/>
      </w:tabs>
      <w:rPr>
        <w:rFonts w:ascii="Microsoft YaHei" w:hAnsi="Microsoft YaHei" w:eastAsia="Microsoft YaHei" w:cs="Microsoft YaHei"/>
        <w:sz w:val="24"/>
        <w:szCs w:val="24"/>
      </w:rPr>
    </w:pPr>
    <w:r>
      <w:rPr>
        <w:shd w:val="clear" w:fill="DCDDDF"/>
        <w:rFonts w:ascii="Microsoft YaHei" w:hAnsi="Microsoft YaHei" w:eastAsia="Microsoft YaHei" w:cs="Microsoft YaHei"/>
        <w:sz w:val="21"/>
        <w:szCs w:val="21"/>
        <w:color w:val="231F20"/>
      </w:rPr>
      <w:tab/>
    </w:r>
    <w:r>
      <w:rPr>
        <w:shd w:val="clear" w:fill="DCDDDF"/>
        <w:rFonts w:ascii="Microsoft YaHei" w:hAnsi="Microsoft YaHei" w:eastAsia="Microsoft YaHei" w:cs="Microsoft YaHei"/>
        <w:sz w:val="21"/>
        <w:szCs w:val="21"/>
        <w:color w:val="231F20"/>
        <w:spacing w:val="-1"/>
      </w:rPr>
      <w:t>实用妇科内分泌电子杂志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 xml:space="preserve">    2023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5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年第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10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卷第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20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期              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-1"/>
      </w:rPr>
      <w:t>论       著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</w:rPr>
      <w:t>•</w:t>
    </w:r>
  </w:p>
  <w:p>
    <w:pPr>
      <w:ind w:firstLine="725"/>
      <w:spacing w:before="16" w:line="18" w:lineRule="exact"/>
      <w:rPr/>
    </w:pPr>
    <w:r>
      <w:rPr>
        <w:position w:val="-1"/>
      </w:rPr>
      <w:pict>
        <v:shape id="_x0000_s8" style="mso-position-vertical-relative:line;mso-position-horizontal-relative:char;width:481.9pt;height:1.45pt;" filled="false" strokecolor="#939598" strokeweight="1.42pt" coordsize="9637,29" coordorigin="0,0" path="m0,14l9637,14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6"/>
      <w:spacing w:before="61" w:line="178" w:lineRule="auto"/>
      <w:rPr>
        <w:rFonts w:ascii="SimHei" w:hAnsi="SimHei" w:eastAsia="SimHei" w:cs="SimHei"/>
        <w:sz w:val="21"/>
        <w:szCs w:val="21"/>
      </w:rPr>
    </w:pPr>
    <w:r>
      <w:rPr>
        <w:rFonts w:ascii="Microsoft YaHei" w:hAnsi="Microsoft YaHei" w:eastAsia="Microsoft YaHei" w:cs="Microsoft YaHei"/>
        <w:sz w:val="24"/>
        <w:szCs w:val="24"/>
        <w:color w:val="231F20"/>
        <w:spacing w:val="-9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9"/>
        <w:position w:val="-2"/>
      </w:rPr>
      <w:t>论       著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9"/>
      </w:rPr>
      <w:t>•              </w:t>
    </w:r>
    <w:r>
      <w:rPr>
        <w:shd w:val="clear" w:fill="DCDDDF"/>
        <w:rFonts w:ascii="Microsoft YaHei" w:hAnsi="Microsoft YaHei" w:eastAsia="Microsoft YaHei" w:cs="Microsoft YaHei"/>
        <w:sz w:val="24"/>
        <w:szCs w:val="24"/>
        <w:color w:val="231F20"/>
        <w:spacing w:val="-9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Electronic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3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Journal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3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of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1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Practical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8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Gynecological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2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Endocrinology</w:t>
    </w:r>
    <w:r>
      <w:rPr>
        <w:rFonts w:ascii="SimHei" w:hAnsi="SimHei" w:eastAsia="SimHei" w:cs="SimHei"/>
        <w:sz w:val="21"/>
        <w:szCs w:val="21"/>
        <w:color w:val="231F20"/>
        <w:spacing w:val="-9"/>
      </w:rPr>
      <w:t xml:space="preserve">   </w:t>
    </w:r>
    <w:r>
      <w:rPr>
        <w:rFonts w:ascii="SimHei" w:hAnsi="SimHei" w:eastAsia="SimHei" w:cs="SimHei"/>
        <w:sz w:val="21"/>
        <w:szCs w:val="21"/>
        <w:color w:val="231F20"/>
        <w:spacing w:val="-9"/>
      </w:rPr>
      <w:t>2023</w:t>
    </w:r>
    <w:r>
      <w:rPr>
        <w:rFonts w:ascii="SimHei" w:hAnsi="SimHei" w:eastAsia="SimHei" w:cs="SimHei"/>
        <w:sz w:val="21"/>
        <w:szCs w:val="21"/>
        <w:color w:val="231F20"/>
        <w:spacing w:val="-63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Vol.10</w:t>
    </w:r>
    <w:r>
      <w:rPr>
        <w:rFonts w:ascii="SimHei" w:hAnsi="SimHei" w:eastAsia="SimHei" w:cs="SimHei"/>
        <w:sz w:val="21"/>
        <w:szCs w:val="21"/>
        <w:color w:val="231F20"/>
        <w:spacing w:val="-4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No.20</w:t>
    </w:r>
  </w:p>
  <w:p>
    <w:pPr>
      <w:ind w:firstLine="725"/>
      <w:spacing w:before="3" w:line="46" w:lineRule="exact"/>
      <w:rPr/>
    </w:pPr>
    <w:r>
      <w:rPr>
        <w:position w:val="-1"/>
      </w:rPr>
      <w:pict>
        <v:group id="_x0000_s20" style="mso-position-vertical-relative:line;mso-position-horizontal-relative:char;width:481.9pt;height:2.85pt;" filled="false" stroked="false" coordsize="9637,56" coordorigin="0,0">
          <v:shape id="_x0000_s22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24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2024-01-01T23:55:44Z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2025-10-28T21:30:17</vt:filetime>
  </property>
</Properties>
</file>