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18" w:firstLine="28"/>
        <w:spacing w:before="56" w:line="426" w:lineRule="auto"/>
        <w:rPr>
          <w:sz w:val="17"/>
          <w:szCs w:val="17"/>
        </w:rPr>
      </w:pPr>
      <w:r>
        <w:rPr>
          <w:rFonts w:ascii="SimHei" w:hAnsi="SimHei" w:eastAsia="SimHei" w:cs="SimHei"/>
          <w:sz w:val="23"/>
          <w:szCs w:val="23"/>
          <w:color w:val="231F20"/>
          <w:spacing w:val="-3"/>
          <w:position w:val="-2"/>
        </w:rPr>
        <w:t>·</w:t>
      </w:r>
      <w:r>
        <w:rPr>
          <w:rFonts w:ascii="SimHei" w:hAnsi="SimHei" w:eastAsia="SimHei" w:cs="SimHei"/>
          <w:sz w:val="23"/>
          <w:szCs w:val="23"/>
          <w:color w:val="231F20"/>
          <w:spacing w:val="-68"/>
          <w:position w:val="-2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-3"/>
        </w:rPr>
        <w:t>论著</w:t>
      </w:r>
      <w:r>
        <w:rPr>
          <w:rFonts w:ascii="SimHei" w:hAnsi="SimHei" w:eastAsia="SimHei" w:cs="SimHei"/>
          <w:sz w:val="23"/>
          <w:szCs w:val="23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-3"/>
          <w:position w:val="-2"/>
        </w:rPr>
        <w:t>·</w:t>
      </w:r>
      <w:r>
        <w:rPr>
          <w:rFonts w:ascii="SimHei" w:hAnsi="SimHei" w:eastAsia="SimHei" w:cs="SimHei"/>
          <w:sz w:val="23"/>
          <w:szCs w:val="23"/>
          <w:color w:val="231F20"/>
          <w:spacing w:val="-82"/>
          <w:position w:val="-2"/>
        </w:rPr>
        <w:t xml:space="preserve"> </w:t>
      </w:r>
      <w:r>
        <w:rPr>
          <w:rFonts w:ascii="SimHei" w:hAnsi="SimHei" w:eastAsia="SimHei" w:cs="SimHei"/>
          <w:sz w:val="23"/>
          <w:szCs w:val="23"/>
          <w:strike/>
          <w:color w:val="231F20"/>
          <w:position w:val="-2"/>
        </w:rPr>
        <w:t xml:space="preserve">                                               </w:t>
      </w:r>
      <w:r>
        <w:rPr>
          <w:rFonts w:ascii="SimHei" w:hAnsi="SimHei" w:eastAsia="SimHei" w:cs="SimHei"/>
          <w:sz w:val="23"/>
          <w:szCs w:val="23"/>
          <w:color w:val="231F20"/>
          <w:spacing w:val="23"/>
          <w:position w:val="-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系统医学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 xml:space="preserve">  </w:t>
      </w:r>
      <w:r>
        <w:rPr>
          <w:sz w:val="17"/>
          <w:szCs w:val="17"/>
          <w:color w:val="231F20"/>
          <w:spacing w:val="-3"/>
        </w:rPr>
        <w:t>2023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3"/>
        </w:rPr>
        <w:t>1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月第 </w:t>
      </w:r>
      <w:r>
        <w:rPr>
          <w:sz w:val="17"/>
          <w:szCs w:val="17"/>
          <w:color w:val="231F20"/>
          <w:spacing w:val="-3"/>
        </w:rPr>
        <w:t>8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卷第</w:t>
      </w:r>
      <w:r>
        <w:rPr>
          <w:sz w:val="17"/>
          <w:szCs w:val="17"/>
          <w:color w:val="231F20"/>
          <w:spacing w:val="-3"/>
        </w:rPr>
        <w:t>1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期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DOI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：</w:t>
      </w:r>
      <w:r>
        <w:rPr>
          <w:sz w:val="17"/>
          <w:szCs w:val="17"/>
          <w:color w:val="231F20"/>
          <w:spacing w:val="3"/>
        </w:rPr>
        <w:t>10.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3"/>
        </w:rPr>
        <w:t>19368/j.</w:t>
      </w:r>
      <w:r>
        <w:rPr>
          <w:sz w:val="17"/>
          <w:szCs w:val="17"/>
          <w:color w:val="231F20"/>
        </w:rPr>
        <w:t>cnki</w:t>
      </w:r>
      <w:r>
        <w:rPr>
          <w:sz w:val="17"/>
          <w:szCs w:val="17"/>
          <w:color w:val="231F20"/>
          <w:spacing w:val="3"/>
        </w:rPr>
        <w:t>.2096-1</w:t>
      </w:r>
      <w:r>
        <w:rPr>
          <w:sz w:val="17"/>
          <w:szCs w:val="17"/>
          <w:color w:val="231F20"/>
          <w:spacing w:val="2"/>
        </w:rPr>
        <w:t>782.2023.01.042</w:t>
      </w:r>
    </w:p>
    <w:p>
      <w:pPr>
        <w:ind w:left="814" w:right="100" w:firstLine="25"/>
        <w:spacing w:before="246" w:line="182" w:lineRule="auto"/>
        <w:outlineLvl w:val="0"/>
        <w:rPr>
          <w:rFonts w:ascii="Microsoft YaHei" w:hAnsi="Microsoft YaHei" w:eastAsia="Microsoft YaHei" w:cs="Microsoft YaHei"/>
          <w:sz w:val="45"/>
          <w:szCs w:val="45"/>
        </w:rPr>
      </w:pP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20"/>
        </w:rPr>
        <w:t>以药敏试验结果选用抗生素对急性盆腔炎患者</w:t>
      </w: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-6"/>
        </w:rPr>
        <w:t>疗效</w:t>
      </w: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-6"/>
        </w:rPr>
        <w:t>、炎症因子及衣原体</w:t>
      </w: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-76"/>
        </w:rPr>
        <w:t xml:space="preserve"> </w:t>
      </w: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-6"/>
        </w:rPr>
        <w:t>、支原体清除率的影响</w:t>
      </w:r>
    </w:p>
    <w:p>
      <w:pPr>
        <w:ind w:left="4933"/>
        <w:spacing w:before="301" w:line="20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周庆燕，董玉俊</w:t>
      </w:r>
    </w:p>
    <w:p>
      <w:pPr>
        <w:pStyle w:val="BodyText"/>
        <w:ind w:left="3540"/>
        <w:spacing w:before="52" w:line="203" w:lineRule="auto"/>
        <w:rPr/>
      </w:pPr>
      <w:r>
        <w:rPr>
          <w:rFonts w:ascii="Microsoft YaHei" w:hAnsi="Microsoft YaHei" w:eastAsia="Microsoft YaHei" w:cs="Microsoft YaHei"/>
          <w:color w:val="231F20"/>
          <w:spacing w:val="7"/>
        </w:rPr>
        <w:t>聊城市东昌府人民医院妇科，山东聊城</w:t>
      </w:r>
      <w:r>
        <w:rPr>
          <w:rFonts w:ascii="Microsoft YaHei" w:hAnsi="Microsoft YaHei" w:eastAsia="Microsoft YaHei" w:cs="Microsoft YaHei"/>
          <w:color w:val="231F20"/>
          <w:spacing w:val="21"/>
        </w:rPr>
        <w:t xml:space="preserve">   </w:t>
      </w:r>
      <w:r>
        <w:rPr>
          <w:color w:val="231F20"/>
          <w:spacing w:val="7"/>
        </w:rPr>
        <w:t>252000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1059" w:right="433" w:firstLine="82"/>
        <w:spacing w:before="78" w:line="238" w:lineRule="auto"/>
        <w:jc w:val="right"/>
        <w:rPr/>
      </w:pPr>
      <w:r>
        <w:rPr>
          <w:color w:val="231F20"/>
          <w:spacing w:val="8"/>
        </w:rPr>
        <w:t>[</w:t>
      </w:r>
      <w:r>
        <w:rPr>
          <w:rFonts w:ascii="SimHei" w:hAnsi="SimHei" w:eastAsia="SimHei" w:cs="SimHei"/>
          <w:color w:val="231F20"/>
          <w:spacing w:val="8"/>
        </w:rPr>
        <w:t>摘要</w:t>
      </w:r>
      <w:r>
        <w:rPr>
          <w:color w:val="231F20"/>
          <w:spacing w:val="8"/>
        </w:rPr>
        <w:t>]</w:t>
      </w:r>
      <w:r>
        <w:rPr>
          <w:color w:val="231F20"/>
          <w:spacing w:val="44"/>
        </w:rPr>
        <w:t xml:space="preserve"> </w:t>
      </w:r>
      <w:r>
        <w:rPr>
          <w:rFonts w:ascii="SimHei" w:hAnsi="SimHei" w:eastAsia="SimHei" w:cs="SimHei"/>
          <w:color w:val="231F20"/>
          <w:spacing w:val="8"/>
        </w:rPr>
        <w:t>目的</w:t>
      </w:r>
      <w:r>
        <w:rPr>
          <w:rFonts w:ascii="SimHei" w:hAnsi="SimHei" w:eastAsia="SimHei" w:cs="Sim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探讨以药敏试验结果选用抗生素对急性盆腔炎患者疗效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、炎症因子及衣原体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、支</w:t>
      </w:r>
      <w:r>
        <w:rPr>
          <w:rFonts w:ascii="Microsoft YaHei" w:hAnsi="Microsoft YaHei" w:eastAsia="Microsoft YaHei" w:cs="Microsoft YaHei"/>
          <w:color w:val="231F20"/>
          <w:spacing w:val="7"/>
        </w:rPr>
        <w:t>原体清除率的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影响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。</w:t>
      </w:r>
      <w:r>
        <w:rPr>
          <w:rFonts w:ascii="SimHei" w:hAnsi="SimHei" w:eastAsia="SimHei" w:cs="SimHei"/>
          <w:color w:val="231F20"/>
          <w:spacing w:val="9"/>
        </w:rPr>
        <w:t>方法</w:t>
      </w:r>
      <w:r>
        <w:rPr>
          <w:rFonts w:ascii="SimHei" w:hAnsi="SimHei" w:eastAsia="SimHei" w:cs="Sim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将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9"/>
        </w:rPr>
        <w:t>2021</w:t>
      </w:r>
      <w:r>
        <w:rPr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年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color w:val="231F20"/>
          <w:spacing w:val="9"/>
        </w:rPr>
        <w:t>6 </w:t>
      </w:r>
      <w:r>
        <w:rPr>
          <w:rFonts w:ascii="Microsoft YaHei" w:hAnsi="Microsoft YaHei" w:eastAsia="Microsoft YaHei" w:cs="Microsoft YaHei"/>
          <w:color w:val="231F20"/>
          <w:spacing w:val="9"/>
        </w:rPr>
        <w:t>月—</w:t>
      </w:r>
      <w:r>
        <w:rPr>
          <w:color w:val="231F20"/>
          <w:spacing w:val="9"/>
        </w:rPr>
        <w:t>2022</w:t>
      </w:r>
      <w:r>
        <w:rPr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年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color w:val="231F20"/>
          <w:spacing w:val="9"/>
        </w:rPr>
        <w:t>6 </w:t>
      </w:r>
      <w:r>
        <w:rPr>
          <w:rFonts w:ascii="Microsoft YaHei" w:hAnsi="Microsoft YaHei" w:eastAsia="Microsoft YaHei" w:cs="Microsoft YaHei"/>
          <w:color w:val="231F20"/>
          <w:spacing w:val="9"/>
        </w:rPr>
        <w:t>月聊城市东昌府人民医院收治的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9"/>
        </w:rPr>
        <w:t>90</w:t>
      </w:r>
      <w:r>
        <w:rPr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例急性盆腔炎患者按治疗</w:t>
      </w:r>
      <w:r>
        <w:rPr>
          <w:rFonts w:ascii="Microsoft YaHei" w:hAnsi="Microsoft YaHei" w:eastAsia="Microsoft YaHei" w:cs="Microsoft YaHei"/>
          <w:color w:val="231F20"/>
          <w:spacing w:val="8"/>
        </w:rPr>
        <w:t>方式不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同分为观察组和对照组，每组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7"/>
        </w:rPr>
        <w:t>45</w:t>
      </w:r>
      <w:r>
        <w:rPr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例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。对照组采用头孢唑林</w:t>
      </w:r>
      <w:r>
        <w:rPr>
          <w:color w:val="231F20"/>
          <w:spacing w:val="7"/>
        </w:rPr>
        <w:t>+</w:t>
      </w:r>
      <w:r>
        <w:rPr>
          <w:rFonts w:ascii="Microsoft YaHei" w:hAnsi="Microsoft YaHei" w:eastAsia="Microsoft YaHei" w:cs="Microsoft YaHei"/>
          <w:color w:val="231F20"/>
          <w:spacing w:val="7"/>
        </w:rPr>
        <w:t>奥硝唑</w:t>
      </w:r>
      <w:r>
        <w:rPr>
          <w:color w:val="231F20"/>
          <w:spacing w:val="7"/>
        </w:rPr>
        <w:t>+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中药灌肠</w:t>
      </w:r>
      <w:r>
        <w:rPr>
          <w:color w:val="231F20"/>
          <w:spacing w:val="7"/>
        </w:rPr>
        <w:t>+</w:t>
      </w:r>
      <w:r>
        <w:rPr>
          <w:rFonts w:ascii="Microsoft YaHei" w:hAnsi="Microsoft YaHei" w:eastAsia="Microsoft YaHei" w:cs="Microsoft YaHei"/>
          <w:color w:val="231F20"/>
          <w:spacing w:val="7"/>
        </w:rPr>
        <w:t>微波</w:t>
      </w:r>
      <w:r>
        <w:rPr>
          <w:rFonts w:ascii="Microsoft YaHei" w:hAnsi="Microsoft YaHei" w:eastAsia="Microsoft YaHei" w:cs="Microsoft YaHei"/>
          <w:color w:val="231F20"/>
          <w:spacing w:val="6"/>
        </w:rPr>
        <w:t>理疗治疗，观察组在中药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灌肠</w:t>
      </w:r>
      <w:r>
        <w:rPr>
          <w:color w:val="231F20"/>
          <w:spacing w:val="13"/>
        </w:rPr>
        <w:t>+</w:t>
      </w:r>
      <w:r>
        <w:rPr>
          <w:rFonts w:ascii="Microsoft YaHei" w:hAnsi="Microsoft YaHei" w:eastAsia="Microsoft YaHei" w:cs="Microsoft YaHei"/>
          <w:color w:val="231F20"/>
          <w:spacing w:val="13"/>
        </w:rPr>
        <w:t>微波理疗的基础上联合药敏结果选用抗生素治疗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。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比较两组宫颈外</w:t>
      </w:r>
      <w:r>
        <w:rPr>
          <w:rFonts w:ascii="Microsoft YaHei" w:hAnsi="Microsoft YaHei" w:eastAsia="Microsoft YaHei" w:cs="Microsoft YaHei"/>
          <w:color w:val="231F20"/>
          <w:spacing w:val="12"/>
        </w:rPr>
        <w:t>口分泌物菌群分布情况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、衣原体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与支原体清除率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、</w:t>
      </w:r>
      <w:r>
        <w:rPr>
          <w:color w:val="231F20"/>
          <w:spacing w:val="10"/>
        </w:rPr>
        <w:t>C-</w:t>
      </w:r>
      <w:r>
        <w:rPr>
          <w:rFonts w:ascii="Microsoft YaHei" w:hAnsi="Microsoft YaHei" w:eastAsia="Microsoft YaHei" w:cs="Microsoft YaHei"/>
          <w:color w:val="231F20"/>
          <w:spacing w:val="10"/>
        </w:rPr>
        <w:t>反应蛋白与降钙素原水平以</w:t>
      </w:r>
      <w:r>
        <w:rPr>
          <w:rFonts w:ascii="Microsoft YaHei" w:hAnsi="Microsoft YaHei" w:eastAsia="Microsoft YaHei" w:cs="Microsoft YaHei"/>
          <w:color w:val="231F20"/>
          <w:spacing w:val="9"/>
        </w:rPr>
        <w:t>及治疗有效率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。</w:t>
      </w:r>
      <w:r>
        <w:rPr>
          <w:rFonts w:ascii="SimHei" w:hAnsi="SimHei" w:eastAsia="SimHei" w:cs="SimHei"/>
          <w:color w:val="231F20"/>
          <w:spacing w:val="9"/>
        </w:rPr>
        <w:t>结果</w:t>
      </w:r>
      <w:r>
        <w:rPr>
          <w:rFonts w:ascii="SimHei" w:hAnsi="SimHei" w:eastAsia="SimHei" w:cs="Sim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本研究中，患者主要为支原体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、衣原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体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、加德纳菌</w:t>
      </w:r>
      <w:r>
        <w:rPr>
          <w:color w:val="231F20"/>
          <w:spacing w:val="10"/>
        </w:rPr>
        <w:t>/</w:t>
      </w:r>
      <w:r>
        <w:rPr>
          <w:rFonts w:ascii="Microsoft YaHei" w:hAnsi="Microsoft YaHei" w:eastAsia="Microsoft YaHei" w:cs="Microsoft YaHei"/>
          <w:color w:val="231F20"/>
          <w:spacing w:val="10"/>
        </w:rPr>
        <w:t>拟杆菌感染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。治疗后，观察组宫颈外口分泌物菌群分布情况优于对照组，差异有统计学意义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（</w:t>
      </w:r>
      <w:r>
        <w:rPr>
          <w:rFonts w:ascii="Arial" w:hAnsi="Arial" w:eastAsia="Arial" w:cs="Arial"/>
          <w:i/>
          <w:iCs/>
          <w:color w:val="231F20"/>
          <w:spacing w:val="6"/>
        </w:rPr>
        <w:t>P</w:t>
      </w:r>
      <w:r>
        <w:rPr>
          <w:color w:val="231F20"/>
          <w:spacing w:val="6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-26"/>
          <w:w w:val="61"/>
        </w:rPr>
        <w:t>）；</w:t>
      </w:r>
      <w:r>
        <w:rPr>
          <w:rFonts w:ascii="Microsoft YaHei" w:hAnsi="Microsoft YaHei" w:eastAsia="Microsoft YaHei" w:cs="Microsoft YaHei"/>
          <w:color w:val="231F20"/>
          <w:spacing w:val="6"/>
        </w:rPr>
        <w:t>观察组支原体清除率 </w:t>
      </w:r>
      <w:r>
        <w:rPr>
          <w:color w:val="231F20"/>
          <w:spacing w:val="6"/>
        </w:rPr>
        <w:t>88.00% </w:t>
      </w:r>
      <w:r>
        <w:rPr>
          <w:rFonts w:ascii="Microsoft YaHei" w:hAnsi="Microsoft YaHei" w:eastAsia="Microsoft YaHei" w:cs="Microsoft YaHei"/>
          <w:color w:val="231F20"/>
          <w:spacing w:val="6"/>
        </w:rPr>
        <w:t>高于对照组的</w:t>
      </w:r>
      <w:r>
        <w:rPr>
          <w:rFonts w:ascii="Microsoft YaHei" w:hAnsi="Microsoft YaHei" w:eastAsia="Microsoft YaHei" w:cs="Microsoft YaHei"/>
          <w:color w:val="231F20"/>
          <w:spacing w:val="-5"/>
        </w:rPr>
        <w:t xml:space="preserve"> </w:t>
      </w:r>
      <w:r>
        <w:rPr>
          <w:color w:val="231F20"/>
          <w:spacing w:val="6"/>
        </w:rPr>
        <w:t>50.00%</w:t>
      </w:r>
      <w:r>
        <w:rPr>
          <w:rFonts w:ascii="Microsoft YaHei" w:hAnsi="Microsoft YaHei" w:eastAsia="Microsoft YaHei" w:cs="Microsoft YaHei"/>
          <w:color w:val="231F20"/>
          <w:spacing w:val="6"/>
        </w:rPr>
        <w:t>，差异有统计学意义(</w:t>
      </w:r>
      <w:r>
        <w:rPr>
          <w:color w:val="231F20"/>
          <w:spacing w:val="6"/>
        </w:rPr>
        <w:t>χ</w:t>
      </w:r>
      <w:r>
        <w:rPr>
          <w:sz w:val="10"/>
          <w:szCs w:val="10"/>
          <w:color w:val="231F20"/>
          <w:spacing w:val="6"/>
          <w:position w:val="7"/>
        </w:rPr>
        <w:t>2</w:t>
      </w:r>
      <w:r>
        <w:rPr>
          <w:color w:val="231F20"/>
          <w:spacing w:val="6"/>
        </w:rPr>
        <w:t>=8.324</w:t>
      </w:r>
      <w:r>
        <w:rPr>
          <w:rFonts w:ascii="Microsoft YaHei" w:hAnsi="Microsoft YaHei" w:eastAsia="Microsoft YaHei" w:cs="Microsoft YaHei"/>
          <w:color w:val="231F20"/>
          <w:spacing w:val="6"/>
        </w:rPr>
        <w:t>，</w:t>
      </w:r>
      <w:r>
        <w:rPr>
          <w:rFonts w:ascii="Arial" w:hAnsi="Arial" w:eastAsia="Arial" w:cs="Arial"/>
          <w:i/>
          <w:iCs/>
          <w:color w:val="231F20"/>
          <w:spacing w:val="5"/>
        </w:rPr>
        <w:t>P</w:t>
      </w:r>
      <w:r>
        <w:rPr>
          <w:color w:val="231F20"/>
          <w:spacing w:val="5"/>
        </w:rPr>
        <w:t>=0.004</w:t>
      </w:r>
      <w:r>
        <w:rPr>
          <w:rFonts w:ascii="Microsoft YaHei" w:hAnsi="Microsoft YaHei" w:eastAsia="Microsoft YaHei" w:cs="Microsoft YaHei"/>
          <w:color w:val="231F20"/>
          <w:spacing w:val="-26"/>
          <w:w w:val="61"/>
        </w:rPr>
        <w:t>），</w:t>
      </w:r>
      <w:r>
        <w:rPr>
          <w:rFonts w:ascii="Microsoft YaHei" w:hAnsi="Microsoft YaHei" w:eastAsia="Microsoft YaHei" w:cs="Microsoft YaHei"/>
          <w:color w:val="231F20"/>
          <w:spacing w:val="5"/>
        </w:rPr>
        <w:t>观察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组衣原体清除率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3"/>
        </w:rPr>
        <w:t>78.95% </w:t>
      </w:r>
      <w:r>
        <w:rPr>
          <w:rFonts w:ascii="Microsoft YaHei" w:hAnsi="Microsoft YaHei" w:eastAsia="Microsoft YaHei" w:cs="Microsoft YaHei"/>
          <w:color w:val="231F20"/>
          <w:spacing w:val="3"/>
        </w:rPr>
        <w:t>高于对照组的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  <w:spacing w:val="3"/>
        </w:rPr>
        <w:t>36.36%</w:t>
      </w:r>
      <w:r>
        <w:rPr>
          <w:rFonts w:ascii="Microsoft YaHei" w:hAnsi="Microsoft YaHei" w:eastAsia="Microsoft YaHei" w:cs="Microsoft YaHei"/>
          <w:color w:val="231F20"/>
          <w:spacing w:val="3"/>
        </w:rPr>
        <w:t>，差异有统计学意义(</w:t>
      </w:r>
      <w:r>
        <w:rPr>
          <w:color w:val="231F20"/>
          <w:spacing w:val="3"/>
        </w:rPr>
        <w:t>χ</w:t>
      </w:r>
      <w:r>
        <w:rPr>
          <w:sz w:val="10"/>
          <w:szCs w:val="10"/>
          <w:color w:val="231F20"/>
          <w:spacing w:val="3"/>
          <w:position w:val="7"/>
        </w:rPr>
        <w:t>2</w:t>
      </w:r>
      <w:r>
        <w:rPr>
          <w:color w:val="231F20"/>
          <w:spacing w:val="3"/>
        </w:rPr>
        <w:t>=7.507</w:t>
      </w:r>
      <w:r>
        <w:rPr>
          <w:rFonts w:ascii="Microsoft YaHei" w:hAnsi="Microsoft YaHei" w:eastAsia="Microsoft YaHei" w:cs="Microsoft YaHei"/>
          <w:color w:val="231F20"/>
          <w:spacing w:val="3"/>
        </w:rPr>
        <w:t>，</w:t>
      </w:r>
      <w:r>
        <w:rPr>
          <w:rFonts w:ascii="Arial" w:hAnsi="Arial" w:eastAsia="Arial" w:cs="Arial"/>
          <w:i/>
          <w:iCs/>
          <w:color w:val="231F20"/>
          <w:spacing w:val="3"/>
        </w:rPr>
        <w:t>P</w:t>
      </w:r>
      <w:r>
        <w:rPr>
          <w:color w:val="231F20"/>
          <w:spacing w:val="3"/>
        </w:rPr>
        <w:t>=0.006</w:t>
      </w:r>
      <w:r>
        <w:rPr>
          <w:rFonts w:ascii="Microsoft YaHei" w:hAnsi="Microsoft YaHei" w:eastAsia="Microsoft YaHei" w:cs="Microsoft YaHei"/>
          <w:color w:val="231F20"/>
          <w:spacing w:val="3"/>
        </w:rPr>
        <w:t>）</w:t>
      </w:r>
      <w:r>
        <w:rPr>
          <w:rFonts w:ascii="Microsoft YaHei" w:hAnsi="Microsoft YaHei" w:eastAsia="Microsoft YaHei" w:cs="Microsoft YaHei"/>
          <w:color w:val="231F20"/>
          <w:spacing w:val="2"/>
        </w:rPr>
        <w:t>。 治疗后，观察组 </w:t>
      </w:r>
      <w:r>
        <w:rPr>
          <w:color w:val="231F20"/>
          <w:spacing w:val="2"/>
        </w:rPr>
        <w:t>C-</w:t>
      </w:r>
    </w:p>
    <w:p>
      <w:pPr>
        <w:pStyle w:val="BodyText"/>
        <w:ind w:left="1135" w:right="435"/>
        <w:spacing w:before="1" w:line="23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3"/>
        </w:rPr>
        <w:t>反应蛋白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、降钙素原水平均低于对照组，差异有统计学意义（</w:t>
      </w:r>
      <w:r>
        <w:rPr>
          <w:rFonts w:ascii="Arial" w:hAnsi="Arial" w:eastAsia="Arial" w:cs="Arial"/>
          <w:i/>
          <w:iCs/>
          <w:color w:val="231F20"/>
          <w:spacing w:val="3"/>
        </w:rPr>
        <w:t>P</w:t>
      </w:r>
      <w:r>
        <w:rPr>
          <w:color w:val="231F20"/>
          <w:spacing w:val="3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3"/>
        </w:rPr>
        <w:t>）。 观察组总有效率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3"/>
        </w:rPr>
        <w:t>93.33</w:t>
      </w:r>
      <w:r>
        <w:rPr>
          <w:color w:val="231F20"/>
          <w:spacing w:val="2"/>
        </w:rPr>
        <w:t>% </w:t>
      </w:r>
      <w:r>
        <w:rPr>
          <w:rFonts w:ascii="Microsoft YaHei" w:hAnsi="Microsoft YaHei" w:eastAsia="Microsoft YaHei" w:cs="Microsoft YaHei"/>
          <w:color w:val="231F20"/>
          <w:spacing w:val="2"/>
        </w:rPr>
        <w:t>高于对照组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的</w:t>
      </w:r>
      <w:r>
        <w:rPr>
          <w:rFonts w:ascii="Microsoft YaHei" w:hAnsi="Microsoft YaHei" w:eastAsia="Microsoft YaHei" w:cs="Microsoft YaHei"/>
          <w:color w:val="231F20"/>
          <w:spacing w:val="-4"/>
        </w:rPr>
        <w:t xml:space="preserve"> </w:t>
      </w:r>
      <w:r>
        <w:rPr>
          <w:color w:val="231F20"/>
          <w:spacing w:val="4"/>
        </w:rPr>
        <w:t>75.56%</w:t>
      </w:r>
      <w:r>
        <w:rPr>
          <w:rFonts w:ascii="Microsoft YaHei" w:hAnsi="Microsoft YaHei" w:eastAsia="Microsoft YaHei" w:cs="Microsoft YaHei"/>
          <w:color w:val="231F20"/>
          <w:spacing w:val="4"/>
        </w:rPr>
        <w:t>，差异有统计学意义(</w:t>
      </w:r>
      <w:r>
        <w:rPr>
          <w:color w:val="231F20"/>
          <w:spacing w:val="4"/>
        </w:rPr>
        <w:t>χ</w:t>
      </w:r>
      <w:r>
        <w:rPr>
          <w:sz w:val="10"/>
          <w:szCs w:val="10"/>
          <w:color w:val="231F20"/>
          <w:spacing w:val="4"/>
          <w:position w:val="7"/>
        </w:rPr>
        <w:t>2</w:t>
      </w:r>
      <w:r>
        <w:rPr>
          <w:color w:val="231F20"/>
          <w:spacing w:val="4"/>
        </w:rPr>
        <w:t>=5.414</w:t>
      </w:r>
      <w:r>
        <w:rPr>
          <w:rFonts w:ascii="Microsoft YaHei" w:hAnsi="Microsoft YaHei" w:eastAsia="Microsoft YaHei" w:cs="Microsoft YaHei"/>
          <w:color w:val="231F20"/>
          <w:spacing w:val="4"/>
        </w:rPr>
        <w:t>，</w:t>
      </w:r>
      <w:r>
        <w:rPr>
          <w:rFonts w:ascii="Arial" w:hAnsi="Arial" w:eastAsia="Arial" w:cs="Arial"/>
          <w:i/>
          <w:iCs/>
          <w:color w:val="231F20"/>
          <w:spacing w:val="4"/>
        </w:rPr>
        <w:t>P</w:t>
      </w:r>
      <w:r>
        <w:rPr>
          <w:color w:val="231F20"/>
          <w:spacing w:val="4"/>
        </w:rPr>
        <w:t>=0.020</w:t>
      </w:r>
      <w:r>
        <w:rPr>
          <w:rFonts w:ascii="Microsoft YaHei" w:hAnsi="Microsoft YaHei" w:eastAsia="Microsoft YaHei" w:cs="Microsoft YaHei"/>
          <w:color w:val="231F20"/>
          <w:spacing w:val="4"/>
        </w:rPr>
        <w:t>）。 </w:t>
      </w:r>
      <w:r>
        <w:rPr>
          <w:rFonts w:ascii="SimHei" w:hAnsi="SimHei" w:eastAsia="SimHei" w:cs="SimHei"/>
          <w:color w:val="231F20"/>
          <w:spacing w:val="4"/>
        </w:rPr>
        <w:t>结论</w:t>
      </w:r>
      <w:r>
        <w:rPr>
          <w:rFonts w:ascii="SimHei" w:hAnsi="SimHei" w:eastAsia="SimHei" w:cs="Sim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以药敏试验结果选用抗生素可提高治疗有效率与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支原体、衣原体清除率，改善菌群分布，降低炎症因子水平，应</w:t>
      </w:r>
      <w:r>
        <w:rPr>
          <w:rFonts w:ascii="Microsoft YaHei" w:hAnsi="Microsoft YaHei" w:eastAsia="Microsoft YaHei" w:cs="Microsoft YaHei"/>
          <w:color w:val="231F20"/>
          <w:spacing w:val="-1"/>
        </w:rPr>
        <w:t>用价值较高。</w:t>
      </w:r>
    </w:p>
    <w:p>
      <w:pPr>
        <w:pStyle w:val="BodyText"/>
        <w:ind w:left="1142"/>
        <w:spacing w:before="5" w:line="196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6"/>
        </w:rPr>
        <w:t>[</w:t>
      </w:r>
      <w:r>
        <w:rPr>
          <w:rFonts w:ascii="SimHei" w:hAnsi="SimHei" w:eastAsia="SimHei" w:cs="SimHei"/>
          <w:color w:val="231F20"/>
          <w:spacing w:val="-6"/>
        </w:rPr>
        <w:t>关键词</w:t>
      </w:r>
      <w:r>
        <w:rPr>
          <w:color w:val="231F20"/>
          <w:spacing w:val="-6"/>
        </w:rPr>
        <w:t>]</w:t>
      </w:r>
      <w:r>
        <w:rPr>
          <w:color w:val="231F20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药敏试验；抗生素；急性盆腔炎；炎症因子；衣原体；支原体；</w:t>
      </w:r>
      <w:r>
        <w:rPr>
          <w:rFonts w:ascii="Microsoft YaHei" w:hAnsi="Microsoft YaHei" w:eastAsia="Microsoft YaHei" w:cs="Microsoft YaHei"/>
          <w:color w:val="231F20"/>
          <w:spacing w:val="-7"/>
        </w:rPr>
        <w:t>清除率</w:t>
      </w:r>
    </w:p>
    <w:p>
      <w:pPr>
        <w:pStyle w:val="BodyText"/>
        <w:ind w:left="1142"/>
        <w:spacing w:before="54" w:line="224" w:lineRule="auto"/>
        <w:rPr/>
      </w:pPr>
      <w:r>
        <w:rPr>
          <w:color w:val="231F20"/>
          <w:spacing w:val="7"/>
        </w:rPr>
        <w:t>[</w:t>
      </w:r>
      <w:r>
        <w:rPr>
          <w:rFonts w:ascii="SimHei" w:hAnsi="SimHei" w:eastAsia="SimHei" w:cs="SimHei"/>
          <w:color w:val="231F20"/>
          <w:spacing w:val="7"/>
        </w:rPr>
        <w:t>中图分类号</w:t>
      </w:r>
      <w:r>
        <w:rPr>
          <w:color w:val="231F20"/>
          <w:spacing w:val="7"/>
        </w:rPr>
        <w:t>]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7"/>
        </w:rPr>
        <w:t>R59           [</w:t>
      </w:r>
      <w:r>
        <w:rPr>
          <w:rFonts w:ascii="SimHei" w:hAnsi="SimHei" w:eastAsia="SimHei" w:cs="SimHei"/>
          <w:color w:val="231F20"/>
          <w:spacing w:val="7"/>
        </w:rPr>
        <w:t>文献标识码</w:t>
      </w:r>
      <w:r>
        <w:rPr>
          <w:color w:val="231F20"/>
          <w:spacing w:val="7"/>
        </w:rPr>
        <w:t>] A   </w:t>
      </w:r>
      <w:r>
        <w:rPr>
          <w:color w:val="231F20"/>
          <w:spacing w:val="6"/>
        </w:rPr>
        <w:t xml:space="preserve">        [</w:t>
      </w:r>
      <w:r>
        <w:rPr>
          <w:rFonts w:ascii="SimHei" w:hAnsi="SimHei" w:eastAsia="SimHei" w:cs="SimHei"/>
          <w:color w:val="231F20"/>
          <w:spacing w:val="6"/>
        </w:rPr>
        <w:t>文章编号</w:t>
      </w:r>
      <w:r>
        <w:rPr>
          <w:color w:val="231F20"/>
          <w:spacing w:val="6"/>
        </w:rPr>
        <w:t>] 2096-1782</w:t>
      </w:r>
      <w:r>
        <w:rPr>
          <w:rFonts w:ascii="SimHei" w:hAnsi="SimHei" w:eastAsia="SimHei" w:cs="SimHei"/>
          <w:color w:val="231F20"/>
          <w:spacing w:val="6"/>
        </w:rPr>
        <w:t>（</w:t>
      </w:r>
      <w:r>
        <w:rPr>
          <w:color w:val="231F20"/>
          <w:spacing w:val="6"/>
        </w:rPr>
        <w:t>2023</w:t>
      </w:r>
      <w:r>
        <w:rPr>
          <w:rFonts w:ascii="SimHei" w:hAnsi="SimHei" w:eastAsia="SimHei" w:cs="SimHei"/>
          <w:color w:val="231F20"/>
          <w:spacing w:val="6"/>
        </w:rPr>
        <w:t>）</w:t>
      </w:r>
      <w:r>
        <w:rPr>
          <w:color w:val="231F20"/>
          <w:spacing w:val="6"/>
        </w:rPr>
        <w:t>01(a)-0042-04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1135" w:right="433" w:firstLine="3"/>
        <w:spacing w:before="75" w:line="302" w:lineRule="auto"/>
        <w:jc w:val="both"/>
        <w:rPr>
          <w:sz w:val="26"/>
          <w:szCs w:val="26"/>
        </w:rPr>
      </w:pPr>
      <w:r>
        <w:rPr>
          <w:sz w:val="26"/>
          <w:szCs w:val="26"/>
          <w:color w:val="231F20"/>
          <w:spacing w:val="9"/>
        </w:rPr>
        <w:t>The</w:t>
      </w:r>
      <w:r>
        <w:rPr>
          <w:sz w:val="26"/>
          <w:szCs w:val="26"/>
          <w:color w:val="231F20"/>
          <w:spacing w:val="35"/>
          <w:w w:val="101"/>
        </w:rPr>
        <w:t xml:space="preserve"> </w:t>
      </w:r>
      <w:r>
        <w:rPr>
          <w:sz w:val="26"/>
          <w:szCs w:val="26"/>
          <w:color w:val="231F20"/>
          <w:spacing w:val="9"/>
        </w:rPr>
        <w:t>Results</w:t>
      </w:r>
      <w:r>
        <w:rPr>
          <w:sz w:val="26"/>
          <w:szCs w:val="26"/>
          <w:color w:val="231F20"/>
          <w:spacing w:val="35"/>
        </w:rPr>
        <w:t xml:space="preserve"> </w:t>
      </w:r>
      <w:r>
        <w:rPr>
          <w:sz w:val="26"/>
          <w:szCs w:val="26"/>
          <w:color w:val="231F20"/>
          <w:spacing w:val="9"/>
        </w:rPr>
        <w:t>of Drug</w:t>
      </w:r>
      <w:r>
        <w:rPr>
          <w:sz w:val="26"/>
          <w:szCs w:val="26"/>
          <w:color w:val="231F20"/>
          <w:spacing w:val="38"/>
        </w:rPr>
        <w:t xml:space="preserve"> </w:t>
      </w:r>
      <w:r>
        <w:rPr>
          <w:sz w:val="26"/>
          <w:szCs w:val="26"/>
          <w:color w:val="231F20"/>
          <w:spacing w:val="9"/>
        </w:rPr>
        <w:t>Sensitivity</w:t>
      </w:r>
      <w:r>
        <w:rPr>
          <w:sz w:val="26"/>
          <w:szCs w:val="26"/>
          <w:color w:val="231F20"/>
          <w:spacing w:val="37"/>
        </w:rPr>
        <w:t xml:space="preserve"> </w:t>
      </w:r>
      <w:r>
        <w:rPr>
          <w:sz w:val="26"/>
          <w:szCs w:val="26"/>
          <w:color w:val="231F20"/>
          <w:spacing w:val="8"/>
        </w:rPr>
        <w:t>Test</w:t>
      </w:r>
      <w:r>
        <w:rPr>
          <w:sz w:val="26"/>
          <w:szCs w:val="26"/>
          <w:color w:val="231F20"/>
          <w:spacing w:val="32"/>
          <w:w w:val="101"/>
        </w:rPr>
        <w:t xml:space="preserve"> </w:t>
      </w:r>
      <w:r>
        <w:rPr>
          <w:sz w:val="26"/>
          <w:szCs w:val="26"/>
          <w:color w:val="231F20"/>
          <w:spacing w:val="8"/>
        </w:rPr>
        <w:t>Used</w:t>
      </w:r>
      <w:r>
        <w:rPr>
          <w:sz w:val="26"/>
          <w:szCs w:val="26"/>
          <w:color w:val="231F20"/>
          <w:spacing w:val="34"/>
          <w:w w:val="101"/>
        </w:rPr>
        <w:t xml:space="preserve"> </w:t>
      </w:r>
      <w:r>
        <w:rPr>
          <w:sz w:val="26"/>
          <w:szCs w:val="26"/>
          <w:color w:val="231F20"/>
          <w:spacing w:val="8"/>
        </w:rPr>
        <w:t>to</w:t>
      </w:r>
      <w:r>
        <w:rPr>
          <w:sz w:val="26"/>
          <w:szCs w:val="26"/>
          <w:color w:val="231F20"/>
          <w:spacing w:val="38"/>
        </w:rPr>
        <w:t xml:space="preserve"> </w:t>
      </w:r>
      <w:r>
        <w:rPr>
          <w:sz w:val="26"/>
          <w:szCs w:val="26"/>
          <w:color w:val="231F20"/>
          <w:spacing w:val="8"/>
        </w:rPr>
        <w:t>Select</w:t>
      </w:r>
      <w:r>
        <w:rPr>
          <w:sz w:val="26"/>
          <w:szCs w:val="26"/>
          <w:color w:val="231F20"/>
          <w:spacing w:val="30"/>
          <w:w w:val="101"/>
        </w:rPr>
        <w:t xml:space="preserve"> </w:t>
      </w:r>
      <w:r>
        <w:rPr>
          <w:sz w:val="26"/>
          <w:szCs w:val="26"/>
          <w:color w:val="231F20"/>
          <w:spacing w:val="8"/>
        </w:rPr>
        <w:t>Antibiotics</w:t>
      </w:r>
      <w:r>
        <w:rPr>
          <w:sz w:val="26"/>
          <w:szCs w:val="26"/>
          <w:color w:val="231F20"/>
          <w:spacing w:val="35"/>
        </w:rPr>
        <w:t xml:space="preserve"> </w:t>
      </w:r>
      <w:r>
        <w:rPr>
          <w:sz w:val="26"/>
          <w:szCs w:val="26"/>
          <w:color w:val="231F20"/>
          <w:spacing w:val="8"/>
        </w:rPr>
        <w:t>on</w:t>
      </w:r>
      <w:r>
        <w:rPr>
          <w:sz w:val="26"/>
          <w:szCs w:val="26"/>
          <w:color w:val="231F20"/>
          <w:spacing w:val="34"/>
          <w:w w:val="101"/>
        </w:rPr>
        <w:t xml:space="preserve"> </w:t>
      </w:r>
      <w:r>
        <w:rPr>
          <w:sz w:val="26"/>
          <w:szCs w:val="26"/>
          <w:color w:val="231F20"/>
          <w:spacing w:val="8"/>
        </w:rPr>
        <w:t>the</w:t>
      </w:r>
      <w:r>
        <w:rPr>
          <w:sz w:val="26"/>
          <w:szCs w:val="26"/>
          <w:color w:val="231F20"/>
          <w:spacing w:val="33"/>
        </w:rPr>
        <w:t xml:space="preserve"> </w:t>
      </w:r>
      <w:r>
        <w:rPr>
          <w:sz w:val="26"/>
          <w:szCs w:val="26"/>
          <w:color w:val="231F20"/>
          <w:spacing w:val="8"/>
        </w:rPr>
        <w:t>Effi-</w:t>
      </w:r>
      <w:r>
        <w:rPr>
          <w:sz w:val="26"/>
          <w:szCs w:val="26"/>
          <w:color w:val="231F20"/>
        </w:rPr>
        <w:t xml:space="preserve"> </w:t>
      </w:r>
      <w:r>
        <w:rPr>
          <w:sz w:val="26"/>
          <w:szCs w:val="26"/>
          <w:color w:val="231F20"/>
          <w:spacing w:val="11"/>
        </w:rPr>
        <w:t>cacy  of</w:t>
      </w:r>
      <w:r>
        <w:rPr>
          <w:sz w:val="26"/>
          <w:szCs w:val="26"/>
          <w:color w:val="231F20"/>
          <w:spacing w:val="64"/>
          <w:w w:val="101"/>
        </w:rPr>
        <w:t xml:space="preserve"> </w:t>
      </w:r>
      <w:r>
        <w:rPr>
          <w:sz w:val="26"/>
          <w:szCs w:val="26"/>
          <w:color w:val="231F20"/>
          <w:spacing w:val="11"/>
        </w:rPr>
        <w:t>Patients  wi</w:t>
      </w:r>
      <w:r>
        <w:rPr>
          <w:sz w:val="26"/>
          <w:szCs w:val="26"/>
          <w:color w:val="231F20"/>
          <w:spacing w:val="10"/>
        </w:rPr>
        <w:t>th  Acute  Pelvic  Inflammatory  Disease,  Inflammatory</w:t>
      </w:r>
      <w:r>
        <w:rPr>
          <w:sz w:val="26"/>
          <w:szCs w:val="26"/>
          <w:color w:val="231F20"/>
        </w:rPr>
        <w:t xml:space="preserve"> </w:t>
      </w:r>
      <w:r>
        <w:rPr>
          <w:sz w:val="26"/>
          <w:szCs w:val="26"/>
          <w:color w:val="231F20"/>
          <w:spacing w:val="14"/>
        </w:rPr>
        <w:t>Factors and</w:t>
      </w:r>
      <w:r>
        <w:rPr>
          <w:sz w:val="26"/>
          <w:szCs w:val="26"/>
          <w:color w:val="231F20"/>
          <w:spacing w:val="27"/>
        </w:rPr>
        <w:t xml:space="preserve"> </w:t>
      </w:r>
      <w:r>
        <w:rPr>
          <w:sz w:val="26"/>
          <w:szCs w:val="26"/>
          <w:color w:val="231F20"/>
          <w:spacing w:val="14"/>
        </w:rPr>
        <w:t>Chlamydia and Myc</w:t>
      </w:r>
      <w:r>
        <w:rPr>
          <w:sz w:val="26"/>
          <w:szCs w:val="26"/>
          <w:color w:val="231F20"/>
          <w:spacing w:val="13"/>
        </w:rPr>
        <w:t>oplasma</w:t>
      </w:r>
      <w:r>
        <w:rPr>
          <w:sz w:val="26"/>
          <w:szCs w:val="26"/>
          <w:color w:val="231F20"/>
          <w:spacing w:val="26"/>
        </w:rPr>
        <w:t xml:space="preserve"> </w:t>
      </w:r>
      <w:r>
        <w:rPr>
          <w:sz w:val="26"/>
          <w:szCs w:val="26"/>
          <w:color w:val="231F20"/>
          <w:spacing w:val="13"/>
        </w:rPr>
        <w:t>Clearance</w:t>
      </w:r>
    </w:p>
    <w:p>
      <w:pPr>
        <w:ind w:left="1131"/>
        <w:spacing w:before="28" w:line="195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i/>
          <w:iCs/>
          <w:color w:val="231F20"/>
          <w:spacing w:val="-8"/>
        </w:rPr>
        <w:t>ZHOU Qingyan, DONG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8"/>
        </w:rPr>
        <w:t>Yujun</w:t>
      </w:r>
    </w:p>
    <w:p>
      <w:pPr>
        <w:pStyle w:val="BodyText"/>
        <w:ind w:left="1134" w:right="423" w:firstLine="4"/>
        <w:spacing w:before="108" w:line="351" w:lineRule="auto"/>
        <w:rPr/>
      </w:pPr>
      <w:r>
        <w:pict>
          <v:shape id="_x0000_s2" style="position:absolute;margin-left:35.6476pt;margin-top:244.53pt;mso-position-vertical-relative:text;mso-position-horizontal-relative:text;width:173.3pt;height:0.4pt;z-index:251658240;" filled="false" strokecolor="#231F20" strokeweight="0.37pt" coordsize="3466,8" coordorigin="0,0" path="m0,3l3465,3e">
            <v:stroke joinstyle="miter" miterlimit="4"/>
          </v:shape>
        </w:pict>
      </w:r>
      <w:r>
        <w:rPr>
          <w:color w:val="231F20"/>
          <w:spacing w:val="-1"/>
        </w:rPr>
        <w:t>Department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of Gynecology,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Liaocheng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Dongchangfu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People/s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Hospital,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Liaocheng,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Shandong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Province,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252000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C</w:t>
      </w:r>
      <w:r>
        <w:rPr>
          <w:color w:val="231F20"/>
          <w:spacing w:val="-2"/>
        </w:rPr>
        <w:t>hina</w:t>
      </w:r>
      <w:r>
        <w:rPr>
          <w:color w:val="231F20"/>
        </w:rPr>
        <w:t xml:space="preserve">    </w:t>
      </w:r>
      <w:r>
        <w:rPr>
          <w:color w:val="231F20"/>
          <w:spacing w:val="13"/>
        </w:rPr>
        <w:t>[</w:t>
      </w:r>
      <w:r>
        <w:rPr>
          <w:color w:val="231F20"/>
        </w:rPr>
        <w:t>Abstract</w:t>
      </w:r>
      <w:r>
        <w:rPr>
          <w:color w:val="231F20"/>
          <w:spacing w:val="13"/>
        </w:rPr>
        <w:t>]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Objective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investigate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antibiotics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selected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drug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sensitivity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effi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3"/>
        </w:rPr>
        <w:t>‐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cacy,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inflammatory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factors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clearance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rates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chlamydia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mycoplasma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acute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pelvic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inflamma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‐</w:t>
      </w:r>
      <w:r>
        <w:rPr>
          <w:color w:val="231F20"/>
        </w:rPr>
        <w:t xml:space="preserve"> </w:t>
      </w:r>
      <w:r>
        <w:rPr>
          <w:color w:val="231F20"/>
        </w:rPr>
        <w:t>tory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1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June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2021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June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2022,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90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pelvic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inflammatory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admitted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to </w:t>
      </w:r>
      <w:r>
        <w:rPr>
          <w:color w:val="231F20"/>
          <w:spacing w:val="-1"/>
        </w:rPr>
        <w:t>Liaocheng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Dongchangfu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People/s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Hospital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divided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into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observation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cont</w:t>
      </w:r>
      <w:r>
        <w:rPr>
          <w:color w:val="231F20"/>
          <w:spacing w:val="-2"/>
        </w:rPr>
        <w:t>rol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group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according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different</w:t>
      </w:r>
      <w:r>
        <w:rPr>
          <w:color w:val="231F20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methods,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45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ea</w:t>
      </w:r>
      <w:r>
        <w:rPr>
          <w:color w:val="231F20"/>
          <w:spacing w:val="-1"/>
        </w:rPr>
        <w:t>ch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group.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control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treated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cefazolin+ornidazole+traditional</w:t>
      </w:r>
      <w:r>
        <w:rPr>
          <w:color w:val="231F20"/>
        </w:rPr>
        <w:t xml:space="preserve"> </w:t>
      </w:r>
      <w:r>
        <w:rPr>
          <w:color w:val="231F20"/>
        </w:rPr>
        <w:t>Chinese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medicine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enema+micro</w:t>
      </w:r>
      <w:r>
        <w:rPr>
          <w:color w:val="231F20"/>
          <w:spacing w:val="-1"/>
        </w:rPr>
        <w:t>wave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physiotherapy,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while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observation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treated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antibiotics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based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combination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traditional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Chinese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</w:rPr>
        <w:t>medicine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enema+microwave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</w:rPr>
        <w:t>ph</w:t>
      </w:r>
      <w:r>
        <w:rPr>
          <w:color w:val="231F20"/>
          <w:spacing w:val="-1"/>
        </w:rPr>
        <w:t>ysiotherapy.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distribution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bacterial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flora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secretion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external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cervix</w:t>
      </w:r>
      <w:r>
        <w:rPr>
          <w:color w:val="231F20"/>
          <w:spacing w:val="1"/>
        </w:rPr>
        <w:t>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dearance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chlamydia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mycoplasma</w:t>
      </w:r>
      <w:r>
        <w:rPr>
          <w:color w:val="231F20"/>
          <w:spacing w:val="1"/>
        </w:rPr>
        <w:t>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1"/>
        </w:rPr>
        <w:t>-</w:t>
      </w:r>
      <w:r>
        <w:rPr>
          <w:color w:val="231F20"/>
        </w:rPr>
        <w:t>reactive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protein </w:t>
      </w:r>
      <w:r>
        <w:rPr>
          <w:color w:val="231F20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procalcitonin,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effective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of treatment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groups.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-1"/>
        </w:rPr>
        <w:t>esults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this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study,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mainly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infected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mycoplasma,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chlamydia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Gardner/Bacteroides</w:t>
      </w:r>
      <w:r>
        <w:rPr>
          <w:color w:val="231F20"/>
          <w:spacing w:val="-1"/>
        </w:rPr>
        <w:t>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After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treatment,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distribution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bacterial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flora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external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cervical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secretion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observation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better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control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difference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statistically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significant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(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&lt;0.05).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clearance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1"/>
        </w:rPr>
        <w:t>rate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mycoplasma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observation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</w:rPr>
        <w:t xml:space="preserve"> </w:t>
      </w:r>
      <w:r>
        <w:rPr>
          <w:color w:val="231F20"/>
        </w:rPr>
        <w:t>88.00%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(50.00%),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statistically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significant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(χ</w:t>
      </w:r>
      <w:r>
        <w:rPr>
          <w:sz w:val="10"/>
          <w:szCs w:val="10"/>
          <w:color w:val="231F20"/>
          <w:position w:val="7"/>
        </w:rPr>
        <w:t>2</w:t>
      </w:r>
      <w:r>
        <w:rPr>
          <w:color w:val="231F20"/>
        </w:rPr>
        <w:t>=8.324,</w:t>
      </w:r>
      <w:r>
        <w:rPr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P</w:t>
      </w:r>
      <w:r>
        <w:rPr>
          <w:color w:val="231F20"/>
        </w:rPr>
        <w:t>= </w:t>
      </w:r>
      <w:r>
        <w:rPr>
          <w:color w:val="231F20"/>
        </w:rPr>
        <w:t>0.004).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clearance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chlamydia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obs</w:t>
      </w:r>
      <w:r>
        <w:rPr>
          <w:color w:val="231F20"/>
          <w:spacing w:val="-1"/>
        </w:rPr>
        <w:t>ervation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78.95%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higher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control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1"/>
        </w:rPr>
        <w:t>group</w:t>
      </w:r>
    </w:p>
    <w:p>
      <w:pPr>
        <w:pStyle w:val="BodyText"/>
        <w:ind w:left="722"/>
        <w:spacing w:before="289" w:line="204" w:lineRule="auto"/>
        <w:rPr>
          <w:rFonts w:ascii="Microsoft YaHei" w:hAnsi="Microsoft YaHei" w:eastAsia="Microsoft YaHei" w:cs="Microsoft YaHei"/>
        </w:rPr>
      </w:pPr>
      <w:r>
        <w:rPr>
          <w:color w:val="231F20"/>
        </w:rPr>
        <w:t>[</w:t>
      </w:r>
      <w:r>
        <w:rPr>
          <w:rFonts w:ascii="SimHei" w:hAnsi="SimHei" w:eastAsia="SimHei" w:cs="SimHei"/>
          <w:color w:val="231F20"/>
        </w:rPr>
        <w:t>基金项目</w:t>
      </w:r>
      <w:r>
        <w:rPr>
          <w:color w:val="231F20"/>
        </w:rPr>
        <w:t>]</w:t>
      </w:r>
      <w:r>
        <w:rPr>
          <w:color w:val="231F20"/>
          <w:spacing w:val="40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山东省医药卫生科技发展计划项目（</w:t>
      </w:r>
      <w:r>
        <w:rPr>
          <w:color w:val="231F20"/>
        </w:rPr>
        <w:t>2018WS432</w:t>
      </w:r>
      <w:r>
        <w:rPr>
          <w:rFonts w:ascii="Microsoft YaHei" w:hAnsi="Microsoft YaHei" w:eastAsia="Microsoft YaHei" w:cs="Microsoft YaHei"/>
          <w:color w:val="231F20"/>
        </w:rPr>
        <w:t>）。</w:t>
      </w:r>
    </w:p>
    <w:p>
      <w:pPr>
        <w:pStyle w:val="BodyText"/>
        <w:ind w:left="722"/>
        <w:spacing w:before="6" w:line="23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[</w:t>
      </w:r>
      <w:r>
        <w:rPr>
          <w:rFonts w:ascii="SimHei" w:hAnsi="SimHei" w:eastAsia="SimHei" w:cs="SimHei"/>
          <w:color w:val="231F20"/>
          <w:spacing w:val="-1"/>
        </w:rPr>
        <w:t>作者简介</w:t>
      </w:r>
      <w:r>
        <w:rPr>
          <w:color w:val="231F20"/>
          <w:spacing w:val="-1"/>
        </w:rPr>
        <w:t>]</w:t>
      </w:r>
      <w:r>
        <w:rPr>
          <w:color w:val="231F20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周庆燕（</w:t>
      </w:r>
      <w:r>
        <w:rPr>
          <w:color w:val="231F20"/>
          <w:spacing w:val="-1"/>
        </w:rPr>
        <w:t>1981-</w:t>
      </w:r>
      <w:r>
        <w:rPr>
          <w:rFonts w:ascii="Microsoft YaHei" w:hAnsi="Microsoft YaHei" w:eastAsia="Microsoft YaHei" w:cs="Microsoft YaHei"/>
          <w:color w:val="231F20"/>
          <w:spacing w:val="-28"/>
          <w:w w:val="66"/>
        </w:rPr>
        <w:t>），</w:t>
      </w:r>
      <w:r>
        <w:rPr>
          <w:rFonts w:ascii="Microsoft YaHei" w:hAnsi="Microsoft YaHei" w:eastAsia="Microsoft YaHei" w:cs="Microsoft YaHei"/>
          <w:color w:val="231F20"/>
          <w:spacing w:val="-1"/>
        </w:rPr>
        <w:t>女，硕士，副主任医师，研究方向为妇科。</w:t>
      </w:r>
    </w:p>
    <w:p>
      <w:pPr>
        <w:pStyle w:val="BodyText"/>
        <w:ind w:left="787"/>
        <w:spacing w:before="270" w:line="205" w:lineRule="auto"/>
        <w:rPr>
          <w:sz w:val="15"/>
          <w:szCs w:val="15"/>
        </w:rPr>
      </w:pPr>
      <w:r>
        <w:rPr>
          <w:sz w:val="17"/>
          <w:szCs w:val="17"/>
          <w:color w:val="231F20"/>
          <w:spacing w:val="22"/>
        </w:rPr>
        <w:t>42</w:t>
      </w:r>
      <w:r>
        <w:rPr>
          <w:sz w:val="17"/>
          <w:szCs w:val="17"/>
          <w:color w:val="231F20"/>
          <w:spacing w:val="6"/>
        </w:rPr>
        <w:t xml:space="preserve">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2"/>
        </w:rPr>
        <w:t>系统医学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 xml:space="preserve">    </w:t>
      </w:r>
      <w:r>
        <w:rPr>
          <w:sz w:val="15"/>
          <w:szCs w:val="15"/>
          <w:color w:val="231F20"/>
        </w:rPr>
        <w:t>SYSTEMS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MEDICINE</w:t>
      </w:r>
    </w:p>
    <w:p>
      <w:pPr>
        <w:spacing w:line="205" w:lineRule="auto"/>
        <w:sectPr>
          <w:footerReference w:type="default" r:id="rId1"/>
          <w:pgSz w:w="11906" w:h="16838"/>
          <w:pgMar w:top="761" w:right="1134" w:bottom="547" w:left="407" w:header="0" w:footer="354" w:gutter="0"/>
        </w:sectPr>
        <w:rPr>
          <w:sz w:val="15"/>
          <w:szCs w:val="15"/>
        </w:rPr>
      </w:pPr>
    </w:p>
    <w:p>
      <w:pPr>
        <w:spacing w:before="56" w:line="344" w:lineRule="exact"/>
        <w:jc w:val="right"/>
        <w:rPr>
          <w:rFonts w:ascii="SimHei" w:hAnsi="SimHei" w:eastAsia="SimHei" w:cs="SimHei"/>
          <w:sz w:val="23"/>
          <w:szCs w:val="23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  <w:position w:val="2"/>
        </w:rPr>
        <w:t>系统医学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  <w:position w:val="2"/>
        </w:rPr>
        <w:t>2023 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  <w:position w:val="2"/>
        </w:rPr>
        <w:t>1 月第 8 卷第1 期       </w:t>
      </w:r>
      <w:r>
        <w:rPr>
          <w:rFonts w:ascii="Microsoft YaHei" w:hAnsi="Microsoft YaHei" w:eastAsia="Microsoft YaHei" w:cs="Microsoft YaHei"/>
          <w:sz w:val="17"/>
          <w:szCs w:val="17"/>
          <w:strike/>
          <w:color w:val="231F20"/>
          <w:spacing w:val="1"/>
          <w:position w:val="2"/>
        </w:rPr>
        <w:t xml:space="preserve">                                  </w:t>
      </w:r>
      <w:r>
        <w:rPr>
          <w:rFonts w:ascii="Microsoft YaHei" w:hAnsi="Microsoft YaHei" w:eastAsia="Microsoft YaHei" w:cs="Microsoft YaHei"/>
          <w:sz w:val="17"/>
          <w:szCs w:val="17"/>
          <w:strike/>
          <w:color w:val="231F20"/>
          <w:position w:val="2"/>
        </w:rPr>
        <w:t xml:space="preserve">                                                                     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  <w:position w:val="2"/>
        </w:rPr>
        <w:t xml:space="preserve">    </w:t>
      </w:r>
      <w:r>
        <w:rPr>
          <w:rFonts w:ascii="SimHei" w:hAnsi="SimHei" w:eastAsia="SimHei" w:cs="SimHei"/>
          <w:sz w:val="23"/>
          <w:szCs w:val="23"/>
          <w:color w:val="231F20"/>
          <w:spacing w:val="-6"/>
        </w:rPr>
        <w:t>·</w:t>
      </w:r>
      <w:r>
        <w:rPr>
          <w:rFonts w:ascii="SimHei" w:hAnsi="SimHei" w:eastAsia="SimHei" w:cs="SimHei"/>
          <w:sz w:val="23"/>
          <w:szCs w:val="23"/>
          <w:color w:val="231F20"/>
          <w:spacing w:val="-70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-6"/>
          <w:position w:val="2"/>
        </w:rPr>
        <w:t>论著</w:t>
      </w:r>
      <w:r>
        <w:rPr>
          <w:rFonts w:ascii="SimHei" w:hAnsi="SimHei" w:eastAsia="SimHei" w:cs="SimHei"/>
          <w:sz w:val="23"/>
          <w:szCs w:val="23"/>
          <w:color w:val="231F20"/>
          <w:spacing w:val="-6"/>
          <w:position w:val="2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-6"/>
        </w:rPr>
        <w:t>·</w:t>
      </w:r>
    </w:p>
    <w:p>
      <w:pPr>
        <w:ind w:left="1131" w:right="498"/>
        <w:spacing w:before="255" w:line="23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(36.36%),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difference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statistically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significant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(χ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=7.507,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2"/>
        </w:rPr>
        <w:t>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=0.006).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After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treatment,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levels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 C-reactive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protein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procalcitonin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obser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vation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significantly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lower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than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those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control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dif‐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ference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statistically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significant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(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4"/>
        </w:rPr>
        <w:t>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&lt;0.05).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total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effective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rate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of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bservation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93.33%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higher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than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control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(75.56%),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difference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statistically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significant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(χ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=5.414,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9"/>
        </w:rPr>
        <w:t>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=0.020).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Conc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lusion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selection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of antibiotics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based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results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of drug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sensitivity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test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can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imp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rove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efficiency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of treatment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clearance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rate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mycoplasma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chlamydia,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improve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distribution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flora,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reduce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level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inflammatory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fac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‐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tors,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high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application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value.</w:t>
      </w:r>
    </w:p>
    <w:p>
      <w:pPr>
        <w:ind w:left="1143"/>
        <w:spacing w:before="1" w:line="18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[Key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words]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Drug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sensitivity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test;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Antibiotics;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Acute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pelvic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inflammatory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disease;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Infl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ammatory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factors;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Chlamydia;</w:t>
      </w:r>
    </w:p>
    <w:p>
      <w:pPr>
        <w:ind w:left="1138"/>
        <w:spacing w:before="93" w:line="16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Mycoplasma;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Clearance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rate</w:t>
      </w:r>
    </w:p>
    <w:p>
      <w:pPr>
        <w:spacing w:before="30"/>
        <w:rPr/>
      </w:pPr>
      <w:r/>
    </w:p>
    <w:p>
      <w:pPr>
        <w:sectPr>
          <w:footerReference w:type="default" r:id="rId2"/>
          <w:pgSz w:w="11906" w:h="16838"/>
          <w:pgMar w:top="761" w:right="1070" w:bottom="547" w:left="407" w:header="0" w:footer="354" w:gutter="0"/>
          <w:cols w:equalWidth="0" w:num="1">
            <w:col w:w="10427" w:space="0"/>
          </w:cols>
        </w:sectPr>
        <w:rPr/>
      </w:pPr>
    </w:p>
    <w:p>
      <w:pPr>
        <w:ind w:left="713" w:right="258" w:firstLine="416"/>
        <w:spacing w:before="46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急性盆腔炎属于盆腔炎的一种，是常见的妇科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疾病，炎症既可局限于一个部位，也可累及多个部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位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8"/>
          <w:position w:val="7"/>
        </w:rPr>
        <w:t>[1]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3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。急性盆腔炎包括急性盆腔腹膜炎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、急性子宫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内膜炎、急性输卵管炎等疾病，症状主要为腹痛、阴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道分泌物增加或流血等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9"/>
          <w:position w:val="7"/>
        </w:rPr>
        <w:t>[2]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。若女性出现急性盆腔炎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后未获得有效的治疗，其可发展为慢性盆腔炎，增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加治疗难度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。以往多采用西药如抗生素治疗该病，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但临床结果表明其不良反应多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、细菌耐药性高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使得该病反复发作，久治不愈，严重威胁女性的身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体健康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中西医结合治疗盆腔炎近年来获得了广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泛的应用，具有效果好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、不良反应少等优势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2"/>
          <w:position w:val="7"/>
        </w:rPr>
        <w:t>[3-4]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中药的内服、外敷，还可进行热奄包药物导入、中药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法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5"/>
          <w:position w:val="7"/>
        </w:rPr>
        <w:t>[5]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取 2021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年 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月—2022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月聊城市东昌府人民医院收治的</w:t>
      </w:r>
    </w:p>
    <w:p>
      <w:pPr>
        <w:ind w:left="715" w:right="325" w:firstLine="1"/>
        <w:spacing w:before="4" w:line="21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90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例急性盆腔炎患者，在中药灌肠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+微波理疗的基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础上应用不同的抗生素治疗方案，对比不同抗生素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治疗方案对患者的治疗效果、炎症因子水平及衣原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体、支原体清除率的影响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。现报道如下。</w:t>
      </w:r>
    </w:p>
    <w:p>
      <w:pPr>
        <w:ind w:left="731"/>
        <w:spacing w:before="48" w:line="211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资料与方法</w:t>
      </w:r>
    </w:p>
    <w:p>
      <w:pPr>
        <w:ind w:left="729"/>
        <w:spacing w:before="31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1.1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一般资料</w:t>
      </w:r>
    </w:p>
    <w:p>
      <w:pPr>
        <w:ind w:left="631" w:right="246" w:firstLine="494"/>
        <w:spacing w:before="32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选取本院收治的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90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例急性盆腔炎患者为研究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对象，按不同治疗方式分为观察组（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=45）与对照组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9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=45）。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18~40 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，平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均（33.15±4.15）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岁；病程 1~5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d，平均（1.16±0.32）d；已婚 28 例，未婚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17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。对照组年龄 19~45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岁，平均（34.14±3.56）岁；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病程 1~5.5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d，平均（1.23±0.37）d；已婚 32 例，未婚 13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。两组研究对象一般资料比较，差异无统计学意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7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&gt;0.05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具有可比性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。本研究经本院医学伦理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>委员会批准。</w:t>
      </w:r>
    </w:p>
    <w:p>
      <w:pPr>
        <w:ind w:left="729"/>
        <w:spacing w:before="6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1.2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纳入与排除标准</w:t>
      </w:r>
    </w:p>
    <w:p>
      <w:pPr>
        <w:ind w:left="716" w:right="242" w:firstLine="413"/>
        <w:spacing w:before="16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纳入标准：①患者符合《盆腔炎诊治指南》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"/>
          <w:position w:val="7"/>
        </w:rPr>
        <w:t>[6]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急性盆腔炎的诊断标准；②患者主要表现为发热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阴道出血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、下腹部疼痛或有坠感等；③无意识障碍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；④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龄 18~40 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；⑤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者及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知情并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已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签署同意书。</w:t>
      </w:r>
    </w:p>
    <w:p>
      <w:pPr>
        <w:ind w:left="1127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除标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准：①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合并其他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或妇科疾病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；②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82"/>
        <w:spacing w:before="42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合并肿瘤者；③对本研究所用药物过敏者；④治疗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前两周应用过抗生素者；⑤因各种因素中途退出研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究者。</w:t>
      </w:r>
    </w:p>
    <w:p>
      <w:pPr>
        <w:ind w:left="17"/>
        <w:spacing w:before="11" w:line="1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1.3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方法</w:t>
      </w:r>
    </w:p>
    <w:p>
      <w:pPr>
        <w:ind w:left="3" w:right="15" w:firstLine="18"/>
        <w:spacing w:before="63" w:line="2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1.3.1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对照组</w:t>
      </w:r>
      <w:r>
        <w:rPr>
          <w:rFonts w:ascii="FangSong" w:hAnsi="FangSong" w:eastAsia="FangSong" w:cs="FangSong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采用头孢唑林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+奥硝唑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中药灌肠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+微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>波理疗治疗 ，将注射用头孢唑林（ 国药准字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H20023052；规格：2.0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g）2.0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加入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250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0.9% 氯化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钠中，静脉滴注，以奥硝唑氯化钠注射液（国药准字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H20060399；规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格：100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mL：奥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唑 0.25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g 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0.9 g）0.5 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静脉滴注治疗；每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12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小时滴注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次，连续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治疗 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以黄连片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、川芎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、桃仁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、当归各 15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g，黄芩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片 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g，杜仲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、益母草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、薏苡仁各 12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g，醋柴胡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、生地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各 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g，炙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草 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g 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。将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净后水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取浓缩药液 100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，患者便排尽后取左侧卧位，将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肛管前端涂少许液状石蜡油，排尽空气后，插入肛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门 15 cm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后灌入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40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℃左右药液，将药液保留一定时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间，1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次/d，连续灌肠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。再以功率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30 W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的微波照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射患者腹部，照距为 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cm，照射 1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次/d，15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min/次，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连续治疗 10 d。</w:t>
      </w:r>
    </w:p>
    <w:p>
      <w:pPr>
        <w:ind w:firstLine="21"/>
        <w:spacing w:before="31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1.3.2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观察组</w:t>
      </w:r>
      <w:r>
        <w:rPr>
          <w:rFonts w:ascii="FangSong" w:hAnsi="FangSong" w:eastAsia="FangSong" w:cs="FangSong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在中药灌肠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+微波理疗的基础上联合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药敏结果选择抗生素治疗，其中中药灌肠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+微波理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疗方法同对照组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。用无菌大棉签拭取患者宫颈分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泌物，然后进行药敏试验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。药敏试验结果显示观察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组病原对多西环素敏感率为 100.00%，对米诺环素、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交沙霉素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、阿奇霉素的敏感率均大于 80.0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0%；对罗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红霉素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、红霉素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、左氧氟沙星敏感度较低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药敏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试验结果的基础上选用相应的抗生素进行治疗，因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>此给患者静脉滴注盐酸多西环素片（ 国药准字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H32021266；规格：0.1 g）100 mg，每 12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小时滴注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次，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持续滴注待病情改善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24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后改为口服盐酸多西环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>素 100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>mg，2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>次/d，用药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>2 周。</w:t>
      </w:r>
    </w:p>
    <w:p>
      <w:pPr>
        <w:ind w:left="17"/>
        <w:spacing w:before="56" w:line="20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1.4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观察指标</w:t>
      </w:r>
    </w:p>
    <w:p>
      <w:pPr>
        <w:ind w:left="4" w:right="82" w:firstLine="16"/>
        <w:spacing w:before="31"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1.4.1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宫颈外口分泌物菌群情况</w:t>
      </w:r>
      <w:r>
        <w:rPr>
          <w:rFonts w:ascii="FangSong" w:hAnsi="FangSong" w:eastAsia="FangSong" w:cs="FangSong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分别于治疗前后对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两组患者行妇科检查，用无菌大棉签拭取宫颈分泌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物，去掉多余分泌物，然后将拭子轻柔捅入宫颈内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1~2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cm，旋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转并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待 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s 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，取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与</w:t>
      </w:r>
    </w:p>
    <w:p>
      <w:pPr>
        <w:spacing w:line="228" w:lineRule="auto"/>
        <w:sectPr>
          <w:type w:val="continuous"/>
          <w:pgSz w:w="11906" w:h="16838"/>
          <w:pgMar w:top="761" w:right="1070" w:bottom="547" w:left="407" w:header="0" w:footer="354" w:gutter="0"/>
          <w:cols w:equalWidth="0" w:num="2">
            <w:col w:w="5641" w:space="100"/>
            <w:col w:w="4686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7339"/>
        <w:spacing w:before="208" w:line="176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SYSTEMS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MEDICINE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</w:rPr>
        <w:t>系统医学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>43</w:t>
      </w:r>
    </w:p>
    <w:p>
      <w:pPr>
        <w:spacing w:line="176" w:lineRule="exact"/>
        <w:sectPr>
          <w:type w:val="continuous"/>
          <w:pgSz w:w="11906" w:h="16838"/>
          <w:pgMar w:top="761" w:right="1070" w:bottom="547" w:left="407" w:header="0" w:footer="354" w:gutter="0"/>
          <w:cols w:equalWidth="0" w:num="1">
            <w:col w:w="10427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line="238" w:lineRule="exact"/>
        <w:rPr/>
      </w:pPr>
      <w:r/>
    </w:p>
    <w:p>
      <w:pPr>
        <w:spacing w:line="238" w:lineRule="exact"/>
        <w:sectPr>
          <w:headerReference w:type="default" r:id="rId3"/>
          <w:footerReference w:type="default" r:id="rId4"/>
          <w:pgSz w:w="11906" w:h="16838"/>
          <w:pgMar w:top="1139" w:right="1085" w:bottom="547" w:left="407" w:header="777" w:footer="354" w:gutter="0"/>
          <w:cols w:equalWidth="0" w:num="1">
            <w:col w:w="10412" w:space="0"/>
          </w:cols>
        </w:sectPr>
        <w:rPr/>
      </w:pPr>
    </w:p>
    <w:p>
      <w:pPr>
        <w:ind w:left="713" w:right="244" w:firstLine="18"/>
        <w:spacing w:before="47" w:line="22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阴道壁接触，取样完成后进行病原体检测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。根据治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疗前后病原检测结果比较两组支原体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、衣原体数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量，计算支原体、衣原体清除率。</w:t>
      </w:r>
    </w:p>
    <w:p>
      <w:pPr>
        <w:ind w:left="714" w:right="244" w:firstLine="19"/>
        <w:spacing w:before="5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1.4.2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C-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反应蛋白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C-reactionprotein,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CRP）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、降钙素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原水平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①分别于治疗前后采用免疫透射比浊法测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定血清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水平，在制备血清后用全自动生化分析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仪检测，以≤5 mg/L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为 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正常参考范围；②采集所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有患者的空腹静脉血，制备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3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非抗凝静脉血，于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3 h 内用电化学发光分析仪（电化学发光法）检测血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清降钙素原水平。</w:t>
      </w:r>
    </w:p>
    <w:p>
      <w:pPr>
        <w:ind w:left="713" w:right="174" w:firstLine="19"/>
        <w:spacing w:before="50" w:line="22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1.4.3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临床疗效</w:t>
      </w:r>
      <w:r>
        <w:rPr>
          <w:rFonts w:ascii="FangSong" w:hAnsi="FangSong" w:eastAsia="FangSong" w:cs="FangSong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两组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总有效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率：显效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患者腹痛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、阴道分泌物增加或流血等症状消失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查指标均正常；有效为患者腹痛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、阴道分泌物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增加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或流血等症状明显改善，大部分检查指标均正常；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无效为患者临床症状及检查结果均未改善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。总有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效率=（显效例数+有效例数）/总例数×100%。</w:t>
      </w:r>
    </w:p>
    <w:p>
      <w:pPr>
        <w:ind w:left="729"/>
        <w:spacing w:before="32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1.5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统计方法</w:t>
      </w:r>
    </w:p>
    <w:p>
      <w:pPr>
        <w:ind w:left="715" w:right="242" w:firstLine="412"/>
        <w:spacing w:before="42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SPSS 22.0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统计学软件处理数据，符合正态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分布的计量资料以（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x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±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）表示，组间差异比较进行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t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验；计数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资料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例数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或（%）表示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间差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异 比较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χ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"/>
          <w:position w:val="8"/>
        </w:rPr>
        <w:t>2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6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检验，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3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为差异有统计学意义。</w:t>
      </w:r>
    </w:p>
    <w:p>
      <w:pPr>
        <w:ind w:left="716"/>
        <w:spacing w:before="4" w:line="215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</w:rPr>
        <w:t>结果</w:t>
      </w:r>
    </w:p>
    <w:p>
      <w:pPr>
        <w:ind w:left="717"/>
        <w:spacing w:before="25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2.1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两组宫颈外口分泌物菌群分布情况比较</w:t>
      </w:r>
    </w:p>
    <w:p>
      <w:pPr>
        <w:ind w:left="714" w:right="177" w:firstLine="413"/>
        <w:spacing w:before="50"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分析宫颈外口分泌物菌群分布可知，患者最常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的致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、衣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、加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菌/拟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治疗后观察组宫颈外口分泌物菌群分布情况优于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对照组，差异有统计学意义（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1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&lt;0.05）。 见表 1。</w:t>
      </w:r>
    </w:p>
    <w:p>
      <w:pPr>
        <w:ind w:left="717"/>
        <w:spacing w:before="1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2.2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两组支原体、衣原体清除率比较</w:t>
      </w:r>
    </w:p>
    <w:p>
      <w:pPr>
        <w:ind w:left="715" w:right="244" w:firstLine="415"/>
        <w:spacing w:before="41" w:line="23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率 88.00%、衣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78.95% 高于对照组的 50.00%、36.36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%，差异有统计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7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&lt;0.05）。 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2。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5"/>
        <w:spacing w:before="42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2.3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两组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及降钙素原水平比较</w:t>
      </w:r>
    </w:p>
    <w:p>
      <w:pPr>
        <w:ind w:left="81" w:right="65" w:firstLine="415"/>
        <w:spacing w:before="34" w:line="23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治疗前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，两组 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素原水平对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无统计学意义（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&gt;0.05）。 治疗后，观察组 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及降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钙素原水平均低于对照组，差异有统计学意义（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5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0.05）。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3。</w:t>
      </w:r>
    </w:p>
    <w:p>
      <w:pPr>
        <w:ind w:left="971"/>
        <w:spacing w:before="208" w:line="199" w:lineRule="auto"/>
        <w:outlineLvl w:val="1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2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 xml:space="preserve">   </w:t>
      </w:r>
      <w:r>
        <w:rPr>
          <w:rFonts w:ascii="SimHei" w:hAnsi="SimHei" w:eastAsia="SimHei" w:cs="SimHei"/>
          <w:sz w:val="15"/>
          <w:szCs w:val="15"/>
          <w:color w:val="231F20"/>
          <w:spacing w:val="-2"/>
        </w:rPr>
        <w:t>两组</w:t>
      </w:r>
      <w:r>
        <w:rPr>
          <w:rFonts w:ascii="SimHei" w:hAnsi="SimHei" w:eastAsia="SimHei" w:cs="SimHei"/>
          <w:sz w:val="15"/>
          <w:szCs w:val="15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CRP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231F20"/>
          <w:spacing w:val="-2"/>
        </w:rPr>
        <w:t>及降钙素原水平对比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(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2"/>
        </w:rPr>
        <w:t>x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±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2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)</w:t>
      </w:r>
    </w:p>
    <w:p>
      <w:pPr>
        <w:spacing w:line="43" w:lineRule="exact"/>
        <w:rPr/>
      </w:pPr>
      <w:r/>
    </w:p>
    <w:tbl>
      <w:tblPr>
        <w:tblStyle w:val="TableNormal"/>
        <w:tblW w:w="4603" w:type="dxa"/>
        <w:tblInd w:w="8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1"/>
        <w:gridCol w:w="845"/>
        <w:gridCol w:w="1197"/>
        <w:gridCol w:w="1370"/>
      </w:tblGrid>
      <w:tr>
        <w:trPr>
          <w:trHeight w:val="278" w:hRule="atLeast"/>
        </w:trPr>
        <w:tc>
          <w:tcPr>
            <w:tcW w:w="119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before="66" w:line="179" w:lineRule="auto"/>
              <w:rPr/>
            </w:pPr>
            <w:r>
              <w:rPr>
                <w:color w:val="231F20"/>
                <w:spacing w:val="3"/>
              </w:rPr>
              <w:t>组别</w:t>
            </w:r>
          </w:p>
        </w:tc>
        <w:tc>
          <w:tcPr>
            <w:tcW w:w="84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21"/>
              <w:spacing w:before="68" w:line="177" w:lineRule="auto"/>
              <w:rPr/>
            </w:pPr>
            <w:r>
              <w:rPr>
                <w:color w:val="231F20"/>
                <w:spacing w:val="-1"/>
              </w:rPr>
              <w:t>时间</w:t>
            </w:r>
          </w:p>
        </w:tc>
        <w:tc>
          <w:tcPr>
            <w:tcW w:w="119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40"/>
              <w:spacing w:before="63" w:line="190" w:lineRule="auto"/>
              <w:rPr/>
            </w:pPr>
            <w:r>
              <w:rPr>
                <w:color w:val="231F20"/>
                <w:spacing w:val="-17"/>
              </w:rPr>
              <w:t>CRP（mg/L）</w:t>
            </w:r>
          </w:p>
        </w:tc>
        <w:tc>
          <w:tcPr>
            <w:tcW w:w="137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0"/>
              <w:spacing w:before="63" w:line="190" w:lineRule="auto"/>
              <w:rPr/>
            </w:pPr>
            <w:r>
              <w:rPr>
                <w:color w:val="231F20"/>
                <w:spacing w:val="-13"/>
              </w:rPr>
              <w:t>降钙素原（ng/mL）</w:t>
            </w:r>
          </w:p>
        </w:tc>
      </w:tr>
      <w:tr>
        <w:trPr>
          <w:trHeight w:val="242" w:hRule="atLeast"/>
        </w:trPr>
        <w:tc>
          <w:tcPr>
            <w:tcW w:w="1191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pStyle w:val="TableText"/>
              <w:ind w:left="24"/>
              <w:spacing w:before="45" w:line="203" w:lineRule="auto"/>
              <w:rPr/>
            </w:pPr>
            <w:r>
              <w:rPr>
                <w:color w:val="231F20"/>
                <w:spacing w:val="-12"/>
              </w:rPr>
              <w:t>观察组（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2"/>
              </w:rPr>
              <w:t>n</w:t>
            </w:r>
            <w:r>
              <w:rPr>
                <w:color w:val="231F20"/>
                <w:spacing w:val="-12"/>
              </w:rPr>
              <w:t>=45）</w:t>
            </w:r>
          </w:p>
        </w:tc>
        <w:tc>
          <w:tcPr>
            <w:tcW w:w="8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6"/>
              <w:spacing w:before="50" w:line="169" w:lineRule="auto"/>
              <w:rPr/>
            </w:pPr>
            <w:r>
              <w:rPr>
                <w:color w:val="231F20"/>
                <w:spacing w:val="4"/>
              </w:rPr>
              <w:t>治疗前</w:t>
            </w:r>
          </w:p>
        </w:tc>
        <w:tc>
          <w:tcPr>
            <w:tcW w:w="11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6"/>
              <w:spacing w:before="46" w:line="173" w:lineRule="auto"/>
              <w:rPr/>
            </w:pPr>
            <w:r>
              <w:rPr>
                <w:color w:val="231F20"/>
                <w:spacing w:val="-11"/>
              </w:rPr>
              <w:t>43.25±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1"/>
              </w:rPr>
              <w:t>16.44</w:t>
            </w:r>
          </w:p>
        </w:tc>
        <w:tc>
          <w:tcPr>
            <w:tcW w:w="137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9"/>
              <w:spacing w:before="46" w:line="173" w:lineRule="auto"/>
              <w:rPr/>
            </w:pPr>
            <w:r>
              <w:rPr>
                <w:color w:val="231F20"/>
                <w:spacing w:val="-10"/>
              </w:rPr>
              <w:t>3.12±0.57</w:t>
            </w:r>
          </w:p>
        </w:tc>
      </w:tr>
      <w:tr>
        <w:trPr>
          <w:trHeight w:val="250" w:hRule="atLeast"/>
        </w:trPr>
        <w:tc>
          <w:tcPr>
            <w:tcW w:w="119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5" w:type="dxa"/>
            <w:vAlign w:val="top"/>
          </w:tcPr>
          <w:p>
            <w:pPr>
              <w:pStyle w:val="TableText"/>
              <w:ind w:left="236"/>
              <w:spacing w:before="58" w:line="169" w:lineRule="auto"/>
              <w:rPr/>
            </w:pPr>
            <w:r>
              <w:rPr>
                <w:color w:val="231F20"/>
                <w:spacing w:val="4"/>
              </w:rPr>
              <w:t>治疗后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150"/>
              <w:spacing w:before="40" w:line="186" w:lineRule="auto"/>
              <w:rPr>
                <w:sz w:val="9"/>
                <w:szCs w:val="9"/>
              </w:rPr>
            </w:pPr>
            <w:r>
              <w:rPr>
                <w:color w:val="231F20"/>
                <w:spacing w:val="-17"/>
              </w:rPr>
              <w:t>（8.15±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7"/>
              </w:rPr>
              <w:t>1.45）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ab</w:t>
            </w:r>
          </w:p>
        </w:tc>
        <w:tc>
          <w:tcPr>
            <w:tcW w:w="1370" w:type="dxa"/>
            <w:vAlign w:val="top"/>
          </w:tcPr>
          <w:p>
            <w:pPr>
              <w:pStyle w:val="TableText"/>
              <w:ind w:left="211"/>
              <w:spacing w:before="40" w:line="186" w:lineRule="auto"/>
              <w:rPr>
                <w:sz w:val="9"/>
                <w:szCs w:val="9"/>
              </w:rPr>
            </w:pPr>
            <w:r>
              <w:rPr>
                <w:color w:val="231F20"/>
                <w:spacing w:val="-15"/>
              </w:rPr>
              <w:t>（1.10±0.59）</w:t>
            </w:r>
            <w:r>
              <w:rPr>
                <w:sz w:val="9"/>
                <w:szCs w:val="9"/>
                <w:color w:val="231F20"/>
                <w:spacing w:val="5"/>
                <w:position w:val="6"/>
              </w:rPr>
              <w:t>b</w:t>
            </w:r>
          </w:p>
        </w:tc>
      </w:tr>
      <w:tr>
        <w:trPr>
          <w:trHeight w:val="248" w:hRule="atLeast"/>
        </w:trPr>
        <w:tc>
          <w:tcPr>
            <w:tcW w:w="119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"/>
              <w:spacing w:before="54" w:line="203" w:lineRule="auto"/>
              <w:rPr/>
            </w:pPr>
            <w:r>
              <w:rPr>
                <w:color w:val="231F20"/>
                <w:spacing w:val="-12"/>
              </w:rPr>
              <w:t>对照组（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2"/>
              </w:rPr>
              <w:t>n</w:t>
            </w:r>
            <w:r>
              <w:rPr>
                <w:color w:val="231F20"/>
                <w:spacing w:val="-12"/>
              </w:rPr>
              <w:t>=45）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236"/>
              <w:spacing w:before="59" w:line="166" w:lineRule="auto"/>
              <w:rPr/>
            </w:pPr>
            <w:r>
              <w:rPr>
                <w:color w:val="231F20"/>
                <w:spacing w:val="4"/>
              </w:rPr>
              <w:t>治疗前</w:t>
            </w:r>
          </w:p>
        </w:tc>
        <w:tc>
          <w:tcPr>
            <w:tcW w:w="1197" w:type="dxa"/>
            <w:vAlign w:val="top"/>
          </w:tcPr>
          <w:p>
            <w:pPr>
              <w:pStyle w:val="TableText"/>
              <w:ind w:left="216"/>
              <w:spacing w:before="54" w:line="171" w:lineRule="auto"/>
              <w:rPr/>
            </w:pPr>
            <w:r>
              <w:rPr>
                <w:color w:val="231F20"/>
                <w:spacing w:val="-11"/>
              </w:rPr>
              <w:t>43.18±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1"/>
              </w:rPr>
              <w:t>17.59</w:t>
            </w:r>
          </w:p>
        </w:tc>
        <w:tc>
          <w:tcPr>
            <w:tcW w:w="1370" w:type="dxa"/>
            <w:vAlign w:val="top"/>
          </w:tcPr>
          <w:p>
            <w:pPr>
              <w:pStyle w:val="TableText"/>
              <w:ind w:left="359"/>
              <w:spacing w:before="54" w:line="171" w:lineRule="auto"/>
              <w:rPr/>
            </w:pPr>
            <w:r>
              <w:rPr>
                <w:color w:val="231F20"/>
                <w:spacing w:val="-10"/>
              </w:rPr>
              <w:t>3.18±0.42</w:t>
            </w:r>
          </w:p>
        </w:tc>
      </w:tr>
      <w:tr>
        <w:trPr>
          <w:trHeight w:val="256" w:hRule="atLeast"/>
        </w:trPr>
        <w:tc>
          <w:tcPr>
            <w:tcW w:w="1191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6"/>
              <w:spacing w:before="61" w:line="172" w:lineRule="auto"/>
              <w:rPr/>
            </w:pPr>
            <w:r>
              <w:rPr>
                <w:color w:val="231F20"/>
                <w:spacing w:val="4"/>
              </w:rPr>
              <w:t>治疗后</w:t>
            </w:r>
          </w:p>
        </w:tc>
        <w:tc>
          <w:tcPr>
            <w:tcW w:w="119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3"/>
              <w:spacing w:before="43" w:line="189" w:lineRule="auto"/>
              <w:rPr>
                <w:sz w:val="9"/>
                <w:szCs w:val="9"/>
              </w:rPr>
            </w:pPr>
            <w:r>
              <w:rPr>
                <w:color w:val="231F20"/>
                <w:spacing w:val="-16"/>
              </w:rPr>
              <w:t>（26.15±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6"/>
              </w:rPr>
              <w:t>1.23）</w:t>
            </w:r>
            <w:r>
              <w:rPr>
                <w:sz w:val="9"/>
                <w:szCs w:val="9"/>
                <w:color w:val="231F20"/>
                <w:spacing w:val="3"/>
                <w:position w:val="6"/>
              </w:rPr>
              <w:t>a</w:t>
            </w:r>
          </w:p>
        </w:tc>
        <w:tc>
          <w:tcPr>
            <w:tcW w:w="137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1"/>
              <w:spacing w:before="43" w:line="189" w:lineRule="auto"/>
              <w:rPr>
                <w:sz w:val="9"/>
                <w:szCs w:val="9"/>
              </w:rPr>
            </w:pPr>
            <w:r>
              <w:rPr>
                <w:color w:val="231F20"/>
                <w:spacing w:val="-15"/>
              </w:rPr>
              <w:t>（1.78±0.46）</w:t>
            </w:r>
            <w:r>
              <w:rPr>
                <w:sz w:val="9"/>
                <w:szCs w:val="9"/>
                <w:color w:val="231F20"/>
                <w:spacing w:val="6"/>
                <w:position w:val="6"/>
              </w:rPr>
              <w:t>a</w:t>
            </w:r>
          </w:p>
        </w:tc>
      </w:tr>
    </w:tbl>
    <w:p>
      <w:pPr>
        <w:ind w:left="239"/>
        <w:spacing w:before="62" w:line="22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注：与同组治疗前比较，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7"/>
          <w:position w:val="6"/>
        </w:rPr>
        <w:t>a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7"/>
        </w:rPr>
        <w:t>P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&lt;0.05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；与对照组治疗后比较，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7"/>
          <w:position w:val="6"/>
        </w:rPr>
        <w:t>b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7"/>
        </w:rPr>
        <w:t>P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&lt;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0.05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left="85"/>
        <w:spacing w:before="86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2.4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两组疗效比较</w:t>
      </w:r>
    </w:p>
    <w:p>
      <w:pPr>
        <w:ind w:left="83" w:right="66" w:firstLine="415"/>
        <w:spacing w:before="38" w:line="23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察 组 总 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93.33%，高 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对 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组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75.56%，差异有统计学意义（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3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&lt;0.05）。 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4。</w:t>
      </w:r>
    </w:p>
    <w:p>
      <w:pPr>
        <w:ind w:left="1500"/>
        <w:spacing w:before="204" w:line="199" w:lineRule="auto"/>
        <w:outlineLvl w:val="1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1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  <w:w w:val="101"/>
        </w:rPr>
        <w:t xml:space="preserve">   </w:t>
      </w:r>
      <w:r>
        <w:rPr>
          <w:rFonts w:ascii="SimHei" w:hAnsi="SimHei" w:eastAsia="SimHei" w:cs="SimHei"/>
          <w:sz w:val="15"/>
          <w:szCs w:val="15"/>
          <w:color w:val="231F20"/>
          <w:spacing w:val="1"/>
        </w:rPr>
        <w:t>两组疗效比较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[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1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(%)]</w:t>
      </w:r>
    </w:p>
    <w:p>
      <w:pPr>
        <w:spacing w:line="44" w:lineRule="exact"/>
        <w:rPr/>
      </w:pPr>
      <w:r/>
    </w:p>
    <w:tbl>
      <w:tblPr>
        <w:tblStyle w:val="TableNormal"/>
        <w:tblW w:w="4603" w:type="dxa"/>
        <w:tblInd w:w="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16"/>
        <w:gridCol w:w="544"/>
        <w:gridCol w:w="847"/>
        <w:gridCol w:w="869"/>
        <w:gridCol w:w="856"/>
        <w:gridCol w:w="871"/>
      </w:tblGrid>
      <w:tr>
        <w:trPr>
          <w:trHeight w:val="246" w:hRule="atLeast"/>
        </w:trPr>
        <w:tc>
          <w:tcPr>
            <w:tcW w:w="61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before="49" w:line="174" w:lineRule="auto"/>
              <w:rPr/>
            </w:pPr>
            <w:r>
              <w:rPr>
                <w:color w:val="231F20"/>
                <w:spacing w:val="3"/>
              </w:rPr>
              <w:t>组别</w:t>
            </w:r>
          </w:p>
        </w:tc>
        <w:tc>
          <w:tcPr>
            <w:tcW w:w="54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6"/>
              <w:spacing w:before="49" w:line="174" w:lineRule="auto"/>
              <w:rPr/>
            </w:pPr>
            <w:r>
              <w:rPr>
                <w:color w:val="231F20"/>
                <w:spacing w:val="2"/>
              </w:rPr>
              <w:t>例数</w:t>
            </w:r>
          </w:p>
        </w:tc>
        <w:tc>
          <w:tcPr>
            <w:tcW w:w="84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69"/>
              <w:spacing w:before="49" w:line="174" w:lineRule="auto"/>
              <w:rPr/>
            </w:pPr>
            <w:r>
              <w:rPr>
                <w:color w:val="231F20"/>
                <w:spacing w:val="3"/>
              </w:rPr>
              <w:t>显效</w:t>
            </w:r>
          </w:p>
        </w:tc>
        <w:tc>
          <w:tcPr>
            <w:tcW w:w="86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85"/>
              <w:spacing w:before="49" w:line="174" w:lineRule="auto"/>
              <w:rPr/>
            </w:pPr>
            <w:r>
              <w:rPr>
                <w:color w:val="231F20"/>
                <w:spacing w:val="3"/>
              </w:rPr>
              <w:t>有效</w:t>
            </w:r>
          </w:p>
        </w:tc>
        <w:tc>
          <w:tcPr>
            <w:tcW w:w="85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79"/>
              <w:spacing w:before="49" w:line="174" w:lineRule="auto"/>
              <w:rPr/>
            </w:pPr>
            <w:r>
              <w:rPr>
                <w:color w:val="231F20"/>
                <w:spacing w:val="3"/>
              </w:rPr>
              <w:t>无效</w:t>
            </w:r>
          </w:p>
        </w:tc>
        <w:tc>
          <w:tcPr>
            <w:tcW w:w="87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4"/>
              <w:spacing w:before="49" w:line="174" w:lineRule="auto"/>
              <w:rPr/>
            </w:pPr>
            <w:r>
              <w:rPr>
                <w:color w:val="231F20"/>
                <w:spacing w:val="4"/>
              </w:rPr>
              <w:t>总有效率</w:t>
            </w:r>
          </w:p>
        </w:tc>
      </w:tr>
      <w:tr>
        <w:trPr>
          <w:trHeight w:val="243" w:hRule="atLeast"/>
        </w:trPr>
        <w:tc>
          <w:tcPr>
            <w:tcW w:w="6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"/>
              <w:spacing w:before="49" w:line="171" w:lineRule="auto"/>
              <w:rPr/>
            </w:pPr>
            <w:r>
              <w:rPr>
                <w:color w:val="231F20"/>
                <w:spacing w:val="4"/>
              </w:rPr>
              <w:t>观察组</w:t>
            </w:r>
          </w:p>
        </w:tc>
        <w:tc>
          <w:tcPr>
            <w:tcW w:w="5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3"/>
              <w:spacing w:before="45" w:line="175" w:lineRule="auto"/>
              <w:rPr/>
            </w:pPr>
            <w:r>
              <w:rPr>
                <w:color w:val="231F20"/>
                <w:spacing w:val="-8"/>
              </w:rPr>
              <w:t>45</w:t>
            </w:r>
          </w:p>
        </w:tc>
        <w:tc>
          <w:tcPr>
            <w:tcW w:w="8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5"/>
              <w:spacing w:before="45" w:line="175" w:lineRule="auto"/>
              <w:rPr/>
            </w:pPr>
            <w:r>
              <w:rPr>
                <w:color w:val="231F20"/>
                <w:spacing w:val="-17"/>
              </w:rPr>
              <w:t>18（40.00）</w:t>
            </w:r>
          </w:p>
        </w:tc>
        <w:tc>
          <w:tcPr>
            <w:tcW w:w="8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9"/>
              <w:spacing w:before="45" w:line="175" w:lineRule="auto"/>
              <w:rPr/>
            </w:pPr>
            <w:r>
              <w:rPr>
                <w:color w:val="231F20"/>
                <w:spacing w:val="-15"/>
              </w:rPr>
              <w:t>24（53.33）</w:t>
            </w:r>
          </w:p>
        </w:tc>
        <w:tc>
          <w:tcPr>
            <w:tcW w:w="85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2"/>
              <w:spacing w:before="45" w:line="175" w:lineRule="auto"/>
              <w:rPr/>
            </w:pPr>
            <w:r>
              <w:rPr>
                <w:color w:val="231F20"/>
                <w:spacing w:val="-17"/>
              </w:rPr>
              <w:t>3（6.67）</w:t>
            </w:r>
          </w:p>
        </w:tc>
        <w:tc>
          <w:tcPr>
            <w:tcW w:w="8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8"/>
              <w:spacing w:before="45" w:line="175" w:lineRule="auto"/>
              <w:rPr/>
            </w:pPr>
            <w:r>
              <w:rPr>
                <w:color w:val="231F20"/>
                <w:spacing w:val="-15"/>
              </w:rPr>
              <w:t>42（93.33）</w:t>
            </w:r>
          </w:p>
        </w:tc>
      </w:tr>
      <w:tr>
        <w:trPr>
          <w:trHeight w:val="246" w:hRule="atLeast"/>
        </w:trPr>
        <w:tc>
          <w:tcPr>
            <w:tcW w:w="616" w:type="dxa"/>
            <w:vAlign w:val="top"/>
          </w:tcPr>
          <w:p>
            <w:pPr>
              <w:pStyle w:val="TableText"/>
              <w:ind w:left="20"/>
              <w:spacing w:before="59" w:line="165" w:lineRule="auto"/>
              <w:rPr/>
            </w:pPr>
            <w:r>
              <w:rPr>
                <w:color w:val="231F20"/>
                <w:spacing w:val="5"/>
              </w:rPr>
              <w:t>对照组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213"/>
              <w:spacing w:before="52" w:line="171" w:lineRule="auto"/>
              <w:rPr/>
            </w:pPr>
            <w:r>
              <w:rPr>
                <w:color w:val="231F20"/>
                <w:spacing w:val="-8"/>
              </w:rPr>
              <w:t>45</w:t>
            </w:r>
          </w:p>
        </w:tc>
        <w:tc>
          <w:tcPr>
            <w:tcW w:w="847" w:type="dxa"/>
            <w:vAlign w:val="top"/>
          </w:tcPr>
          <w:p>
            <w:pPr>
              <w:pStyle w:val="TableText"/>
              <w:ind w:left="105"/>
              <w:spacing w:before="52" w:line="171" w:lineRule="auto"/>
              <w:rPr/>
            </w:pPr>
            <w:r>
              <w:rPr>
                <w:color w:val="231F20"/>
                <w:spacing w:val="-17"/>
              </w:rPr>
              <w:t>12（26.67）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09"/>
              <w:spacing w:before="52" w:line="171" w:lineRule="auto"/>
              <w:rPr/>
            </w:pPr>
            <w:r>
              <w:rPr>
                <w:color w:val="231F20"/>
                <w:spacing w:val="-15"/>
              </w:rPr>
              <w:t>22（48.89）</w:t>
            </w:r>
          </w:p>
        </w:tc>
        <w:tc>
          <w:tcPr>
            <w:tcW w:w="856" w:type="dxa"/>
            <w:vAlign w:val="top"/>
          </w:tcPr>
          <w:p>
            <w:pPr>
              <w:pStyle w:val="TableText"/>
              <w:ind w:left="116"/>
              <w:spacing w:before="52" w:line="171" w:lineRule="auto"/>
              <w:rPr/>
            </w:pPr>
            <w:r>
              <w:rPr>
                <w:color w:val="231F20"/>
                <w:spacing w:val="-17"/>
              </w:rPr>
              <w:t>11（24.44）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113"/>
              <w:spacing w:before="52" w:line="171" w:lineRule="auto"/>
              <w:rPr/>
            </w:pPr>
            <w:r>
              <w:rPr>
                <w:color w:val="231F20"/>
                <w:spacing w:val="-16"/>
              </w:rPr>
              <w:t>34（75.56）</w:t>
            </w:r>
          </w:p>
        </w:tc>
      </w:tr>
      <w:tr>
        <w:trPr>
          <w:trHeight w:val="256" w:hRule="atLeast"/>
        </w:trPr>
        <w:tc>
          <w:tcPr>
            <w:tcW w:w="616" w:type="dxa"/>
            <w:vAlign w:val="top"/>
          </w:tcPr>
          <w:p>
            <w:pPr>
              <w:pStyle w:val="TableText"/>
              <w:ind w:left="22"/>
              <w:spacing w:before="43" w:line="189" w:lineRule="auto"/>
              <w:rPr/>
            </w:pPr>
            <w:r>
              <w:rPr>
                <w:color w:val="231F20"/>
                <w:w w:val="91"/>
                <w:position w:val="-1"/>
              </w:rPr>
              <w:t>χ</w:t>
            </w:r>
            <w:r>
              <w:rPr>
                <w:sz w:val="9"/>
                <w:szCs w:val="9"/>
                <w:color w:val="231F20"/>
                <w:spacing w:val="-1"/>
                <w:position w:val="4"/>
              </w:rPr>
              <w:t>2</w:t>
            </w:r>
            <w:r>
              <w:rPr>
                <w:sz w:val="9"/>
                <w:szCs w:val="9"/>
                <w:color w:val="231F20"/>
                <w:spacing w:val="-6"/>
                <w:position w:val="4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值</w:t>
            </w:r>
          </w:p>
        </w:tc>
        <w:tc>
          <w:tcPr>
            <w:tcW w:w="5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1" w:type="dxa"/>
            <w:vAlign w:val="top"/>
          </w:tcPr>
          <w:p>
            <w:pPr>
              <w:pStyle w:val="TableText"/>
              <w:ind w:left="272"/>
              <w:spacing w:before="57" w:line="176" w:lineRule="auto"/>
              <w:rPr/>
            </w:pPr>
            <w:r>
              <w:rPr>
                <w:color w:val="231F20"/>
                <w:spacing w:val="-8"/>
              </w:rPr>
              <w:t>5.414</w:t>
            </w:r>
          </w:p>
        </w:tc>
      </w:tr>
      <w:tr>
        <w:trPr>
          <w:trHeight w:val="250" w:hRule="atLeast"/>
        </w:trPr>
        <w:tc>
          <w:tcPr>
            <w:tcW w:w="61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"/>
              <w:spacing w:before="54" w:line="173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0"/>
              </w:rPr>
              <w:t>P</w:t>
            </w:r>
            <w:r>
              <w:rPr>
                <w:color w:val="231F20"/>
                <w:spacing w:val="10"/>
              </w:rPr>
              <w:t>值</w:t>
            </w:r>
          </w:p>
        </w:tc>
        <w:tc>
          <w:tcPr>
            <w:tcW w:w="544" w:type="dxa"/>
            <w:vAlign w:val="top"/>
            <w:tcBorders>
              <w:bottom w:val="single" w:color="231F20" w:sz="4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847" w:type="dxa"/>
            <w:vAlign w:val="top"/>
            <w:tcBorders>
              <w:bottom w:val="single" w:color="231F20" w:sz="4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869" w:type="dxa"/>
            <w:vAlign w:val="top"/>
            <w:tcBorders>
              <w:bottom w:val="single" w:color="231F20" w:sz="4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856" w:type="dxa"/>
            <w:vAlign w:val="top"/>
            <w:tcBorders>
              <w:bottom w:val="single" w:color="231F20" w:sz="4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87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71"/>
              <w:spacing w:before="51" w:line="176" w:lineRule="auto"/>
              <w:rPr/>
            </w:pPr>
            <w:r>
              <w:rPr>
                <w:color w:val="231F20"/>
                <w:spacing w:val="-8"/>
              </w:rPr>
              <w:t>0.020</w:t>
            </w:r>
          </w:p>
        </w:tc>
      </w:tr>
    </w:tbl>
    <w:p>
      <w:pPr>
        <w:spacing w:line="299" w:lineRule="auto"/>
        <w:rPr>
          <w:rFonts w:ascii="Arial"/>
          <w:sz w:val="21"/>
        </w:rPr>
      </w:pPr>
      <w:r/>
    </w:p>
    <w:p>
      <w:pPr>
        <w:ind w:left="86"/>
        <w:spacing w:before="86" w:line="213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讨论</w:t>
      </w:r>
    </w:p>
    <w:p>
      <w:pPr>
        <w:ind w:firstLine="497"/>
        <w:spacing w:before="38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盆腔炎指的是女性生殖器官及周围结缔组织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的炎症病变，主要包括输卵管卵巢炎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、子宫炎以及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盆腔结缔组织炎等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2"/>
          <w:position w:val="7"/>
        </w:rPr>
        <w:t>[7]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8"/>
          <w:w w:val="102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。该病可分为慢性和急性盆腔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炎两种，急性盆腔炎发病后易转变为慢性盆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腔炎，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导致异位妊娠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、不孕症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、慢性疼痛等后遗症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4"/>
          <w:position w:val="7"/>
        </w:rPr>
        <w:t>[8-9]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过 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（magnetic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resonance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imaging,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MRI）检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、腹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查、子宫内膜活检诊断急性盆腔炎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9"/>
          <w:position w:val="7"/>
        </w:rPr>
        <w:t>[10]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。急性盆腔炎</w:t>
      </w:r>
    </w:p>
    <w:p>
      <w:pPr>
        <w:spacing w:line="226" w:lineRule="auto"/>
        <w:sectPr>
          <w:type w:val="continuous"/>
          <w:pgSz w:w="11906" w:h="16838"/>
          <w:pgMar w:top="1139" w:right="1085" w:bottom="547" w:left="407" w:header="777" w:footer="354" w:gutter="0"/>
          <w:cols w:equalWidth="0" w:num="2">
            <w:col w:w="5561" w:space="100"/>
            <w:col w:w="475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3977"/>
        <w:spacing w:before="203" w:line="207" w:lineRule="auto"/>
        <w:outlineLvl w:val="1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5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  <w:w w:val="101"/>
        </w:rPr>
        <w:t xml:space="preserve">   </w:t>
      </w:r>
      <w:r>
        <w:rPr>
          <w:rFonts w:ascii="SimHei" w:hAnsi="SimHei" w:eastAsia="SimHei" w:cs="SimHei"/>
          <w:sz w:val="15"/>
          <w:szCs w:val="15"/>
          <w:color w:val="231F20"/>
          <w:spacing w:val="5"/>
        </w:rPr>
        <w:t>两组宫颈外口分泌物菌群分布情况比较</w:t>
      </w:r>
    </w:p>
    <w:p>
      <w:pPr>
        <w:spacing w:line="33" w:lineRule="exact"/>
        <w:rPr/>
      </w:pPr>
      <w:r/>
    </w:p>
    <w:tbl>
      <w:tblPr>
        <w:tblStyle w:val="TableNormal"/>
        <w:tblW w:w="9626" w:type="dxa"/>
        <w:tblInd w:w="7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6"/>
        <w:gridCol w:w="1105"/>
        <w:gridCol w:w="981"/>
        <w:gridCol w:w="1421"/>
        <w:gridCol w:w="963"/>
        <w:gridCol w:w="975"/>
        <w:gridCol w:w="1366"/>
        <w:gridCol w:w="890"/>
        <w:gridCol w:w="969"/>
      </w:tblGrid>
      <w:tr>
        <w:trPr>
          <w:trHeight w:val="503" w:hRule="atLeast"/>
        </w:trPr>
        <w:tc>
          <w:tcPr>
            <w:tcW w:w="95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before="179" w:line="179" w:lineRule="auto"/>
              <w:rPr/>
            </w:pPr>
            <w:r>
              <w:rPr>
                <w:color w:val="231F20"/>
                <w:spacing w:val="3"/>
              </w:rPr>
              <w:t>组别</w:t>
            </w:r>
          </w:p>
        </w:tc>
        <w:tc>
          <w:tcPr>
            <w:tcW w:w="110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76"/>
              <w:spacing w:before="178" w:line="179" w:lineRule="auto"/>
              <w:rPr/>
            </w:pPr>
            <w:r>
              <w:rPr>
                <w:color w:val="231F20"/>
                <w:spacing w:val="2"/>
              </w:rPr>
              <w:t>例数</w:t>
            </w:r>
          </w:p>
        </w:tc>
        <w:tc>
          <w:tcPr>
            <w:tcW w:w="98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12"/>
              <w:spacing w:before="181" w:line="177" w:lineRule="auto"/>
              <w:rPr/>
            </w:pPr>
            <w:r>
              <w:rPr>
                <w:color w:val="231F20"/>
                <w:spacing w:val="-1"/>
              </w:rPr>
              <w:t>时间</w:t>
            </w:r>
          </w:p>
        </w:tc>
        <w:tc>
          <w:tcPr>
            <w:tcW w:w="142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94"/>
              <w:spacing w:before="175" w:line="199" w:lineRule="auto"/>
              <w:rPr/>
            </w:pPr>
            <w:r>
              <w:rPr>
                <w:color w:val="231F20"/>
                <w:spacing w:val="4"/>
              </w:rPr>
              <w:t>加德纳菌/拟杆菌</w:t>
            </w:r>
          </w:p>
        </w:tc>
        <w:tc>
          <w:tcPr>
            <w:tcW w:w="96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5"/>
              <w:spacing w:before="50" w:line="179" w:lineRule="auto"/>
              <w:rPr/>
            </w:pPr>
            <w:r>
              <w:rPr>
                <w:color w:val="231F20"/>
                <w:spacing w:val="6"/>
              </w:rPr>
              <w:t>革兰阳性球</w:t>
            </w:r>
          </w:p>
          <w:p>
            <w:pPr>
              <w:pStyle w:val="TableText"/>
              <w:ind w:left="404"/>
              <w:spacing w:before="67" w:line="171" w:lineRule="auto"/>
              <w:rPr/>
            </w:pPr>
            <w:r>
              <w:rPr>
                <w:color w:val="231F20"/>
              </w:rPr>
              <w:t>菌</w:t>
            </w:r>
          </w:p>
        </w:tc>
        <w:tc>
          <w:tcPr>
            <w:tcW w:w="97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0"/>
              <w:spacing w:before="50" w:line="178" w:lineRule="auto"/>
              <w:rPr/>
            </w:pPr>
            <w:r>
              <w:rPr>
                <w:color w:val="231F20"/>
                <w:spacing w:val="6"/>
              </w:rPr>
              <w:t>革兰阴性杆</w:t>
            </w:r>
          </w:p>
          <w:p>
            <w:pPr>
              <w:pStyle w:val="TableText"/>
              <w:ind w:left="419"/>
              <w:spacing w:before="68" w:line="171" w:lineRule="auto"/>
              <w:rPr/>
            </w:pPr>
            <w:r>
              <w:rPr>
                <w:color w:val="231F20"/>
              </w:rPr>
              <w:t>菌</w:t>
            </w:r>
          </w:p>
        </w:tc>
        <w:tc>
          <w:tcPr>
            <w:tcW w:w="136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7"/>
              <w:spacing w:before="179" w:line="178" w:lineRule="auto"/>
              <w:rPr/>
            </w:pPr>
            <w:r>
              <w:rPr>
                <w:color w:val="231F20"/>
                <w:spacing w:val="7"/>
              </w:rPr>
              <w:t>革兰阴性双球菌</w:t>
            </w:r>
          </w:p>
        </w:tc>
        <w:tc>
          <w:tcPr>
            <w:tcW w:w="89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5"/>
              <w:spacing w:before="177" w:line="181" w:lineRule="auto"/>
              <w:rPr/>
            </w:pPr>
            <w:r>
              <w:rPr>
                <w:color w:val="231F20"/>
                <w:spacing w:val="4"/>
              </w:rPr>
              <w:t>支原体</w:t>
            </w:r>
          </w:p>
        </w:tc>
        <w:tc>
          <w:tcPr>
            <w:tcW w:w="96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54"/>
              <w:spacing w:before="177" w:line="181" w:lineRule="auto"/>
              <w:rPr/>
            </w:pPr>
            <w:r>
              <w:rPr>
                <w:color w:val="231F20"/>
                <w:spacing w:val="4"/>
              </w:rPr>
              <w:t>衣原体</w:t>
            </w:r>
          </w:p>
        </w:tc>
      </w:tr>
      <w:tr>
        <w:trPr>
          <w:trHeight w:val="492" w:hRule="atLeast"/>
        </w:trPr>
        <w:tc>
          <w:tcPr>
            <w:tcW w:w="95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"/>
              <w:spacing w:before="51" w:line="180" w:lineRule="auto"/>
              <w:rPr/>
            </w:pPr>
            <w:r>
              <w:rPr>
                <w:color w:val="231F20"/>
                <w:spacing w:val="4"/>
              </w:rPr>
              <w:t>观察组</w:t>
            </w:r>
          </w:p>
        </w:tc>
        <w:tc>
          <w:tcPr>
            <w:tcW w:w="11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53"/>
              <w:spacing w:before="46" w:line="217" w:lineRule="auto"/>
              <w:rPr/>
            </w:pPr>
            <w:r>
              <w:rPr>
                <w:color w:val="231F20"/>
                <w:spacing w:val="-8"/>
              </w:rPr>
              <w:t>45</w:t>
            </w:r>
          </w:p>
        </w:tc>
        <w:tc>
          <w:tcPr>
            <w:tcW w:w="98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7"/>
              <w:spacing w:before="52" w:line="179" w:lineRule="auto"/>
              <w:rPr/>
            </w:pPr>
            <w:r>
              <w:rPr>
                <w:color w:val="231F20"/>
                <w:spacing w:val="4"/>
              </w:rPr>
              <w:t>治疗前</w:t>
            </w:r>
          </w:p>
          <w:p>
            <w:pPr>
              <w:pStyle w:val="TableText"/>
              <w:ind w:left="327"/>
              <w:spacing w:before="57" w:line="168" w:lineRule="auto"/>
              <w:rPr/>
            </w:pPr>
            <w:r>
              <w:rPr>
                <w:color w:val="231F20"/>
                <w:spacing w:val="4"/>
              </w:rPr>
              <w:t>治疗后</w:t>
            </w:r>
          </w:p>
        </w:tc>
        <w:tc>
          <w:tcPr>
            <w:tcW w:w="142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4"/>
              <w:spacing w:before="46" w:line="217" w:lineRule="auto"/>
              <w:rPr/>
            </w:pPr>
            <w:r>
              <w:rPr>
                <w:color w:val="231F20"/>
              </w:rPr>
              <w:t>6</w:t>
            </w:r>
          </w:p>
          <w:p>
            <w:pPr>
              <w:pStyle w:val="TableText"/>
              <w:ind w:left="700"/>
              <w:spacing w:before="4" w:line="185" w:lineRule="auto"/>
              <w:rPr>
                <w:sz w:val="9"/>
                <w:szCs w:val="9"/>
              </w:rPr>
            </w:pPr>
            <w:r>
              <w:rPr>
                <w:color w:val="231F20"/>
                <w:spacing w:val="-30"/>
                <w:position w:val="-2"/>
              </w:rPr>
              <w:t>1</w:t>
            </w:r>
            <w:r>
              <w:rPr>
                <w:sz w:val="9"/>
                <w:szCs w:val="9"/>
                <w:color w:val="231F20"/>
                <w:spacing w:val="-4"/>
                <w:position w:val="3"/>
              </w:rPr>
              <w:t>ab</w:t>
            </w:r>
          </w:p>
        </w:tc>
        <w:tc>
          <w:tcPr>
            <w:tcW w:w="9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2"/>
              <w:spacing w:before="46" w:line="217" w:lineRule="auto"/>
              <w:rPr/>
            </w:pPr>
            <w:r>
              <w:rPr>
                <w:color w:val="231F20"/>
              </w:rPr>
              <w:t>5</w:t>
            </w:r>
          </w:p>
          <w:p>
            <w:pPr>
              <w:pStyle w:val="TableText"/>
              <w:ind w:left="410"/>
              <w:spacing w:before="4" w:line="185" w:lineRule="auto"/>
              <w:rPr>
                <w:sz w:val="9"/>
                <w:szCs w:val="9"/>
              </w:rPr>
            </w:pPr>
            <w:r>
              <w:rPr>
                <w:color w:val="231F20"/>
                <w:spacing w:val="-30"/>
                <w:position w:val="-2"/>
              </w:rPr>
              <w:t>1</w:t>
            </w:r>
            <w:r>
              <w:rPr>
                <w:sz w:val="9"/>
                <w:szCs w:val="9"/>
                <w:color w:val="231F20"/>
                <w:spacing w:val="-4"/>
                <w:position w:val="3"/>
              </w:rPr>
              <w:t>ab</w:t>
            </w:r>
          </w:p>
        </w:tc>
        <w:tc>
          <w:tcPr>
            <w:tcW w:w="9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60"/>
              <w:spacing w:before="46" w:line="217" w:lineRule="auto"/>
              <w:rPr/>
            </w:pPr>
            <w:r>
              <w:rPr>
                <w:color w:val="231F20"/>
              </w:rPr>
              <w:t>3</w:t>
            </w:r>
          </w:p>
          <w:p>
            <w:pPr>
              <w:pStyle w:val="TableText"/>
              <w:ind w:left="425"/>
              <w:spacing w:before="4" w:line="185" w:lineRule="auto"/>
              <w:rPr>
                <w:sz w:val="9"/>
                <w:szCs w:val="9"/>
              </w:rPr>
            </w:pPr>
            <w:r>
              <w:rPr>
                <w:color w:val="231F20"/>
                <w:spacing w:val="-30"/>
                <w:position w:val="-2"/>
              </w:rPr>
              <w:t>1</w:t>
            </w:r>
            <w:r>
              <w:rPr>
                <w:sz w:val="9"/>
                <w:szCs w:val="9"/>
                <w:color w:val="231F20"/>
                <w:spacing w:val="-4"/>
                <w:position w:val="3"/>
              </w:rPr>
              <w:t>ab</w:t>
            </w:r>
          </w:p>
        </w:tc>
        <w:tc>
          <w:tcPr>
            <w:tcW w:w="13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3"/>
              <w:spacing w:before="46" w:line="217" w:lineRule="auto"/>
              <w:rPr/>
            </w:pPr>
            <w:r>
              <w:rPr>
                <w:color w:val="231F20"/>
              </w:rPr>
              <w:t>5</w:t>
            </w:r>
          </w:p>
          <w:p>
            <w:pPr>
              <w:pStyle w:val="TableText"/>
              <w:ind w:left="568"/>
              <w:spacing w:before="4" w:line="185" w:lineRule="auto"/>
              <w:rPr>
                <w:sz w:val="9"/>
                <w:szCs w:val="9"/>
              </w:rPr>
            </w:pPr>
            <w:r>
              <w:rPr>
                <w:color w:val="231F20"/>
                <w:spacing w:val="-15"/>
                <w:w w:val="97"/>
                <w:position w:val="-2"/>
              </w:rPr>
              <w:t>2</w:t>
            </w:r>
            <w:r>
              <w:rPr>
                <w:sz w:val="9"/>
                <w:szCs w:val="9"/>
                <w:color w:val="231F20"/>
                <w:spacing w:val="-4"/>
                <w:position w:val="3"/>
              </w:rPr>
              <w:t>ab</w:t>
            </w:r>
          </w:p>
        </w:tc>
        <w:tc>
          <w:tcPr>
            <w:tcW w:w="8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4"/>
              <w:spacing w:before="46" w:line="217" w:lineRule="auto"/>
              <w:rPr/>
            </w:pPr>
            <w:r>
              <w:rPr>
                <w:color w:val="231F20"/>
                <w:spacing w:val="-9"/>
              </w:rPr>
              <w:t>25</w:t>
            </w:r>
          </w:p>
          <w:p>
            <w:pPr>
              <w:pStyle w:val="TableText"/>
              <w:ind w:left="329"/>
              <w:spacing w:before="4" w:line="185" w:lineRule="auto"/>
              <w:rPr>
                <w:sz w:val="9"/>
                <w:szCs w:val="9"/>
              </w:rPr>
            </w:pPr>
            <w:r>
              <w:rPr>
                <w:color w:val="231F20"/>
                <w:spacing w:val="-19"/>
                <w:position w:val="-2"/>
              </w:rPr>
              <w:t>3</w:t>
            </w:r>
            <w:r>
              <w:rPr>
                <w:sz w:val="9"/>
                <w:szCs w:val="9"/>
                <w:color w:val="231F20"/>
                <w:spacing w:val="-4"/>
                <w:position w:val="3"/>
              </w:rPr>
              <w:t>ab</w:t>
            </w:r>
          </w:p>
        </w:tc>
        <w:tc>
          <w:tcPr>
            <w:tcW w:w="9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26"/>
              <w:spacing w:before="46" w:line="217" w:lineRule="auto"/>
              <w:rPr/>
            </w:pPr>
            <w:r>
              <w:rPr>
                <w:color w:val="231F20"/>
                <w:spacing w:val="-15"/>
              </w:rPr>
              <w:t>19</w:t>
            </w:r>
          </w:p>
          <w:p>
            <w:pPr>
              <w:pStyle w:val="TableText"/>
              <w:ind w:left="404"/>
              <w:spacing w:before="4" w:line="185" w:lineRule="auto"/>
              <w:rPr>
                <w:sz w:val="9"/>
                <w:szCs w:val="9"/>
              </w:rPr>
            </w:pPr>
            <w:r>
              <w:rPr>
                <w:color w:val="231F20"/>
                <w:spacing w:val="-1"/>
                <w:w w:val="84"/>
                <w:position w:val="-2"/>
              </w:rPr>
              <w:t>4</w:t>
            </w:r>
            <w:r>
              <w:rPr>
                <w:sz w:val="9"/>
                <w:szCs w:val="9"/>
                <w:color w:val="231F20"/>
                <w:spacing w:val="-4"/>
                <w:position w:val="3"/>
              </w:rPr>
              <w:t>ab</w:t>
            </w:r>
          </w:p>
        </w:tc>
      </w:tr>
      <w:tr>
        <w:trPr>
          <w:trHeight w:val="505" w:hRule="atLeast"/>
        </w:trPr>
        <w:tc>
          <w:tcPr>
            <w:tcW w:w="95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0"/>
              <w:spacing w:before="63" w:line="175" w:lineRule="auto"/>
              <w:rPr/>
            </w:pPr>
            <w:r>
              <w:rPr>
                <w:color w:val="231F20"/>
                <w:spacing w:val="5"/>
              </w:rPr>
              <w:t>对照组</w:t>
            </w:r>
          </w:p>
        </w:tc>
        <w:tc>
          <w:tcPr>
            <w:tcW w:w="110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53"/>
              <w:spacing w:before="55" w:line="217" w:lineRule="auto"/>
              <w:rPr/>
            </w:pPr>
            <w:r>
              <w:rPr>
                <w:color w:val="231F20"/>
                <w:spacing w:val="-8"/>
              </w:rPr>
              <w:t>45</w:t>
            </w:r>
          </w:p>
        </w:tc>
        <w:tc>
          <w:tcPr>
            <w:tcW w:w="98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7"/>
              <w:spacing w:before="60" w:line="179" w:lineRule="auto"/>
              <w:rPr/>
            </w:pPr>
            <w:r>
              <w:rPr>
                <w:color w:val="231F20"/>
                <w:spacing w:val="4"/>
              </w:rPr>
              <w:t>治疗前</w:t>
            </w:r>
          </w:p>
          <w:p>
            <w:pPr>
              <w:pStyle w:val="TableText"/>
              <w:ind w:left="327"/>
              <w:spacing w:before="57" w:line="172" w:lineRule="auto"/>
              <w:rPr/>
            </w:pPr>
            <w:r>
              <w:rPr>
                <w:color w:val="231F20"/>
                <w:spacing w:val="4"/>
              </w:rPr>
              <w:t>治疗后</w:t>
            </w:r>
          </w:p>
        </w:tc>
        <w:tc>
          <w:tcPr>
            <w:tcW w:w="142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30"/>
              <w:spacing w:before="56" w:line="218" w:lineRule="auto"/>
              <w:rPr/>
            </w:pPr>
            <w:r>
              <w:rPr>
                <w:color w:val="231F20"/>
              </w:rPr>
              <w:t>4</w:t>
            </w:r>
          </w:p>
          <w:p>
            <w:pPr>
              <w:pStyle w:val="TableText"/>
              <w:ind w:left="714"/>
              <w:spacing w:before="2" w:line="189" w:lineRule="auto"/>
              <w:rPr>
                <w:sz w:val="9"/>
                <w:szCs w:val="9"/>
              </w:rPr>
            </w:pPr>
            <w:r>
              <w:rPr>
                <w:color w:val="231F20"/>
                <w:spacing w:val="-19"/>
                <w:position w:val="-1"/>
              </w:rPr>
              <w:t>3</w:t>
            </w:r>
            <w:r>
              <w:rPr>
                <w:sz w:val="9"/>
                <w:szCs w:val="9"/>
                <w:color w:val="231F20"/>
                <w:position w:val="4"/>
              </w:rPr>
              <w:t>a</w:t>
            </w:r>
          </w:p>
        </w:tc>
        <w:tc>
          <w:tcPr>
            <w:tcW w:w="96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43"/>
              <w:spacing w:before="55" w:line="217" w:lineRule="auto"/>
              <w:rPr/>
            </w:pPr>
            <w:r>
              <w:rPr>
                <w:color w:val="231F20"/>
              </w:rPr>
              <w:t>6</w:t>
            </w:r>
          </w:p>
          <w:p>
            <w:pPr>
              <w:pStyle w:val="TableText"/>
              <w:ind w:left="423"/>
              <w:spacing w:before="4" w:line="189" w:lineRule="auto"/>
              <w:rPr>
                <w:sz w:val="9"/>
                <w:szCs w:val="9"/>
              </w:rPr>
            </w:pPr>
            <w:r>
              <w:rPr>
                <w:color w:val="231F20"/>
                <w:spacing w:val="-19"/>
                <w:position w:val="-1"/>
              </w:rPr>
              <w:t>3</w:t>
            </w:r>
            <w:r>
              <w:rPr>
                <w:sz w:val="9"/>
                <w:szCs w:val="9"/>
                <w:color w:val="231F20"/>
                <w:position w:val="4"/>
              </w:rPr>
              <w:t>a</w:t>
            </w:r>
          </w:p>
        </w:tc>
        <w:tc>
          <w:tcPr>
            <w:tcW w:w="97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60"/>
              <w:spacing w:before="55" w:line="217" w:lineRule="auto"/>
              <w:rPr/>
            </w:pPr>
            <w:r>
              <w:rPr>
                <w:color w:val="231F20"/>
              </w:rPr>
              <w:t>3</w:t>
            </w:r>
          </w:p>
          <w:p>
            <w:pPr>
              <w:pStyle w:val="TableText"/>
              <w:ind w:left="436"/>
              <w:spacing w:before="4" w:line="189" w:lineRule="auto"/>
              <w:rPr>
                <w:sz w:val="9"/>
                <w:szCs w:val="9"/>
              </w:rPr>
            </w:pPr>
            <w:r>
              <w:rPr>
                <w:color w:val="231F20"/>
                <w:spacing w:val="-15"/>
                <w:w w:val="97"/>
                <w:position w:val="-1"/>
              </w:rPr>
              <w:t>2</w:t>
            </w:r>
            <w:r>
              <w:rPr>
                <w:sz w:val="9"/>
                <w:szCs w:val="9"/>
                <w:color w:val="231F20"/>
                <w:position w:val="4"/>
              </w:rPr>
              <w:t>a</w:t>
            </w:r>
          </w:p>
        </w:tc>
        <w:tc>
          <w:tcPr>
            <w:tcW w:w="136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13"/>
              <w:spacing w:before="55" w:line="217" w:lineRule="auto"/>
              <w:rPr/>
            </w:pPr>
            <w:r>
              <w:rPr>
                <w:color w:val="231F20"/>
              </w:rPr>
              <w:t>6</w:t>
            </w:r>
          </w:p>
          <w:p>
            <w:pPr>
              <w:pStyle w:val="TableText"/>
              <w:ind w:left="594"/>
              <w:spacing w:before="4" w:line="189" w:lineRule="auto"/>
              <w:rPr>
                <w:sz w:val="9"/>
                <w:szCs w:val="9"/>
              </w:rPr>
            </w:pPr>
            <w:r>
              <w:rPr>
                <w:color w:val="231F20"/>
                <w:spacing w:val="-19"/>
                <w:position w:val="-1"/>
              </w:rPr>
              <w:t>3</w:t>
            </w:r>
            <w:r>
              <w:rPr>
                <w:sz w:val="9"/>
                <w:szCs w:val="9"/>
                <w:color w:val="231F20"/>
                <w:position w:val="4"/>
              </w:rPr>
              <w:t>a</w:t>
            </w:r>
          </w:p>
        </w:tc>
        <w:tc>
          <w:tcPr>
            <w:tcW w:w="89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4"/>
              <w:spacing w:before="56" w:line="218" w:lineRule="auto"/>
              <w:rPr/>
            </w:pPr>
            <w:r>
              <w:rPr>
                <w:color w:val="231F20"/>
                <w:spacing w:val="-9"/>
              </w:rPr>
              <w:t>24</w:t>
            </w:r>
          </w:p>
          <w:p>
            <w:pPr>
              <w:pStyle w:val="TableText"/>
              <w:ind w:left="325"/>
              <w:spacing w:before="2" w:line="189" w:lineRule="auto"/>
              <w:rPr>
                <w:sz w:val="9"/>
                <w:szCs w:val="9"/>
              </w:rPr>
            </w:pPr>
            <w:r>
              <w:rPr>
                <w:color w:val="231F20"/>
                <w:spacing w:val="-21"/>
                <w:position w:val="-1"/>
              </w:rPr>
              <w:t>12</w:t>
            </w:r>
            <w:r>
              <w:rPr>
                <w:sz w:val="9"/>
                <w:szCs w:val="9"/>
                <w:color w:val="231F20"/>
                <w:position w:val="5"/>
              </w:rPr>
              <w:t>a</w:t>
            </w:r>
          </w:p>
        </w:tc>
        <w:tc>
          <w:tcPr>
            <w:tcW w:w="96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13"/>
              <w:spacing w:before="56" w:line="218" w:lineRule="auto"/>
              <w:rPr/>
            </w:pPr>
            <w:r>
              <w:rPr>
                <w:color w:val="231F20"/>
                <w:spacing w:val="-9"/>
              </w:rPr>
              <w:t>22</w:t>
            </w:r>
          </w:p>
          <w:p>
            <w:pPr>
              <w:pStyle w:val="TableText"/>
              <w:ind w:left="404"/>
              <w:spacing w:before="2" w:line="189" w:lineRule="auto"/>
              <w:rPr>
                <w:sz w:val="9"/>
                <w:szCs w:val="9"/>
              </w:rPr>
            </w:pPr>
            <w:r>
              <w:rPr>
                <w:color w:val="231F20"/>
                <w:spacing w:val="-15"/>
                <w:w w:val="94"/>
                <w:position w:val="-1"/>
              </w:rPr>
              <w:t>14</w:t>
            </w:r>
            <w:r>
              <w:rPr>
                <w:sz w:val="9"/>
                <w:szCs w:val="9"/>
                <w:color w:val="231F20"/>
                <w:position w:val="5"/>
              </w:rPr>
              <w:t>a</w:t>
            </w:r>
          </w:p>
        </w:tc>
      </w:tr>
    </w:tbl>
    <w:p>
      <w:pPr>
        <w:ind w:left="873"/>
        <w:spacing w:before="63" w:line="22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注：与本组治疗前比较，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7"/>
          <w:position w:val="6"/>
        </w:rPr>
        <w:t>a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7"/>
        </w:rPr>
        <w:t>P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&lt;0.05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，与对照组治疗后比较，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7"/>
          <w:position w:val="6"/>
        </w:rPr>
        <w:t>b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7"/>
        </w:rPr>
        <w:t>P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&lt;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0.05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ind w:left="4254"/>
        <w:spacing w:before="65" w:line="208" w:lineRule="auto"/>
        <w:outlineLvl w:val="1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  <w:w w:val="101"/>
        </w:rPr>
        <w:t xml:space="preserve">   </w:t>
      </w:r>
      <w:r>
        <w:rPr>
          <w:rFonts w:ascii="SimHei" w:hAnsi="SimHei" w:eastAsia="SimHei" w:cs="SimHei"/>
          <w:sz w:val="15"/>
          <w:szCs w:val="15"/>
          <w:color w:val="231F20"/>
        </w:rPr>
        <w:t>两组支原体、衣原体清除率比较</w:t>
      </w:r>
    </w:p>
    <w:p>
      <w:pPr>
        <w:spacing w:line="33" w:lineRule="exact"/>
        <w:rPr/>
      </w:pPr>
      <w:r/>
    </w:p>
    <w:tbl>
      <w:tblPr>
        <w:tblStyle w:val="TableNormal"/>
        <w:tblW w:w="9626" w:type="dxa"/>
        <w:tblInd w:w="7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99"/>
        <w:gridCol w:w="2223"/>
        <w:gridCol w:w="2139"/>
        <w:gridCol w:w="1857"/>
        <w:gridCol w:w="2108"/>
      </w:tblGrid>
      <w:tr>
        <w:trPr>
          <w:trHeight w:val="246" w:hRule="atLeast"/>
        </w:trPr>
        <w:tc>
          <w:tcPr>
            <w:tcW w:w="129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before="49" w:line="174" w:lineRule="auto"/>
              <w:rPr/>
            </w:pPr>
            <w:r>
              <w:rPr>
                <w:color w:val="231F20"/>
                <w:spacing w:val="3"/>
              </w:rPr>
              <w:t>组别</w:t>
            </w:r>
          </w:p>
        </w:tc>
        <w:tc>
          <w:tcPr>
            <w:tcW w:w="222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18"/>
              <w:spacing w:before="48" w:line="175" w:lineRule="auto"/>
              <w:rPr/>
            </w:pPr>
            <w:r>
              <w:rPr>
                <w:color w:val="231F20"/>
                <w:spacing w:val="6"/>
              </w:rPr>
              <w:t>支原体转阴数</w:t>
            </w:r>
          </w:p>
        </w:tc>
        <w:tc>
          <w:tcPr>
            <w:tcW w:w="213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67"/>
              <w:spacing w:before="45" w:line="178" w:lineRule="auto"/>
              <w:rPr/>
            </w:pPr>
            <w:r>
              <w:rPr>
                <w:color w:val="231F20"/>
                <w:spacing w:val="-4"/>
              </w:rPr>
              <w:t>支原体清除率（%）</w:t>
            </w:r>
          </w:p>
        </w:tc>
        <w:tc>
          <w:tcPr>
            <w:tcW w:w="185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50"/>
              <w:spacing w:before="48" w:line="175" w:lineRule="auto"/>
              <w:rPr/>
            </w:pPr>
            <w:r>
              <w:rPr>
                <w:color w:val="231F20"/>
                <w:spacing w:val="6"/>
              </w:rPr>
              <w:t>衣原体转阴数</w:t>
            </w:r>
          </w:p>
        </w:tc>
        <w:tc>
          <w:tcPr>
            <w:tcW w:w="210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69"/>
              <w:spacing w:before="45" w:line="178" w:lineRule="auto"/>
              <w:rPr/>
            </w:pPr>
            <w:r>
              <w:rPr>
                <w:color w:val="231F20"/>
                <w:spacing w:val="-4"/>
              </w:rPr>
              <w:t>衣原体清除率（%）</w:t>
            </w:r>
          </w:p>
        </w:tc>
      </w:tr>
      <w:tr>
        <w:trPr>
          <w:trHeight w:val="243" w:hRule="atLeast"/>
        </w:trPr>
        <w:tc>
          <w:tcPr>
            <w:tcW w:w="12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"/>
              <w:spacing w:before="49" w:line="171" w:lineRule="auto"/>
              <w:rPr/>
            </w:pPr>
            <w:r>
              <w:rPr>
                <w:color w:val="231F20"/>
                <w:spacing w:val="4"/>
              </w:rPr>
              <w:t>观察组</w:t>
            </w:r>
          </w:p>
        </w:tc>
        <w:tc>
          <w:tcPr>
            <w:tcW w:w="22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15"/>
              <w:spacing w:before="45" w:line="175" w:lineRule="auto"/>
              <w:rPr/>
            </w:pPr>
            <w:r>
              <w:rPr>
                <w:color w:val="231F20"/>
                <w:spacing w:val="-9"/>
              </w:rPr>
              <w:t>22</w:t>
            </w:r>
          </w:p>
        </w:tc>
        <w:tc>
          <w:tcPr>
            <w:tcW w:w="21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60"/>
              <w:spacing w:before="45" w:line="175" w:lineRule="auto"/>
              <w:rPr/>
            </w:pPr>
            <w:r>
              <w:rPr>
                <w:color w:val="231F20"/>
                <w:spacing w:val="-16"/>
              </w:rPr>
              <w:t>88.00（22/25）</w:t>
            </w:r>
          </w:p>
        </w:tc>
        <w:tc>
          <w:tcPr>
            <w:tcW w:w="18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60"/>
              <w:spacing w:before="45" w:line="175" w:lineRule="auto"/>
              <w:rPr/>
            </w:pPr>
            <w:r>
              <w:rPr>
                <w:color w:val="231F20"/>
                <w:spacing w:val="-15"/>
              </w:rPr>
              <w:t>15</w:t>
            </w:r>
          </w:p>
        </w:tc>
        <w:tc>
          <w:tcPr>
            <w:tcW w:w="21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57"/>
              <w:spacing w:before="45" w:line="175" w:lineRule="auto"/>
              <w:rPr/>
            </w:pPr>
            <w:r>
              <w:rPr>
                <w:color w:val="231F20"/>
                <w:spacing w:val="-15"/>
              </w:rPr>
              <w:t>78.95（15/19）</w:t>
            </w:r>
          </w:p>
        </w:tc>
      </w:tr>
      <w:tr>
        <w:trPr>
          <w:trHeight w:val="246" w:hRule="atLeast"/>
        </w:trPr>
        <w:tc>
          <w:tcPr>
            <w:tcW w:w="1299" w:type="dxa"/>
            <w:vAlign w:val="top"/>
          </w:tcPr>
          <w:p>
            <w:pPr>
              <w:pStyle w:val="TableText"/>
              <w:ind w:left="20"/>
              <w:spacing w:before="59" w:line="165" w:lineRule="auto"/>
              <w:rPr/>
            </w:pPr>
            <w:r>
              <w:rPr>
                <w:color w:val="231F20"/>
                <w:spacing w:val="5"/>
              </w:rPr>
              <w:t>对照组</w:t>
            </w:r>
          </w:p>
        </w:tc>
        <w:tc>
          <w:tcPr>
            <w:tcW w:w="2223" w:type="dxa"/>
            <w:vAlign w:val="top"/>
          </w:tcPr>
          <w:p>
            <w:pPr>
              <w:pStyle w:val="TableText"/>
              <w:ind w:left="1227"/>
              <w:spacing w:before="52" w:line="171" w:lineRule="auto"/>
              <w:rPr/>
            </w:pPr>
            <w:r>
              <w:rPr>
                <w:color w:val="231F20"/>
                <w:spacing w:val="-15"/>
              </w:rPr>
              <w:t>12</w:t>
            </w:r>
          </w:p>
        </w:tc>
        <w:tc>
          <w:tcPr>
            <w:tcW w:w="2139" w:type="dxa"/>
            <w:vAlign w:val="top"/>
          </w:tcPr>
          <w:p>
            <w:pPr>
              <w:pStyle w:val="TableText"/>
              <w:ind w:left="656"/>
              <w:spacing w:before="52" w:line="171" w:lineRule="auto"/>
              <w:rPr/>
            </w:pPr>
            <w:r>
              <w:rPr>
                <w:color w:val="231F20"/>
                <w:spacing w:val="-15"/>
              </w:rPr>
              <w:t>50.00（12/24）</w:t>
            </w:r>
          </w:p>
        </w:tc>
        <w:tc>
          <w:tcPr>
            <w:tcW w:w="1857" w:type="dxa"/>
            <w:vAlign w:val="top"/>
          </w:tcPr>
          <w:p>
            <w:pPr>
              <w:pStyle w:val="TableText"/>
              <w:ind w:left="893"/>
              <w:spacing w:before="52" w:line="171" w:lineRule="auto"/>
              <w:rPr/>
            </w:pPr>
            <w:r>
              <w:rPr>
                <w:color w:val="231F20"/>
              </w:rPr>
              <w:t>8</w:t>
            </w:r>
          </w:p>
        </w:tc>
        <w:tc>
          <w:tcPr>
            <w:tcW w:w="2108" w:type="dxa"/>
            <w:vAlign w:val="top"/>
          </w:tcPr>
          <w:p>
            <w:pPr>
              <w:pStyle w:val="TableText"/>
              <w:ind w:left="699"/>
              <w:spacing w:before="52" w:line="171" w:lineRule="auto"/>
              <w:rPr/>
            </w:pPr>
            <w:r>
              <w:rPr>
                <w:color w:val="231F20"/>
                <w:spacing w:val="-16"/>
              </w:rPr>
              <w:t>36.36（8/22）</w:t>
            </w:r>
          </w:p>
        </w:tc>
      </w:tr>
      <w:tr>
        <w:trPr>
          <w:trHeight w:val="256" w:hRule="atLeast"/>
        </w:trPr>
        <w:tc>
          <w:tcPr>
            <w:tcW w:w="1299" w:type="dxa"/>
            <w:vAlign w:val="top"/>
          </w:tcPr>
          <w:p>
            <w:pPr>
              <w:pStyle w:val="TableText"/>
              <w:ind w:left="22"/>
              <w:spacing w:before="43" w:line="189" w:lineRule="auto"/>
              <w:rPr/>
            </w:pPr>
            <w:r>
              <w:rPr>
                <w:color w:val="231F20"/>
                <w:w w:val="91"/>
                <w:position w:val="-1"/>
              </w:rPr>
              <w:t>χ</w:t>
            </w:r>
            <w:r>
              <w:rPr>
                <w:sz w:val="9"/>
                <w:szCs w:val="9"/>
                <w:color w:val="231F20"/>
                <w:spacing w:val="-1"/>
                <w:position w:val="4"/>
              </w:rPr>
              <w:t>2</w:t>
            </w:r>
            <w:r>
              <w:rPr>
                <w:sz w:val="9"/>
                <w:szCs w:val="9"/>
                <w:color w:val="231F20"/>
                <w:spacing w:val="-6"/>
                <w:position w:val="4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值</w:t>
            </w:r>
          </w:p>
        </w:tc>
        <w:tc>
          <w:tcPr>
            <w:tcW w:w="22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9" w:type="dxa"/>
            <w:vAlign w:val="top"/>
          </w:tcPr>
          <w:p>
            <w:pPr>
              <w:pStyle w:val="TableText"/>
              <w:ind w:left="920"/>
              <w:spacing w:before="57" w:line="176" w:lineRule="auto"/>
              <w:rPr/>
            </w:pPr>
            <w:r>
              <w:rPr>
                <w:color w:val="231F20"/>
                <w:spacing w:val="-9"/>
              </w:rPr>
              <w:t>8.324</w:t>
            </w:r>
          </w:p>
        </w:tc>
        <w:tc>
          <w:tcPr>
            <w:tcW w:w="18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8" w:type="dxa"/>
            <w:vAlign w:val="top"/>
          </w:tcPr>
          <w:p>
            <w:pPr>
              <w:pStyle w:val="TableText"/>
              <w:ind w:left="917"/>
              <w:spacing w:before="57" w:line="176" w:lineRule="auto"/>
              <w:rPr/>
            </w:pPr>
            <w:r>
              <w:rPr>
                <w:color w:val="231F20"/>
                <w:spacing w:val="-8"/>
              </w:rPr>
              <w:t>7.507</w:t>
            </w:r>
          </w:p>
        </w:tc>
      </w:tr>
      <w:tr>
        <w:trPr>
          <w:trHeight w:val="250" w:hRule="atLeast"/>
        </w:trPr>
        <w:tc>
          <w:tcPr>
            <w:tcW w:w="129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"/>
              <w:spacing w:before="54" w:line="173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0"/>
              </w:rPr>
              <w:t>P</w:t>
            </w:r>
            <w:r>
              <w:rPr>
                <w:color w:val="231F20"/>
                <w:spacing w:val="10"/>
              </w:rPr>
              <w:t>值</w:t>
            </w:r>
          </w:p>
        </w:tc>
        <w:tc>
          <w:tcPr>
            <w:tcW w:w="2223" w:type="dxa"/>
            <w:vAlign w:val="top"/>
            <w:tcBorders>
              <w:bottom w:val="single" w:color="231F20" w:sz="4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13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15"/>
              <w:spacing w:before="51" w:line="176" w:lineRule="auto"/>
              <w:rPr/>
            </w:pPr>
            <w:r>
              <w:rPr>
                <w:color w:val="231F20"/>
                <w:spacing w:val="-8"/>
              </w:rPr>
              <w:t>0.004</w:t>
            </w:r>
          </w:p>
        </w:tc>
        <w:tc>
          <w:tcPr>
            <w:tcW w:w="1857" w:type="dxa"/>
            <w:vAlign w:val="top"/>
            <w:tcBorders>
              <w:bottom w:val="single" w:color="231F20" w:sz="4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10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17"/>
              <w:spacing w:before="51" w:line="176" w:lineRule="auto"/>
              <w:rPr/>
            </w:pPr>
            <w:r>
              <w:rPr>
                <w:color w:val="231F20"/>
                <w:spacing w:val="-8"/>
              </w:rPr>
              <w:t>0.006</w:t>
            </w:r>
          </w:p>
        </w:tc>
      </w:tr>
    </w:tbl>
    <w:p>
      <w:pPr>
        <w:spacing w:line="269" w:lineRule="auto"/>
        <w:rPr>
          <w:rFonts w:ascii="Arial"/>
          <w:sz w:val="21"/>
        </w:rPr>
      </w:pPr>
      <w:r/>
    </w:p>
    <w:p>
      <w:pPr>
        <w:ind w:left="837"/>
        <w:spacing w:before="74" w:line="177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>44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 xml:space="preserve">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8"/>
        </w:rPr>
        <w:t>系统医学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SYSTEMS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MEDICINE</w:t>
      </w:r>
    </w:p>
    <w:p>
      <w:pPr>
        <w:spacing w:line="177" w:lineRule="exact"/>
        <w:sectPr>
          <w:type w:val="continuous"/>
          <w:pgSz w:w="11906" w:h="16838"/>
          <w:pgMar w:top="1139" w:right="1085" w:bottom="547" w:left="407" w:header="777" w:footer="354" w:gutter="0"/>
          <w:cols w:equalWidth="0" w:num="1">
            <w:col w:w="10412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line="221" w:lineRule="exact"/>
        <w:rPr/>
      </w:pPr>
      <w:r/>
    </w:p>
    <w:p>
      <w:pPr>
        <w:spacing w:line="221" w:lineRule="exact"/>
        <w:sectPr>
          <w:headerReference w:type="default" r:id="rId5"/>
          <w:footerReference w:type="default" r:id="rId2"/>
          <w:pgSz w:w="11906" w:h="16838"/>
          <w:pgMar w:top="1139" w:right="1070" w:bottom="547" w:left="407" w:header="777" w:footer="354" w:gutter="0"/>
          <w:cols w:equalWidth="0" w:num="1">
            <w:col w:w="10427" w:space="0"/>
          </w:cols>
        </w:sectPr>
        <w:rPr/>
      </w:pPr>
    </w:p>
    <w:p>
      <w:pPr>
        <w:pStyle w:val="BodyText"/>
        <w:ind w:left="712" w:right="124" w:firstLine="7"/>
        <w:spacing w:before="74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大多为突发，细菌培养与药敏实验无法在短时间内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获得准确结果，抗菌药物的使用多为经验性选用抗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生素治疗，然而可造成急性盆腔炎感染的病原菌种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类和数量均较多，抗生素的选择不同对治疗效果也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会有影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，而且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治疗效果不稳定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、易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发</w:t>
      </w:r>
      <w:r>
        <w:rPr>
          <w:sz w:val="12"/>
          <w:szCs w:val="12"/>
          <w:color w:val="231F20"/>
          <w:position w:val="7"/>
        </w:rPr>
        <w:t>[11]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。头孢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唑林可用于呼吸道、泌尿生殖系统等部位的敏感菌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感染，奥硝唑也常用于治疗妇科疾病，可考虑二者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联用</w:t>
      </w:r>
      <w:r>
        <w:rPr>
          <w:sz w:val="12"/>
          <w:szCs w:val="12"/>
          <w:color w:val="231F20"/>
          <w:spacing w:val="3"/>
          <w:position w:val="7"/>
        </w:rPr>
        <w:t>[12]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中医将急性盆腔炎归属于“带下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”“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癓瘕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等范围，血瘀气滞，则腹痛带下，因此其主要病机为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湿热瘀结，治疗主要是清热活血，有研究表明，使用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果</w:t>
      </w:r>
      <w:r>
        <w:rPr>
          <w:sz w:val="12"/>
          <w:szCs w:val="12"/>
          <w:color w:val="231F20"/>
          <w:spacing w:val="-4"/>
          <w:position w:val="7"/>
        </w:rPr>
        <w:t>[13]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降钙素原是细菌内毒素敏感的一种新型炎性标志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物，当机体感染后短时间内升高，感染后 </w:t>
      </w:r>
      <w:r>
        <w:rPr>
          <w:sz w:val="20"/>
          <w:szCs w:val="20"/>
          <w:color w:val="231F20"/>
          <w:spacing w:val="5"/>
        </w:rPr>
        <w:t>12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h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达峰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值</w:t>
      </w:r>
      <w:r>
        <w:rPr>
          <w:sz w:val="12"/>
          <w:szCs w:val="12"/>
          <w:color w:val="231F20"/>
          <w:position w:val="7"/>
        </w:rPr>
        <w:t>[14]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。急性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急性期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者体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内 </w:t>
      </w:r>
      <w:r>
        <w:rPr>
          <w:sz w:val="20"/>
          <w:szCs w:val="20"/>
          <w:color w:val="231F20"/>
        </w:rPr>
        <w:t>CRP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含量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正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常人高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position w:val="-1"/>
        </w:rPr>
        <w:t xml:space="preserve"> </w:t>
      </w:r>
      <w:r>
        <w:rPr>
          <w:sz w:val="20"/>
          <w:szCs w:val="20"/>
          <w:color w:val="231F20"/>
          <w:spacing w:val="2"/>
          <w:position w:val="-1"/>
        </w:rPr>
        <w:t>3~5</w:t>
      </w:r>
      <w:r>
        <w:rPr>
          <w:sz w:val="20"/>
          <w:szCs w:val="20"/>
          <w:color w:val="231F20"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倍</w:t>
      </w:r>
      <w:r>
        <w:rPr>
          <w:sz w:val="12"/>
          <w:szCs w:val="12"/>
          <w:color w:val="231F20"/>
          <w:spacing w:val="2"/>
          <w:position w:val="6"/>
        </w:rPr>
        <w:t>[15]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。</w:t>
      </w:r>
    </w:p>
    <w:p>
      <w:pPr>
        <w:pStyle w:val="BodyText"/>
        <w:ind w:left="714" w:right="260" w:firstLine="412"/>
        <w:spacing w:before="1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本研究结果表明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，患者主要为支原体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、衣原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、加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菌</w:t>
      </w:r>
      <w:r>
        <w:rPr>
          <w:sz w:val="20"/>
          <w:szCs w:val="20"/>
          <w:color w:val="231F20"/>
          <w:spacing w:val="-9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5"/>
        </w:rPr>
        <w:t>P</w:t>
      </w:r>
      <w:r>
        <w:rPr>
          <w:sz w:val="20"/>
          <w:szCs w:val="20"/>
          <w:color w:val="231F20"/>
          <w:spacing w:val="-5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4"/>
          <w:w w:val="9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为 </w:t>
      </w:r>
      <w:r>
        <w:rPr>
          <w:sz w:val="20"/>
          <w:szCs w:val="20"/>
          <w:color w:val="231F20"/>
          <w:spacing w:val="-5"/>
        </w:rPr>
        <w:t>100.0%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对米诺环素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、交沙霉素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、阿奇霉素的敏感率均大于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4"/>
        </w:rPr>
        <w:t>80.00%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等</w:t>
      </w:r>
      <w:r>
        <w:rPr>
          <w:sz w:val="12"/>
          <w:szCs w:val="12"/>
          <w:color w:val="231F20"/>
          <w:spacing w:val="-4"/>
          <w:position w:val="7"/>
        </w:rPr>
        <w:t>[8]</w:t>
      </w:r>
      <w:r>
        <w:rPr>
          <w:sz w:val="12"/>
          <w:szCs w:val="12"/>
          <w:color w:val="231F20"/>
          <w:spacing w:val="19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似 。本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率 </w:t>
      </w:r>
      <w:r>
        <w:rPr>
          <w:sz w:val="20"/>
          <w:szCs w:val="20"/>
          <w:color w:val="231F20"/>
          <w:spacing w:val="-8"/>
        </w:rPr>
        <w:t>88.00%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、衣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78.95%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于对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照组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的 </w:t>
      </w:r>
      <w:r>
        <w:rPr>
          <w:sz w:val="20"/>
          <w:szCs w:val="20"/>
          <w:color w:val="231F20"/>
          <w:spacing w:val="-2"/>
        </w:rPr>
        <w:t>50.00%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</w:t>
      </w:r>
      <w:r>
        <w:rPr>
          <w:sz w:val="20"/>
          <w:szCs w:val="20"/>
          <w:color w:val="231F20"/>
          <w:spacing w:val="-2"/>
        </w:rPr>
        <w:t>36.36%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"/>
        </w:rPr>
        <w:t>P</w:t>
      </w:r>
      <w:r>
        <w:rPr>
          <w:sz w:val="20"/>
          <w:szCs w:val="20"/>
          <w:color w:val="231F20"/>
          <w:spacing w:val="-2"/>
        </w:rPr>
        <w:t>&lt;0</w:t>
      </w:r>
      <w:r>
        <w:rPr>
          <w:sz w:val="20"/>
          <w:szCs w:val="20"/>
          <w:color w:val="231F20"/>
          <w:spacing w:val="-3"/>
        </w:rPr>
        <w:t>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与</w:t>
      </w:r>
    </w:p>
    <w:p>
      <w:pPr>
        <w:spacing w:line="2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49" w:line="21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等</w:t>
      </w:r>
      <w:r>
        <w:rPr>
          <w:sz w:val="12"/>
          <w:szCs w:val="12"/>
          <w:color w:val="231F20"/>
          <w:spacing w:val="-6"/>
          <w:position w:val="7"/>
        </w:rPr>
        <w:t>[15]</w:t>
      </w:r>
      <w:r>
        <w:rPr>
          <w:sz w:val="12"/>
          <w:szCs w:val="12"/>
          <w:color w:val="231F20"/>
          <w:spacing w:val="12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果“治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的 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治疗前（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2"/>
        </w:rPr>
        <w:t>P</w:t>
      </w:r>
      <w:r>
        <w:rPr>
          <w:sz w:val="20"/>
          <w:szCs w:val="20"/>
          <w:color w:val="231F20"/>
          <w:spacing w:val="-12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）”相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似；本研究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中，治疗后，观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察 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CRP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及 降 钙 素 原 水 平 均 低 于 对 照 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5"/>
        </w:rPr>
        <w:t>P</w:t>
      </w:r>
      <w:r>
        <w:rPr>
          <w:sz w:val="20"/>
          <w:szCs w:val="20"/>
          <w:color w:val="231F20"/>
          <w:spacing w:val="-5"/>
        </w:rPr>
        <w:t>&lt;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6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5"/>
          <w:w w:val="9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敏</w:t>
      </w:r>
      <w:r>
        <w:rPr>
          <w:sz w:val="12"/>
          <w:szCs w:val="12"/>
          <w:color w:val="231F20"/>
          <w:spacing w:val="-6"/>
          <w:position w:val="7"/>
        </w:rPr>
        <w:t>[3]</w:t>
      </w:r>
      <w:r>
        <w:rPr>
          <w:sz w:val="12"/>
          <w:szCs w:val="12"/>
          <w:color w:val="231F20"/>
          <w:spacing w:val="15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果“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组 </w:t>
      </w:r>
      <w:r>
        <w:rPr>
          <w:sz w:val="20"/>
          <w:szCs w:val="20"/>
          <w:color w:val="231F20"/>
          <w:spacing w:val="-6"/>
        </w:rPr>
        <w:t>CRP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2"/>
        </w:rPr>
        <w:t>P</w:t>
      </w:r>
      <w:r>
        <w:rPr>
          <w:sz w:val="20"/>
          <w:szCs w:val="20"/>
          <w:color w:val="231F20"/>
          <w:spacing w:val="-12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）”相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，与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颖</w:t>
      </w:r>
      <w:r>
        <w:rPr>
          <w:sz w:val="12"/>
          <w:szCs w:val="12"/>
          <w:color w:val="231F20"/>
          <w:spacing w:val="-12"/>
          <w:position w:val="8"/>
        </w:rPr>
        <w:t>[1]</w:t>
      </w:r>
      <w:r>
        <w:rPr>
          <w:sz w:val="12"/>
          <w:szCs w:val="12"/>
          <w:color w:val="231F20"/>
          <w:position w:val="8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的研究结果“治疗后两组患者血清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水平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下降，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率 </w:t>
      </w:r>
      <w:r>
        <w:rPr>
          <w:sz w:val="20"/>
          <w:szCs w:val="20"/>
          <w:color w:val="231F20"/>
          <w:spacing w:val="-5"/>
        </w:rPr>
        <w:t>93.33%</w:t>
      </w:r>
      <w:r>
        <w:rPr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组 的 </w:t>
      </w:r>
      <w:r>
        <w:rPr>
          <w:sz w:val="20"/>
          <w:szCs w:val="20"/>
          <w:color w:val="231F20"/>
          <w:spacing w:val="-13"/>
        </w:rPr>
        <w:t>75.56%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3"/>
        </w:rPr>
        <w:t>P</w:t>
      </w:r>
      <w:r>
        <w:rPr>
          <w:sz w:val="20"/>
          <w:szCs w:val="20"/>
          <w:color w:val="231F20"/>
          <w:spacing w:val="-13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）”相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；本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究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，观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率 </w:t>
      </w:r>
      <w:r>
        <w:rPr>
          <w:sz w:val="20"/>
          <w:szCs w:val="20"/>
          <w:color w:val="231F20"/>
          <w:spacing w:val="-3"/>
        </w:rPr>
        <w:t>93.33%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组 的 </w:t>
      </w:r>
      <w:r>
        <w:rPr>
          <w:sz w:val="20"/>
          <w:szCs w:val="20"/>
          <w:color w:val="231F20"/>
          <w:spacing w:val="-3"/>
        </w:rPr>
        <w:t>75.56</w:t>
      </w:r>
      <w:r>
        <w:rPr>
          <w:sz w:val="20"/>
          <w:szCs w:val="20"/>
          <w:color w:val="231F20"/>
          <w:spacing w:val="-4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4"/>
        </w:rPr>
        <w:t>P</w:t>
      </w:r>
      <w:r>
        <w:rPr>
          <w:sz w:val="20"/>
          <w:szCs w:val="20"/>
          <w:color w:val="231F20"/>
          <w:spacing w:val="-4"/>
        </w:rPr>
        <w:t>&lt;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9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6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张华</w:t>
      </w:r>
      <w:r>
        <w:rPr>
          <w:sz w:val="12"/>
          <w:szCs w:val="12"/>
          <w:color w:val="231F20"/>
          <w:spacing w:val="9"/>
          <w:position w:val="7"/>
        </w:rPr>
        <w:t>[5]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的研究结果“观察组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总有效率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</w:rPr>
        <w:t>P</w:t>
      </w:r>
      <w:r>
        <w:rPr>
          <w:sz w:val="20"/>
          <w:szCs w:val="20"/>
          <w:color w:val="231F20"/>
          <w:spacing w:val="-10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）”相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似 。对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的检验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，能有效明确致病菌的类别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。在确定患者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病原菌分布情况后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，以药敏试验结果选用抗生素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能够增强药物的针对性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，增强治疗效果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中药灌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者 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，局部吸收快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，药效发挥快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，能够促进盆腔组织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的血液循环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，减少炎症反应与疼痛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。微波理疗可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以加快患者的血液循环，促进炎症的吸收，促进药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了 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的治疗效果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</w:t>
      </w:r>
    </w:p>
    <w:p>
      <w:pPr>
        <w:ind w:left="1" w:right="82" w:firstLine="409"/>
        <w:spacing w:before="1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综上所述，以药敏试验结果选用抗生素可提高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治疗的有效性与支原体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、衣原体清除率，能改善菌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群分布，降低炎症因子水平，应用价值较高。</w:t>
      </w:r>
    </w:p>
    <w:p>
      <w:pPr>
        <w:spacing w:line="224" w:lineRule="auto"/>
        <w:sectPr>
          <w:type w:val="continuous"/>
          <w:pgSz w:w="11906" w:h="16838"/>
          <w:pgMar w:top="1139" w:right="1070" w:bottom="547" w:left="407" w:header="777" w:footer="354" w:gutter="0"/>
          <w:cols w:equalWidth="0" w:num="2">
            <w:col w:w="5644" w:space="100"/>
            <w:col w:w="4684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5048"/>
        <w:spacing w:before="65" w:line="23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[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参考文献</w:t>
      </w:r>
      <w:r>
        <w:rPr>
          <w:sz w:val="20"/>
          <w:szCs w:val="20"/>
          <w:color w:val="231F20"/>
          <w:spacing w:val="6"/>
        </w:rPr>
        <w:t>]</w:t>
      </w:r>
    </w:p>
    <w:p>
      <w:pPr>
        <w:spacing w:before="92"/>
        <w:rPr/>
      </w:pPr>
      <w:r/>
    </w:p>
    <w:p>
      <w:pPr>
        <w:spacing w:before="92"/>
        <w:rPr/>
      </w:pPr>
      <w:r/>
    </w:p>
    <w:p>
      <w:pPr>
        <w:sectPr>
          <w:type w:val="continuous"/>
          <w:pgSz w:w="11906" w:h="16838"/>
          <w:pgMar w:top="1139" w:right="1070" w:bottom="547" w:left="407" w:header="777" w:footer="354" w:gutter="0"/>
          <w:cols w:equalWidth="0" w:num="1">
            <w:col w:w="10427" w:space="0"/>
          </w:cols>
        </w:sectPr>
        <w:rPr/>
      </w:pPr>
    </w:p>
    <w:p>
      <w:pPr>
        <w:pStyle w:val="BodyText"/>
        <w:ind w:left="719"/>
        <w:spacing w:before="39" w:line="192" w:lineRule="auto"/>
        <w:rPr/>
      </w:pPr>
      <w:r>
        <w:rPr>
          <w:color w:val="231F20"/>
          <w:spacing w:val="4"/>
        </w:rPr>
        <w:t>[1]   </w:t>
      </w:r>
      <w:r>
        <w:rPr>
          <w:rFonts w:ascii="Microsoft YaHei" w:hAnsi="Microsoft YaHei" w:eastAsia="Microsoft YaHei" w:cs="Microsoft YaHei"/>
          <w:color w:val="231F20"/>
          <w:spacing w:val="4"/>
        </w:rPr>
        <w:t>黄颖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4"/>
        </w:rPr>
        <w:t>. </w:t>
      </w:r>
      <w:r>
        <w:rPr>
          <w:rFonts w:ascii="Microsoft YaHei" w:hAnsi="Microsoft YaHei" w:eastAsia="Microsoft YaHei" w:cs="Microsoft YaHei"/>
          <w:color w:val="231F20"/>
          <w:spacing w:val="4"/>
        </w:rPr>
        <w:t>中西医结合治疗急性</w:t>
      </w:r>
      <w:r>
        <w:rPr>
          <w:rFonts w:ascii="Microsoft YaHei" w:hAnsi="Microsoft YaHei" w:eastAsia="Microsoft YaHei" w:cs="Microsoft YaHei"/>
          <w:color w:val="231F20"/>
          <w:spacing w:val="3"/>
        </w:rPr>
        <w:t>盆腔炎的临床效果分析</w:t>
      </w:r>
      <w:r>
        <w:rPr>
          <w:color w:val="231F20"/>
          <w:spacing w:val="3"/>
        </w:rPr>
        <w:t>[J].</w:t>
      </w:r>
    </w:p>
    <w:p>
      <w:pPr>
        <w:pStyle w:val="BodyText"/>
        <w:ind w:left="1074"/>
        <w:spacing w:before="51" w:line="189" w:lineRule="auto"/>
        <w:rPr/>
      </w:pPr>
      <w:r>
        <w:rPr>
          <w:rFonts w:ascii="Microsoft YaHei" w:hAnsi="Microsoft YaHei" w:eastAsia="Microsoft YaHei" w:cs="Microsoft YaHei"/>
          <w:color w:val="231F20"/>
          <w:spacing w:val="4"/>
        </w:rPr>
        <w:t>中西医结合心血管病电子杂志</w:t>
      </w:r>
      <w:r>
        <w:rPr>
          <w:color w:val="231F20"/>
          <w:spacing w:val="4"/>
        </w:rPr>
        <w:t>,2021,9(5):172-174.</w:t>
      </w:r>
    </w:p>
    <w:p>
      <w:pPr>
        <w:pStyle w:val="BodyText"/>
        <w:ind w:left="1055" w:right="332" w:hanging="336"/>
        <w:spacing w:before="54" w:line="210" w:lineRule="auto"/>
        <w:rPr/>
      </w:pPr>
      <w:r>
        <w:rPr>
          <w:color w:val="231F20"/>
          <w:spacing w:val="11"/>
        </w:rPr>
        <w:t>[2]   </w:t>
      </w:r>
      <w:r>
        <w:rPr>
          <w:rFonts w:ascii="Microsoft YaHei" w:hAnsi="Microsoft YaHei" w:eastAsia="Microsoft YaHei" w:cs="Microsoft YaHei"/>
          <w:color w:val="231F20"/>
          <w:spacing w:val="11"/>
        </w:rPr>
        <w:t>周少球 </w:t>
      </w:r>
      <w:r>
        <w:rPr>
          <w:color w:val="231F20"/>
          <w:spacing w:val="11"/>
        </w:rPr>
        <w:t>.</w:t>
      </w:r>
      <w:r>
        <w:rPr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腹腔镜手术联合抗生素治疗急性盆腔炎的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效果观察</w:t>
      </w:r>
      <w:r>
        <w:rPr>
          <w:color w:val="231F20"/>
          <w:spacing w:val="4"/>
        </w:rPr>
        <w:t>[J]. </w:t>
      </w:r>
      <w:r>
        <w:rPr>
          <w:rFonts w:ascii="Microsoft YaHei" w:hAnsi="Microsoft YaHei" w:eastAsia="Microsoft YaHei" w:cs="Microsoft YaHei"/>
          <w:color w:val="231F20"/>
          <w:spacing w:val="4"/>
        </w:rPr>
        <w:t>中国实用医药</w:t>
      </w:r>
      <w:r>
        <w:rPr>
          <w:color w:val="231F20"/>
          <w:spacing w:val="4"/>
        </w:rPr>
        <w:t>,2019,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14(17):66-6</w:t>
      </w:r>
      <w:r>
        <w:rPr>
          <w:color w:val="231F20"/>
          <w:spacing w:val="3"/>
        </w:rPr>
        <w:t>7.</w:t>
      </w:r>
    </w:p>
    <w:p>
      <w:pPr>
        <w:pStyle w:val="BodyText"/>
        <w:ind w:left="1065" w:right="332" w:hanging="346"/>
        <w:spacing w:before="55" w:line="210" w:lineRule="auto"/>
        <w:rPr/>
      </w:pPr>
      <w:r>
        <w:rPr>
          <w:color w:val="231F20"/>
          <w:spacing w:val="7"/>
        </w:rPr>
        <w:t>[3]   </w:t>
      </w:r>
      <w:r>
        <w:rPr>
          <w:rFonts w:ascii="Microsoft YaHei" w:hAnsi="Microsoft YaHei" w:eastAsia="Microsoft YaHei" w:cs="Microsoft YaHei"/>
          <w:color w:val="231F20"/>
          <w:spacing w:val="7"/>
        </w:rPr>
        <w:t>王敏 </w:t>
      </w:r>
      <w:r>
        <w:rPr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color w:val="231F20"/>
          <w:spacing w:val="7"/>
        </w:rPr>
        <w:t>急性盆腔炎中西医结合治疗</w:t>
      </w:r>
      <w:r>
        <w:rPr>
          <w:rFonts w:ascii="Microsoft YaHei" w:hAnsi="Microsoft YaHei" w:eastAsia="Microsoft YaHei" w:cs="Microsoft YaHei"/>
          <w:color w:val="231F20"/>
          <w:spacing w:val="6"/>
        </w:rPr>
        <w:t>效果探究</w:t>
      </w:r>
      <w:r>
        <w:rPr>
          <w:color w:val="231F20"/>
          <w:spacing w:val="6"/>
        </w:rPr>
        <w:t>[J]. </w:t>
      </w:r>
      <w:r>
        <w:rPr>
          <w:rFonts w:ascii="Microsoft YaHei" w:hAnsi="Microsoft YaHei" w:eastAsia="Microsoft YaHei" w:cs="Microsoft YaHei"/>
          <w:color w:val="231F20"/>
          <w:spacing w:val="6"/>
        </w:rPr>
        <w:t>中医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临床研究</w:t>
      </w:r>
      <w:r>
        <w:rPr>
          <w:color w:val="231F20"/>
          <w:spacing w:val="3"/>
        </w:rPr>
        <w:t>,2019,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11(33):59-60.</w:t>
      </w:r>
    </w:p>
    <w:p>
      <w:pPr>
        <w:pStyle w:val="BodyText"/>
        <w:ind w:left="1053" w:right="332" w:hanging="334"/>
        <w:spacing w:before="54" w:line="210" w:lineRule="auto"/>
        <w:rPr/>
      </w:pPr>
      <w:r>
        <w:rPr>
          <w:color w:val="231F20"/>
          <w:spacing w:val="5"/>
        </w:rPr>
        <w:t>[4]   </w:t>
      </w:r>
      <w:r>
        <w:rPr>
          <w:rFonts w:ascii="Microsoft YaHei" w:hAnsi="Microsoft YaHei" w:eastAsia="Microsoft YaHei" w:cs="Microsoft YaHei"/>
          <w:color w:val="231F20"/>
          <w:spacing w:val="5"/>
        </w:rPr>
        <w:t>秦巧红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  <w:spacing w:val="5"/>
        </w:rPr>
        <w:t>. </w:t>
      </w:r>
      <w:r>
        <w:rPr>
          <w:rFonts w:ascii="Microsoft YaHei" w:hAnsi="Microsoft YaHei" w:eastAsia="Microsoft YaHei" w:cs="Microsoft YaHei"/>
          <w:color w:val="231F20"/>
          <w:spacing w:val="5"/>
        </w:rPr>
        <w:t>中西医结合治疗 </w:t>
      </w:r>
      <w:r>
        <w:rPr>
          <w:color w:val="231F20"/>
          <w:spacing w:val="5"/>
        </w:rPr>
        <w:t>130</w:t>
      </w:r>
      <w:r>
        <w:rPr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例急性盆腔</w:t>
      </w:r>
      <w:r>
        <w:rPr>
          <w:rFonts w:ascii="Microsoft YaHei" w:hAnsi="Microsoft YaHei" w:eastAsia="Microsoft YaHei" w:cs="Microsoft YaHei"/>
          <w:color w:val="231F20"/>
          <w:spacing w:val="4"/>
        </w:rPr>
        <w:t>炎的临床价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值评价</w:t>
      </w:r>
      <w:r>
        <w:rPr>
          <w:color w:val="231F20"/>
          <w:spacing w:val="6"/>
        </w:rPr>
        <w:t>[J].</w:t>
      </w:r>
      <w:r>
        <w:rPr>
          <w:rFonts w:ascii="Microsoft YaHei" w:hAnsi="Microsoft YaHei" w:eastAsia="Microsoft YaHei" w:cs="Microsoft YaHei"/>
          <w:color w:val="231F20"/>
          <w:spacing w:val="6"/>
        </w:rPr>
        <w:t>航空航天医学杂志</w:t>
      </w:r>
      <w:r>
        <w:rPr>
          <w:color w:val="231F20"/>
          <w:spacing w:val="6"/>
        </w:rPr>
        <w:t>,2017,28(8):944-946.</w:t>
      </w:r>
    </w:p>
    <w:p>
      <w:pPr>
        <w:pStyle w:val="BodyText"/>
        <w:ind w:left="1058" w:right="332" w:hanging="339"/>
        <w:spacing w:before="54" w:line="210" w:lineRule="auto"/>
        <w:rPr/>
      </w:pPr>
      <w:r>
        <w:rPr>
          <w:color w:val="231F20"/>
          <w:spacing w:val="11"/>
        </w:rPr>
        <w:t>[5]   </w:t>
      </w:r>
      <w:r>
        <w:rPr>
          <w:rFonts w:ascii="Microsoft YaHei" w:hAnsi="Microsoft YaHei" w:eastAsia="Microsoft YaHei" w:cs="Microsoft YaHei"/>
          <w:color w:val="231F20"/>
          <w:spacing w:val="11"/>
        </w:rPr>
        <w:t>张华 </w:t>
      </w:r>
      <w:r>
        <w:rPr>
          <w:color w:val="231F20"/>
          <w:spacing w:val="11"/>
        </w:rPr>
        <w:t>. </w:t>
      </w:r>
      <w:r>
        <w:rPr>
          <w:rFonts w:ascii="Microsoft YaHei" w:hAnsi="Microsoft YaHei" w:eastAsia="Microsoft YaHei" w:cs="Microsoft YaHei"/>
          <w:color w:val="231F20"/>
          <w:spacing w:val="11"/>
        </w:rPr>
        <w:t>中药灌肠联合抗生素治疗急性盆腔炎</w:t>
      </w:r>
      <w:r>
        <w:rPr>
          <w:rFonts w:ascii="Microsoft YaHei" w:hAnsi="Microsoft YaHei" w:eastAsia="Microsoft YaHei" w:cs="Microsoft YaHei"/>
          <w:color w:val="231F20"/>
          <w:spacing w:val="10"/>
        </w:rPr>
        <w:t>的临床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观察</w:t>
      </w:r>
      <w:r>
        <w:rPr>
          <w:color w:val="231F20"/>
          <w:spacing w:val="4"/>
        </w:rPr>
        <w:t>[J]. </w:t>
      </w:r>
      <w:r>
        <w:rPr>
          <w:rFonts w:ascii="Microsoft YaHei" w:hAnsi="Microsoft YaHei" w:eastAsia="Microsoft YaHei" w:cs="Microsoft YaHei"/>
          <w:color w:val="231F20"/>
          <w:spacing w:val="4"/>
        </w:rPr>
        <w:t>中国民间疗法</w:t>
      </w:r>
      <w:r>
        <w:rPr>
          <w:color w:val="231F20"/>
          <w:spacing w:val="4"/>
        </w:rPr>
        <w:t>,2019,27(8):65-67.</w:t>
      </w:r>
    </w:p>
    <w:p>
      <w:pPr>
        <w:pStyle w:val="BodyText"/>
        <w:ind w:left="1054" w:right="332" w:hanging="335"/>
        <w:spacing w:before="54" w:line="210" w:lineRule="auto"/>
        <w:rPr/>
      </w:pPr>
      <w:r>
        <w:rPr>
          <w:color w:val="231F20"/>
          <w:spacing w:val="11"/>
        </w:rPr>
        <w:t>[6]   </w:t>
      </w:r>
      <w:r>
        <w:rPr>
          <w:rFonts w:ascii="Microsoft YaHei" w:hAnsi="Microsoft YaHei" w:eastAsia="Microsoft YaHei" w:cs="Microsoft YaHei"/>
          <w:color w:val="231F20"/>
          <w:spacing w:val="11"/>
        </w:rPr>
        <w:t>司兴菊 </w:t>
      </w:r>
      <w:r>
        <w:rPr>
          <w:color w:val="231F20"/>
          <w:spacing w:val="11"/>
        </w:rPr>
        <w:t>. </w:t>
      </w:r>
      <w:r>
        <w:rPr>
          <w:rFonts w:ascii="Microsoft YaHei" w:hAnsi="Microsoft YaHei" w:eastAsia="Microsoft YaHei" w:cs="Microsoft YaHei"/>
          <w:color w:val="231F20"/>
          <w:spacing w:val="11"/>
        </w:rPr>
        <w:t>中西医结合治疗妇科急性盆腔炎的</w:t>
      </w:r>
      <w:r>
        <w:rPr>
          <w:rFonts w:ascii="Microsoft YaHei" w:hAnsi="Microsoft YaHei" w:eastAsia="Microsoft YaHei" w:cs="Microsoft YaHei"/>
          <w:color w:val="231F20"/>
          <w:spacing w:val="10"/>
        </w:rPr>
        <w:t>临床效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果观察</w:t>
      </w:r>
      <w:r>
        <w:rPr>
          <w:color w:val="231F20"/>
          <w:spacing w:val="5"/>
        </w:rPr>
        <w:t>[J].</w:t>
      </w:r>
      <w:r>
        <w:rPr>
          <w:rFonts w:ascii="Microsoft YaHei" w:hAnsi="Microsoft YaHei" w:eastAsia="Microsoft YaHei" w:cs="Microsoft YaHei"/>
          <w:color w:val="231F20"/>
          <w:spacing w:val="5"/>
        </w:rPr>
        <w:t>健康大视野</w:t>
      </w:r>
      <w:r>
        <w:rPr>
          <w:color w:val="231F20"/>
          <w:spacing w:val="5"/>
        </w:rPr>
        <w:t>,2018(18)</w:t>
      </w:r>
      <w:r>
        <w:rPr>
          <w:color w:val="231F20"/>
          <w:spacing w:val="4"/>
        </w:rPr>
        <w:t>:101.</w:t>
      </w:r>
    </w:p>
    <w:p>
      <w:pPr>
        <w:pStyle w:val="BodyText"/>
        <w:ind w:left="1053" w:right="329" w:hanging="334"/>
        <w:spacing w:before="54" w:line="231" w:lineRule="auto"/>
        <w:rPr/>
      </w:pPr>
      <w:r>
        <w:rPr>
          <w:color w:val="231F20"/>
          <w:spacing w:val="8"/>
        </w:rPr>
        <w:t>[7]   </w:t>
      </w:r>
      <w:r>
        <w:rPr>
          <w:rFonts w:ascii="Microsoft YaHei" w:hAnsi="Microsoft YaHei" w:eastAsia="Microsoft YaHei" w:cs="Microsoft YaHei"/>
          <w:color w:val="231F20"/>
          <w:spacing w:val="8"/>
        </w:rPr>
        <w:t>左文华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莫恒珍 </w:t>
      </w:r>
      <w:r>
        <w:rPr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color w:val="231F20"/>
          <w:spacing w:val="8"/>
        </w:rPr>
        <w:t>甲硝唑与头孢噻肟注射液联合中药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灌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肠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治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疗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盆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腔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炎 的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疗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效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-3"/>
        </w:rPr>
        <w:t>[J].</w:t>
      </w:r>
      <w:r>
        <w:rPr>
          <w:rFonts w:ascii="Microsoft YaHei" w:hAnsi="Microsoft YaHei" w:eastAsia="Microsoft YaHei" w:cs="Microsoft YaHei"/>
          <w:color w:val="231F20"/>
          <w:spacing w:val="-3"/>
        </w:rPr>
        <w:t>深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圳 中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西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医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结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合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杂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志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3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2018,28(13):169-170.</w:t>
      </w:r>
    </w:p>
    <w:p>
      <w:pPr>
        <w:pStyle w:val="BodyText"/>
        <w:ind w:left="1059" w:right="332" w:hanging="340"/>
        <w:spacing w:before="98" w:line="210" w:lineRule="auto"/>
        <w:rPr/>
      </w:pPr>
      <w:r>
        <w:rPr>
          <w:color w:val="231F20"/>
          <w:spacing w:val="8"/>
        </w:rPr>
        <w:t>[8]   </w:t>
      </w:r>
      <w:r>
        <w:rPr>
          <w:rFonts w:ascii="Microsoft YaHei" w:hAnsi="Microsoft YaHei" w:eastAsia="Microsoft YaHei" w:cs="Microsoft YaHei"/>
          <w:color w:val="231F20"/>
          <w:spacing w:val="8"/>
        </w:rPr>
        <w:t>张继玲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朱国营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顽固性盆腔炎</w:t>
      </w:r>
      <w:r>
        <w:rPr>
          <w:rFonts w:ascii="Microsoft YaHei" w:hAnsi="Microsoft YaHei" w:eastAsia="Microsoft YaHei" w:cs="Microsoft YaHei"/>
          <w:color w:val="231F20"/>
          <w:spacing w:val="7"/>
        </w:rPr>
        <w:t>的治疗新进展</w:t>
      </w:r>
      <w:r>
        <w:rPr>
          <w:color w:val="231F20"/>
          <w:spacing w:val="7"/>
        </w:rPr>
        <w:t>[J].</w:t>
      </w:r>
      <w:r>
        <w:rPr>
          <w:rFonts w:ascii="Microsoft YaHei" w:hAnsi="Microsoft YaHei" w:eastAsia="Microsoft YaHei" w:cs="Microsoft YaHei"/>
          <w:color w:val="231F20"/>
          <w:spacing w:val="7"/>
        </w:rPr>
        <w:t>健康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大视野</w:t>
      </w:r>
      <w:r>
        <w:rPr>
          <w:color w:val="231F20"/>
          <w:spacing w:val="4"/>
        </w:rPr>
        <w:t>,2022(1):295-296.</w:t>
      </w:r>
    </w:p>
    <w:p>
      <w:pPr>
        <w:pStyle w:val="BodyText"/>
        <w:ind w:left="1056" w:right="329" w:hanging="337"/>
        <w:spacing w:before="54" w:line="211" w:lineRule="auto"/>
        <w:rPr/>
      </w:pPr>
      <w:r>
        <w:rPr>
          <w:color w:val="231F20"/>
          <w:spacing w:val="9"/>
        </w:rPr>
        <w:t>[9]   </w:t>
      </w:r>
      <w:r>
        <w:rPr>
          <w:rFonts w:ascii="Microsoft YaHei" w:hAnsi="Microsoft YaHei" w:eastAsia="Microsoft YaHei" w:cs="Microsoft YaHei"/>
          <w:color w:val="231F20"/>
          <w:spacing w:val="9"/>
        </w:rPr>
        <w:t>韩余健 </w:t>
      </w:r>
      <w:r>
        <w:rPr>
          <w:color w:val="231F20"/>
          <w:spacing w:val="9"/>
        </w:rPr>
        <w:t>. </w:t>
      </w:r>
      <w:r>
        <w:rPr>
          <w:rFonts w:ascii="Microsoft YaHei" w:hAnsi="Microsoft YaHei" w:eastAsia="Microsoft YaHei" w:cs="Microsoft YaHei"/>
          <w:color w:val="231F20"/>
          <w:spacing w:val="9"/>
        </w:rPr>
        <w:t>红细胞沉降率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、</w:t>
      </w:r>
      <w:r>
        <w:rPr>
          <w:color w:val="231F20"/>
          <w:spacing w:val="9"/>
        </w:rPr>
        <w:t>C-</w:t>
      </w:r>
      <w:r>
        <w:rPr>
          <w:rFonts w:ascii="Microsoft YaHei" w:hAnsi="Microsoft YaHei" w:eastAsia="Microsoft YaHei" w:cs="Microsoft YaHei"/>
          <w:color w:val="231F20"/>
          <w:spacing w:val="9"/>
        </w:rPr>
        <w:t>反应蛋白及衣原体检查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4"/>
        </w:rPr>
        <w:t>在急性盆腔炎患者治疗中的价值分析</w:t>
      </w:r>
      <w:r>
        <w:rPr>
          <w:color w:val="231F20"/>
          <w:spacing w:val="14"/>
        </w:rPr>
        <w:t>[J].</w:t>
      </w:r>
      <w:r>
        <w:rPr>
          <w:rFonts w:ascii="Microsoft YaHei" w:hAnsi="Microsoft YaHei" w:eastAsia="Microsoft YaHei" w:cs="Microsoft YaHei"/>
          <w:color w:val="231F20"/>
          <w:spacing w:val="14"/>
        </w:rPr>
        <w:t>吉林医学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  <w:spacing w:val="14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7"/>
        <w:spacing w:before="38" w:line="232" w:lineRule="auto"/>
        <w:rPr/>
      </w:pPr>
      <w:r>
        <w:rPr>
          <w:color w:val="231F20"/>
          <w:spacing w:val="3"/>
        </w:rPr>
        <w:t>2017,38(10):1889-1891.</w:t>
      </w:r>
    </w:p>
    <w:p>
      <w:pPr>
        <w:pStyle w:val="BodyText"/>
        <w:ind w:left="427" w:right="80" w:hanging="427"/>
        <w:spacing w:before="98" w:line="231" w:lineRule="auto"/>
        <w:rPr/>
      </w:pPr>
      <w:r>
        <w:rPr>
          <w:color w:val="231F20"/>
          <w:spacing w:val="7"/>
        </w:rPr>
        <w:t>[10]   </w:t>
      </w:r>
      <w:r>
        <w:rPr>
          <w:rFonts w:ascii="Microsoft YaHei" w:hAnsi="Microsoft YaHei" w:eastAsia="Microsoft YaHei" w:cs="Microsoft YaHei"/>
          <w:color w:val="231F20"/>
          <w:spacing w:val="7"/>
        </w:rPr>
        <w:t>雒新玲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张玉霞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color w:val="231F20"/>
          <w:spacing w:val="7"/>
        </w:rPr>
        <w:t>.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妇科千金胶囊联用抗菌药物治疗慢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性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盆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腔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炎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患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者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的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价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值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研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究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  <w:spacing w:val="-1"/>
        </w:rPr>
        <w:t>[J].</w:t>
      </w:r>
      <w:r>
        <w:rPr>
          <w:rFonts w:ascii="Microsoft YaHei" w:hAnsi="Microsoft YaHei" w:eastAsia="Microsoft YaHei" w:cs="Microsoft YaHei"/>
          <w:color w:val="231F20"/>
          <w:spacing w:val="-1"/>
        </w:rPr>
        <w:t>糖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尿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病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天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地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  <w:spacing w:val="-1"/>
        </w:rPr>
        <w:t>,2022</w:t>
      </w:r>
      <w:r>
        <w:rPr>
          <w:color w:val="231F20"/>
          <w:spacing w:val="-2"/>
        </w:rPr>
        <w:t>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19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(1):82-84.</w:t>
      </w:r>
    </w:p>
    <w:p>
      <w:pPr>
        <w:pStyle w:val="BodyText"/>
        <w:ind w:left="427" w:right="80" w:hanging="427"/>
        <w:spacing w:before="98" w:line="231" w:lineRule="auto"/>
        <w:rPr/>
      </w:pPr>
      <w:r>
        <w:rPr>
          <w:color w:val="231F20"/>
          <w:spacing w:val="8"/>
        </w:rPr>
        <w:t>[11]   </w:t>
      </w:r>
      <w:r>
        <w:rPr>
          <w:rFonts w:ascii="Microsoft YaHei" w:hAnsi="Microsoft YaHei" w:eastAsia="Microsoft YaHei" w:cs="Microsoft YaHei"/>
          <w:color w:val="231F20"/>
          <w:spacing w:val="8"/>
        </w:rPr>
        <w:t>梁学莉 </w:t>
      </w:r>
      <w:r>
        <w:rPr>
          <w:color w:val="231F20"/>
          <w:spacing w:val="8"/>
        </w:rPr>
        <w:t>.</w:t>
      </w:r>
      <w:r>
        <w:rPr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抗生素联合左氧氟沙星治疗盆腔炎的疗效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与安全性研究</w:t>
      </w:r>
      <w:r>
        <w:rPr>
          <w:color w:val="231F20"/>
          <w:spacing w:val="11"/>
        </w:rPr>
        <w:t>[J].</w:t>
      </w:r>
      <w:r>
        <w:rPr>
          <w:rFonts w:ascii="Microsoft YaHei" w:hAnsi="Microsoft YaHei" w:eastAsia="Microsoft YaHei" w:cs="Microsoft YaHei"/>
          <w:color w:val="231F20"/>
          <w:spacing w:val="11"/>
        </w:rPr>
        <w:t>实用妇科内分泌电子杂志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11"/>
        </w:rPr>
        <w:t>,2021,8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(21):64-67.</w:t>
      </w:r>
    </w:p>
    <w:p>
      <w:pPr>
        <w:pStyle w:val="BodyText"/>
        <w:ind w:left="439" w:right="81" w:hanging="439"/>
        <w:spacing w:before="98" w:line="210" w:lineRule="auto"/>
        <w:rPr/>
      </w:pPr>
      <w:r>
        <w:rPr>
          <w:color w:val="231F20"/>
          <w:spacing w:val="8"/>
        </w:rPr>
        <w:t>[12]   </w:t>
      </w:r>
      <w:r>
        <w:rPr>
          <w:rFonts w:ascii="Microsoft YaHei" w:hAnsi="Microsoft YaHei" w:eastAsia="Microsoft YaHei" w:cs="Microsoft YaHei"/>
          <w:color w:val="231F20"/>
          <w:spacing w:val="8"/>
        </w:rPr>
        <w:t>顾海梅 </w:t>
      </w:r>
      <w:r>
        <w:rPr>
          <w:color w:val="231F20"/>
          <w:spacing w:val="8"/>
        </w:rPr>
        <w:t>.</w:t>
      </w:r>
      <w:r>
        <w:rPr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头孢唑肟钠联合奥硝唑治疗急性盆腔炎的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临床分析</w:t>
      </w:r>
      <w:r>
        <w:rPr>
          <w:color w:val="231F20"/>
          <w:spacing w:val="5"/>
        </w:rPr>
        <w:t>[J].</w:t>
      </w:r>
      <w:r>
        <w:rPr>
          <w:rFonts w:ascii="Microsoft YaHei" w:hAnsi="Microsoft YaHei" w:eastAsia="Microsoft YaHei" w:cs="Microsoft YaHei"/>
          <w:color w:val="231F20"/>
          <w:spacing w:val="5"/>
        </w:rPr>
        <w:t>智慧健康</w:t>
      </w:r>
      <w:r>
        <w:rPr>
          <w:color w:val="231F20"/>
          <w:spacing w:val="5"/>
        </w:rPr>
        <w:t>,2019,5(26):116-117.</w:t>
      </w:r>
    </w:p>
    <w:p>
      <w:pPr>
        <w:pStyle w:val="BodyText"/>
        <w:ind w:left="427" w:right="81" w:hanging="428"/>
        <w:spacing w:before="54" w:line="217" w:lineRule="auto"/>
        <w:rPr/>
      </w:pPr>
      <w:r>
        <w:rPr>
          <w:color w:val="231F20"/>
          <w:spacing w:val="6"/>
        </w:rPr>
        <w:t>[13]   </w:t>
      </w:r>
      <w:r>
        <w:rPr>
          <w:rFonts w:ascii="Microsoft YaHei" w:hAnsi="Microsoft YaHei" w:eastAsia="Microsoft YaHei" w:cs="Microsoft YaHei"/>
          <w:color w:val="231F20"/>
          <w:spacing w:val="6"/>
        </w:rPr>
        <w:t>周莉娜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王华勇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李新平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等 </w:t>
      </w:r>
      <w:r>
        <w:rPr>
          <w:color w:val="231F20"/>
          <w:spacing w:val="6"/>
        </w:rPr>
        <w:t>. </w:t>
      </w:r>
      <w:r>
        <w:rPr>
          <w:rFonts w:ascii="Microsoft YaHei" w:hAnsi="Microsoft YaHei" w:eastAsia="Microsoft YaHei" w:cs="Microsoft YaHei"/>
          <w:color w:val="231F20"/>
          <w:spacing w:val="6"/>
        </w:rPr>
        <w:t>中药汤剂联合西药治疗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急性盆腔炎效果及对炎症因子表达的影响</w:t>
      </w:r>
      <w:r>
        <w:rPr>
          <w:color w:val="231F20"/>
          <w:spacing w:val="11"/>
        </w:rPr>
        <w:t>[J]. </w:t>
      </w:r>
      <w:r>
        <w:rPr>
          <w:rFonts w:ascii="Microsoft YaHei" w:hAnsi="Microsoft YaHei" w:eastAsia="Microsoft YaHei" w:cs="Microsoft YaHei"/>
          <w:color w:val="231F20"/>
          <w:spacing w:val="11"/>
        </w:rPr>
        <w:t>中国 </w:t>
      </w:r>
      <w:r>
        <w:rPr>
          <w:rFonts w:ascii="Microsoft YaHei" w:hAnsi="Microsoft YaHei" w:eastAsia="Microsoft YaHei" w:cs="Microsoft YaHei"/>
          <w:color w:val="231F20"/>
          <w:spacing w:val="4"/>
        </w:rPr>
        <w:t>性科学</w:t>
      </w:r>
      <w:r>
        <w:rPr>
          <w:color w:val="231F20"/>
          <w:spacing w:val="4"/>
        </w:rPr>
        <w:t>,2020,29(6):102-104.</w:t>
      </w:r>
    </w:p>
    <w:p>
      <w:pPr>
        <w:pStyle w:val="BodyText"/>
        <w:ind w:left="429" w:right="81" w:hanging="429"/>
        <w:spacing w:before="55" w:line="217" w:lineRule="auto"/>
        <w:rPr/>
      </w:pPr>
      <w:r>
        <w:rPr>
          <w:color w:val="231F20"/>
          <w:spacing w:val="6"/>
        </w:rPr>
        <w:t>[14]   </w:t>
      </w:r>
      <w:r>
        <w:rPr>
          <w:rFonts w:ascii="Microsoft YaHei" w:hAnsi="Microsoft YaHei" w:eastAsia="Microsoft YaHei" w:cs="Microsoft YaHei"/>
          <w:color w:val="231F20"/>
          <w:spacing w:val="6"/>
        </w:rPr>
        <w:t>谢朝云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蒙桂鸾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李远珺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等 </w:t>
      </w:r>
      <w:r>
        <w:rPr>
          <w:color w:val="231F20"/>
          <w:spacing w:val="6"/>
        </w:rPr>
        <w:t>. </w:t>
      </w:r>
      <w:r>
        <w:rPr>
          <w:rFonts w:ascii="Microsoft YaHei" w:hAnsi="Microsoft YaHei" w:eastAsia="Microsoft YaHei" w:cs="Microsoft YaHei"/>
          <w:color w:val="231F20"/>
          <w:spacing w:val="6"/>
        </w:rPr>
        <w:t>以降钙素原水平指导盆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8"/>
        </w:rPr>
        <w:t>腔炎患者抗菌药物的选择与停用时机的有效性和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安全性评估</w:t>
      </w:r>
      <w:r>
        <w:rPr>
          <w:color w:val="231F20"/>
          <w:spacing w:val="6"/>
        </w:rPr>
        <w:t>[J].</w:t>
      </w:r>
      <w:r>
        <w:rPr>
          <w:rFonts w:ascii="Microsoft YaHei" w:hAnsi="Microsoft YaHei" w:eastAsia="Microsoft YaHei" w:cs="Microsoft YaHei"/>
          <w:color w:val="231F20"/>
          <w:spacing w:val="6"/>
        </w:rPr>
        <w:t>西南军医</w:t>
      </w:r>
      <w:r>
        <w:rPr>
          <w:color w:val="231F20"/>
          <w:spacing w:val="6"/>
        </w:rPr>
        <w:t>,2020,22(5):4</w:t>
      </w:r>
      <w:r>
        <w:rPr>
          <w:color w:val="231F20"/>
          <w:spacing w:val="5"/>
        </w:rPr>
        <w:t>09-413.</w:t>
      </w:r>
    </w:p>
    <w:p>
      <w:pPr>
        <w:pStyle w:val="BodyText"/>
        <w:ind w:left="429" w:right="81" w:hanging="429"/>
        <w:spacing w:before="54" w:line="217" w:lineRule="auto"/>
        <w:rPr/>
      </w:pPr>
      <w:r>
        <w:rPr>
          <w:color w:val="231F20"/>
          <w:spacing w:val="5"/>
        </w:rPr>
        <w:t>[15]   </w:t>
      </w:r>
      <w:r>
        <w:rPr>
          <w:rFonts w:ascii="Microsoft YaHei" w:hAnsi="Microsoft YaHei" w:eastAsia="Microsoft YaHei" w:cs="Microsoft YaHei"/>
          <w:color w:val="231F20"/>
          <w:spacing w:val="5"/>
        </w:rPr>
        <w:t>黄小燕</w:t>
      </w:r>
      <w:r>
        <w:rPr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color w:val="231F20"/>
          <w:spacing w:val="5"/>
        </w:rPr>
        <w:t>许坚锋</w:t>
      </w:r>
      <w:r>
        <w:rPr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color w:val="231F20"/>
          <w:spacing w:val="5"/>
        </w:rPr>
        <w:t>王华</w:t>
      </w:r>
      <w:r>
        <w:rPr>
          <w:rFonts w:ascii="Microsoft YaHei" w:hAnsi="Microsoft YaHei" w:eastAsia="Microsoft YaHei" w:cs="Microsoft YaHei"/>
          <w:color w:val="231F20"/>
          <w:spacing w:val="-3"/>
        </w:rPr>
        <w:t xml:space="preserve"> </w:t>
      </w:r>
      <w:r>
        <w:rPr>
          <w:color w:val="231F20"/>
          <w:spacing w:val="5"/>
        </w:rPr>
        <w:t>.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血细胞沉降率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、</w:t>
      </w:r>
      <w:r>
        <w:rPr>
          <w:color w:val="231F20"/>
          <w:spacing w:val="5"/>
        </w:rPr>
        <w:t>C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反应蛋白及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衣原体检查在急性盆腔炎治疗中的应用价值</w:t>
      </w:r>
      <w:r>
        <w:rPr>
          <w:color w:val="231F20"/>
          <w:spacing w:val="11"/>
        </w:rPr>
        <w:t>[J]. </w:t>
      </w:r>
      <w:r>
        <w:rPr>
          <w:rFonts w:ascii="Microsoft YaHei" w:hAnsi="Microsoft YaHei" w:eastAsia="Microsoft YaHei" w:cs="Microsoft YaHei"/>
          <w:color w:val="231F20"/>
          <w:spacing w:val="11"/>
        </w:rPr>
        <w:t>国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际检验医学杂志</w:t>
      </w:r>
      <w:r>
        <w:rPr>
          <w:color w:val="231F20"/>
          <w:spacing w:val="5"/>
        </w:rPr>
        <w:t>,2017,38(14):1952-1954.</w:t>
      </w:r>
    </w:p>
    <w:p>
      <w:pPr>
        <w:pStyle w:val="BodyText"/>
        <w:spacing w:before="53" w:line="196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2"/>
        </w:rPr>
        <w:t>（收稿日期：</w:t>
      </w:r>
      <w:r>
        <w:rPr>
          <w:color w:val="231F20"/>
          <w:spacing w:val="2"/>
        </w:rPr>
        <w:t>2022-10-15</w:t>
      </w:r>
      <w:r>
        <w:rPr>
          <w:rFonts w:ascii="Microsoft YaHei" w:hAnsi="Microsoft YaHei" w:eastAsia="Microsoft YaHei" w:cs="Microsoft YaHei"/>
          <w:color w:val="231F20"/>
          <w:spacing w:val="2"/>
        </w:rPr>
        <w:t>）</w:t>
      </w:r>
    </w:p>
    <w:p>
      <w:pPr>
        <w:spacing w:line="196" w:lineRule="auto"/>
        <w:sectPr>
          <w:type w:val="continuous"/>
          <w:pgSz w:w="11906" w:h="16838"/>
          <w:pgMar w:top="1139" w:right="1070" w:bottom="547" w:left="407" w:header="777" w:footer="354" w:gutter="0"/>
          <w:cols w:equalWidth="0" w:num="2">
            <w:col w:w="5649" w:space="100"/>
            <w:col w:w="4679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7339"/>
        <w:spacing w:before="295" w:line="164" w:lineRule="auto"/>
        <w:rPr>
          <w:sz w:val="17"/>
          <w:szCs w:val="17"/>
        </w:rPr>
      </w:pPr>
      <w:r>
        <w:rPr>
          <w:sz w:val="15"/>
          <w:szCs w:val="15"/>
          <w:color w:val="231F20"/>
        </w:rPr>
        <w:t>SYSTEMS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MEDICINE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2"/>
        </w:rPr>
        <w:t>系统医学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     </w:t>
      </w:r>
      <w:r>
        <w:rPr>
          <w:sz w:val="17"/>
          <w:szCs w:val="17"/>
          <w:color w:val="231F20"/>
          <w:spacing w:val="22"/>
        </w:rPr>
        <w:t>45</w:t>
      </w:r>
    </w:p>
    <w:sectPr>
      <w:type w:val="continuous"/>
      <w:pgSz w:w="11906" w:h="16838"/>
      <w:pgMar w:top="1139" w:right="1070" w:bottom="547" w:left="407" w:header="777" w:footer="354" w:gutter="0"/>
      <w:cols w:equalWidth="0" w:num="1">
        <w:col w:w="1042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6"/>
      <w:spacing w:before="40" w:line="234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hd w:val="clear" w:fill="FFFFFE"/>
        <w:rFonts w:ascii="SimHei" w:hAnsi="SimHei" w:eastAsia="SimHei" w:cs="SimHei"/>
        <w:sz w:val="23"/>
        <w:szCs w:val="23"/>
        <w:color w:val="231F20"/>
        <w:spacing w:val="-6"/>
        <w:position w:val="-2"/>
      </w:rPr>
      <w:t>·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71"/>
        <w:position w:val="-2"/>
      </w:rPr>
      <w:t xml:space="preserve"> 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6"/>
      </w:rPr>
      <w:t>论著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6"/>
      </w:rPr>
      <w:t xml:space="preserve"> 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6"/>
        <w:position w:val="-2"/>
      </w:rPr>
      <w:t>·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82"/>
        <w:position w:val="-2"/>
      </w:rPr>
      <w:t xml:space="preserve"> </w:t>
    </w:r>
    <w:r>
      <w:rPr>
        <w:sz w:val="23"/>
        <w:szCs w:val="23"/>
        <w:position w:val="7"/>
      </w:rPr>
      <w:drawing>
        <wp:inline distT="0" distB="0" distL="0" distR="0">
          <wp:extent cx="3440313" cy="3599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40313" cy="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3"/>
        <w:szCs w:val="23"/>
        <w:color w:val="231F20"/>
        <w:spacing w:val="19"/>
        <w:position w:val="-2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6"/>
      </w:rPr>
      <w:t>系统医学   2023 年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9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6"/>
      </w:rPr>
      <w:t>1 月第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7"/>
      </w:rPr>
      <w:t>8 卷第1 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0" w:line="234" w:lineRule="auto"/>
      <w:jc w:val="right"/>
      <w:rPr>
        <w:rFonts w:ascii="SimHei" w:hAnsi="SimHei" w:eastAsia="SimHei" w:cs="SimHei"/>
        <w:sz w:val="23"/>
        <w:szCs w:val="23"/>
      </w:rPr>
    </w:pP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系统医学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8"/>
        <w:w w:val="101"/>
      </w:rPr>
      <w:t xml:space="preserve">  </w:t>
    </w:r>
    <w:r>
      <w:rPr>
        <w:sz w:val="17"/>
        <w:szCs w:val="17"/>
        <w:color w:val="231F20"/>
        <w:spacing w:val="-3"/>
      </w:rPr>
      <w:t>2023</w:t>
    </w:r>
    <w:r>
      <w:rPr>
        <w:sz w:val="17"/>
        <w:szCs w:val="17"/>
        <w:color w:val="231F20"/>
        <w:spacing w:val="1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年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8"/>
      </w:rPr>
      <w:t xml:space="preserve"> </w:t>
    </w:r>
    <w:r>
      <w:rPr>
        <w:sz w:val="17"/>
        <w:szCs w:val="17"/>
        <w:color w:val="231F20"/>
        <w:spacing w:val="-3"/>
      </w:rPr>
      <w:t>1</w:t>
    </w:r>
    <w:r>
      <w:rPr>
        <w:sz w:val="17"/>
        <w:szCs w:val="17"/>
        <w:color w:val="231F20"/>
        <w:spacing w:val="10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月第 </w:t>
    </w:r>
    <w:r>
      <w:rPr>
        <w:sz w:val="17"/>
        <w:szCs w:val="17"/>
        <w:color w:val="231F20"/>
        <w:spacing w:val="-3"/>
      </w:rPr>
      <w:t>8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卷第</w:t>
    </w:r>
    <w:r>
      <w:rPr>
        <w:sz w:val="17"/>
        <w:szCs w:val="17"/>
        <w:color w:val="231F20"/>
        <w:spacing w:val="-3"/>
      </w:rPr>
      <w:t>1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期       </w:t>
    </w:r>
    <w:r>
      <w:rPr>
        <w:sz w:val="17"/>
        <w:szCs w:val="17"/>
        <w:position w:val="7"/>
      </w:rPr>
      <w:drawing>
        <wp:inline distT="0" distB="0" distL="0" distR="0">
          <wp:extent cx="3440313" cy="3599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40313" cy="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hd w:val="clear" w:fill="FFFFFE"/>
        <w:rFonts w:ascii="Microsoft YaHei" w:hAnsi="Microsoft YaHei" w:eastAsia="Microsoft YaHei" w:cs="Microsoft YaHei"/>
        <w:sz w:val="17"/>
        <w:szCs w:val="17"/>
        <w:color w:val="231F20"/>
        <w:spacing w:val="10"/>
      </w:rPr>
      <w:t xml:space="preserve">   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3"/>
        <w:position w:val="-2"/>
      </w:rPr>
      <w:t>·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69"/>
        <w:position w:val="-2"/>
      </w:rPr>
      <w:t xml:space="preserve"> 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3"/>
      </w:rPr>
      <w:t>论著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3"/>
      </w:rPr>
      <w:t xml:space="preserve"> 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3"/>
        <w:position w:val="-2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2.xml"/><Relationship Id="rId4" Type="http://schemas.openxmlformats.org/officeDocument/2006/relationships/footer" Target="footer3.xml"/><Relationship Id="rId3" Type="http://schemas.openxmlformats.org/officeDocument/2006/relationships/header" Target="header1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2023-07-04T19:22:10Z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2025-10-28T21:30:19</vt:filetime>
  </property>
</Properties>
</file>