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34" w:lineRule="exact"/>
        <w:rPr/>
      </w:pPr>
      <w:r/>
    </w:p>
    <w:p>
      <w:pPr>
        <w:spacing w:line="134" w:lineRule="exact"/>
        <w:sectPr>
          <w:headerReference w:type="default" r:id="rId1"/>
          <w:pgSz w:w="11905" w:h="16156"/>
          <w:pgMar w:top="1234" w:right="1189" w:bottom="0" w:left="407" w:header="912" w:footer="0" w:gutter="0"/>
          <w:cols w:equalWidth="0" w:num="1">
            <w:col w:w="10307" w:space="0"/>
          </w:cols>
        </w:sectPr>
        <w:rPr/>
      </w:pPr>
    </w:p>
    <w:p>
      <w:pPr>
        <w:pStyle w:val="BodyText"/>
        <w:ind w:left="840" w:right="346" w:firstLine="2"/>
        <w:spacing w:before="42" w:line="234" w:lineRule="auto"/>
        <w:jc w:val="both"/>
        <w:rPr/>
      </w:pPr>
      <w:r>
        <w:rPr>
          <w:color w:val="231F20"/>
          <w:spacing w:val="8"/>
        </w:rPr>
        <w:t>重点分析了额尔敦乌日勒抗动脉粥样硬化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、易损斑块等作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用机制，并同扎冲十三味丸、冠心七味片、匝迪－5、阿戈如－8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等蒙药对比评价，指出额尔敦乌日勒治疗效果最佳，可有效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</w:rPr>
        <w:t>改善心脑血管疾病症状，且不良反应较少，可长期服用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。萨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如拉</w:t>
      </w:r>
      <w:r>
        <w:rPr>
          <w:sz w:val="10"/>
          <w:szCs w:val="10"/>
          <w:color w:val="231F20"/>
          <w:spacing w:val="8"/>
          <w:position w:val="6"/>
        </w:rPr>
        <w:t>[10]</w:t>
      </w:r>
      <w:r>
        <w:rPr>
          <w:color w:val="231F20"/>
          <w:spacing w:val="8"/>
        </w:rPr>
        <w:t>使用线栓法建立了大鼠大脑中</w:t>
      </w:r>
      <w:r>
        <w:rPr>
          <w:color w:val="231F20"/>
          <w:spacing w:val="7"/>
        </w:rPr>
        <w:t>动脉阻塞模型，发现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额尔敦乌日勒不仅具有扶正益脑、疏通脉道、活血化瘀的作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用，还可对家兔急性脑卒中斑块的形成与发展进行有效抑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制，积极发挥抗炎、抗氧化、降脂、改善血管内皮细胞</w:t>
      </w:r>
      <w:r>
        <w:rPr>
          <w:color w:val="231F20"/>
          <w:spacing w:val="-5"/>
        </w:rPr>
        <w:t>等一系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列作用，对斑块进行有效稳定，全方位保护脑组织，这充分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表明传统蒙药具有多靶点、多层次、多途径的优势，应促使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7"/>
        </w:rPr>
        <w:t>更多人意识到传统蒙药的独特魅力。</w:t>
      </w:r>
    </w:p>
    <w:p>
      <w:pPr>
        <w:pStyle w:val="BodyText"/>
        <w:ind w:left="768" w:right="292" w:firstLine="429"/>
        <w:spacing w:line="234" w:lineRule="auto"/>
        <w:jc w:val="both"/>
        <w:rPr/>
      </w:pPr>
      <w:r>
        <w:rPr>
          <w:color w:val="231F20"/>
          <w:spacing w:val="9"/>
        </w:rPr>
        <w:t>本研究结果表明，观察组临床总有效率、神经功能改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善 </w:t>
      </w:r>
      <w:r>
        <w:rPr>
          <w:color w:val="231F20"/>
        </w:rPr>
        <w:t>NIHSS</w:t>
      </w:r>
      <w:r>
        <w:rPr>
          <w:color w:val="231F20"/>
          <w:spacing w:val="20"/>
        </w:rPr>
        <w:t xml:space="preserve"> 评分与生活自理能力 </w:t>
      </w:r>
      <w:r>
        <w:rPr>
          <w:color w:val="231F20"/>
        </w:rPr>
        <w:t>ADL</w:t>
      </w:r>
      <w:r>
        <w:rPr>
          <w:color w:val="231F20"/>
          <w:spacing w:val="20"/>
        </w:rPr>
        <w:t xml:space="preserve"> 评分均优于</w:t>
      </w:r>
      <w:r>
        <w:rPr>
          <w:color w:val="231F20"/>
          <w:spacing w:val="19"/>
        </w:rPr>
        <w:t>对照组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（P＜0.05</w:t>
      </w:r>
      <w:r>
        <w:rPr>
          <w:color w:val="231F20"/>
          <w:spacing w:val="-31"/>
          <w:w w:val="75"/>
        </w:rPr>
        <w:t>），</w:t>
      </w:r>
      <w:r>
        <w:rPr>
          <w:color w:val="231F20"/>
          <w:spacing w:val="2"/>
        </w:rPr>
        <w:t>充分表明蒙药额尔敦乌日勒临床治疗的有效性，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0"/>
        </w:rPr>
        <w:t>值得推广。</w:t>
      </w:r>
    </w:p>
    <w:p>
      <w:pPr>
        <w:pStyle w:val="BodyText"/>
        <w:ind w:left="1202"/>
        <w:spacing w:line="185" w:lineRule="auto"/>
        <w:rPr/>
      </w:pPr>
      <w:r>
        <w:rPr>
          <w:color w:val="231F20"/>
          <w:spacing w:val="6"/>
        </w:rPr>
        <w:t>参考文献</w:t>
      </w:r>
    </w:p>
    <w:p>
      <w:pPr>
        <w:pStyle w:val="BodyText"/>
        <w:ind w:left="959" w:right="346" w:hanging="112"/>
        <w:spacing w:before="53" w:line="222" w:lineRule="auto"/>
        <w:rPr/>
      </w:pPr>
      <w:r>
        <w:rPr>
          <w:color w:val="231F20"/>
          <w:spacing w:val="3"/>
        </w:rPr>
        <w:t>[1]刘建，赵福全.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蒙药额尔敦—乌日勒治疗缺血性卒中（萨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病）恢复期的临床疗效[J].中国民族医药杂</w:t>
      </w:r>
      <w:r>
        <w:rPr>
          <w:color w:val="231F20"/>
          <w:spacing w:val="4"/>
        </w:rPr>
        <w:t>志，2020，26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（12</w:t>
      </w:r>
      <w:r>
        <w:rPr>
          <w:color w:val="231F20"/>
          <w:spacing w:val="-27"/>
          <w:w w:val="58"/>
        </w:rPr>
        <w:t>）：</w:t>
      </w:r>
      <w:r>
        <w:rPr>
          <w:color w:val="231F20"/>
          <w:spacing w:val="-3"/>
        </w:rPr>
        <w:t>7—9.</w:t>
      </w:r>
    </w:p>
    <w:p>
      <w:pPr>
        <w:pStyle w:val="BodyText"/>
        <w:ind w:left="1055" w:right="346" w:hanging="208"/>
        <w:spacing w:before="43" w:line="211" w:lineRule="auto"/>
        <w:rPr/>
      </w:pPr>
      <w:r>
        <w:rPr>
          <w:color w:val="231F20"/>
          <w:spacing w:val="4"/>
        </w:rPr>
        <w:t>[2]孙艳霞，顾浩.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蒙药额尔敦—乌日勒对</w:t>
      </w:r>
      <w:r>
        <w:rPr>
          <w:color w:val="231F20"/>
          <w:spacing w:val="3"/>
        </w:rPr>
        <w:t>于脑梗死的治疗效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果及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NIHSS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评分观察[J]. 中 国 民族医药</w:t>
      </w:r>
      <w:r>
        <w:rPr>
          <w:color w:val="231F20"/>
          <w:spacing w:val="-3"/>
        </w:rPr>
        <w:t>杂志，2019，25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0"/>
        <w:spacing w:before="44" w:line="197" w:lineRule="auto"/>
        <w:rPr/>
      </w:pPr>
      <w:r>
        <w:rPr>
          <w:color w:val="231F20"/>
          <w:spacing w:val="-11"/>
        </w:rPr>
        <w:t>（10</w:t>
      </w:r>
      <w:r>
        <w:rPr>
          <w:color w:val="231F20"/>
          <w:spacing w:val="-39"/>
          <w:w w:val="82"/>
        </w:rPr>
        <w:t>）：</w:t>
      </w:r>
      <w:r>
        <w:rPr>
          <w:color w:val="231F20"/>
          <w:spacing w:val="-11"/>
        </w:rPr>
        <w:t>13—14.</w:t>
      </w:r>
    </w:p>
    <w:p>
      <w:pPr>
        <w:pStyle w:val="BodyText"/>
        <w:ind w:left="208" w:right="55" w:hanging="200"/>
        <w:spacing w:before="46" w:line="215" w:lineRule="auto"/>
        <w:rPr/>
      </w:pPr>
      <w:r>
        <w:rPr>
          <w:color w:val="231F20"/>
          <w:spacing w:val="-3"/>
        </w:rPr>
        <w:t>[3]那日苏，温都苏毕力格.额尔敦—乌日勒治疗</w:t>
      </w:r>
      <w:r>
        <w:rPr>
          <w:color w:val="231F20"/>
          <w:spacing w:val="-4"/>
        </w:rPr>
        <w:t>脑梗死 132 例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临床疗效观察[J].中国民族医药杂志，2018，24（9</w:t>
      </w:r>
      <w:r>
        <w:rPr>
          <w:color w:val="231F20"/>
          <w:spacing w:val="-39"/>
          <w:w w:val="82"/>
        </w:rPr>
        <w:t>）：</w:t>
      </w:r>
      <w:r>
        <w:rPr>
          <w:color w:val="231F20"/>
          <w:spacing w:val="-12"/>
        </w:rPr>
        <w:t>17—18.</w:t>
      </w:r>
    </w:p>
    <w:p>
      <w:pPr>
        <w:pStyle w:val="BodyText"/>
        <w:ind w:left="205" w:right="55" w:hanging="197"/>
        <w:spacing w:before="43" w:line="216" w:lineRule="auto"/>
        <w:rPr/>
      </w:pPr>
      <w:r>
        <w:rPr>
          <w:color w:val="231F20"/>
          <w:spacing w:val="9"/>
        </w:rPr>
        <w:t>[4]斯琴浩日勒.探讨蒙药阿敏·额尔敦治疗冠心病心律失常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的临床效果[J].世界最新医学信息文摘，2018，18（57</w:t>
      </w:r>
      <w:r>
        <w:rPr>
          <w:color w:val="231F20"/>
          <w:spacing w:val="-36"/>
          <w:w w:val="77"/>
        </w:rPr>
        <w:t>）：</w:t>
      </w:r>
      <w:r>
        <w:rPr>
          <w:color w:val="231F20"/>
          <w:spacing w:val="-11"/>
        </w:rPr>
        <w:t>199.</w:t>
      </w:r>
    </w:p>
    <w:p>
      <w:pPr>
        <w:pStyle w:val="BodyText"/>
        <w:ind w:left="201" w:right="55" w:hanging="193"/>
        <w:spacing w:before="44" w:line="215" w:lineRule="auto"/>
        <w:rPr/>
      </w:pPr>
      <w:r>
        <w:rPr>
          <w:color w:val="231F20"/>
          <w:spacing w:val="8"/>
        </w:rPr>
        <w:t>[5]通拉嘎.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8"/>
        </w:rPr>
        <w:t>蒙药额尔敦乌日勒治疗动脉硬化的观</w:t>
      </w:r>
      <w:r>
        <w:rPr>
          <w:color w:val="231F20"/>
          <w:spacing w:val="7"/>
        </w:rPr>
        <w:t>察[J].世界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最新医学信息文摘，2018，18（23</w:t>
      </w:r>
      <w:r>
        <w:rPr>
          <w:color w:val="231F20"/>
          <w:spacing w:val="-38"/>
          <w:w w:val="80"/>
        </w:rPr>
        <w:t>）：</w:t>
      </w:r>
      <w:r>
        <w:rPr>
          <w:color w:val="231F20"/>
          <w:spacing w:val="-13"/>
        </w:rPr>
        <w:t>163—164.</w:t>
      </w:r>
    </w:p>
    <w:p>
      <w:pPr>
        <w:pStyle w:val="BodyText"/>
        <w:ind w:left="194" w:hanging="186"/>
        <w:spacing w:before="42" w:line="222" w:lineRule="auto"/>
        <w:rPr/>
      </w:pPr>
      <w:r>
        <w:rPr>
          <w:color w:val="231F20"/>
          <w:spacing w:val="4"/>
        </w:rPr>
        <w:t>[6]胡玉荣，斯钦其木格.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蒙药额尔敦乌日勒联合西药治疗缺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血性脑卒中恢复期临床观察[J].中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8"/>
        </w:rPr>
        <w:t>国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8"/>
        </w:rPr>
        <w:t>民族民间医药，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2017，26（23</w:t>
      </w:r>
      <w:r>
        <w:rPr>
          <w:color w:val="231F20"/>
          <w:spacing w:val="-39"/>
          <w:w w:val="84"/>
        </w:rPr>
        <w:t>）：</w:t>
      </w:r>
      <w:r>
        <w:rPr>
          <w:color w:val="231F20"/>
          <w:spacing w:val="-19"/>
        </w:rPr>
        <w:t>116—119.</w:t>
      </w:r>
    </w:p>
    <w:p>
      <w:pPr>
        <w:pStyle w:val="BodyText"/>
        <w:ind w:left="199" w:right="55" w:hanging="191"/>
        <w:spacing w:before="44" w:line="216" w:lineRule="auto"/>
        <w:rPr/>
      </w:pPr>
      <w:r>
        <w:rPr>
          <w:color w:val="231F20"/>
          <w:spacing w:val="3"/>
        </w:rPr>
        <w:t>[7]马红蕾，白星宇，卜范艳.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蒙药额尔敦—乌日勒治疗脑梗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死的疗效研究[J].中医临床研究，2017，9</w:t>
      </w:r>
      <w:r>
        <w:rPr>
          <w:color w:val="231F20"/>
          <w:spacing w:val="-10"/>
        </w:rPr>
        <w:t>（28</w:t>
      </w:r>
      <w:r>
        <w:rPr>
          <w:color w:val="231F20"/>
          <w:spacing w:val="-38"/>
          <w:w w:val="80"/>
        </w:rPr>
        <w:t>）：</w:t>
      </w:r>
      <w:r>
        <w:rPr>
          <w:color w:val="231F20"/>
          <w:spacing w:val="-10"/>
        </w:rPr>
        <w:t>100—101.</w:t>
      </w:r>
    </w:p>
    <w:p>
      <w:pPr>
        <w:pStyle w:val="BodyText"/>
        <w:ind w:left="179" w:right="3" w:hanging="171"/>
        <w:spacing w:before="44" w:line="229" w:lineRule="auto"/>
        <w:rPr/>
      </w:pPr>
      <w:r>
        <w:rPr>
          <w:color w:val="231F20"/>
          <w:spacing w:val="4"/>
        </w:rPr>
        <w:t>[8]天亮，韩金山.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蒙药额尔敦—乌日勒治</w:t>
      </w:r>
      <w:r>
        <w:rPr>
          <w:color w:val="231F20"/>
          <w:spacing w:val="3"/>
        </w:rPr>
        <w:t>疗颈动脉粥样硬化</w:t>
      </w:r>
      <w:r>
        <w:rPr>
          <w:color w:val="231F20"/>
        </w:rPr>
        <w:t xml:space="preserve">  </w:t>
      </w:r>
      <w:r>
        <w:rPr>
          <w:color w:val="231F20"/>
        </w:rPr>
        <w:t>斑块的超声改变[J]. 中 国 民族医药杂志，2</w:t>
      </w:r>
      <w:r>
        <w:rPr>
          <w:color w:val="231F20"/>
          <w:spacing w:val="-1"/>
        </w:rPr>
        <w:t>015，21（8</w:t>
      </w:r>
      <w:r>
        <w:rPr>
          <w:color w:val="231F20"/>
          <w:spacing w:val="-44"/>
          <w:w w:val="93"/>
        </w:rPr>
        <w:t>）：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21—22.</w:t>
      </w:r>
    </w:p>
    <w:p>
      <w:pPr>
        <w:pStyle w:val="BodyText"/>
        <w:ind w:left="206" w:right="55" w:hanging="198"/>
        <w:spacing w:before="17" w:line="215" w:lineRule="auto"/>
        <w:rPr/>
      </w:pPr>
      <w:r>
        <w:rPr>
          <w:color w:val="231F20"/>
          <w:spacing w:val="2"/>
        </w:rPr>
        <w:t>[9]郝蔷薇. 额尔敦—乌日勒对动脉粥样硬化易损斑块家兔血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管内皮功能的影响[D].呼和浩特：内蒙古医科大学，2016.</w:t>
      </w:r>
    </w:p>
    <w:p>
      <w:pPr>
        <w:pStyle w:val="BodyText"/>
        <w:ind w:left="300" w:right="55" w:hanging="292"/>
        <w:spacing w:before="43" w:line="216" w:lineRule="auto"/>
        <w:rPr/>
      </w:pPr>
      <w:r>
        <w:rPr>
          <w:color w:val="231F20"/>
          <w:spacing w:val="1"/>
        </w:rPr>
        <w:t>[10]萨如拉.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蒙成药额尔敦乌日勒调控</w:t>
      </w:r>
      <w:r>
        <w:rPr>
          <w:color w:val="231F20"/>
        </w:rPr>
        <w:t>MCAO</w:t>
      </w:r>
      <w:r>
        <w:rPr>
          <w:color w:val="231F20"/>
          <w:spacing w:val="1"/>
        </w:rPr>
        <w:t>/R 损伤模型大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鼠小胶质细胞机制研究[D].通辽：内蒙古民族大学，20</w:t>
      </w:r>
      <w:r>
        <w:rPr>
          <w:color w:val="231F20"/>
          <w:spacing w:val="-7"/>
        </w:rPr>
        <w:t>20.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81732</wp:posOffset>
            </wp:positionV>
            <wp:extent cx="67980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62"/>
        <w:spacing w:before="74" w:line="188" w:lineRule="auto"/>
        <w:rPr/>
      </w:pPr>
      <w:r>
        <w:rPr>
          <w:color w:val="231F20"/>
          <w:spacing w:val="-8"/>
        </w:rPr>
        <w:t>2022 年 7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月 29  日收稿</w:t>
      </w:r>
    </w:p>
    <w:p>
      <w:pPr>
        <w:spacing w:line="188" w:lineRule="auto"/>
        <w:sectPr>
          <w:type w:val="continuous"/>
          <w:pgSz w:w="11905" w:h="16156"/>
          <w:pgMar w:top="1234" w:right="1189" w:bottom="0" w:left="407" w:header="912" w:footer="0" w:gutter="0"/>
          <w:cols w:equalWidth="0" w:num="2">
            <w:col w:w="5668" w:space="100"/>
            <w:col w:w="4539" w:space="0"/>
          </w:cols>
        </w:sectPr>
        <w:rPr/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337"/>
        <w:spacing w:before="117" w:line="186" w:lineRule="auto"/>
        <w:outlineLvl w:val="0"/>
        <w:rPr>
          <w:sz w:val="27"/>
          <w:szCs w:val="27"/>
        </w:rPr>
      </w:pPr>
      <w:r>
        <w:rPr>
          <w:sz w:val="27"/>
          <w:szCs w:val="27"/>
          <w:color w:val="231F20"/>
          <w:spacing w:val="9"/>
        </w:rPr>
        <w:t>壮药花红胶囊联合抗生素对于急性盆腔炎的治疗效果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5264"/>
        <w:spacing w:before="74" w:line="192" w:lineRule="auto"/>
        <w:rPr/>
      </w:pPr>
      <w:r>
        <w:rPr>
          <w:color w:val="231F20"/>
          <w:spacing w:val="17"/>
        </w:rPr>
        <w:t>林秋红</w:t>
      </w:r>
    </w:p>
    <w:p>
      <w:pPr>
        <w:pStyle w:val="BodyText"/>
        <w:ind w:left="3819"/>
        <w:spacing w:before="61" w:line="197" w:lineRule="auto"/>
        <w:rPr/>
      </w:pPr>
      <w:r>
        <w:rPr>
          <w:color w:val="231F20"/>
          <w:spacing w:val="-1"/>
        </w:rPr>
        <w:t>（安溪县城厢卫生院，福建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安溪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362400）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839" w:firstLine="288"/>
        <w:spacing w:before="73" w:line="229" w:lineRule="auto"/>
        <w:jc w:val="both"/>
        <w:rPr/>
      </w:pPr>
      <w:r>
        <w:rPr>
          <w:color w:val="231F20"/>
          <w:spacing w:val="8"/>
        </w:rPr>
        <w:t>［摘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8"/>
        </w:rPr>
        <w:t>要］</w:t>
      </w:r>
      <w:r>
        <w:rPr>
          <w:color w:val="231F20"/>
          <w:spacing w:val="1"/>
        </w:rPr>
        <w:t xml:space="preserve">  </w:t>
      </w:r>
      <w:r>
        <w:rPr>
          <w:color w:val="066792"/>
          <w:spacing w:val="8"/>
        </w:rPr>
        <w:t>目</w:t>
      </w:r>
      <w:r>
        <w:rPr>
          <w:color w:val="066792"/>
          <w:spacing w:val="-26"/>
        </w:rPr>
        <w:t xml:space="preserve"> </w:t>
      </w:r>
      <w:r>
        <w:rPr>
          <w:color w:val="066792"/>
          <w:spacing w:val="8"/>
        </w:rPr>
        <w:t>的</w:t>
      </w:r>
      <w:r>
        <w:rPr>
          <w:color w:val="231F20"/>
          <w:spacing w:val="8"/>
        </w:rPr>
        <w:t>：对急性盆腔炎使用壮药花红胶囊联合抗生素进行治疗，观察临床效果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066792"/>
          <w:spacing w:val="8"/>
        </w:rPr>
        <w:t>方法</w:t>
      </w:r>
      <w:r>
        <w:rPr>
          <w:color w:val="231F20"/>
          <w:spacing w:val="8"/>
        </w:rPr>
        <w:t>：选取2021年1月—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2022年12月我院收治的30例急性盆腔炎患者作</w:t>
      </w:r>
      <w:r>
        <w:rPr>
          <w:color w:val="231F20"/>
          <w:spacing w:val="7"/>
        </w:rPr>
        <w:t>为研究对象，采用随机数表法分为对照组和研究组，各15例。对照组采取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抗生素治疗；研究组除了使用抗生素，还应用壮药花红胶囊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。观察比较两组疗效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066792"/>
          <w:spacing w:val="10"/>
        </w:rPr>
        <w:t>结果</w:t>
      </w:r>
      <w:r>
        <w:rPr>
          <w:color w:val="231F20"/>
          <w:spacing w:val="10"/>
        </w:rPr>
        <w:t>：两组在治疗后</w:t>
      </w:r>
      <w:r>
        <w:rPr>
          <w:color w:val="231F20"/>
          <w:spacing w:val="9"/>
        </w:rPr>
        <w:t>盆腔积液均显著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减少，盆腔包块直径均明显缩小，白细胞计数、C反应蛋白这两项反映炎症水平的实验室指标也较治疗前有明显降低，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1"/>
        </w:rPr>
        <w:t>但是两组以上各指标的变化幅度存在差异，研究组各指标在治疗后的改善更显著，中医证候评分更低，差异有统</w:t>
      </w:r>
      <w:r>
        <w:rPr>
          <w:color w:val="231F20"/>
          <w:spacing w:val="10"/>
        </w:rPr>
        <w:t>计学意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义（P＜0.05）。研究组、对照组的治疗总有效率分别为93.33%（14/15）、73.33%（11/15</w:t>
      </w:r>
      <w:r>
        <w:rPr>
          <w:color w:val="231F20"/>
          <w:spacing w:val="-34"/>
          <w:w w:val="82"/>
        </w:rPr>
        <w:t>），</w:t>
      </w:r>
      <w:r>
        <w:rPr>
          <w:color w:val="231F20"/>
          <w:spacing w:val="-10"/>
        </w:rPr>
        <w:t>差异有统计学意义（P＜0.05）。</w:t>
      </w:r>
      <w:r>
        <w:rPr>
          <w:color w:val="066792"/>
          <w:spacing w:val="-10"/>
        </w:rPr>
        <w:t>结论</w:t>
      </w:r>
      <w:r>
        <w:rPr>
          <w:color w:val="231F20"/>
          <w:spacing w:val="-10"/>
        </w:rPr>
        <w:t>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2"/>
        </w:rPr>
        <w:t>壮药花红胶囊联合抗生素治疗急性盆腔炎效果显著，值得推广。</w:t>
      </w:r>
    </w:p>
    <w:p>
      <w:pPr>
        <w:pStyle w:val="BodyText"/>
        <w:ind w:left="1128"/>
        <w:spacing w:line="187" w:lineRule="auto"/>
        <w:rPr/>
      </w:pPr>
      <w:r>
        <w:rPr>
          <w:color w:val="231F20"/>
          <w:spacing w:val="3"/>
        </w:rPr>
        <w:t>［关键词］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急性盆腔炎；抗生素；壮药花红胶囊；临床效果</w:t>
      </w:r>
    </w:p>
    <w:p>
      <w:pPr>
        <w:pStyle w:val="BodyText"/>
        <w:ind w:left="2422"/>
        <w:spacing w:before="53" w:line="196" w:lineRule="auto"/>
        <w:rPr/>
      </w:pPr>
      <w:r>
        <w:rPr>
          <w:color w:val="231F20"/>
          <w:spacing w:val="-7"/>
        </w:rPr>
        <w:t>中图分类号：R291.8           文献标识码：B</w:t>
      </w:r>
      <w:r>
        <w:rPr>
          <w:color w:val="231F20"/>
          <w:spacing w:val="-8"/>
        </w:rPr>
        <w:t xml:space="preserve">          文章编号：1006-6810（2023）03-0006-03</w:t>
      </w:r>
    </w:p>
    <w:p>
      <w:pPr>
        <w:ind w:left="1132"/>
        <w:spacing w:before="67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DOI:10.16041/j.cnki.cn15-1175.2023.03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.001</w:t>
      </w:r>
    </w:p>
    <w:p>
      <w:pPr>
        <w:spacing w:before="65"/>
        <w:rPr/>
      </w:pPr>
      <w:r/>
    </w:p>
    <w:p>
      <w:pPr>
        <w:sectPr>
          <w:type w:val="continuous"/>
          <w:pgSz w:w="11905" w:h="16156"/>
          <w:pgMar w:top="1234" w:right="1189" w:bottom="0" w:left="407" w:header="912" w:footer="0" w:gutter="0"/>
          <w:cols w:equalWidth="0" w:num="1">
            <w:col w:w="10307" w:space="0"/>
          </w:cols>
        </w:sectPr>
        <w:rPr/>
      </w:pPr>
    </w:p>
    <w:p>
      <w:pPr>
        <w:pStyle w:val="BodyText"/>
        <w:ind w:left="840" w:right="281" w:firstLine="361"/>
        <w:spacing w:before="39" w:line="222" w:lineRule="auto"/>
        <w:jc w:val="both"/>
        <w:rPr/>
      </w:pPr>
      <w:r>
        <w:rPr>
          <w:color w:val="231F20"/>
          <w:spacing w:val="7"/>
        </w:rPr>
        <w:t>盆腔炎是临床发生率较高的妇科疾病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，病灶可以局限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在某一位置，也可以累及多个部位，发生率较高的急性盆腔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炎包括输卵管炎、输卵管卵巢炎等。疾病会导致出现较多的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痛苦不适反应，常见症状为下腹部疼痛、发热、白带增多</w:t>
      </w:r>
      <w:r>
        <w:rPr>
          <w:color w:val="231F20"/>
          <w:spacing w:val="-5"/>
        </w:rPr>
        <w:t>，若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在经期发病，经量会有所增加，且经期会有延长</w:t>
      </w:r>
      <w:r>
        <w:rPr>
          <w:sz w:val="10"/>
          <w:szCs w:val="10"/>
          <w:color w:val="231F20"/>
          <w:spacing w:val="-3"/>
          <w:position w:val="6"/>
        </w:rPr>
        <w:t>[1]</w:t>
      </w:r>
      <w:r>
        <w:rPr>
          <w:sz w:val="10"/>
          <w:szCs w:val="10"/>
          <w:color w:val="231F20"/>
          <w:spacing w:val="-8"/>
          <w:position w:val="6"/>
        </w:rPr>
        <w:t xml:space="preserve"> </w:t>
      </w:r>
      <w:r>
        <w:rPr>
          <w:color w:val="231F20"/>
          <w:spacing w:val="-3"/>
        </w:rPr>
        <w:t>。另外，根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据病灶部位以及炎症严重程度、感染病原体的不同，症状也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2"/>
        </w:rPr>
        <w:t>会存在一些差异，如急性盆腔腹膜炎，可表现为恶心、呕吐、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5" w:firstLine="1"/>
        <w:spacing w:before="37" w:line="222" w:lineRule="auto"/>
        <w:jc w:val="both"/>
        <w:rPr/>
      </w:pPr>
      <w:r>
        <w:rPr>
          <w:color w:val="231F20"/>
          <w:spacing w:val="-4"/>
        </w:rPr>
        <w:t>腹胀、腹泻，有脓肿形成，可出现下腹部包块，包块位于前方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会有膀胱刺激症状，位于后方会有直肠刺激症状；厌氧菌感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染容易形成脓肿，且复发率高；沙眼衣原体感染的长期持续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低热为常见表现，病程较长</w:t>
      </w:r>
      <w:r>
        <w:rPr>
          <w:sz w:val="10"/>
          <w:szCs w:val="10"/>
          <w:color w:val="231F20"/>
          <w:spacing w:val="3"/>
          <w:position w:val="6"/>
        </w:rPr>
        <w:t>[2]</w:t>
      </w:r>
      <w:r>
        <w:rPr>
          <w:sz w:val="10"/>
          <w:szCs w:val="10"/>
          <w:color w:val="231F20"/>
          <w:spacing w:val="-7"/>
          <w:position w:val="6"/>
        </w:rPr>
        <w:t xml:space="preserve"> </w:t>
      </w:r>
      <w:r>
        <w:rPr>
          <w:color w:val="231F20"/>
          <w:spacing w:val="3"/>
        </w:rPr>
        <w:t>。急性盆腔炎发病后需要及时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到医院接受有效治疗，药物治疗方案最常使用。本研究主要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观察在抗生素治疗基础上使用壮药花红胶囊的效果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  <w:spacing w:val="7"/>
        </w:rPr>
        <w:t>现报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道如下。</w:t>
      </w:r>
    </w:p>
    <w:p>
      <w:pPr>
        <w:spacing w:line="222" w:lineRule="auto"/>
        <w:sectPr>
          <w:type w:val="continuous"/>
          <w:pgSz w:w="11905" w:h="16156"/>
          <w:pgMar w:top="1234" w:right="1189" w:bottom="0" w:left="407" w:header="912" w:footer="0" w:gutter="0"/>
          <w:cols w:equalWidth="0" w:num="2">
            <w:col w:w="5668" w:space="100"/>
            <w:col w:w="4539" w:space="0"/>
          </w:cols>
        </w:sectPr>
        <w:rPr/>
      </w:pPr>
    </w:p>
    <w:p>
      <w:pPr>
        <w:spacing w:line="152" w:lineRule="exact"/>
        <w:rPr/>
      </w:pPr>
      <w:r/>
    </w:p>
    <w:p>
      <w:pPr>
        <w:spacing w:line="152" w:lineRule="exact"/>
        <w:sectPr>
          <w:headerReference w:type="default" r:id="rId3"/>
          <w:pgSz w:w="11905" w:h="16156"/>
          <w:pgMar w:top="1216" w:right="1181" w:bottom="0" w:left="407" w:header="893" w:footer="0" w:gutter="0"/>
          <w:cols w:equalWidth="0" w:num="1">
            <w:col w:w="10315" w:space="0"/>
          </w:cols>
        </w:sectPr>
        <w:rPr/>
      </w:pPr>
    </w:p>
    <w:p>
      <w:pPr>
        <w:pStyle w:val="BodyText"/>
        <w:ind w:left="858"/>
        <w:spacing w:before="49" w:line="199" w:lineRule="auto"/>
        <w:outlineLvl w:val="1"/>
        <w:rPr/>
      </w:pPr>
      <w:r>
        <w:rPr>
          <w:color w:val="231F20"/>
        </w:rPr>
        <w:t>1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资料与方法</w:t>
      </w:r>
    </w:p>
    <w:p>
      <w:pPr>
        <w:pStyle w:val="BodyText"/>
        <w:ind w:left="841" w:right="270" w:firstLine="16"/>
        <w:spacing w:before="38" w:line="229" w:lineRule="auto"/>
        <w:rPr/>
      </w:pPr>
      <w:r>
        <w:rPr>
          <w:color w:val="231F20"/>
          <w:spacing w:val="-2"/>
        </w:rPr>
        <w:t>1.1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-2"/>
        </w:rPr>
        <w:t>一般资料</w:t>
      </w:r>
      <w:r>
        <w:rPr>
          <w:color w:val="231F20"/>
          <w:spacing w:val="12"/>
          <w:w w:val="101"/>
        </w:rPr>
        <w:t xml:space="preserve">   </w:t>
      </w:r>
      <w:r>
        <w:rPr>
          <w:color w:val="231F20"/>
          <w:spacing w:val="-2"/>
        </w:rPr>
        <w:t>选取 2021 年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 月—2022 年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12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月我院收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治的 30 例急性盆腔炎患者作为研究对象，采用随机数表法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分为对照组和研究组，各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15 例。研究组年龄 25～56 岁，平均</w:t>
      </w:r>
      <w:r>
        <w:rPr>
          <w:color w:val="231F20"/>
        </w:rPr>
        <w:t xml:space="preserve">  </w:t>
      </w:r>
      <w:r>
        <w:rPr>
          <w:color w:val="231F20"/>
          <w:spacing w:val="-16"/>
        </w:rPr>
        <w:t>年龄（36.97±5.18）岁；病程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6"/>
        </w:rPr>
        <w:t>1～7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6"/>
        </w:rPr>
        <w:t>d，平均病程（2.70±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1.2</w:t>
      </w:r>
      <w:r>
        <w:rPr>
          <w:color w:val="231F20"/>
          <w:spacing w:val="-17"/>
        </w:rPr>
        <w:t>2）d。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对照组年龄 23～28 岁，平均年龄（37.74±6.28）岁；病程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8"/>
        </w:rPr>
        <w:t>1～6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8"/>
        </w:rPr>
        <w:t>d，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平均病程（2.59±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1.07）d。两组一般资料比较差异无</w:t>
      </w:r>
      <w:r>
        <w:rPr>
          <w:color w:val="231F20"/>
          <w:spacing w:val="-7"/>
        </w:rPr>
        <w:t>统计学意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义（P＞0.05</w:t>
      </w:r>
      <w:r>
        <w:rPr>
          <w:color w:val="231F20"/>
          <w:spacing w:val="-29"/>
          <w:w w:val="72"/>
        </w:rPr>
        <w:t>），</w:t>
      </w:r>
      <w:r>
        <w:rPr>
          <w:color w:val="231F20"/>
          <w:spacing w:val="-2"/>
        </w:rPr>
        <w:t>具有可比性，且对治疗方案均</w:t>
      </w:r>
      <w:r>
        <w:rPr>
          <w:color w:val="231F20"/>
          <w:spacing w:val="-3"/>
        </w:rPr>
        <w:t>签署同意书，具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有较好的治疗配合度。将妊娠期和哺乳期、合并严重脏器疾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病、精神障碍、药物过敏排除。</w:t>
      </w:r>
    </w:p>
    <w:p>
      <w:pPr>
        <w:pStyle w:val="BodyText"/>
        <w:ind w:left="840" w:right="281" w:firstLine="17"/>
        <w:spacing w:before="37" w:line="232" w:lineRule="auto"/>
        <w:rPr/>
      </w:pPr>
      <w:r>
        <w:rPr>
          <w:color w:val="231F20"/>
          <w:spacing w:val="8"/>
        </w:rPr>
        <w:t>1.2   治疗方法    两组在明确病情之后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，均接受基础性治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疗，如物理降温、补液、维持水电解质和酸碱平衡等。</w:t>
      </w:r>
      <w:r>
        <w:rPr>
          <w:color w:val="231F20"/>
          <w:spacing w:val="-5"/>
        </w:rPr>
        <w:t>在此基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础上，制订针对性用药治疗方案，详情如下：①对照组使用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的药物治疗方案为抗生素治疗，采用二联疗法，静脉滴注盐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酸左氧氟沙星氯化钠注射液，0.2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g/次，2 次/d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；静脉滴注甲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硝唑氯化钠注射液，首次用药剂量为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15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mg/kg，之后调整剂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量为每次 7.5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mg/kg，2 次/d。②研究组除了按照对照组方案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实施抗生素治疗，还给予壮药花红胶囊（广西壮族自治区花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红药业股份有限公司，国药准字 Z20025194，规格：0.25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g</w:t>
      </w:r>
      <w:r>
        <w:rPr>
          <w:color w:val="231F20"/>
          <w:spacing w:val="-37"/>
          <w:w w:val="90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口服，3 粒/次，3 次/d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。两组均以</w:t>
      </w:r>
      <w:r>
        <w:rPr>
          <w:color w:val="231F20"/>
          <w:spacing w:val="-7"/>
        </w:rPr>
        <w:t>连续治疗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1 周为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1 个疗程。</w:t>
      </w:r>
    </w:p>
    <w:p>
      <w:pPr>
        <w:pStyle w:val="BodyText"/>
        <w:ind w:left="839" w:right="334" w:firstLine="18"/>
        <w:spacing w:before="25" w:line="231" w:lineRule="auto"/>
        <w:rPr/>
      </w:pPr>
      <w:r>
        <w:rPr>
          <w:color w:val="231F20"/>
          <w:spacing w:val="4"/>
        </w:rPr>
        <w:t>1.3   观察指标    对比两组如下各项指标：①治疗前后的影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像学检查结果，使用腹部彩超实施检查，主要观察盆腔积液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深度、盆腔包块直径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。②治疗前后的实验室检查结果，指标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包括白细胞计数、C 反应蛋白水平。③中医证候评分。④治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疗总有效率。接受治疗后，临床症状、体征完全消失，影</w:t>
      </w:r>
      <w:r>
        <w:rPr>
          <w:color w:val="231F20"/>
          <w:spacing w:val="-5"/>
        </w:rPr>
        <w:t>像学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和实验室检查结果均恢复正常为显效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；治疗后的以上</w:t>
      </w:r>
      <w:r>
        <w:rPr>
          <w:color w:val="231F20"/>
          <w:spacing w:val="7"/>
        </w:rPr>
        <w:t>多个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评价维度有不同程度好转为有效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；各评价维度无改善或是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有加重趋势为无效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。总有效率=显效率+有效率。</w:t>
      </w:r>
    </w:p>
    <w:p>
      <w:pPr>
        <w:pStyle w:val="BodyText"/>
        <w:ind w:left="841" w:right="334" w:firstLine="16"/>
        <w:spacing w:before="38" w:line="218" w:lineRule="auto"/>
        <w:rPr/>
      </w:pPr>
      <w:r>
        <w:pict>
          <v:shape id="_x0000_s6" style="position:absolute;margin-left:123.999pt;margin-top:17.699pt;mso-position-vertical-relative:text;mso-position-horizontal-relative:text;width:3.35pt;height:0.2pt;z-index:251660288;" filled="false" strokecolor="#231F20" strokeweight="0.20pt" coordsize="66,4" coordorigin="0,0" path="m0,1l66,1e">
            <v:stroke joinstyle="miter" miterlimit="10"/>
          </v:shape>
        </w:pict>
      </w:r>
      <w:r>
        <w:rPr>
          <w:color w:val="231F20"/>
          <w:spacing w:val="-1"/>
        </w:rPr>
        <w:t>1.4   统计学方法    采用 SPSS20.0 软件分析处理数据，计量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资料以均数±标准差（</w:t>
      </w:r>
      <w:r>
        <w:rPr>
          <w:color w:val="231F20"/>
          <w:spacing w:val="-6"/>
        </w:rPr>
        <w:t>x</w:t>
      </w:r>
      <w:r>
        <w:rPr>
          <w:color w:val="231F20"/>
          <w:spacing w:val="-6"/>
        </w:rPr>
        <w:t>±s）表示，行 t 检验；计数资料用百分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  <w:w w:val="96"/>
        </w:rPr>
        <w:t>率（%）表示，行 χ</w:t>
      </w:r>
      <w:r>
        <w:rPr>
          <w:sz w:val="10"/>
          <w:szCs w:val="10"/>
          <w:color w:val="231F20"/>
          <w:spacing w:val="3"/>
          <w:position w:val="6"/>
        </w:rPr>
        <w:t>2</w:t>
      </w:r>
      <w:r>
        <w:rPr>
          <w:sz w:val="10"/>
          <w:szCs w:val="10"/>
          <w:color w:val="231F20"/>
          <w:spacing w:val="31"/>
          <w:position w:val="6"/>
        </w:rPr>
        <w:t xml:space="preserve"> </w:t>
      </w:r>
      <w:r>
        <w:rPr>
          <w:color w:val="231F20"/>
          <w:spacing w:val="3"/>
        </w:rPr>
        <w:t>检验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。P＜0.05 表示差异有统计学意义</w:t>
      </w:r>
    </w:p>
    <w:p>
      <w:pPr>
        <w:pStyle w:val="BodyText"/>
        <w:ind w:left="843"/>
        <w:spacing w:before="61" w:line="200" w:lineRule="auto"/>
        <w:outlineLvl w:val="1"/>
        <w:rPr/>
      </w:pPr>
      <w:r>
        <w:rPr>
          <w:color w:val="231F20"/>
          <w:spacing w:val="-4"/>
        </w:rPr>
        <w:t>2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4"/>
        </w:rPr>
        <w:t>结果</w:t>
      </w:r>
    </w:p>
    <w:p>
      <w:pPr>
        <w:pStyle w:val="BodyText"/>
        <w:ind w:left="841" w:right="278" w:firstLine="2"/>
        <w:spacing w:before="32" w:line="236" w:lineRule="auto"/>
        <w:jc w:val="both"/>
        <w:rPr/>
      </w:pPr>
      <w:r>
        <w:rPr>
          <w:color w:val="231F20"/>
          <w:spacing w:val="4"/>
        </w:rPr>
        <w:t>2.1   两组影像学、实验室检查结果对比    治疗前，各项实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验室指标、影像学检查结果比较差异无统计学意义（P＞0.05</w:t>
      </w:r>
      <w:r>
        <w:rPr>
          <w:color w:val="231F20"/>
          <w:spacing w:val="-38"/>
          <w:w w:val="93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治疗后，两组各指标均有不同程度改善，与对照组比较，研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0"/>
        </w:rPr>
        <w:t>究组改善幅度更大（P＜0.05）。见表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1。</w:t>
      </w:r>
    </w:p>
    <w:p>
      <w:pPr>
        <w:pStyle w:val="BodyText"/>
        <w:ind w:left="1391"/>
        <w:spacing w:line="196" w:lineRule="auto"/>
        <w:rPr>
          <w:sz w:val="15"/>
          <w:szCs w:val="15"/>
        </w:rPr>
      </w:pPr>
      <w:r>
        <w:pict>
          <v:shape id="_x0000_s8" style="position:absolute;margin-left:224.1pt;margin-top:1.20226pt;mso-position-vertical-relative:text;mso-position-horizontal-relative:text;width:2.85pt;height:0.2pt;z-index:251659264;" filled="false" strokecolor="#231F20" strokeweight="0.20pt" coordsize="56,4" coordorigin="0,0" path="m0,1l56,1e">
            <v:stroke joinstyle="miter" miterlimit="10"/>
          </v:shape>
        </w:pict>
      </w:r>
      <w:r>
        <w:rPr>
          <w:sz w:val="15"/>
          <w:szCs w:val="15"/>
          <w:color w:val="231F20"/>
          <w:spacing w:val="-3"/>
        </w:rPr>
        <w:t>表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3"/>
        </w:rPr>
        <w:t>两组影像学、实验室指标治疗前后水平（</w:t>
      </w:r>
      <w:r>
        <w:rPr>
          <w:sz w:val="15"/>
          <w:szCs w:val="15"/>
          <w:color w:val="231F20"/>
          <w:spacing w:val="-3"/>
        </w:rPr>
        <w:t>x</w:t>
      </w:r>
      <w:r>
        <w:rPr>
          <w:sz w:val="15"/>
          <w:szCs w:val="15"/>
          <w:color w:val="231F20"/>
          <w:spacing w:val="-3"/>
        </w:rPr>
        <w:t>±s）</w:t>
      </w:r>
    </w:p>
    <w:p>
      <w:pPr>
        <w:spacing w:line="50" w:lineRule="exact"/>
        <w:rPr/>
      </w:pPr>
      <w:r/>
    </w:p>
    <w:tbl>
      <w:tblPr>
        <w:tblStyle w:val="TableNormal"/>
        <w:tblW w:w="4491" w:type="dxa"/>
        <w:tblInd w:w="83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0"/>
        <w:gridCol w:w="287"/>
        <w:gridCol w:w="472"/>
        <w:gridCol w:w="465"/>
        <w:gridCol w:w="519"/>
        <w:gridCol w:w="514"/>
        <w:gridCol w:w="447"/>
        <w:gridCol w:w="448"/>
        <w:gridCol w:w="450"/>
        <w:gridCol w:w="449"/>
      </w:tblGrid>
      <w:tr>
        <w:trPr>
          <w:trHeight w:val="521" w:hRule="atLeast"/>
        </w:trPr>
        <w:tc>
          <w:tcPr>
            <w:tcW w:w="44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64" w:line="191" w:lineRule="auto"/>
              <w:rPr/>
            </w:pPr>
            <w:r>
              <w:rPr>
                <w:color w:val="231F20"/>
                <w:spacing w:val="-3"/>
                <w:w w:val="98"/>
              </w:rPr>
              <w:t>组别</w:t>
            </w:r>
          </w:p>
        </w:tc>
        <w:tc>
          <w:tcPr>
            <w:tcW w:w="287" w:type="dxa"/>
            <w:vAlign w:val="top"/>
            <w:vMerge w:val="restart"/>
            <w:textDirection w:val="tbRlV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342"/>
              <w:spacing w:before="67" w:line="169" w:lineRule="auto"/>
              <w:rPr/>
            </w:pPr>
            <w:r>
              <w:rPr>
                <w:color w:val="231F20"/>
                <w:spacing w:val="5"/>
              </w:rPr>
              <w:t>例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5"/>
              </w:rPr>
              <w:t>数</w:t>
            </w:r>
          </w:p>
        </w:tc>
        <w:tc>
          <w:tcPr>
            <w:tcW w:w="93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5"/>
              <w:spacing w:before="66" w:line="190" w:lineRule="auto"/>
              <w:rPr/>
            </w:pPr>
            <w:r>
              <w:rPr>
                <w:color w:val="231F20"/>
                <w:spacing w:val="-7"/>
                <w:w w:val="96"/>
              </w:rPr>
              <w:t>白细胞计数</w:t>
            </w:r>
          </w:p>
          <w:p>
            <w:pPr>
              <w:pStyle w:val="TableText"/>
              <w:ind w:left="232"/>
              <w:spacing w:before="20" w:line="198" w:lineRule="auto"/>
              <w:rPr/>
            </w:pPr>
            <w:r>
              <w:rPr>
                <w:color w:val="231F20"/>
                <w:spacing w:val="-20"/>
                <w:w w:val="92"/>
              </w:rPr>
              <w:t>(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0"/>
                <w:w w:val="92"/>
              </w:rPr>
              <w:t>×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0"/>
                <w:w w:val="92"/>
              </w:rPr>
              <w:t>10</w:t>
            </w:r>
            <w:r>
              <w:rPr>
                <w:sz w:val="8"/>
                <w:szCs w:val="8"/>
                <w:color w:val="231F20"/>
                <w:spacing w:val="-7"/>
                <w:w w:val="97"/>
                <w:position w:val="5"/>
              </w:rPr>
              <w:t>9</w:t>
            </w:r>
            <w:r>
              <w:rPr>
                <w:color w:val="231F20"/>
                <w:spacing w:val="-7"/>
                <w:w w:val="97"/>
              </w:rPr>
              <w:t>/L）</w:t>
            </w:r>
          </w:p>
        </w:tc>
        <w:tc>
          <w:tcPr>
            <w:tcW w:w="1033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7"/>
              <w:spacing w:before="67" w:line="190" w:lineRule="auto"/>
              <w:rPr/>
            </w:pPr>
            <w:r>
              <w:rPr>
                <w:color w:val="231F20"/>
                <w:spacing w:val="-11"/>
              </w:rPr>
              <w:t>C 反应蛋白</w:t>
            </w:r>
          </w:p>
          <w:p>
            <w:pPr>
              <w:pStyle w:val="TableText"/>
              <w:ind w:left="247"/>
              <w:spacing w:before="19" w:line="186" w:lineRule="auto"/>
              <w:rPr/>
            </w:pPr>
            <w:r>
              <w:rPr>
                <w:color w:val="231F20"/>
                <w:spacing w:val="-15"/>
                <w:w w:val="96"/>
              </w:rPr>
              <w:t>（mg/L）</w:t>
            </w:r>
          </w:p>
        </w:tc>
        <w:tc>
          <w:tcPr>
            <w:tcW w:w="895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2"/>
              <w:spacing w:before="58" w:line="199" w:lineRule="auto"/>
              <w:rPr/>
            </w:pPr>
            <w:r>
              <w:rPr>
                <w:color w:val="231F20"/>
                <w:spacing w:val="-2"/>
                <w:w w:val="95"/>
              </w:rPr>
              <w:t>盆腔积液深</w:t>
            </w:r>
          </w:p>
          <w:p>
            <w:pPr>
              <w:pStyle w:val="TableText"/>
              <w:ind w:left="231"/>
              <w:spacing w:before="9" w:line="206" w:lineRule="auto"/>
              <w:rPr/>
            </w:pPr>
            <w:r>
              <w:rPr>
                <w:color w:val="231F20"/>
                <w:spacing w:val="-17"/>
                <w:w w:val="90"/>
              </w:rPr>
              <w:t>度（cm）</w:t>
            </w:r>
          </w:p>
        </w:tc>
        <w:tc>
          <w:tcPr>
            <w:tcW w:w="899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6"/>
              <w:spacing w:before="66" w:line="190" w:lineRule="auto"/>
              <w:rPr/>
            </w:pPr>
            <w:r>
              <w:rPr>
                <w:color w:val="231F20"/>
                <w:spacing w:val="-3"/>
                <w:w w:val="95"/>
              </w:rPr>
              <w:t>盆腔包块直</w:t>
            </w:r>
          </w:p>
          <w:p>
            <w:pPr>
              <w:pStyle w:val="TableText"/>
              <w:ind w:left="234"/>
              <w:spacing w:before="19" w:line="198" w:lineRule="auto"/>
              <w:rPr/>
            </w:pPr>
            <w:r>
              <w:rPr>
                <w:color w:val="231F20"/>
                <w:spacing w:val="-17"/>
                <w:w w:val="90"/>
              </w:rPr>
              <w:t>径（cm）</w:t>
            </w:r>
          </w:p>
        </w:tc>
      </w:tr>
      <w:tr>
        <w:trPr>
          <w:trHeight w:val="542" w:hRule="atLeast"/>
        </w:trPr>
        <w:tc>
          <w:tcPr>
            <w:tcW w:w="44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7" w:type="dxa"/>
            <w:vAlign w:val="top"/>
            <w:vMerge w:val="continue"/>
            <w:textDirection w:val="tbRlV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6" w:right="97" w:hanging="67"/>
              <w:spacing w:before="81" w:line="210" w:lineRule="auto"/>
              <w:rPr/>
            </w:pPr>
            <w:r>
              <w:rPr>
                <w:color w:val="231F20"/>
                <w:spacing w:val="-3"/>
                <w:w w:val="93"/>
              </w:rPr>
              <w:t>治疗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前</w:t>
            </w:r>
          </w:p>
        </w:tc>
        <w:tc>
          <w:tcPr>
            <w:tcW w:w="46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6" w:right="90" w:hanging="67"/>
              <w:spacing w:before="81" w:line="210" w:lineRule="auto"/>
              <w:rPr/>
            </w:pPr>
            <w:r>
              <w:rPr>
                <w:color w:val="231F20"/>
                <w:spacing w:val="-3"/>
                <w:w w:val="93"/>
              </w:rPr>
              <w:t>治疗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后</w:t>
            </w:r>
          </w:p>
        </w:tc>
        <w:tc>
          <w:tcPr>
            <w:tcW w:w="51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96" w:right="114" w:hanging="67"/>
              <w:spacing w:before="81" w:line="210" w:lineRule="auto"/>
              <w:rPr/>
            </w:pPr>
            <w:r>
              <w:rPr>
                <w:color w:val="231F20"/>
                <w:spacing w:val="-3"/>
                <w:w w:val="93"/>
              </w:rPr>
              <w:t>治疗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前</w:t>
            </w:r>
          </w:p>
        </w:tc>
        <w:tc>
          <w:tcPr>
            <w:tcW w:w="51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89" w:right="116" w:hanging="67"/>
              <w:spacing w:before="81" w:line="210" w:lineRule="auto"/>
              <w:rPr/>
            </w:pPr>
            <w:r>
              <w:rPr>
                <w:color w:val="231F20"/>
                <w:spacing w:val="-3"/>
                <w:w w:val="93"/>
              </w:rPr>
              <w:t>治疗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后</w:t>
            </w:r>
          </w:p>
        </w:tc>
        <w:tc>
          <w:tcPr>
            <w:tcW w:w="4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6" w:right="82" w:hanging="67"/>
              <w:spacing w:before="81" w:line="210" w:lineRule="auto"/>
              <w:rPr/>
            </w:pPr>
            <w:r>
              <w:rPr>
                <w:color w:val="231F20"/>
                <w:spacing w:val="-3"/>
                <w:w w:val="93"/>
              </w:rPr>
              <w:t>治疗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前</w:t>
            </w:r>
          </w:p>
        </w:tc>
        <w:tc>
          <w:tcPr>
            <w:tcW w:w="44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8" w:right="81" w:hanging="67"/>
              <w:spacing w:before="81" w:line="210" w:lineRule="auto"/>
              <w:rPr/>
            </w:pPr>
            <w:r>
              <w:rPr>
                <w:color w:val="231F20"/>
                <w:spacing w:val="-3"/>
                <w:w w:val="93"/>
              </w:rPr>
              <w:t>治疗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后</w:t>
            </w:r>
          </w:p>
        </w:tc>
        <w:tc>
          <w:tcPr>
            <w:tcW w:w="45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9" w:right="82" w:hanging="67"/>
              <w:spacing w:before="81" w:line="210" w:lineRule="auto"/>
              <w:rPr/>
            </w:pPr>
            <w:r>
              <w:rPr>
                <w:color w:val="231F20"/>
                <w:spacing w:val="-3"/>
                <w:w w:val="93"/>
              </w:rPr>
              <w:t>治疗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前</w:t>
            </w:r>
          </w:p>
        </w:tc>
        <w:tc>
          <w:tcPr>
            <w:tcW w:w="44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8" w:right="82" w:hanging="67"/>
              <w:spacing w:before="81" w:line="210" w:lineRule="auto"/>
              <w:rPr/>
            </w:pPr>
            <w:r>
              <w:rPr>
                <w:color w:val="231F20"/>
                <w:spacing w:val="-3"/>
                <w:w w:val="93"/>
              </w:rPr>
              <w:t>治疗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后</w:t>
            </w:r>
          </w:p>
        </w:tc>
      </w:tr>
      <w:tr>
        <w:trPr>
          <w:trHeight w:val="468" w:hRule="atLeast"/>
        </w:trPr>
        <w:tc>
          <w:tcPr>
            <w:tcW w:w="4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"/>
              <w:spacing w:before="177" w:line="191" w:lineRule="auto"/>
              <w:rPr/>
            </w:pPr>
            <w:r>
              <w:rPr>
                <w:color w:val="231F20"/>
                <w:spacing w:val="-3"/>
                <w:w w:val="98"/>
              </w:rPr>
              <w:t>研究</w:t>
            </w:r>
          </w:p>
        </w:tc>
        <w:tc>
          <w:tcPr>
            <w:tcW w:w="287" w:type="dxa"/>
            <w:vAlign w:val="top"/>
            <w:tcBorders>
              <w:top w:val="single" w:color="231F20" w:sz="2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64" w:line="107" w:lineRule="exact"/>
              <w:rPr/>
            </w:pPr>
            <w:r>
              <w:rPr>
                <w:color w:val="231F20"/>
                <w:spacing w:val="-13"/>
                <w:position w:val="-3"/>
              </w:rPr>
              <w:t>15</w:t>
            </w:r>
          </w:p>
        </w:tc>
        <w:tc>
          <w:tcPr>
            <w:tcW w:w="4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200" w:line="200" w:lineRule="auto"/>
              <w:rPr/>
            </w:pPr>
            <w:r>
              <w:rPr>
                <w:color w:val="231F20"/>
                <w:spacing w:val="-15"/>
              </w:rPr>
              <w:t>14.12</w:t>
            </w:r>
          </w:p>
        </w:tc>
        <w:tc>
          <w:tcPr>
            <w:tcW w:w="4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3"/>
              <w:spacing w:before="199" w:line="200" w:lineRule="auto"/>
              <w:rPr/>
            </w:pPr>
            <w:r>
              <w:rPr>
                <w:color w:val="231F20"/>
                <w:spacing w:val="-13"/>
              </w:rPr>
              <w:t>8.26±</w:t>
            </w:r>
          </w:p>
        </w:tc>
        <w:tc>
          <w:tcPr>
            <w:tcW w:w="5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"/>
              <w:spacing w:before="199" w:line="200" w:lineRule="auto"/>
              <w:rPr/>
            </w:pPr>
            <w:r>
              <w:rPr>
                <w:color w:val="231F20"/>
                <w:spacing w:val="-15"/>
              </w:rPr>
              <w:t>155.73</w:t>
            </w:r>
          </w:p>
        </w:tc>
        <w:tc>
          <w:tcPr>
            <w:tcW w:w="5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1"/>
              <w:spacing w:before="199" w:line="200" w:lineRule="auto"/>
              <w:rPr/>
            </w:pPr>
            <w:r>
              <w:rPr>
                <w:color w:val="231F20"/>
                <w:spacing w:val="-13"/>
              </w:rPr>
              <w:t>5.97±</w:t>
            </w:r>
          </w:p>
        </w:tc>
        <w:tc>
          <w:tcPr>
            <w:tcW w:w="4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"/>
              <w:spacing w:before="199" w:line="200" w:lineRule="auto"/>
              <w:rPr/>
            </w:pPr>
            <w:r>
              <w:rPr>
                <w:color w:val="231F20"/>
                <w:spacing w:val="-12"/>
              </w:rPr>
              <w:t>2.53±</w:t>
            </w:r>
          </w:p>
        </w:tc>
        <w:tc>
          <w:tcPr>
            <w:tcW w:w="4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"/>
              <w:spacing w:before="199" w:line="200" w:lineRule="auto"/>
              <w:rPr/>
            </w:pPr>
            <w:r>
              <w:rPr>
                <w:color w:val="231F20"/>
                <w:spacing w:val="-12"/>
              </w:rPr>
              <w:t>0.22±</w:t>
            </w:r>
          </w:p>
        </w:tc>
        <w:tc>
          <w:tcPr>
            <w:tcW w:w="4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"/>
              <w:spacing w:before="199" w:line="200" w:lineRule="auto"/>
              <w:rPr/>
            </w:pPr>
            <w:r>
              <w:rPr>
                <w:color w:val="231F20"/>
                <w:spacing w:val="-12"/>
              </w:rPr>
              <w:t>4.62±</w:t>
            </w:r>
          </w:p>
        </w:tc>
        <w:tc>
          <w:tcPr>
            <w:tcW w:w="4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0"/>
              <w:spacing w:before="200" w:line="200" w:lineRule="auto"/>
              <w:rPr/>
            </w:pPr>
            <w:r>
              <w:rPr>
                <w:color w:val="231F20"/>
                <w:spacing w:val="-12"/>
              </w:rPr>
              <w:t>2.11±</w:t>
            </w:r>
          </w:p>
        </w:tc>
      </w:tr>
      <w:tr>
        <w:trPr>
          <w:trHeight w:val="230" w:hRule="atLeast"/>
        </w:trPr>
        <w:tc>
          <w:tcPr>
            <w:tcW w:w="440" w:type="dxa"/>
            <w:vAlign w:val="top"/>
          </w:tcPr>
          <w:p>
            <w:pPr>
              <w:pStyle w:val="TableText"/>
              <w:ind w:left="158"/>
              <w:spacing w:before="13" w:line="193" w:lineRule="auto"/>
              <w:rPr/>
            </w:pPr>
            <w:r>
              <w:rPr>
                <w:color w:val="231F20"/>
              </w:rPr>
              <w:t>组</w:t>
            </w:r>
          </w:p>
        </w:tc>
        <w:tc>
          <w:tcPr>
            <w:tcW w:w="287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472" w:type="dxa"/>
            <w:vAlign w:val="top"/>
          </w:tcPr>
          <w:p>
            <w:pPr>
              <w:pStyle w:val="TableText"/>
              <w:ind w:left="81"/>
              <w:spacing w:before="35" w:line="172" w:lineRule="auto"/>
              <w:rPr/>
            </w:pPr>
            <w:r>
              <w:rPr>
                <w:color w:val="231F20"/>
                <w:spacing w:val="-17"/>
              </w:rPr>
              <w:t>±3.10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127"/>
              <w:spacing w:before="35" w:line="172" w:lineRule="auto"/>
              <w:rPr/>
            </w:pPr>
            <w:r>
              <w:rPr>
                <w:color w:val="231F20"/>
                <w:spacing w:val="-13"/>
              </w:rPr>
              <w:t>1.08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74"/>
              <w:spacing w:before="35" w:line="172" w:lineRule="auto"/>
              <w:rPr/>
            </w:pPr>
            <w:r>
              <w:rPr>
                <w:color w:val="231F20"/>
                <w:spacing w:val="-17"/>
              </w:rPr>
              <w:t>±23.04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38"/>
              <w:spacing w:before="35" w:line="172" w:lineRule="auto"/>
              <w:rPr/>
            </w:pPr>
            <w:r>
              <w:rPr>
                <w:color w:val="231F20"/>
                <w:spacing w:val="-11"/>
              </w:rPr>
              <w:t>0.68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05"/>
              <w:spacing w:before="35" w:line="172" w:lineRule="auto"/>
              <w:rPr/>
            </w:pPr>
            <w:r>
              <w:rPr>
                <w:color w:val="231F20"/>
                <w:spacing w:val="-11"/>
              </w:rPr>
              <w:t>0.74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107"/>
              <w:spacing w:before="35" w:line="172" w:lineRule="auto"/>
              <w:rPr/>
            </w:pPr>
            <w:r>
              <w:rPr>
                <w:color w:val="231F20"/>
                <w:spacing w:val="-11"/>
              </w:rPr>
              <w:t>0.03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08"/>
              <w:spacing w:before="35" w:line="172" w:lineRule="auto"/>
              <w:rPr/>
            </w:pPr>
            <w:r>
              <w:rPr>
                <w:color w:val="231F20"/>
                <w:spacing w:val="-11"/>
              </w:rPr>
              <w:t>0.65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8"/>
              <w:spacing w:before="35" w:line="172" w:lineRule="auto"/>
              <w:rPr/>
            </w:pPr>
            <w:r>
              <w:rPr>
                <w:color w:val="231F20"/>
                <w:spacing w:val="-11"/>
              </w:rPr>
              <w:t>0.23</w:t>
            </w:r>
          </w:p>
        </w:tc>
      </w:tr>
      <w:tr>
        <w:trPr>
          <w:trHeight w:val="237" w:hRule="atLeast"/>
        </w:trPr>
        <w:tc>
          <w:tcPr>
            <w:tcW w:w="440" w:type="dxa"/>
            <w:vAlign w:val="top"/>
          </w:tcPr>
          <w:p>
            <w:pPr>
              <w:pStyle w:val="TableText"/>
              <w:ind w:left="88"/>
              <w:spacing w:before="77" w:line="149" w:lineRule="exact"/>
              <w:rPr/>
            </w:pPr>
            <w:r>
              <w:rPr>
                <w:color w:val="231F20"/>
                <w:spacing w:val="-4"/>
                <w:w w:val="98"/>
                <w:position w:val="-1"/>
              </w:rPr>
              <w:t>对照</w:t>
            </w:r>
          </w:p>
        </w:tc>
        <w:tc>
          <w:tcPr>
            <w:tcW w:w="287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472" w:type="dxa"/>
            <w:vAlign w:val="top"/>
          </w:tcPr>
          <w:p>
            <w:pPr>
              <w:pStyle w:val="TableText"/>
              <w:ind w:left="93"/>
              <w:spacing w:before="107" w:line="119" w:lineRule="exact"/>
              <w:rPr/>
            </w:pPr>
            <w:r>
              <w:rPr>
                <w:color w:val="231F20"/>
                <w:spacing w:val="-15"/>
                <w:position w:val="-2"/>
              </w:rPr>
              <w:t>13.97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92"/>
              <w:spacing w:before="107" w:line="119" w:lineRule="exact"/>
              <w:rPr/>
            </w:pPr>
            <w:r>
              <w:rPr>
                <w:color w:val="231F20"/>
                <w:spacing w:val="-14"/>
                <w:position w:val="-2"/>
              </w:rPr>
              <w:t>11.10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87"/>
              <w:spacing w:before="107" w:line="119" w:lineRule="exact"/>
              <w:rPr/>
            </w:pPr>
            <w:r>
              <w:rPr>
                <w:color w:val="231F20"/>
                <w:spacing w:val="-15"/>
                <w:position w:val="-2"/>
              </w:rPr>
              <w:t>153.79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65"/>
              <w:spacing w:before="107" w:line="119" w:lineRule="exact"/>
              <w:rPr/>
            </w:pPr>
            <w:r>
              <w:rPr>
                <w:color w:val="231F20"/>
                <w:spacing w:val="-14"/>
                <w:position w:val="-2"/>
              </w:rPr>
              <w:t>22.37±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67"/>
              <w:spacing w:before="107" w:line="119" w:lineRule="exact"/>
              <w:rPr/>
            </w:pPr>
            <w:r>
              <w:rPr>
                <w:color w:val="231F20"/>
                <w:spacing w:val="-12"/>
                <w:position w:val="-2"/>
              </w:rPr>
              <w:t>2.55±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68"/>
              <w:spacing w:before="107" w:line="119" w:lineRule="exact"/>
              <w:rPr/>
            </w:pPr>
            <w:r>
              <w:rPr>
                <w:color w:val="231F20"/>
                <w:spacing w:val="-12"/>
                <w:position w:val="-2"/>
              </w:rPr>
              <w:t>0.71±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68"/>
              <w:spacing w:before="107" w:line="119" w:lineRule="exact"/>
              <w:rPr/>
            </w:pPr>
            <w:r>
              <w:rPr>
                <w:color w:val="231F20"/>
                <w:spacing w:val="-12"/>
                <w:position w:val="-2"/>
              </w:rPr>
              <w:t>4.64±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72"/>
              <w:spacing w:before="107" w:line="119" w:lineRule="exact"/>
              <w:rPr/>
            </w:pPr>
            <w:r>
              <w:rPr>
                <w:color w:val="231F20"/>
                <w:spacing w:val="-13"/>
                <w:position w:val="-2"/>
              </w:rPr>
              <w:t>3.26±</w:t>
            </w:r>
          </w:p>
        </w:tc>
      </w:tr>
      <w:tr>
        <w:trPr>
          <w:trHeight w:val="373" w:hRule="atLeast"/>
        </w:trPr>
        <w:tc>
          <w:tcPr>
            <w:tcW w:w="440" w:type="dxa"/>
            <w:vAlign w:val="top"/>
          </w:tcPr>
          <w:p>
            <w:pPr>
              <w:pStyle w:val="TableText"/>
              <w:ind w:left="158"/>
              <w:spacing w:before="149" w:line="198" w:lineRule="auto"/>
              <w:rPr/>
            </w:pPr>
            <w:r>
              <w:rPr>
                <w:color w:val="231F20"/>
              </w:rPr>
              <w:t>组</w:t>
            </w:r>
          </w:p>
        </w:tc>
        <w:tc>
          <w:tcPr>
            <w:tcW w:w="287" w:type="dxa"/>
            <w:vAlign w:val="top"/>
          </w:tcPr>
          <w:p>
            <w:pPr>
              <w:pStyle w:val="TableText"/>
              <w:ind w:left="95"/>
              <w:spacing w:before="21" w:line="200" w:lineRule="auto"/>
              <w:rPr/>
            </w:pPr>
            <w:r>
              <w:rPr>
                <w:color w:val="231F20"/>
                <w:spacing w:val="-13"/>
              </w:rPr>
              <w:t>15</w:t>
            </w:r>
          </w:p>
        </w:tc>
        <w:tc>
          <w:tcPr>
            <w:tcW w:w="472" w:type="dxa"/>
            <w:vAlign w:val="top"/>
          </w:tcPr>
          <w:p>
            <w:pPr>
              <w:pStyle w:val="TableText"/>
              <w:ind w:left="81"/>
              <w:spacing w:before="172" w:line="178" w:lineRule="auto"/>
              <w:rPr/>
            </w:pPr>
            <w:r>
              <w:rPr>
                <w:color w:val="231F20"/>
                <w:spacing w:val="-17"/>
              </w:rPr>
              <w:t>±3.28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81"/>
              <w:spacing w:before="172" w:line="178" w:lineRule="auto"/>
              <w:rPr/>
            </w:pPr>
            <w:r>
              <w:rPr>
                <w:color w:val="231F20"/>
                <w:spacing w:val="-17"/>
              </w:rPr>
              <w:t>±2.06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74"/>
              <w:spacing w:before="172" w:line="178" w:lineRule="auto"/>
              <w:rPr/>
            </w:pPr>
            <w:r>
              <w:rPr>
                <w:color w:val="231F20"/>
                <w:spacing w:val="-17"/>
              </w:rPr>
              <w:t>±22.98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39"/>
              <w:spacing w:before="172" w:line="178" w:lineRule="auto"/>
              <w:rPr/>
            </w:pPr>
            <w:r>
              <w:rPr>
                <w:color w:val="231F20"/>
                <w:spacing w:val="-11"/>
              </w:rPr>
              <w:t>2.10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105"/>
              <w:spacing w:before="172" w:line="178" w:lineRule="auto"/>
              <w:rPr/>
            </w:pPr>
            <w:r>
              <w:rPr>
                <w:color w:val="231F20"/>
                <w:spacing w:val="-11"/>
              </w:rPr>
              <w:t>0.68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107"/>
              <w:spacing w:before="172" w:line="178" w:lineRule="auto"/>
              <w:rPr/>
            </w:pPr>
            <w:r>
              <w:rPr>
                <w:color w:val="231F20"/>
                <w:spacing w:val="-11"/>
              </w:rPr>
              <w:t>0.08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108"/>
              <w:spacing w:before="172" w:line="178" w:lineRule="auto"/>
              <w:rPr/>
            </w:pPr>
            <w:r>
              <w:rPr>
                <w:color w:val="231F20"/>
                <w:spacing w:val="-11"/>
              </w:rPr>
              <w:t>0.59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08"/>
              <w:spacing w:before="172" w:line="178" w:lineRule="auto"/>
              <w:rPr/>
            </w:pPr>
            <w:r>
              <w:rPr>
                <w:color w:val="231F20"/>
                <w:spacing w:val="-11"/>
              </w:rPr>
              <w:t>0.21</w:t>
            </w:r>
          </w:p>
        </w:tc>
      </w:tr>
      <w:tr>
        <w:trPr>
          <w:trHeight w:val="297" w:hRule="atLeast"/>
        </w:trPr>
        <w:tc>
          <w:tcPr>
            <w:tcW w:w="440" w:type="dxa"/>
            <w:vAlign w:val="top"/>
          </w:tcPr>
          <w:p>
            <w:pPr>
              <w:pStyle w:val="TableText"/>
              <w:ind w:left="208"/>
              <w:spacing w:before="106" w:line="163" w:lineRule="auto"/>
              <w:rPr/>
            </w:pPr>
            <w:r>
              <w:rPr>
                <w:color w:val="231F20"/>
              </w:rPr>
              <w:t>t</w:t>
            </w:r>
          </w:p>
        </w:tc>
        <w:tc>
          <w:tcPr>
            <w:tcW w:w="28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" w:type="dxa"/>
            <w:vAlign w:val="top"/>
          </w:tcPr>
          <w:p>
            <w:pPr>
              <w:pStyle w:val="TableText"/>
              <w:ind w:left="80"/>
              <w:spacing w:before="101" w:line="173" w:lineRule="auto"/>
              <w:rPr/>
            </w:pPr>
            <w:r>
              <w:rPr>
                <w:color w:val="231F20"/>
                <w:spacing w:val="-12"/>
              </w:rPr>
              <w:t>0.537</w:t>
            </w:r>
          </w:p>
        </w:tc>
        <w:tc>
          <w:tcPr>
            <w:tcW w:w="465" w:type="dxa"/>
            <w:vAlign w:val="top"/>
          </w:tcPr>
          <w:p>
            <w:pPr>
              <w:pStyle w:val="TableText"/>
              <w:ind w:left="83"/>
              <w:spacing w:before="101" w:line="173" w:lineRule="auto"/>
              <w:rPr/>
            </w:pPr>
            <w:r>
              <w:rPr>
                <w:color w:val="231F20"/>
                <w:spacing w:val="-13"/>
              </w:rPr>
              <w:t>3.768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10"/>
              <w:spacing w:before="101" w:line="173" w:lineRule="auto"/>
              <w:rPr/>
            </w:pPr>
            <w:r>
              <w:rPr>
                <w:color w:val="231F20"/>
                <w:spacing w:val="-12"/>
              </w:rPr>
              <w:t>0.682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81"/>
              <w:spacing w:before="101" w:line="173" w:lineRule="auto"/>
              <w:rPr/>
            </w:pPr>
            <w:r>
              <w:rPr>
                <w:color w:val="231F20"/>
                <w:spacing w:val="-15"/>
              </w:rPr>
              <w:t>10.375</w:t>
            </w:r>
          </w:p>
        </w:tc>
        <w:tc>
          <w:tcPr>
            <w:tcW w:w="447" w:type="dxa"/>
            <w:vAlign w:val="top"/>
          </w:tcPr>
          <w:p>
            <w:pPr>
              <w:pStyle w:val="TableText"/>
              <w:ind w:left="70"/>
              <w:spacing w:before="101" w:line="173" w:lineRule="auto"/>
              <w:rPr/>
            </w:pPr>
            <w:r>
              <w:rPr>
                <w:color w:val="231F20"/>
                <w:spacing w:val="-12"/>
              </w:rPr>
              <w:t>0.833</w:t>
            </w:r>
          </w:p>
        </w:tc>
        <w:tc>
          <w:tcPr>
            <w:tcW w:w="448" w:type="dxa"/>
            <w:vAlign w:val="top"/>
          </w:tcPr>
          <w:p>
            <w:pPr>
              <w:pStyle w:val="TableText"/>
              <w:ind w:left="77"/>
              <w:spacing w:before="101" w:line="173" w:lineRule="auto"/>
              <w:rPr/>
            </w:pPr>
            <w:r>
              <w:rPr>
                <w:color w:val="231F20"/>
                <w:spacing w:val="-13"/>
              </w:rPr>
              <w:t>8.274</w:t>
            </w:r>
          </w:p>
        </w:tc>
        <w:tc>
          <w:tcPr>
            <w:tcW w:w="450" w:type="dxa"/>
            <w:vAlign w:val="top"/>
          </w:tcPr>
          <w:p>
            <w:pPr>
              <w:pStyle w:val="TableText"/>
              <w:ind w:left="73"/>
              <w:spacing w:before="101" w:line="173" w:lineRule="auto"/>
              <w:rPr/>
            </w:pPr>
            <w:r>
              <w:rPr>
                <w:color w:val="231F20"/>
                <w:spacing w:val="-12"/>
              </w:rPr>
              <w:t>0.598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71"/>
              <w:spacing w:before="101" w:line="173" w:lineRule="auto"/>
              <w:rPr/>
            </w:pPr>
            <w:r>
              <w:rPr>
                <w:color w:val="231F20"/>
                <w:spacing w:val="-12"/>
              </w:rPr>
              <w:t>4.283</w:t>
            </w:r>
          </w:p>
        </w:tc>
      </w:tr>
      <w:tr>
        <w:trPr>
          <w:trHeight w:val="413" w:hRule="atLeast"/>
        </w:trPr>
        <w:tc>
          <w:tcPr>
            <w:tcW w:w="4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6"/>
              <w:spacing w:before="111" w:line="165" w:lineRule="auto"/>
              <w:rPr/>
            </w:pPr>
            <w:r>
              <w:rPr>
                <w:color w:val="231F20"/>
              </w:rPr>
              <w:t>P</w:t>
            </w:r>
          </w:p>
        </w:tc>
        <w:tc>
          <w:tcPr>
            <w:tcW w:w="287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/>
              <w:spacing w:before="106" w:line="200" w:lineRule="auto"/>
              <w:rPr/>
            </w:pPr>
            <w:r>
              <w:rPr>
                <w:color w:val="231F20"/>
                <w:spacing w:val="-12"/>
              </w:rPr>
              <w:t>0.826</w:t>
            </w:r>
          </w:p>
        </w:tc>
        <w:tc>
          <w:tcPr>
            <w:tcW w:w="46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0"/>
              <w:spacing w:before="106" w:line="200" w:lineRule="auto"/>
              <w:rPr/>
            </w:pPr>
            <w:r>
              <w:rPr>
                <w:color w:val="231F20"/>
                <w:spacing w:val="-12"/>
              </w:rPr>
              <w:t>0.021</w:t>
            </w:r>
          </w:p>
        </w:tc>
        <w:tc>
          <w:tcPr>
            <w:tcW w:w="5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0"/>
              <w:spacing w:before="106" w:line="200" w:lineRule="auto"/>
              <w:rPr/>
            </w:pPr>
            <w:r>
              <w:rPr>
                <w:color w:val="231F20"/>
                <w:spacing w:val="-12"/>
              </w:rPr>
              <w:t>0.913</w:t>
            </w:r>
          </w:p>
        </w:tc>
        <w:tc>
          <w:tcPr>
            <w:tcW w:w="51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3"/>
              <w:spacing w:before="106" w:line="200" w:lineRule="auto"/>
              <w:rPr/>
            </w:pPr>
            <w:r>
              <w:rPr>
                <w:color w:val="231F20"/>
                <w:spacing w:val="-12"/>
              </w:rPr>
              <w:t>0.002</w:t>
            </w:r>
          </w:p>
        </w:tc>
        <w:tc>
          <w:tcPr>
            <w:tcW w:w="44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0"/>
              <w:spacing w:before="106" w:line="200" w:lineRule="auto"/>
              <w:rPr/>
            </w:pPr>
            <w:r>
              <w:rPr>
                <w:color w:val="231F20"/>
                <w:spacing w:val="-12"/>
              </w:rPr>
              <w:t>0.715</w:t>
            </w:r>
          </w:p>
        </w:tc>
        <w:tc>
          <w:tcPr>
            <w:tcW w:w="4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2"/>
              <w:spacing w:before="106" w:line="200" w:lineRule="auto"/>
              <w:rPr/>
            </w:pPr>
            <w:r>
              <w:rPr>
                <w:color w:val="231F20"/>
                <w:spacing w:val="-12"/>
              </w:rPr>
              <w:t>0.011</w:t>
            </w:r>
          </w:p>
        </w:tc>
        <w:tc>
          <w:tcPr>
            <w:tcW w:w="45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3"/>
              <w:spacing w:before="106" w:line="200" w:lineRule="auto"/>
              <w:rPr/>
            </w:pPr>
            <w:r>
              <w:rPr>
                <w:color w:val="231F20"/>
                <w:spacing w:val="-12"/>
              </w:rPr>
              <w:t>0.637</w:t>
            </w:r>
          </w:p>
        </w:tc>
        <w:tc>
          <w:tcPr>
            <w:tcW w:w="4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3"/>
              <w:spacing w:before="106" w:line="200" w:lineRule="auto"/>
              <w:rPr/>
            </w:pPr>
            <w:r>
              <w:rPr>
                <w:color w:val="231F20"/>
                <w:spacing w:val="-12"/>
              </w:rPr>
              <w:t>0.016</w:t>
            </w:r>
          </w:p>
        </w:tc>
      </w:tr>
    </w:tbl>
    <w:p>
      <w:pPr>
        <w:spacing w:line="15" w:lineRule="exact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10" w:firstLine="6"/>
        <w:spacing w:before="33" w:line="230" w:lineRule="auto"/>
        <w:rPr/>
      </w:pPr>
      <w:r>
        <w:rPr>
          <w:color w:val="231F20"/>
          <w:spacing w:val="10"/>
        </w:rPr>
        <w:t>2.2   两组治疗前后中医证候积分对比    两组接受治疗前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的中医证候积分方面，研究组平均为（20.10±3.47）</w:t>
      </w:r>
      <w:r>
        <w:rPr>
          <w:color w:val="231F20"/>
          <w:spacing w:val="-6"/>
        </w:rPr>
        <w:t>分，对照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组平均为（21.23±3.26）分，均处于比较高的水平，</w:t>
      </w:r>
      <w:r>
        <w:rPr>
          <w:color w:val="231F20"/>
          <w:spacing w:val="-6"/>
        </w:rPr>
        <w:t>组间差异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无统计学意义（t=0.358，P=0.732＞0.05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-7"/>
        </w:rPr>
        <w:t>治疗后，两组该指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标均有所下降，研究组、对照组评分均值分别为（3.21±0.45）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分、（8.13±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1.02）分，两组差异存在统计学意义（t=10.256，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P=0.001＜0.05）。</w:t>
      </w:r>
    </w:p>
    <w:p>
      <w:pPr>
        <w:pStyle w:val="BodyText"/>
        <w:ind w:left="15" w:firstLine="1"/>
        <w:spacing w:before="34" w:line="228" w:lineRule="auto"/>
        <w:rPr/>
      </w:pPr>
      <w:r>
        <w:rPr>
          <w:color w:val="231F20"/>
          <w:spacing w:val="12"/>
        </w:rPr>
        <w:t>2.3   两组治疗总有效率对比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12"/>
        </w:rPr>
        <w:t>按照疗效评定标准统计两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组整体疗效，研究组治疗总有效率为 93</w:t>
      </w:r>
      <w:r>
        <w:rPr>
          <w:color w:val="231F20"/>
          <w:spacing w:val="-3"/>
        </w:rPr>
        <w:t>.33%（14/15</w:t>
      </w:r>
      <w:r>
        <w:rPr>
          <w:color w:val="231F20"/>
          <w:spacing w:val="-33"/>
          <w:w w:val="81"/>
        </w:rPr>
        <w:t>），</w:t>
      </w:r>
      <w:r>
        <w:rPr>
          <w:color w:val="231F20"/>
          <w:spacing w:val="-3"/>
        </w:rPr>
        <w:t>比对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照组的 73.33%（11/15）更高，差异有统计学意义（</w:t>
      </w:r>
      <w:r>
        <w:rPr>
          <w:color w:val="231F20"/>
          <w:spacing w:val="-12"/>
        </w:rPr>
        <w:t>P＜0.05）。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见表 2。</w:t>
      </w:r>
    </w:p>
    <w:p>
      <w:pPr>
        <w:pStyle w:val="BodyText"/>
        <w:ind w:left="1199"/>
        <w:spacing w:before="42" w:line="195" w:lineRule="auto"/>
        <w:outlineLvl w:val="0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表 2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7"/>
        </w:rPr>
        <w:t>两组临床疗效对比[n（%）]</w:t>
      </w:r>
    </w:p>
    <w:p>
      <w:pPr>
        <w:spacing w:line="73" w:lineRule="exact"/>
        <w:rPr/>
      </w:pPr>
      <w:r/>
    </w:p>
    <w:tbl>
      <w:tblPr>
        <w:tblStyle w:val="TableNormal"/>
        <w:tblW w:w="449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2"/>
        <w:gridCol w:w="544"/>
        <w:gridCol w:w="835"/>
        <w:gridCol w:w="764"/>
        <w:gridCol w:w="791"/>
        <w:gridCol w:w="848"/>
      </w:tblGrid>
      <w:tr>
        <w:trPr>
          <w:trHeight w:val="341" w:hRule="atLeast"/>
        </w:trPr>
        <w:tc>
          <w:tcPr>
            <w:tcW w:w="71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8"/>
              <w:spacing w:before="88" w:line="191" w:lineRule="auto"/>
              <w:rPr/>
            </w:pPr>
            <w:r>
              <w:rPr>
                <w:color w:val="231F20"/>
                <w:spacing w:val="7"/>
              </w:rPr>
              <w:t>组别</w:t>
            </w:r>
          </w:p>
        </w:tc>
        <w:tc>
          <w:tcPr>
            <w:tcW w:w="54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6"/>
              <w:spacing w:before="89" w:line="189" w:lineRule="auto"/>
              <w:rPr/>
            </w:pPr>
            <w:r>
              <w:rPr>
                <w:color w:val="231F20"/>
                <w:spacing w:val="6"/>
              </w:rPr>
              <w:t>例数</w:t>
            </w:r>
          </w:p>
        </w:tc>
        <w:tc>
          <w:tcPr>
            <w:tcW w:w="83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66"/>
              <w:spacing w:before="80" w:line="197" w:lineRule="auto"/>
              <w:rPr/>
            </w:pPr>
            <w:r>
              <w:rPr>
                <w:color w:val="231F20"/>
                <w:spacing w:val="7"/>
              </w:rPr>
              <w:t>显效</w:t>
            </w:r>
          </w:p>
        </w:tc>
        <w:tc>
          <w:tcPr>
            <w:tcW w:w="76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0"/>
              <w:spacing w:before="88" w:line="190" w:lineRule="auto"/>
              <w:rPr/>
            </w:pPr>
            <w:r>
              <w:rPr>
                <w:color w:val="231F20"/>
                <w:spacing w:val="7"/>
              </w:rPr>
              <w:t>有效</w:t>
            </w:r>
          </w:p>
        </w:tc>
        <w:tc>
          <w:tcPr>
            <w:tcW w:w="79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0"/>
              <w:spacing w:before="88" w:line="190" w:lineRule="auto"/>
              <w:rPr/>
            </w:pPr>
            <w:r>
              <w:rPr>
                <w:color w:val="231F20"/>
                <w:spacing w:val="8"/>
              </w:rPr>
              <w:t>无效</w:t>
            </w:r>
          </w:p>
        </w:tc>
        <w:tc>
          <w:tcPr>
            <w:tcW w:w="8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6"/>
              <w:spacing w:before="88" w:line="191" w:lineRule="auto"/>
              <w:rPr/>
            </w:pPr>
            <w:r>
              <w:rPr>
                <w:color w:val="231F20"/>
                <w:spacing w:val="6"/>
              </w:rPr>
              <w:t>总有效</w:t>
            </w:r>
          </w:p>
        </w:tc>
      </w:tr>
      <w:tr>
        <w:trPr>
          <w:trHeight w:val="389" w:hRule="atLeast"/>
        </w:trPr>
        <w:tc>
          <w:tcPr>
            <w:tcW w:w="7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7"/>
              <w:spacing w:before="148" w:line="191" w:lineRule="auto"/>
              <w:rPr/>
            </w:pPr>
            <w:r>
              <w:rPr>
                <w:color w:val="231F20"/>
                <w:spacing w:val="8"/>
              </w:rPr>
              <w:t>研究组</w:t>
            </w:r>
          </w:p>
        </w:tc>
        <w:tc>
          <w:tcPr>
            <w:tcW w:w="5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9"/>
              <w:spacing w:before="170" w:line="194" w:lineRule="auto"/>
              <w:rPr/>
            </w:pPr>
            <w:r>
              <w:rPr>
                <w:color w:val="231F20"/>
                <w:spacing w:val="-9"/>
              </w:rPr>
              <w:t>15</w:t>
            </w:r>
          </w:p>
        </w:tc>
        <w:tc>
          <w:tcPr>
            <w:tcW w:w="8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148" w:line="198" w:lineRule="auto"/>
              <w:jc w:val="right"/>
              <w:rPr/>
            </w:pPr>
            <w:r>
              <w:rPr>
                <w:color w:val="231F20"/>
                <w:spacing w:val="-18"/>
              </w:rPr>
              <w:t>10（66.67）</w:t>
            </w:r>
          </w:p>
        </w:tc>
        <w:tc>
          <w:tcPr>
            <w:tcW w:w="7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148" w:line="198" w:lineRule="auto"/>
              <w:jc w:val="right"/>
              <w:rPr/>
            </w:pPr>
            <w:r>
              <w:rPr>
                <w:color w:val="231F20"/>
                <w:spacing w:val="-15"/>
              </w:rPr>
              <w:t>4（26.67）</w:t>
            </w:r>
          </w:p>
        </w:tc>
        <w:tc>
          <w:tcPr>
            <w:tcW w:w="79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6"/>
              <w:spacing w:before="148" w:line="198" w:lineRule="auto"/>
              <w:rPr/>
            </w:pPr>
            <w:r>
              <w:rPr>
                <w:color w:val="231F20"/>
                <w:spacing w:val="-18"/>
              </w:rPr>
              <w:t>1（6.67）</w:t>
            </w:r>
          </w:p>
        </w:tc>
        <w:tc>
          <w:tcPr>
            <w:tcW w:w="8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148" w:line="198" w:lineRule="auto"/>
              <w:jc w:val="right"/>
              <w:rPr/>
            </w:pPr>
            <w:r>
              <w:rPr>
                <w:color w:val="231F20"/>
                <w:spacing w:val="-18"/>
              </w:rPr>
              <w:t>14（93.33）</w:t>
            </w:r>
          </w:p>
        </w:tc>
      </w:tr>
      <w:tr>
        <w:trPr>
          <w:trHeight w:val="341" w:hRule="atLeast"/>
        </w:trPr>
        <w:tc>
          <w:tcPr>
            <w:tcW w:w="712" w:type="dxa"/>
            <w:vAlign w:val="top"/>
          </w:tcPr>
          <w:p>
            <w:pPr>
              <w:pStyle w:val="TableText"/>
              <w:ind w:left="118"/>
              <w:spacing w:before="90" w:line="200" w:lineRule="auto"/>
              <w:rPr/>
            </w:pPr>
            <w:r>
              <w:rPr>
                <w:color w:val="231F20"/>
                <w:spacing w:val="8"/>
              </w:rPr>
              <w:t>对照组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219"/>
              <w:spacing w:before="120" w:line="196" w:lineRule="auto"/>
              <w:rPr/>
            </w:pPr>
            <w:r>
              <w:rPr>
                <w:color w:val="231F20"/>
                <w:spacing w:val="-9"/>
              </w:rPr>
              <w:t>15</w:t>
            </w:r>
          </w:p>
        </w:tc>
        <w:tc>
          <w:tcPr>
            <w:tcW w:w="835" w:type="dxa"/>
            <w:vAlign w:val="top"/>
          </w:tcPr>
          <w:p>
            <w:pPr>
              <w:pStyle w:val="TableText"/>
              <w:spacing w:before="99" w:line="198" w:lineRule="auto"/>
              <w:jc w:val="right"/>
              <w:rPr/>
            </w:pPr>
            <w:r>
              <w:rPr>
                <w:color w:val="231F20"/>
                <w:spacing w:val="-18"/>
              </w:rPr>
              <w:t>8（53.33）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spacing w:before="99" w:line="198" w:lineRule="auto"/>
              <w:jc w:val="right"/>
              <w:rPr/>
            </w:pPr>
            <w:r>
              <w:rPr>
                <w:color w:val="231F20"/>
                <w:spacing w:val="-18"/>
              </w:rPr>
              <w:t>3（20.00）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100"/>
              <w:spacing w:before="99" w:line="198" w:lineRule="auto"/>
              <w:rPr/>
            </w:pPr>
            <w:r>
              <w:rPr>
                <w:color w:val="231F20"/>
                <w:spacing w:val="-14"/>
              </w:rPr>
              <w:t>4（26.67）</w:t>
            </w:r>
          </w:p>
        </w:tc>
        <w:tc>
          <w:tcPr>
            <w:tcW w:w="848" w:type="dxa"/>
            <w:vAlign w:val="top"/>
          </w:tcPr>
          <w:p>
            <w:pPr>
              <w:pStyle w:val="TableText"/>
              <w:spacing w:before="99" w:line="198" w:lineRule="auto"/>
              <w:jc w:val="right"/>
              <w:rPr/>
            </w:pPr>
            <w:r>
              <w:rPr>
                <w:color w:val="231F20"/>
                <w:spacing w:val="-18"/>
              </w:rPr>
              <w:t>11（73.33）</w:t>
            </w:r>
          </w:p>
        </w:tc>
      </w:tr>
      <w:tr>
        <w:trPr>
          <w:trHeight w:val="349" w:hRule="atLeast"/>
        </w:trPr>
        <w:tc>
          <w:tcPr>
            <w:tcW w:w="712" w:type="dxa"/>
            <w:vAlign w:val="top"/>
          </w:tcPr>
          <w:p>
            <w:pPr>
              <w:pStyle w:val="TableText"/>
              <w:ind w:left="296"/>
              <w:spacing w:before="106" w:line="174" w:lineRule="auto"/>
              <w:rPr>
                <w:sz w:val="8"/>
                <w:szCs w:val="8"/>
              </w:rPr>
            </w:pPr>
            <w:r>
              <w:rPr>
                <w:color w:val="231F20"/>
                <w:spacing w:val="-3"/>
                <w:position w:val="-2"/>
              </w:rPr>
              <w:t>χ</w:t>
            </w:r>
            <w:r>
              <w:rPr>
                <w:sz w:val="8"/>
                <w:szCs w:val="8"/>
                <w:color w:val="231F20"/>
                <w:spacing w:val="-3"/>
                <w:position w:val="3"/>
              </w:rPr>
              <w:t>2</w:t>
            </w:r>
          </w:p>
        </w:tc>
        <w:tc>
          <w:tcPr>
            <w:tcW w:w="5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5" w:type="dxa"/>
            <w:vAlign w:val="top"/>
          </w:tcPr>
          <w:p>
            <w:pPr>
              <w:pStyle w:val="TableText"/>
              <w:ind w:left="245"/>
              <w:spacing w:before="117" w:line="200" w:lineRule="auto"/>
              <w:rPr/>
            </w:pPr>
            <w:r>
              <w:rPr>
                <w:color w:val="231F20"/>
                <w:spacing w:val="-5"/>
              </w:rPr>
              <w:t>4.296</w:t>
            </w:r>
          </w:p>
        </w:tc>
        <w:tc>
          <w:tcPr>
            <w:tcW w:w="764" w:type="dxa"/>
            <w:vAlign w:val="top"/>
          </w:tcPr>
          <w:p>
            <w:pPr>
              <w:pStyle w:val="TableText"/>
              <w:ind w:left="235"/>
              <w:spacing w:before="117" w:line="200" w:lineRule="auto"/>
              <w:rPr/>
            </w:pPr>
            <w:r>
              <w:rPr>
                <w:color w:val="231F20"/>
                <w:spacing w:val="-8"/>
              </w:rPr>
              <w:t>1.208</w:t>
            </w:r>
          </w:p>
        </w:tc>
        <w:tc>
          <w:tcPr>
            <w:tcW w:w="791" w:type="dxa"/>
            <w:vAlign w:val="top"/>
          </w:tcPr>
          <w:p>
            <w:pPr>
              <w:pStyle w:val="TableText"/>
              <w:ind w:left="264"/>
              <w:spacing w:before="117" w:line="200" w:lineRule="auto"/>
              <w:rPr/>
            </w:pPr>
            <w:r>
              <w:rPr>
                <w:color w:val="231F20"/>
                <w:spacing w:val="-6"/>
              </w:rPr>
              <w:t>5.793</w:t>
            </w:r>
          </w:p>
        </w:tc>
        <w:tc>
          <w:tcPr>
            <w:tcW w:w="848" w:type="dxa"/>
            <w:vAlign w:val="top"/>
          </w:tcPr>
          <w:p>
            <w:pPr>
              <w:pStyle w:val="TableText"/>
              <w:ind w:left="273"/>
              <w:spacing w:before="117" w:line="200" w:lineRule="auto"/>
              <w:rPr/>
            </w:pPr>
            <w:r>
              <w:rPr>
                <w:color w:val="231F20"/>
                <w:spacing w:val="-6"/>
              </w:rPr>
              <w:t>5.938</w:t>
            </w:r>
          </w:p>
        </w:tc>
      </w:tr>
      <w:tr>
        <w:trPr>
          <w:trHeight w:val="385" w:hRule="atLeast"/>
        </w:trPr>
        <w:tc>
          <w:tcPr>
            <w:tcW w:w="71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10"/>
              <w:spacing w:before="111" w:line="165" w:lineRule="auto"/>
              <w:rPr/>
            </w:pPr>
            <w:r>
              <w:rPr>
                <w:color w:val="231F20"/>
                <w:spacing w:val="6"/>
              </w:rPr>
              <w:t>P</w:t>
            </w:r>
          </w:p>
        </w:tc>
        <w:tc>
          <w:tcPr>
            <w:tcW w:w="54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3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7"/>
              <w:spacing w:before="106" w:line="200" w:lineRule="auto"/>
              <w:rPr/>
            </w:pPr>
            <w:r>
              <w:rPr>
                <w:color w:val="231F20"/>
                <w:spacing w:val="-6"/>
              </w:rPr>
              <w:t>0.011</w:t>
            </w:r>
          </w:p>
        </w:tc>
        <w:tc>
          <w:tcPr>
            <w:tcW w:w="76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1"/>
              <w:spacing w:before="106" w:line="200" w:lineRule="auto"/>
              <w:rPr/>
            </w:pPr>
            <w:r>
              <w:rPr>
                <w:color w:val="231F20"/>
                <w:spacing w:val="-6"/>
              </w:rPr>
              <w:t>0.273</w:t>
            </w:r>
          </w:p>
        </w:tc>
        <w:tc>
          <w:tcPr>
            <w:tcW w:w="79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63"/>
              <w:spacing w:before="106" w:line="200" w:lineRule="auto"/>
              <w:rPr/>
            </w:pPr>
            <w:r>
              <w:rPr>
                <w:color w:val="231F20"/>
                <w:spacing w:val="-6"/>
              </w:rPr>
              <w:t>0.004</w:t>
            </w:r>
          </w:p>
        </w:tc>
        <w:tc>
          <w:tcPr>
            <w:tcW w:w="8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1"/>
              <w:spacing w:before="106" w:line="200" w:lineRule="auto"/>
              <w:rPr/>
            </w:pPr>
            <w:r>
              <w:rPr>
                <w:color w:val="231F20"/>
                <w:spacing w:val="-6"/>
              </w:rPr>
              <w:t>0.010</w:t>
            </w:r>
          </w:p>
        </w:tc>
      </w:tr>
    </w:tbl>
    <w:p>
      <w:pPr>
        <w:pStyle w:val="BodyText"/>
        <w:ind w:left="19"/>
        <w:spacing w:before="236" w:line="202" w:lineRule="auto"/>
        <w:rPr/>
      </w:pPr>
      <w:r>
        <w:rPr>
          <w:color w:val="231F20"/>
          <w:spacing w:val="-3"/>
        </w:rPr>
        <w:t>3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3"/>
        </w:rPr>
        <w:t>讨论</w:t>
      </w:r>
    </w:p>
    <w:p>
      <w:pPr>
        <w:pStyle w:val="BodyText"/>
        <w:ind w:left="13" w:firstLine="361"/>
        <w:spacing w:before="30" w:line="234" w:lineRule="auto"/>
        <w:jc w:val="both"/>
        <w:rPr/>
      </w:pPr>
      <w:r>
        <w:rPr>
          <w:color w:val="231F20"/>
          <w:spacing w:val="7"/>
        </w:rPr>
        <w:t>急性盆腔炎是常见的盆腔感染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7"/>
        </w:rPr>
        <w:t>，是引起痛经的重要原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因之一，该病是指发生在女性生殖器和周围结缔组织、盆腔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腹膜的急性炎症，若治疗不及时、不彻底，不但会让患者长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5"/>
        </w:rPr>
        <w:t>期承受较大的痛苦，影响身心健康，还可发</w:t>
      </w:r>
      <w:r>
        <w:rPr>
          <w:color w:val="231F20"/>
          <w:spacing w:val="4"/>
        </w:rPr>
        <w:t>展为长期存在、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反复发作的慢性炎症，导致慢性盆腔痛、不孕等</w:t>
      </w:r>
      <w:r>
        <w:rPr>
          <w:color w:val="231F20"/>
          <w:spacing w:val="-3"/>
        </w:rPr>
        <w:t>后果</w:t>
      </w:r>
      <w:r>
        <w:rPr>
          <w:sz w:val="10"/>
          <w:szCs w:val="10"/>
          <w:color w:val="231F20"/>
          <w:spacing w:val="-3"/>
          <w:position w:val="6"/>
        </w:rPr>
        <w:t>[3]</w:t>
      </w:r>
      <w:r>
        <w:rPr>
          <w:color w:val="231F20"/>
          <w:spacing w:val="-3"/>
        </w:rPr>
        <w:t>。一些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病情严重的患者还会发生弥漫性腹膜炎、感染性休克、败血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症等，使生命安全受到极大威胁。常规治疗急性盆腔炎的方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"/>
        </w:rPr>
        <w:t>法主要是使用抗生素，如甲硝唑、盐酸左氧氟沙星等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。这类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药物虽然可以起到一定治疗效果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，但是长期使用容易产生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不良反应，导致耐药或是引发多重感染等</w:t>
      </w:r>
      <w:r>
        <w:rPr>
          <w:sz w:val="10"/>
          <w:szCs w:val="10"/>
          <w:color w:val="231F20"/>
          <w:spacing w:val="3"/>
          <w:position w:val="6"/>
        </w:rPr>
        <w:t>[4]</w:t>
      </w:r>
      <w:r>
        <w:rPr>
          <w:sz w:val="10"/>
          <w:szCs w:val="10"/>
          <w:color w:val="231F20"/>
          <w:spacing w:val="-10"/>
          <w:position w:val="6"/>
        </w:rPr>
        <w:t xml:space="preserve"> </w:t>
      </w:r>
      <w:r>
        <w:rPr>
          <w:color w:val="231F20"/>
          <w:spacing w:val="3"/>
        </w:rPr>
        <w:t>。为了让急性盆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腔炎疗效更加稳固，本研究在使用抗生素的同时，还使用了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"/>
        </w:rPr>
        <w:t>壮药花红胶囊进行治疗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。中医学中，急性盆腔炎归为“带下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病”范畴，认为此病的发生机制主要是脏腑失调、气血经络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受阻、湿热蕴结等，治疗原则主要为清热利湿、活血化</w:t>
      </w:r>
      <w:r>
        <w:rPr>
          <w:color w:val="231F20"/>
          <w:spacing w:val="-5"/>
        </w:rPr>
        <w:t>瘀。花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红胶囊包括多种中药成分，一点红、白花蛇舌草可以清热解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毒、消肿散瘀；地桃花可以凉血止血、祛风除湿；白背</w:t>
      </w:r>
      <w:r>
        <w:rPr>
          <w:color w:val="231F20"/>
          <w:spacing w:val="-5"/>
        </w:rPr>
        <w:t>叶根可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以清热祛湿、收涩活血；鸡血藤可以养血调经、舒筋活</w:t>
      </w:r>
      <w:r>
        <w:rPr>
          <w:color w:val="231F20"/>
          <w:spacing w:val="-5"/>
        </w:rPr>
        <w:t>络。全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方共奏清热解毒、燥湿止带之功，其功效与急性盆腔炎的中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医治疗原则高度相符</w:t>
      </w:r>
      <w:r>
        <w:rPr>
          <w:sz w:val="10"/>
          <w:szCs w:val="10"/>
          <w:color w:val="231F20"/>
          <w:spacing w:val="3"/>
          <w:position w:val="6"/>
        </w:rPr>
        <w:t>[5]</w:t>
      </w:r>
      <w:r>
        <w:rPr>
          <w:sz w:val="10"/>
          <w:szCs w:val="10"/>
          <w:color w:val="231F20"/>
          <w:spacing w:val="-10"/>
          <w:position w:val="6"/>
        </w:rPr>
        <w:t xml:space="preserve"> </w:t>
      </w:r>
      <w:r>
        <w:rPr>
          <w:color w:val="231F20"/>
          <w:spacing w:val="3"/>
        </w:rPr>
        <w:t>。本研究结果显示，使用壮药花红胶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囊治疗的研究组，盆腔影像学征象、实验室炎性指标、中医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3"/>
        </w:rPr>
        <w:t>证候积分等均有显著改善，总有效率高达 93.33%，显著好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于仅接受抗生素治疗的对照组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。本研究证实了壮药花红胶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囊在急性盆腔炎中的应用价值，值得推广。</w:t>
      </w:r>
    </w:p>
    <w:p>
      <w:pPr>
        <w:pStyle w:val="BodyText"/>
        <w:ind w:left="375"/>
        <w:spacing w:line="185" w:lineRule="auto"/>
        <w:rPr/>
      </w:pPr>
      <w:r>
        <w:rPr>
          <w:color w:val="231F20"/>
          <w:spacing w:val="6"/>
        </w:rPr>
        <w:t>参考文献</w:t>
      </w:r>
    </w:p>
    <w:p>
      <w:pPr>
        <w:pStyle w:val="BodyText"/>
        <w:ind w:left="204" w:right="64" w:hanging="184"/>
        <w:spacing w:before="57" w:line="215" w:lineRule="auto"/>
        <w:rPr/>
      </w:pPr>
      <w:r>
        <w:rPr>
          <w:color w:val="231F20"/>
          <w:spacing w:val="11"/>
        </w:rPr>
        <w:t>[1]李明明.壮药花红胶囊联合抗生素治疗急性盆腔炎的临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床效果[J].中国民族医药杂志，2021，27（4</w:t>
      </w:r>
      <w:r>
        <w:rPr>
          <w:color w:val="231F20"/>
          <w:spacing w:val="-28"/>
          <w:w w:val="59"/>
        </w:rPr>
        <w:t>）：</w:t>
      </w:r>
      <w:r>
        <w:rPr>
          <w:color w:val="231F20"/>
          <w:spacing w:val="-10"/>
        </w:rPr>
        <w:t>28—</w:t>
      </w:r>
      <w:r>
        <w:rPr>
          <w:color w:val="231F20"/>
          <w:spacing w:val="-11"/>
        </w:rPr>
        <w:t>29，33.</w:t>
      </w:r>
    </w:p>
    <w:p>
      <w:pPr>
        <w:pStyle w:val="BodyText"/>
        <w:ind w:left="210" w:right="64" w:hanging="190"/>
        <w:spacing w:before="44" w:line="196" w:lineRule="auto"/>
        <w:rPr/>
      </w:pPr>
      <w:r>
        <w:rPr>
          <w:color w:val="231F20"/>
          <w:spacing w:val="9"/>
        </w:rPr>
        <w:t>[2]徐伟玲.花红胶囊联合抗生素治疗急性盆腔炎 32 例[J].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光明中医，2017，32（13</w:t>
      </w:r>
      <w:r>
        <w:rPr>
          <w:color w:val="231F20"/>
          <w:spacing w:val="-38"/>
          <w:w w:val="80"/>
        </w:rPr>
        <w:t>）：</w:t>
      </w:r>
      <w:r>
        <w:rPr>
          <w:color w:val="231F20"/>
          <w:spacing w:val="-16"/>
        </w:rPr>
        <w:t>1945—1</w:t>
      </w:r>
      <w:r>
        <w:rPr>
          <w:color w:val="231F20"/>
          <w:spacing w:val="-17"/>
        </w:rPr>
        <w:t>946.</w:t>
      </w:r>
    </w:p>
    <w:p>
      <w:pPr>
        <w:spacing w:line="196" w:lineRule="auto"/>
        <w:sectPr>
          <w:type w:val="continuous"/>
          <w:pgSz w:w="11905" w:h="16156"/>
          <w:pgMar w:top="1216" w:right="1181" w:bottom="0" w:left="407" w:header="893" w:footer="0" w:gutter="0"/>
          <w:cols w:equalWidth="0" w:num="2">
            <w:col w:w="5657" w:space="100"/>
            <w:col w:w="4559" w:space="0"/>
          </w:cols>
        </w:sectPr>
        <w:rPr/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4"/>
          <w:pgSz w:w="11905" w:h="16156"/>
          <w:pgMar w:top="1234" w:right="1191" w:bottom="0" w:left="407" w:header="912" w:footer="0" w:gutter="0"/>
          <w:cols w:equalWidth="0" w:num="1">
            <w:col w:w="10305" w:space="0"/>
          </w:cols>
        </w:sectPr>
        <w:rPr/>
      </w:pPr>
    </w:p>
    <w:p>
      <w:pPr>
        <w:pStyle w:val="BodyText"/>
        <w:ind w:left="1038" w:right="344" w:hanging="191"/>
        <w:spacing w:before="38" w:line="216" w:lineRule="auto"/>
        <w:rPr/>
      </w:pPr>
      <w:r>
        <w:rPr>
          <w:color w:val="231F20"/>
          <w:spacing w:val="11"/>
        </w:rPr>
        <w:t>[3]冯文莲.壮药花红胶囊联合抗生素治疗急性盆腔炎的疗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效观察[J].中国民族医药杂志，2019，25（11</w:t>
      </w:r>
      <w:r>
        <w:rPr>
          <w:color w:val="231F20"/>
          <w:spacing w:val="-30"/>
          <w:w w:val="64"/>
        </w:rPr>
        <w:t>）：</w:t>
      </w:r>
      <w:r>
        <w:rPr>
          <w:color w:val="231F20"/>
          <w:spacing w:val="-11"/>
        </w:rPr>
        <w:t>13，23.</w:t>
      </w:r>
    </w:p>
    <w:p>
      <w:pPr>
        <w:pStyle w:val="BodyText"/>
        <w:ind w:left="1033" w:right="344" w:hanging="186"/>
        <w:spacing w:before="42" w:line="211" w:lineRule="auto"/>
        <w:rPr/>
      </w:pPr>
      <w:r>
        <w:rPr>
          <w:color w:val="231F20"/>
          <w:spacing w:val="11"/>
        </w:rPr>
        <w:t>[4]陈素君.花红胶囊联合抗生素治疗急性盆腔炎的疗效分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4"/>
        </w:rPr>
        <w:t>析[J].北方药学，2018，15（9</w:t>
      </w:r>
      <w:r>
        <w:rPr>
          <w:color w:val="231F20"/>
          <w:spacing w:val="-38"/>
          <w:w w:val="80"/>
        </w:rPr>
        <w:t>）：</w:t>
      </w:r>
      <w:r>
        <w:rPr>
          <w:color w:val="231F20"/>
          <w:spacing w:val="-14"/>
        </w:rPr>
        <w:t>18—19.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6" w:right="53" w:hanging="188"/>
        <w:spacing w:before="36" w:line="242" w:lineRule="auto"/>
        <w:rPr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438813</wp:posOffset>
            </wp:positionV>
            <wp:extent cx="67980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1"/>
        </w:rPr>
        <w:t>[5]肖瑞.壮药花红胶囊治疗急性盆腔炎的临床效果及护理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体会[J].中国民族医药杂志，2020，26（11</w:t>
      </w:r>
      <w:r>
        <w:rPr>
          <w:color w:val="231F20"/>
          <w:spacing w:val="-30"/>
          <w:w w:val="63"/>
        </w:rPr>
        <w:t>）：</w:t>
      </w:r>
      <w:r>
        <w:rPr>
          <w:color w:val="231F20"/>
          <w:spacing w:val="-9"/>
        </w:rPr>
        <w:t>64—65.</w:t>
      </w:r>
    </w:p>
    <w:p>
      <w:pPr>
        <w:pStyle w:val="BodyText"/>
        <w:ind w:left="362"/>
        <w:spacing w:before="264" w:line="188" w:lineRule="auto"/>
        <w:rPr/>
      </w:pPr>
      <w:r>
        <w:rPr>
          <w:color w:val="231F20"/>
          <w:spacing w:val="-12"/>
        </w:rPr>
        <w:t>2023 年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2"/>
        </w:rPr>
        <w:t>1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2"/>
        </w:rPr>
        <w:t>月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12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2"/>
        </w:rPr>
        <w:t>日收稿</w:t>
      </w:r>
    </w:p>
    <w:p>
      <w:pPr>
        <w:spacing w:line="188" w:lineRule="auto"/>
        <w:sectPr>
          <w:type w:val="continuous"/>
          <w:pgSz w:w="11905" w:h="16156"/>
          <w:pgMar w:top="1234" w:right="1191" w:bottom="0" w:left="407" w:header="912" w:footer="0" w:gutter="0"/>
          <w:cols w:equalWidth="0" w:num="2">
            <w:col w:w="5666" w:space="100"/>
            <w:col w:w="4539" w:space="0"/>
          </w:cols>
        </w:sectPr>
        <w:rPr/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897"/>
        <w:spacing w:before="115" w:line="186" w:lineRule="auto"/>
        <w:outlineLvl w:val="0"/>
        <w:rPr>
          <w:sz w:val="27"/>
          <w:szCs w:val="27"/>
        </w:rPr>
      </w:pPr>
      <w:r>
        <w:rPr>
          <w:sz w:val="27"/>
          <w:szCs w:val="27"/>
          <w:color w:val="231F20"/>
          <w:spacing w:val="9"/>
        </w:rPr>
        <w:t>蒙西医结合治疗风湿性关节炎临床疗效观察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824"/>
        <w:spacing w:before="74" w:line="191" w:lineRule="auto"/>
        <w:rPr>
          <w:sz w:val="10"/>
          <w:szCs w:val="10"/>
        </w:rPr>
      </w:pPr>
      <w:r>
        <w:rPr>
          <w:color w:val="231F20"/>
          <w:spacing w:val="15"/>
        </w:rPr>
        <w:t>孙为为</w:t>
      </w:r>
      <w:r>
        <w:rPr>
          <w:color w:val="231F20"/>
          <w:spacing w:val="3"/>
        </w:rPr>
        <w:t xml:space="preserve">    </w:t>
      </w:r>
      <w:r>
        <w:rPr>
          <w:color w:val="231F20"/>
          <w:spacing w:val="15"/>
        </w:rPr>
        <w:t>杜巍巍</w:t>
      </w:r>
      <w:r>
        <w:rPr>
          <w:color w:val="231F20"/>
          <w:spacing w:val="21"/>
        </w:rPr>
        <w:t xml:space="preserve"> </w:t>
      </w:r>
      <w:r>
        <w:rPr>
          <w:sz w:val="10"/>
          <w:szCs w:val="10"/>
          <w:color w:val="231F20"/>
          <w:spacing w:val="15"/>
          <w:position w:val="6"/>
        </w:rPr>
        <w:t>*</w:t>
      </w:r>
    </w:p>
    <w:p>
      <w:pPr>
        <w:pStyle w:val="BodyText"/>
        <w:ind w:left="3455"/>
        <w:spacing w:before="63" w:line="197" w:lineRule="auto"/>
        <w:rPr/>
      </w:pPr>
      <w:r>
        <w:rPr>
          <w:color w:val="231F20"/>
          <w:spacing w:val="1"/>
        </w:rPr>
        <w:t>（呼伦贝尔市中蒙医院，内蒙古</w:t>
      </w:r>
      <w:r>
        <w:rPr>
          <w:color w:val="231F20"/>
          <w:spacing w:val="18"/>
          <w:w w:val="101"/>
        </w:rPr>
        <w:t xml:space="preserve">  </w:t>
      </w:r>
      <w:r>
        <w:rPr>
          <w:color w:val="231F20"/>
          <w:spacing w:val="1"/>
        </w:rPr>
        <w:t>呼伦贝尔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1"/>
        </w:rPr>
        <w:t>021000）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845" w:right="52" w:firstLine="283"/>
        <w:spacing w:before="73" w:line="230" w:lineRule="auto"/>
        <w:jc w:val="both"/>
        <w:rPr/>
      </w:pPr>
      <w:r>
        <w:rPr>
          <w:color w:val="231F20"/>
          <w:spacing w:val="9"/>
        </w:rPr>
        <w:t>［摘</w:t>
      </w:r>
      <w:r>
        <w:rPr>
          <w:color w:val="231F20"/>
        </w:rPr>
        <w:t xml:space="preserve">    </w:t>
      </w:r>
      <w:r>
        <w:rPr>
          <w:color w:val="231F20"/>
          <w:spacing w:val="9"/>
        </w:rPr>
        <w:t>要］</w:t>
      </w:r>
      <w:r>
        <w:rPr>
          <w:color w:val="231F20"/>
          <w:spacing w:val="2"/>
        </w:rPr>
        <w:t xml:space="preserve">  </w:t>
      </w:r>
      <w:r>
        <w:rPr>
          <w:color w:val="066792"/>
          <w:spacing w:val="9"/>
        </w:rPr>
        <w:t>目</w:t>
      </w:r>
      <w:r>
        <w:rPr>
          <w:color w:val="066792"/>
          <w:spacing w:val="-27"/>
        </w:rPr>
        <w:t xml:space="preserve"> </w:t>
      </w:r>
      <w:r>
        <w:rPr>
          <w:color w:val="066792"/>
          <w:spacing w:val="9"/>
        </w:rPr>
        <w:t>的</w:t>
      </w:r>
      <w:r>
        <w:rPr>
          <w:color w:val="231F20"/>
          <w:spacing w:val="9"/>
        </w:rPr>
        <w:t>：观察以西医治疗为基础，结合蒙医传统疗法治疗风湿性关节炎</w:t>
      </w:r>
      <w:r>
        <w:rPr>
          <w:color w:val="231F20"/>
          <w:spacing w:val="8"/>
        </w:rPr>
        <w:t>的临床疗效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066792"/>
          <w:spacing w:val="8"/>
        </w:rPr>
        <w:t>方法</w:t>
      </w:r>
      <w:r>
        <w:rPr>
          <w:color w:val="231F20"/>
          <w:spacing w:val="8"/>
        </w:rPr>
        <w:t>：选取2020年1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月—2021年12月我院收治的120例符合诊断标准的风湿性关节炎患者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随机分为治疗组和对照组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。对照组采</w:t>
      </w:r>
      <w:r>
        <w:rPr>
          <w:color w:val="231F20"/>
          <w:spacing w:val="9"/>
        </w:rPr>
        <w:t>用西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医治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疗，治疗组在西医治疗基础上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口服蒙药联合蒙医传统特色疗法治疗。治疗8周后，对比疗效。</w:t>
      </w:r>
      <w:r>
        <w:rPr>
          <w:color w:val="066792"/>
          <w:spacing w:val="8"/>
        </w:rPr>
        <w:t>结果</w:t>
      </w:r>
      <w:r>
        <w:rPr>
          <w:color w:val="231F20"/>
          <w:spacing w:val="8"/>
        </w:rPr>
        <w:t>：治疗组总有效率显著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高于对照组（P&lt;0.05</w:t>
      </w:r>
      <w:r>
        <w:rPr>
          <w:color w:val="231F20"/>
          <w:spacing w:val="-35"/>
          <w:w w:val="85"/>
        </w:rPr>
        <w:t>）；</w:t>
      </w:r>
      <w:r>
        <w:rPr>
          <w:color w:val="231F20"/>
          <w:spacing w:val="9"/>
        </w:rPr>
        <w:t>治疗组受累关节肿胀</w:t>
      </w:r>
      <w:r>
        <w:rPr>
          <w:color w:val="231F20"/>
          <w:spacing w:val="8"/>
        </w:rPr>
        <w:t>、疼痛消退时间，实验室炎症指标恢复正常时间均短于对照组，差异有统计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学意义（P＜0.05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8"/>
        </w:rPr>
        <w:t>治疗组在治疗过程中未发现严重不良反应。</w:t>
      </w:r>
      <w:r>
        <w:rPr>
          <w:color w:val="066792"/>
          <w:spacing w:val="8"/>
        </w:rPr>
        <w:t>结论</w:t>
      </w:r>
      <w:r>
        <w:rPr>
          <w:color w:val="231F20"/>
          <w:spacing w:val="8"/>
        </w:rPr>
        <w:t>：在</w:t>
      </w:r>
      <w:r>
        <w:rPr>
          <w:color w:val="231F20"/>
          <w:spacing w:val="7"/>
        </w:rPr>
        <w:t>西医治疗基础上采用蒙药联合蒙医传统疗法治疗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风湿性关节炎临床诊治效果显著，与单一西医诊治相比，受累关节疼痛、肿胀等临床不适消退更快，不</w:t>
      </w:r>
      <w:r>
        <w:rPr>
          <w:color w:val="231F20"/>
          <w:spacing w:val="10"/>
        </w:rPr>
        <w:t>良反应小，安全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性高，治疗效果稳定，切实可行，值得临床推广。</w:t>
      </w:r>
    </w:p>
    <w:p>
      <w:pPr>
        <w:pStyle w:val="BodyText"/>
        <w:ind w:left="1128"/>
        <w:spacing w:before="1" w:line="187" w:lineRule="auto"/>
        <w:rPr/>
      </w:pPr>
      <w:r>
        <w:rPr>
          <w:color w:val="231F20"/>
          <w:spacing w:val="2"/>
        </w:rPr>
        <w:t>［关键词］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蒙医；蒙西医结合；风湿性关节炎；临床疗效</w:t>
      </w:r>
    </w:p>
    <w:p>
      <w:pPr>
        <w:pStyle w:val="BodyText"/>
        <w:ind w:left="2422"/>
        <w:spacing w:before="51" w:line="196" w:lineRule="auto"/>
        <w:rPr/>
      </w:pPr>
      <w:r>
        <w:rPr>
          <w:color w:val="231F20"/>
          <w:spacing w:val="-7"/>
        </w:rPr>
        <w:t>中图分类号：R291.2           文献标识码：B</w:t>
      </w:r>
      <w:r>
        <w:rPr>
          <w:color w:val="231F20"/>
          <w:spacing w:val="-8"/>
        </w:rPr>
        <w:t xml:space="preserve">          文章编号：1006-6810（2023）03-0008-03</w:t>
      </w:r>
    </w:p>
    <w:p>
      <w:pPr>
        <w:pStyle w:val="BodyText"/>
        <w:ind w:left="1387"/>
        <w:spacing w:before="60" w:line="161" w:lineRule="auto"/>
        <w:rPr/>
      </w:pPr>
      <w:r>
        <w:rPr>
          <w:color w:val="231F20"/>
          <w:spacing w:val="-5"/>
        </w:rPr>
        <w:t>Clinical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Observation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of Rheumatoid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Arthritis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Treated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by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Combination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of Mongolian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Western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Medicine</w:t>
      </w:r>
    </w:p>
    <w:p>
      <w:pPr>
        <w:pStyle w:val="BodyText"/>
        <w:ind w:left="4416"/>
        <w:spacing w:before="83" w:line="181" w:lineRule="auto"/>
        <w:rPr/>
      </w:pPr>
      <w:r>
        <w:rPr>
          <w:color w:val="231F20"/>
          <w:spacing w:val="-6"/>
        </w:rPr>
        <w:t>SUN  Wei-wei，DU  Wei-wei*</w:t>
      </w:r>
    </w:p>
    <w:p>
      <w:pPr>
        <w:pStyle w:val="BodyText"/>
        <w:ind w:left="3162"/>
        <w:spacing w:before="33" w:line="185" w:lineRule="auto"/>
        <w:rPr/>
      </w:pPr>
      <w:r>
        <w:rPr>
          <w:color w:val="231F20"/>
          <w:spacing w:val="-12"/>
        </w:rPr>
        <w:t>（Hulunbeier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Zhongmeng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Hospital,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2"/>
        </w:rPr>
        <w:t>Hulunbeier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2"/>
        </w:rPr>
        <w:t>021000,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2"/>
        </w:rPr>
        <w:t>China）</w:t>
      </w:r>
    </w:p>
    <w:p>
      <w:pPr>
        <w:pStyle w:val="BodyText"/>
        <w:ind w:left="839" w:right="50" w:firstLine="278"/>
        <w:spacing w:before="62" w:line="229" w:lineRule="auto"/>
        <w:jc w:val="both"/>
        <w:rPr/>
      </w:pPr>
      <w:r>
        <w:rPr>
          <w:sz w:val="16"/>
          <w:szCs w:val="16"/>
          <w:color w:val="231F20"/>
          <w:spacing w:val="-11"/>
        </w:rPr>
        <w:t>［Abstract］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color w:val="231F20"/>
          <w:spacing w:val="-11"/>
        </w:rPr>
        <w:t>Objective:  To  observe  the  cl</w:t>
      </w:r>
      <w:r>
        <w:rPr>
          <w:color w:val="231F20"/>
          <w:spacing w:val="-12"/>
        </w:rPr>
        <w:t>inical  efficacy  and  treatment  methods  of  combination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2"/>
        </w:rPr>
        <w:t>of  Mongolian  medicine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Mongolian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3"/>
        </w:rPr>
        <w:t>medicine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3"/>
        </w:rPr>
        <w:t>in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3"/>
        </w:rPr>
        <w:t>the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3"/>
        </w:rPr>
        <w:t>treatment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3"/>
        </w:rPr>
        <w:t>of  rheum</w:t>
      </w:r>
      <w:r>
        <w:rPr>
          <w:color w:val="231F20"/>
          <w:spacing w:val="-14"/>
        </w:rPr>
        <w:t>atoid   arthritis   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4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4"/>
        </w:rPr>
        <w:t>basis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4"/>
        </w:rPr>
        <w:t>of  western   medicine   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4"/>
        </w:rPr>
        <w:t>traditional   Mongolian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medicine.  Methods:  120  patients  with  rheumatoid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3"/>
        </w:rPr>
        <w:t>arthritis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3"/>
        </w:rPr>
        <w:t>treated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3"/>
        </w:rPr>
        <w:t>our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3"/>
        </w:rPr>
        <w:t>hospital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3"/>
        </w:rPr>
        <w:t>from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3"/>
        </w:rPr>
        <w:t>January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3"/>
        </w:rPr>
        <w:t>2020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3"/>
        </w:rPr>
        <w:t>Decembe</w:t>
      </w:r>
      <w:r>
        <w:rPr>
          <w:color w:val="231F20"/>
          <w:spacing w:val="-14"/>
        </w:rPr>
        <w:t>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4"/>
        </w:rPr>
        <w:t>2021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randomly  divided  into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4"/>
        </w:rPr>
        <w:t>treatment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4"/>
        </w:rPr>
        <w:t>group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4"/>
        </w:rPr>
        <w:t>control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4"/>
        </w:rPr>
        <w:t>group.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4"/>
        </w:rPr>
        <w:t>Pati</w:t>
      </w:r>
      <w:r>
        <w:rPr>
          <w:color w:val="231F20"/>
          <w:spacing w:val="-15"/>
        </w:rPr>
        <w:t>ents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5"/>
        </w:rPr>
        <w:t>control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5"/>
        </w:rPr>
        <w:t>group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5"/>
        </w:rPr>
        <w:t>were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5"/>
        </w:rPr>
        <w:t>treated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5"/>
        </w:rPr>
        <w:t>western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15"/>
        </w:rPr>
        <w:t>medicine.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4"/>
        </w:rPr>
        <w:t>treatment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4"/>
        </w:rPr>
        <w:t>group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were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4"/>
        </w:rPr>
        <w:t>treated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4"/>
        </w:rPr>
        <w:t>oral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4"/>
        </w:rPr>
        <w:t>Mongolia</w:t>
      </w:r>
      <w:r>
        <w:rPr>
          <w:color w:val="231F20"/>
          <w:spacing w:val="-15"/>
        </w:rPr>
        <w:t>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5"/>
        </w:rPr>
        <w:t>medicine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5"/>
        </w:rPr>
        <w:t>combined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5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5"/>
        </w:rPr>
        <w:t>traditional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5"/>
        </w:rPr>
        <w:t>Mongolian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5"/>
        </w:rPr>
        <w:t>medicine.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5"/>
        </w:rPr>
        <w:t>After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8  weeks  of  treatment,  the  t</w:t>
      </w:r>
      <w:r>
        <w:rPr>
          <w:color w:val="231F20"/>
          <w:spacing w:val="-13"/>
        </w:rPr>
        <w:t>otal  curative  effects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3"/>
        </w:rPr>
        <w:t>of  the  two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3"/>
        </w:rPr>
        <w:t>groups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3"/>
        </w:rPr>
        <w:t>compared.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3"/>
        </w:rPr>
        <w:t>Results: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3"/>
        </w:rPr>
        <w:t>statistical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3"/>
        </w:rPr>
        <w:t>results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3"/>
        </w:rPr>
        <w:t>showed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3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total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effective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3"/>
        </w:rPr>
        <w:t>rate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3"/>
        </w:rPr>
        <w:t>treatment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group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was  significantly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better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3"/>
        </w:rPr>
        <w:t>than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that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3"/>
        </w:rPr>
        <w:t>the  control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3"/>
        </w:rPr>
        <w:t>group    (P&lt;0.05).  The  swelling  of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4"/>
        </w:rPr>
        <w:t>involved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joint,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time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pain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4"/>
        </w:rPr>
        <w:t>disappearance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4"/>
        </w:rPr>
        <w:t>an</w:t>
      </w:r>
      <w:r>
        <w:rPr>
          <w:color w:val="231F20"/>
          <w:spacing w:val="-15"/>
        </w:rPr>
        <w:t>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5"/>
        </w:rPr>
        <w:t>time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5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5"/>
        </w:rPr>
        <w:t>laboratory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5"/>
        </w:rPr>
        <w:t>inflammation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5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5"/>
        </w:rPr>
        <w:t>return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5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5"/>
        </w:rPr>
        <w:t>normal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5"/>
        </w:rPr>
        <w:t>treatment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group  were  significantly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shorter  than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3"/>
        </w:rPr>
        <w:t>those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3"/>
        </w:rPr>
        <w:t>control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3"/>
        </w:rPr>
        <w:t>group     (P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3"/>
        </w:rPr>
        <w:t>&lt;0.05).  No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3"/>
        </w:rPr>
        <w:t>serious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adverse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13"/>
        </w:rPr>
        <w:t>reactions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3"/>
        </w:rPr>
        <w:t>were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3"/>
        </w:rPr>
        <w:t>f</w:t>
      </w:r>
      <w:r>
        <w:rPr>
          <w:color w:val="231F20"/>
          <w:spacing w:val="-14"/>
        </w:rPr>
        <w:t>ound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in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treatment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3"/>
        </w:rPr>
        <w:t>group.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3"/>
        </w:rPr>
        <w:t>Conclu</w:t>
      </w:r>
      <w:r>
        <w:rPr>
          <w:color w:val="231F20"/>
          <w:spacing w:val="-14"/>
        </w:rPr>
        <w:t>sion: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4"/>
        </w:rPr>
        <w:t>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4"/>
        </w:rPr>
        <w:t>the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4"/>
        </w:rPr>
        <w:t>basis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4"/>
        </w:rPr>
        <w:t>of  western   medicine   treatment,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4"/>
        </w:rPr>
        <w:t>Mongolian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4"/>
        </w:rPr>
        <w:t>medicine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4"/>
        </w:rPr>
        <w:t>combined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4"/>
        </w:rPr>
        <w:t>with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4"/>
        </w:rPr>
        <w:t>traditional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Mongolian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3"/>
        </w:rPr>
        <w:t>medicine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is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effective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3"/>
        </w:rPr>
        <w:t>cli</w:t>
      </w:r>
      <w:r>
        <w:rPr>
          <w:color w:val="231F20"/>
          <w:spacing w:val="-14"/>
        </w:rPr>
        <w:t>nical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4"/>
        </w:rPr>
        <w:t>diagnosis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treatment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rheumatoid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4"/>
        </w:rPr>
        <w:t>arthritis.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4"/>
        </w:rPr>
        <w:t>compared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4"/>
        </w:rPr>
        <w:t>diagnosis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treatment  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single  western  medicine,  the  clinical  discomfort  symptoms  such  as  pain  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2"/>
        </w:rPr>
        <w:t>swelling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2"/>
        </w:rPr>
        <w:t>of  involved  jo</w:t>
      </w:r>
      <w:r>
        <w:rPr>
          <w:color w:val="231F20"/>
          <w:spacing w:val="-13"/>
        </w:rPr>
        <w:t>ints  disappear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faster  and  have  less  adverse  reactions.  the  therapeutic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1"/>
        </w:rPr>
        <w:t>effect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1"/>
        </w:rPr>
        <w:t>is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1"/>
        </w:rPr>
        <w:t>stable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1"/>
        </w:rPr>
        <w:t>feasi</w:t>
      </w:r>
      <w:r>
        <w:rPr>
          <w:color w:val="231F20"/>
          <w:spacing w:val="-12"/>
        </w:rPr>
        <w:t>ble,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2"/>
        </w:rPr>
        <w:t>it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2"/>
        </w:rPr>
        <w:t>is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2"/>
        </w:rPr>
        <w:t>worthy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2"/>
        </w:rPr>
        <w:t>of  clinical  research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popularization.</w:t>
      </w:r>
    </w:p>
    <w:p>
      <w:pPr>
        <w:pStyle w:val="BodyText"/>
        <w:ind w:left="1128"/>
        <w:spacing w:before="1" w:line="182" w:lineRule="auto"/>
        <w:rPr/>
      </w:pPr>
      <w:r>
        <w:rPr>
          <w:color w:val="231F20"/>
          <w:spacing w:val="-11"/>
        </w:rPr>
        <w:t>［Keywords］Mongolian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medicine</w:t>
      </w:r>
      <w:r>
        <w:rPr>
          <w:color w:val="231F20"/>
          <w:spacing w:val="-12"/>
        </w:rPr>
        <w:t>;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combination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2"/>
        </w:rPr>
        <w:t>Mongolian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2"/>
        </w:rPr>
        <w:t>western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2"/>
        </w:rPr>
        <w:t>medicine;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rheumatoid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2"/>
        </w:rPr>
        <w:t>arthritis;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clinical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2"/>
        </w:rPr>
        <w:t>efficacy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type w:val="continuous"/>
          <w:pgSz w:w="11905" w:h="16156"/>
          <w:pgMar w:top="1234" w:right="1191" w:bottom="0" w:left="407" w:header="912" w:footer="0" w:gutter="0"/>
          <w:cols w:equalWidth="0" w:num="1">
            <w:col w:w="10305" w:space="0"/>
          </w:cols>
        </w:sectPr>
        <w:rPr/>
      </w:pPr>
    </w:p>
    <w:p>
      <w:pPr>
        <w:pStyle w:val="BodyText"/>
        <w:ind w:left="844" w:right="286" w:firstLine="358"/>
        <w:spacing w:before="46" w:line="238" w:lineRule="auto"/>
        <w:jc w:val="both"/>
        <w:rPr/>
      </w:pPr>
      <w:r>
        <w:rPr>
          <w:color w:val="231F20"/>
          <w:spacing w:val="4"/>
        </w:rPr>
        <w:t>风湿性关节炎是一种常见的临床疾病，多表现游走性、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多发性关节炎，常牵连大、小关节，有红、肿大、灼热、</w:t>
      </w:r>
      <w:r>
        <w:rPr>
          <w:color w:val="231F20"/>
          <w:spacing w:val="-11"/>
        </w:rPr>
        <w:t>疼痛的</w:t>
      </w:r>
      <w:r>
        <w:rPr>
          <w:color w:val="231F20"/>
        </w:rPr>
        <w:t xml:space="preserve">  </w:t>
      </w:r>
      <w:r>
        <w:rPr>
          <w:u w:val="single" w:color="auto"/>
          <w:color w:val="231F20"/>
          <w:spacing w:val="2"/>
        </w:rPr>
        <w:t>炎症反应，发作后</w:t>
      </w:r>
      <w:r>
        <w:rPr>
          <w:color w:val="231F20"/>
          <w:spacing w:val="2"/>
        </w:rPr>
        <w:t>无遗留关节强直和畸形，但病情反复发作</w:t>
      </w:r>
    </w:p>
    <w:p>
      <w:pPr>
        <w:pStyle w:val="BodyText"/>
        <w:ind w:left="849"/>
        <w:spacing w:before="5" w:line="15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* 通讯作者：杜巍巍。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hanging="7"/>
        <w:spacing w:before="37" w:line="216" w:lineRule="auto"/>
        <w:jc w:val="both"/>
        <w:rPr/>
      </w:pPr>
      <w:r>
        <w:rPr>
          <w:color w:val="231F20"/>
          <w:spacing w:val="7"/>
        </w:rPr>
        <w:t>可遗留不同程度的心脏、关节损害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，生活质量受到严重影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响。冬春季节交替，是从寒回暖的过程，料峭春风，仍是微冷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4"/>
        </w:rPr>
        <w:t>的时节，湿气较重，此季节气温较低常有连续的寒冷</w:t>
      </w:r>
      <w:r>
        <w:rPr>
          <w:color w:val="231F20"/>
          <w:spacing w:val="3"/>
        </w:rPr>
        <w:t>天气，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因此，在临床上风湿性关节炎以寒湿为首要诱因。</w:t>
      </w:r>
      <w:r>
        <w:rPr>
          <w:color w:val="231F20"/>
          <w:spacing w:val="1"/>
        </w:rPr>
        <w:t>西医常规</w:t>
      </w:r>
    </w:p>
    <w:sectPr>
      <w:type w:val="continuous"/>
      <w:pgSz w:w="11905" w:h="16156"/>
      <w:pgMar w:top="1234" w:right="1191" w:bottom="0" w:left="407" w:header="912" w:footer="0" w:gutter="0"/>
      <w:cols w:equalWidth="0" w:num="2">
        <w:col w:w="5674" w:space="100"/>
        <w:col w:w="453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8"/>
      <w:spacing w:before="64" w:line="164" w:lineRule="auto"/>
      <w:tabs>
        <w:tab w:val="left" w:pos="935"/>
      </w:tabs>
      <w:rPr>
        <w:sz w:val="20"/>
        <w:szCs w:val="20"/>
      </w:rPr>
    </w:pPr>
    <w:r>
      <w:pict>
        <v:shape id="WordPictureWatermark2" style="position:absolute;margin-left:20.4pt;margin-top:780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position w:val="1"/>
      </w:rPr>
      <w:tab/>
    </w:r>
    <w:r>
      <w:rPr>
        <w:u w:val="single" w:color="auto"/>
        <w:color w:val="231F20"/>
        <w:spacing w:val="-15"/>
        <w:position w:val="1"/>
      </w:rPr>
      <w:t>6</w:t>
    </w:r>
    <w:r>
      <w:rPr>
        <w:u w:val="single" w:color="auto"/>
        <w:color w:val="231F20"/>
        <w:spacing w:val="1"/>
        <w:position w:val="1"/>
      </w:rPr>
      <w:t xml:space="preserve">                     </w:t>
    </w:r>
    <w:r>
      <w:rPr>
        <w:u w:val="single" w:color="auto"/>
        <w:color w:val="231F20"/>
        <w:position w:val="1"/>
      </w:rPr>
      <w:t xml:space="preserve">                  </w:t>
    </w:r>
    <w:r>
      <w:rPr>
        <w:sz w:val="20"/>
        <w:szCs w:val="20"/>
        <w:u w:val="single" w:color="auto"/>
        <w:color w:val="231F20"/>
        <w:spacing w:val="-15"/>
      </w:rPr>
      <w:t>Journal</w:t>
    </w:r>
    <w:r>
      <w:rPr>
        <w:sz w:val="20"/>
        <w:szCs w:val="20"/>
        <w:u w:val="single" w:color="auto"/>
        <w:color w:val="231F20"/>
        <w:spacing w:val="18"/>
        <w:w w:val="101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of</w:t>
    </w:r>
    <w:r>
      <w:rPr>
        <w:sz w:val="20"/>
        <w:szCs w:val="20"/>
        <w:u w:val="single" w:color="auto"/>
        <w:color w:val="231F20"/>
        <w:spacing w:val="8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Medicine</w:t>
    </w:r>
    <w:r>
      <w:rPr>
        <w:sz w:val="20"/>
        <w:szCs w:val="20"/>
        <w:u w:val="single" w:color="auto"/>
        <w:color w:val="231F20"/>
        <w:spacing w:val="17"/>
        <w:w w:val="101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and</w:t>
    </w:r>
    <w:r>
      <w:rPr>
        <w:sz w:val="20"/>
        <w:szCs w:val="20"/>
        <w:u w:val="single" w:color="auto"/>
        <w:color w:val="231F20"/>
        <w:spacing w:val="16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Pharmacy</w:t>
    </w:r>
    <w:r>
      <w:rPr>
        <w:sz w:val="20"/>
        <w:szCs w:val="20"/>
        <w:u w:val="single" w:color="auto"/>
        <w:color w:val="231F20"/>
        <w:spacing w:val="16"/>
        <w:w w:val="101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of</w:t>
    </w:r>
    <w:r>
      <w:rPr>
        <w:sz w:val="20"/>
        <w:szCs w:val="20"/>
        <w:u w:val="single" w:color="auto"/>
        <w:color w:val="231F20"/>
        <w:spacing w:val="8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Chinese</w:t>
    </w:r>
    <w:r>
      <w:rPr>
        <w:sz w:val="20"/>
        <w:szCs w:val="20"/>
        <w:u w:val="single" w:color="auto"/>
        <w:color w:val="231F20"/>
        <w:spacing w:val="20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Minorities       M</w:t>
    </w:r>
    <w:r>
      <w:rPr>
        <w:sz w:val="20"/>
        <w:szCs w:val="20"/>
        <w:u w:val="single" w:color="auto"/>
        <w:color w:val="231F20"/>
        <w:spacing w:val="-16"/>
      </w:rPr>
      <w:t>arch</w:t>
    </w:r>
    <w:r>
      <w:rPr>
        <w:sz w:val="20"/>
        <w:szCs w:val="20"/>
        <w:u w:val="single" w:color="auto"/>
        <w:color w:val="231F20"/>
        <w:spacing w:val="17"/>
      </w:rPr>
      <w:t xml:space="preserve"> </w:t>
    </w:r>
    <w:r>
      <w:rPr>
        <w:sz w:val="20"/>
        <w:szCs w:val="20"/>
        <w:u w:val="single" w:color="auto"/>
        <w:color w:val="231F20"/>
        <w:spacing w:val="-16"/>
      </w:rPr>
      <w:t>2023，Vol.29</w:t>
    </w:r>
    <w:r>
      <w:rPr>
        <w:sz w:val="20"/>
        <w:szCs w:val="20"/>
        <w:u w:val="single" w:color="auto"/>
        <w:color w:val="231F20"/>
        <w:spacing w:val="18"/>
        <w:w w:val="101"/>
      </w:rPr>
      <w:t xml:space="preserve"> </w:t>
    </w:r>
    <w:r>
      <w:rPr>
        <w:sz w:val="20"/>
        <w:szCs w:val="20"/>
        <w:u w:val="single" w:color="auto"/>
        <w:color w:val="231F20"/>
        <w:spacing w:val="-16"/>
      </w:rPr>
      <w:t>No.3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71"/>
      <w:spacing w:before="55" w:line="180" w:lineRule="auto"/>
      <w:rPr/>
    </w:pPr>
    <w:r>
      <w:pict>
        <v:shape id="WordPictureWatermark4" style="position:absolute;margin-left:20.4pt;margin-top:780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20"/>
        <w:szCs w:val="20"/>
        <w:u w:val="single" w:color="auto"/>
        <w:color w:val="231F20"/>
        <w:spacing w:val="-5"/>
      </w:rPr>
      <w:t>中</w:t>
    </w:r>
    <w:r>
      <w:rPr>
        <w:sz w:val="20"/>
        <w:szCs w:val="20"/>
        <w:u w:val="single" w:color="auto"/>
        <w:color w:val="231F20"/>
        <w:spacing w:val="-10"/>
      </w:rPr>
      <w:t xml:space="preserve"> </w:t>
    </w:r>
    <w:r>
      <w:rPr>
        <w:sz w:val="20"/>
        <w:szCs w:val="20"/>
        <w:u w:val="single" w:color="auto"/>
        <w:color w:val="231F20"/>
        <w:spacing w:val="-5"/>
      </w:rPr>
      <w:t>国民族医药杂志</w:t>
    </w:r>
    <w:r>
      <w:rPr>
        <w:sz w:val="20"/>
        <w:szCs w:val="20"/>
        <w:u w:val="single" w:color="auto"/>
        <w:color w:val="231F20"/>
        <w:spacing w:val="12"/>
      </w:rPr>
      <w:t xml:space="preserve">   </w:t>
    </w:r>
    <w:r>
      <w:rPr>
        <w:u w:val="single" w:color="auto"/>
        <w:color w:val="231F20"/>
        <w:spacing w:val="-5"/>
      </w:rPr>
      <w:t>2023 年3</w:t>
    </w:r>
    <w:r>
      <w:rPr>
        <w:u w:val="single" w:color="auto"/>
        <w:color w:val="231F20"/>
        <w:spacing w:val="12"/>
      </w:rPr>
      <w:t xml:space="preserve"> </w:t>
    </w:r>
    <w:r>
      <w:rPr>
        <w:u w:val="single" w:color="auto"/>
        <w:color w:val="231F20"/>
        <w:spacing w:val="-5"/>
      </w:rPr>
      <w:t>月</w:t>
    </w:r>
    <w:r>
      <w:rPr>
        <w:u w:val="single" w:color="auto"/>
        <w:color w:val="231F20"/>
        <w:spacing w:val="16"/>
        <w:w w:val="101"/>
      </w:rPr>
      <w:t xml:space="preserve">  </w:t>
    </w:r>
    <w:r>
      <w:rPr>
        <w:u w:val="single" w:color="auto"/>
        <w:color w:val="231F20"/>
        <w:spacing w:val="-5"/>
      </w:rPr>
      <w:t>第 29 卷   第 3 期</w:t>
    </w:r>
    <w:r>
      <w:rPr>
        <w:u w:val="single" w:color="auto"/>
        <w:color w:val="231F20"/>
        <w:spacing w:val="1"/>
      </w:rPr>
      <w:t xml:space="preserve">                                </w:t>
    </w:r>
    <w:r>
      <w:rPr>
        <w:u w:val="single" w:color="auto"/>
        <w:color w:val="231F20"/>
      </w:rPr>
      <w:t xml:space="preserve">                                                                    </w:t>
    </w:r>
    <w:r>
      <w:rPr>
        <w:u w:val="single" w:color="auto"/>
        <w:color w:val="231F20"/>
        <w:spacing w:val="-5"/>
        <w:position w:val="1"/>
      </w:rPr>
      <w:t>7 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8"/>
      <w:spacing w:before="64" w:line="164" w:lineRule="auto"/>
      <w:tabs>
        <w:tab w:val="left" w:pos="939"/>
      </w:tabs>
      <w:rPr>
        <w:sz w:val="20"/>
        <w:szCs w:val="20"/>
      </w:rPr>
    </w:pPr>
    <w:r>
      <w:pict>
        <v:shape id="WordPictureWatermark10" style="position:absolute;margin-left:20.4pt;margin-top:780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u w:val="single" w:color="auto"/>
        <w:color w:val="231F20"/>
        <w:position w:val="1"/>
      </w:rPr>
      <w:tab/>
    </w:r>
    <w:r>
      <w:rPr>
        <w:u w:val="single" w:color="auto"/>
        <w:color w:val="231F20"/>
        <w:spacing w:val="-15"/>
        <w:position w:val="1"/>
      </w:rPr>
      <w:t>8</w:t>
    </w:r>
    <w:r>
      <w:rPr>
        <w:u w:val="single" w:color="auto"/>
        <w:color w:val="231F20"/>
        <w:spacing w:val="1"/>
        <w:position w:val="1"/>
      </w:rPr>
      <w:t xml:space="preserve">                     </w:t>
    </w:r>
    <w:r>
      <w:rPr>
        <w:u w:val="single" w:color="auto"/>
        <w:color w:val="231F20"/>
        <w:position w:val="1"/>
      </w:rPr>
      <w:t xml:space="preserve">                  </w:t>
    </w:r>
    <w:r>
      <w:rPr>
        <w:sz w:val="20"/>
        <w:szCs w:val="20"/>
        <w:u w:val="single" w:color="auto"/>
        <w:color w:val="231F20"/>
        <w:spacing w:val="-15"/>
      </w:rPr>
      <w:t>Journal</w:t>
    </w:r>
    <w:r>
      <w:rPr>
        <w:sz w:val="20"/>
        <w:szCs w:val="20"/>
        <w:u w:val="single" w:color="auto"/>
        <w:color w:val="231F20"/>
        <w:spacing w:val="18"/>
        <w:w w:val="101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of</w:t>
    </w:r>
    <w:r>
      <w:rPr>
        <w:sz w:val="20"/>
        <w:szCs w:val="20"/>
        <w:u w:val="single" w:color="auto"/>
        <w:color w:val="231F20"/>
        <w:spacing w:val="8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Medicine</w:t>
    </w:r>
    <w:r>
      <w:rPr>
        <w:sz w:val="20"/>
        <w:szCs w:val="20"/>
        <w:u w:val="single" w:color="auto"/>
        <w:color w:val="231F20"/>
        <w:spacing w:val="17"/>
        <w:w w:val="101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and</w:t>
    </w:r>
    <w:r>
      <w:rPr>
        <w:sz w:val="20"/>
        <w:szCs w:val="20"/>
        <w:u w:val="single" w:color="auto"/>
        <w:color w:val="231F20"/>
        <w:spacing w:val="16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Pharmacy</w:t>
    </w:r>
    <w:r>
      <w:rPr>
        <w:sz w:val="20"/>
        <w:szCs w:val="20"/>
        <w:u w:val="single" w:color="auto"/>
        <w:color w:val="231F20"/>
        <w:spacing w:val="16"/>
        <w:w w:val="101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of</w:t>
    </w:r>
    <w:r>
      <w:rPr>
        <w:sz w:val="20"/>
        <w:szCs w:val="20"/>
        <w:u w:val="single" w:color="auto"/>
        <w:color w:val="231F20"/>
        <w:spacing w:val="8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Chinese</w:t>
    </w:r>
    <w:r>
      <w:rPr>
        <w:sz w:val="20"/>
        <w:szCs w:val="20"/>
        <w:u w:val="single" w:color="auto"/>
        <w:color w:val="231F20"/>
        <w:spacing w:val="20"/>
      </w:rPr>
      <w:t xml:space="preserve"> </w:t>
    </w:r>
    <w:r>
      <w:rPr>
        <w:sz w:val="20"/>
        <w:szCs w:val="20"/>
        <w:u w:val="single" w:color="auto"/>
        <w:color w:val="231F20"/>
        <w:spacing w:val="-15"/>
      </w:rPr>
      <w:t>Minorities    </w:t>
    </w:r>
    <w:r>
      <w:rPr>
        <w:sz w:val="20"/>
        <w:szCs w:val="20"/>
        <w:u w:val="single" w:color="auto"/>
        <w:color w:val="231F20"/>
        <w:spacing w:val="-16"/>
      </w:rPr>
      <w:t xml:space="preserve">   March</w:t>
    </w:r>
    <w:r>
      <w:rPr>
        <w:sz w:val="20"/>
        <w:szCs w:val="20"/>
        <w:u w:val="single" w:color="auto"/>
        <w:color w:val="231F20"/>
        <w:spacing w:val="17"/>
      </w:rPr>
      <w:t xml:space="preserve"> </w:t>
    </w:r>
    <w:r>
      <w:rPr>
        <w:sz w:val="20"/>
        <w:szCs w:val="20"/>
        <w:u w:val="single" w:color="auto"/>
        <w:color w:val="231F20"/>
        <w:spacing w:val="-16"/>
      </w:rPr>
      <w:t>2023，Vol.29</w:t>
    </w:r>
    <w:r>
      <w:rPr>
        <w:sz w:val="20"/>
        <w:szCs w:val="20"/>
        <w:u w:val="single" w:color="auto"/>
        <w:color w:val="231F20"/>
        <w:spacing w:val="18"/>
        <w:w w:val="101"/>
      </w:rPr>
      <w:t xml:space="preserve"> </w:t>
    </w:r>
    <w:r>
      <w:rPr>
        <w:sz w:val="20"/>
        <w:szCs w:val="20"/>
        <w:u w:val="single" w:color="auto"/>
        <w:color w:val="231F20"/>
        <w:spacing w:val="-16"/>
      </w:rPr>
      <w:t>No.3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jpeg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2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2023-08-04T10:00:05Z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2025-10-28T21:30:19</vt:filetime>
  </property>
</Properties>
</file>