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35" w:lineRule="exact"/>
        <w:rPr/>
      </w:pPr>
      <w:r/>
    </w:p>
    <w:p>
      <w:pPr>
        <w:spacing w:line="135" w:lineRule="exact"/>
        <w:sectPr>
          <w:headerReference w:type="default" r:id="rId1"/>
          <w:pgSz w:w="11905" w:h="16156"/>
          <w:pgMar w:top="1230" w:right="1181" w:bottom="0" w:left="407" w:header="908" w:footer="0" w:gutter="0"/>
          <w:cols w:equalWidth="0" w:num="1">
            <w:col w:w="10315" w:space="0"/>
          </w:cols>
        </w:sectPr>
        <w:rPr/>
      </w:pPr>
    </w:p>
    <w:p>
      <w:pPr>
        <w:pStyle w:val="BodyText"/>
        <w:ind w:left="842" w:right="276" w:hanging="74"/>
        <w:spacing w:before="40" w:line="239" w:lineRule="auto"/>
        <w:rPr/>
      </w:pPr>
      <w:r>
        <w:rPr>
          <w:color w:val="231F20"/>
          <w:spacing w:val="1"/>
        </w:rPr>
        <w:t>（P＜0.05</w:t>
      </w:r>
      <w:r>
        <w:rPr>
          <w:color w:val="231F20"/>
          <w:spacing w:val="-31"/>
          <w:w w:val="77"/>
        </w:rPr>
        <w:t>），</w:t>
      </w:r>
      <w:r>
        <w:rPr>
          <w:color w:val="231F20"/>
          <w:spacing w:val="1"/>
        </w:rPr>
        <w:t>且治疗组改善程度比对照组显著（P＜0.05</w:t>
      </w:r>
      <w:r>
        <w:rPr>
          <w:color w:val="231F20"/>
          <w:spacing w:val="-31"/>
          <w:w w:val="77"/>
        </w:rPr>
        <w:t>），</w:t>
      </w:r>
      <w:r>
        <w:rPr>
          <w:color w:val="231F20"/>
          <w:spacing w:val="1"/>
        </w:rPr>
        <w:t>见</w:t>
      </w:r>
      <w:r>
        <w:rPr>
          <w:color w:val="231F20"/>
          <w:spacing w:val="4"/>
        </w:rPr>
        <w:t xml:space="preserve"> </w:t>
      </w:r>
      <w:r>
        <w:rPr>
          <w:color w:val="231F20"/>
          <w:spacing w:val="-1"/>
        </w:rPr>
        <w:t>表1。</w:t>
      </w:r>
    </w:p>
    <w:p>
      <w:pPr>
        <w:pStyle w:val="BodyText"/>
        <w:ind w:left="1666"/>
        <w:spacing w:line="196" w:lineRule="auto"/>
        <w:rPr>
          <w:sz w:val="15"/>
          <w:szCs w:val="15"/>
        </w:rPr>
      </w:pPr>
      <w:r>
        <w:pict>
          <v:shape id="_x0000_s4" style="position:absolute;margin-left:198.4pt;margin-top:1.24279pt;mso-position-vertical-relative:text;mso-position-horizontal-relative:text;width:2.7pt;height:0.2pt;z-index:251659264;" filled="false" strokecolor="#231F20" strokeweight="0.20pt" coordsize="54,4" coordorigin="0,0" path="m0,1l53,1e">
            <v:stroke joinstyle="miter" miterlimit="10"/>
          </v:shape>
        </w:pict>
      </w:r>
      <w:r>
        <w:rPr>
          <w:sz w:val="15"/>
          <w:szCs w:val="15"/>
          <w:color w:val="231F20"/>
          <w:spacing w:val="-10"/>
        </w:rPr>
        <w:t>表</w:t>
      </w:r>
      <w:r>
        <w:rPr>
          <w:sz w:val="15"/>
          <w:szCs w:val="15"/>
          <w:color w:val="231F20"/>
          <w:spacing w:val="14"/>
        </w:rPr>
        <w:t xml:space="preserve"> </w:t>
      </w:r>
      <w:r>
        <w:rPr>
          <w:sz w:val="15"/>
          <w:szCs w:val="15"/>
          <w:color w:val="231F20"/>
          <w:spacing w:val="-10"/>
        </w:rPr>
        <w:t>1</w:t>
      </w:r>
      <w:r>
        <w:rPr>
          <w:sz w:val="15"/>
          <w:szCs w:val="15"/>
          <w:color w:val="231F20"/>
          <w:spacing w:val="13"/>
        </w:rPr>
        <w:t xml:space="preserve">  </w:t>
      </w:r>
      <w:r>
        <w:rPr>
          <w:sz w:val="15"/>
          <w:szCs w:val="15"/>
          <w:color w:val="231F20"/>
          <w:spacing w:val="-10"/>
        </w:rPr>
        <w:t>两组 NIHSS、ADL 评分比较（</w:t>
      </w:r>
      <w:r>
        <w:rPr>
          <w:sz w:val="15"/>
          <w:szCs w:val="15"/>
          <w:color w:val="231F20"/>
          <w:spacing w:val="-10"/>
        </w:rPr>
        <w:t>x</w:t>
      </w:r>
      <w:r>
        <w:rPr>
          <w:sz w:val="15"/>
          <w:szCs w:val="15"/>
          <w:color w:val="231F20"/>
          <w:spacing w:val="-10"/>
        </w:rPr>
        <w:t>±s，分）</w:t>
      </w:r>
    </w:p>
    <w:p>
      <w:pPr>
        <w:spacing w:line="56" w:lineRule="exact"/>
        <w:rPr/>
      </w:pPr>
      <w:r/>
    </w:p>
    <w:tbl>
      <w:tblPr>
        <w:tblStyle w:val="TableNormal"/>
        <w:tblW w:w="4491" w:type="dxa"/>
        <w:tblInd w:w="83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5"/>
        <w:gridCol w:w="350"/>
        <w:gridCol w:w="849"/>
        <w:gridCol w:w="892"/>
        <w:gridCol w:w="815"/>
        <w:gridCol w:w="950"/>
      </w:tblGrid>
      <w:tr>
        <w:trPr>
          <w:trHeight w:val="342" w:hRule="atLeast"/>
        </w:trPr>
        <w:tc>
          <w:tcPr>
            <w:tcW w:w="635" w:type="dxa"/>
            <w:vAlign w:val="top"/>
            <w:vMerge w:val="restart"/>
            <w:tcBorders>
              <w:bottom w:val="nil"/>
              <w:top w:val="single" w:color="231F20" w:sz="6" w:space="0"/>
            </w:tcBorders>
          </w:tcPr>
          <w:p>
            <w:pPr>
              <w:pStyle w:val="TableText"/>
              <w:ind w:left="155"/>
              <w:spacing w:before="265" w:line="189" w:lineRule="auto"/>
              <w:rPr/>
            </w:pPr>
            <w:r>
              <w:rPr>
                <w:color w:val="231F20"/>
                <w:spacing w:val="7"/>
              </w:rPr>
              <w:t>组别</w:t>
            </w:r>
          </w:p>
        </w:tc>
        <w:tc>
          <w:tcPr>
            <w:tcW w:w="350" w:type="dxa"/>
            <w:vAlign w:val="top"/>
            <w:vMerge w:val="restart"/>
            <w:textDirection w:val="tbRlV"/>
            <w:tcBorders>
              <w:bottom w:val="nil"/>
              <w:top w:val="single" w:color="231F20" w:sz="6" w:space="0"/>
            </w:tcBorders>
          </w:tcPr>
          <w:p>
            <w:pPr>
              <w:pStyle w:val="TableText"/>
              <w:ind w:left="154"/>
              <w:spacing w:before="100" w:line="186" w:lineRule="auto"/>
              <w:rPr/>
            </w:pPr>
            <w:r>
              <w:rPr>
                <w:color w:val="231F20"/>
                <w:spacing w:val="3"/>
              </w:rPr>
              <w:t>例</w:t>
            </w:r>
            <w:r>
              <w:rPr>
                <w:color w:val="231F20"/>
                <w:spacing w:val="25"/>
              </w:rPr>
              <w:t xml:space="preserve"> </w:t>
            </w:r>
            <w:r>
              <w:rPr>
                <w:color w:val="231F20"/>
                <w:spacing w:val="3"/>
              </w:rPr>
              <w:t>数</w:t>
            </w:r>
          </w:p>
        </w:tc>
        <w:tc>
          <w:tcPr>
            <w:tcW w:w="1741" w:type="dxa"/>
            <w:vAlign w:val="top"/>
            <w:gridSpan w:val="2"/>
            <w:tcBorders>
              <w:bottom w:val="single" w:color="231F20" w:sz="2" w:space="0"/>
              <w:top w:val="single" w:color="231F20" w:sz="6" w:space="0"/>
            </w:tcBorders>
          </w:tcPr>
          <w:p>
            <w:pPr>
              <w:pStyle w:val="TableText"/>
              <w:ind w:left="483"/>
              <w:spacing w:before="81" w:line="196" w:lineRule="auto"/>
              <w:rPr/>
            </w:pPr>
            <w:r>
              <w:rPr>
                <w:color w:val="231F20"/>
                <w:spacing w:val="-3"/>
              </w:rPr>
              <w:t>NIHSS 评分</w:t>
            </w:r>
          </w:p>
        </w:tc>
        <w:tc>
          <w:tcPr>
            <w:tcW w:w="1765" w:type="dxa"/>
            <w:vAlign w:val="top"/>
            <w:gridSpan w:val="2"/>
            <w:tcBorders>
              <w:bottom w:val="single" w:color="231F20" w:sz="2" w:space="0"/>
              <w:top w:val="single" w:color="231F20" w:sz="6" w:space="0"/>
            </w:tcBorders>
          </w:tcPr>
          <w:p>
            <w:pPr>
              <w:pStyle w:val="TableText"/>
              <w:ind w:left="560"/>
              <w:spacing w:before="81" w:line="196" w:lineRule="auto"/>
              <w:rPr/>
            </w:pPr>
            <w:r>
              <w:rPr>
                <w:color w:val="231F20"/>
              </w:rPr>
              <w:t>ADL</w:t>
            </w:r>
            <w:r>
              <w:rPr>
                <w:color w:val="231F20"/>
                <w:spacing w:val="3"/>
              </w:rPr>
              <w:t xml:space="preserve"> 评分</w:t>
            </w:r>
          </w:p>
        </w:tc>
      </w:tr>
      <w:tr>
        <w:trPr>
          <w:trHeight w:val="345" w:hRule="atLeast"/>
        </w:trPr>
        <w:tc>
          <w:tcPr>
            <w:tcW w:w="635" w:type="dxa"/>
            <w:vAlign w:val="top"/>
            <w:vMerge w:val="continue"/>
            <w:tcBorders>
              <w:bottom w:val="single" w:color="231F20" w:sz="2" w:space="0"/>
              <w:top w:val="nil"/>
            </w:tcBorders>
          </w:tcPr>
          <w:p>
            <w:pPr>
              <w:rPr>
                <w:rFonts w:ascii="Arial"/>
                <w:sz w:val="21"/>
              </w:rPr>
            </w:pPr>
            <w:r/>
          </w:p>
        </w:tc>
        <w:tc>
          <w:tcPr>
            <w:tcW w:w="350" w:type="dxa"/>
            <w:vAlign w:val="top"/>
            <w:vMerge w:val="continue"/>
            <w:textDirection w:val="tbRlV"/>
            <w:tcBorders>
              <w:bottom w:val="single" w:color="231F20" w:sz="2" w:space="0"/>
              <w:top w:val="nil"/>
            </w:tcBorders>
          </w:tcPr>
          <w:p>
            <w:pPr>
              <w:rPr>
                <w:rFonts w:ascii="Arial"/>
                <w:sz w:val="21"/>
              </w:rPr>
            </w:pPr>
            <w:r/>
          </w:p>
        </w:tc>
        <w:tc>
          <w:tcPr>
            <w:tcW w:w="849" w:type="dxa"/>
            <w:vAlign w:val="top"/>
            <w:tcBorders>
              <w:bottom w:val="single" w:color="231F20" w:sz="2" w:space="0"/>
              <w:top w:val="single" w:color="231F20" w:sz="2" w:space="0"/>
            </w:tcBorders>
          </w:tcPr>
          <w:p>
            <w:pPr>
              <w:pStyle w:val="TableText"/>
              <w:ind w:left="193"/>
              <w:spacing w:before="95" w:line="190" w:lineRule="auto"/>
              <w:rPr/>
            </w:pPr>
            <w:r>
              <w:rPr>
                <w:color w:val="231F20"/>
                <w:spacing w:val="7"/>
              </w:rPr>
              <w:t>治疗前</w:t>
            </w:r>
          </w:p>
        </w:tc>
        <w:tc>
          <w:tcPr>
            <w:tcW w:w="892" w:type="dxa"/>
            <w:vAlign w:val="top"/>
            <w:tcBorders>
              <w:bottom w:val="single" w:color="231F20" w:sz="2" w:space="0"/>
              <w:top w:val="single" w:color="231F20" w:sz="2" w:space="0"/>
            </w:tcBorders>
          </w:tcPr>
          <w:p>
            <w:pPr>
              <w:pStyle w:val="TableText"/>
              <w:ind w:left="213"/>
              <w:spacing w:before="94" w:line="191" w:lineRule="auto"/>
              <w:rPr/>
            </w:pPr>
            <w:r>
              <w:rPr>
                <w:color w:val="231F20"/>
                <w:spacing w:val="7"/>
              </w:rPr>
              <w:t>治疗后</w:t>
            </w:r>
          </w:p>
        </w:tc>
        <w:tc>
          <w:tcPr>
            <w:tcW w:w="815" w:type="dxa"/>
            <w:vAlign w:val="top"/>
            <w:tcBorders>
              <w:bottom w:val="single" w:color="231F20" w:sz="2" w:space="0"/>
              <w:top w:val="single" w:color="231F20" w:sz="2" w:space="0"/>
            </w:tcBorders>
          </w:tcPr>
          <w:p>
            <w:pPr>
              <w:pStyle w:val="TableText"/>
              <w:ind w:left="177"/>
              <w:spacing w:before="95" w:line="190" w:lineRule="auto"/>
              <w:rPr/>
            </w:pPr>
            <w:r>
              <w:rPr>
                <w:color w:val="231F20"/>
                <w:spacing w:val="7"/>
              </w:rPr>
              <w:t>治疗前</w:t>
            </w:r>
          </w:p>
        </w:tc>
        <w:tc>
          <w:tcPr>
            <w:tcW w:w="950" w:type="dxa"/>
            <w:vAlign w:val="top"/>
            <w:tcBorders>
              <w:bottom w:val="single" w:color="231F20" w:sz="2" w:space="0"/>
              <w:top w:val="single" w:color="231F20" w:sz="2" w:space="0"/>
            </w:tcBorders>
          </w:tcPr>
          <w:p>
            <w:pPr>
              <w:pStyle w:val="TableText"/>
              <w:ind w:left="247"/>
              <w:spacing w:before="94" w:line="191" w:lineRule="auto"/>
              <w:rPr/>
            </w:pPr>
            <w:r>
              <w:rPr>
                <w:color w:val="231F20"/>
                <w:spacing w:val="7"/>
              </w:rPr>
              <w:t>治疗后</w:t>
            </w:r>
          </w:p>
        </w:tc>
      </w:tr>
      <w:tr>
        <w:trPr>
          <w:trHeight w:val="387" w:hRule="atLeast"/>
        </w:trPr>
        <w:tc>
          <w:tcPr>
            <w:tcW w:w="635" w:type="dxa"/>
            <w:vAlign w:val="top"/>
            <w:tcBorders>
              <w:top w:val="single" w:color="231F20" w:sz="2" w:space="0"/>
            </w:tcBorders>
          </w:tcPr>
          <w:p>
            <w:pPr>
              <w:pStyle w:val="TableText"/>
              <w:ind w:left="77"/>
              <w:spacing w:before="121" w:line="190" w:lineRule="auto"/>
              <w:rPr/>
            </w:pPr>
            <w:r>
              <w:rPr>
                <w:color w:val="231F20"/>
                <w:spacing w:val="7"/>
              </w:rPr>
              <w:t>治疗组</w:t>
            </w:r>
          </w:p>
        </w:tc>
        <w:tc>
          <w:tcPr>
            <w:tcW w:w="350" w:type="dxa"/>
            <w:vAlign w:val="top"/>
            <w:tcBorders>
              <w:top w:val="single" w:color="231F20" w:sz="2" w:space="0"/>
            </w:tcBorders>
          </w:tcPr>
          <w:p>
            <w:pPr>
              <w:pStyle w:val="TableText"/>
              <w:ind w:left="95"/>
              <w:spacing w:before="143" w:line="200" w:lineRule="auto"/>
              <w:rPr/>
            </w:pPr>
            <w:r>
              <w:rPr>
                <w:color w:val="231F20"/>
                <w:spacing w:val="-6"/>
              </w:rPr>
              <w:t>57</w:t>
            </w:r>
          </w:p>
        </w:tc>
        <w:tc>
          <w:tcPr>
            <w:tcW w:w="849" w:type="dxa"/>
            <w:vAlign w:val="top"/>
            <w:tcBorders>
              <w:top w:val="single" w:color="231F20" w:sz="2" w:space="0"/>
            </w:tcBorders>
          </w:tcPr>
          <w:p>
            <w:pPr>
              <w:pStyle w:val="TableText"/>
              <w:ind w:left="83"/>
              <w:spacing w:before="143" w:line="200" w:lineRule="auto"/>
              <w:rPr/>
            </w:pPr>
            <w:r>
              <w:rPr>
                <w:color w:val="231F20"/>
                <w:spacing w:val="-9"/>
              </w:rPr>
              <w:t>18.43±4.72</w:t>
            </w:r>
          </w:p>
        </w:tc>
        <w:tc>
          <w:tcPr>
            <w:tcW w:w="892" w:type="dxa"/>
            <w:vAlign w:val="top"/>
            <w:tcBorders>
              <w:top w:val="single" w:color="231F20" w:sz="2" w:space="0"/>
            </w:tcBorders>
          </w:tcPr>
          <w:p>
            <w:pPr>
              <w:pStyle w:val="TableText"/>
              <w:ind w:left="66"/>
              <w:spacing w:before="129" w:line="213" w:lineRule="auto"/>
              <w:rPr>
                <w:sz w:val="8"/>
                <w:szCs w:val="8"/>
              </w:rPr>
            </w:pPr>
            <w:r>
              <w:rPr>
                <w:color w:val="231F20"/>
                <w:spacing w:val="-11"/>
              </w:rPr>
              <w:t>5.51±</w:t>
            </w:r>
            <w:r>
              <w:rPr>
                <w:color w:val="231F20"/>
                <w:spacing w:val="-27"/>
              </w:rPr>
              <w:t xml:space="preserve"> </w:t>
            </w:r>
            <w:r>
              <w:rPr>
                <w:color w:val="231F20"/>
                <w:spacing w:val="-11"/>
              </w:rPr>
              <w:t>1.09</w:t>
            </w:r>
            <w:r>
              <w:rPr>
                <w:sz w:val="8"/>
                <w:szCs w:val="8"/>
                <w:color w:val="231F20"/>
                <w:spacing w:val="10"/>
                <w:w w:val="121"/>
                <w:position w:val="5"/>
              </w:rPr>
              <w:t>*△</w:t>
            </w:r>
          </w:p>
        </w:tc>
        <w:tc>
          <w:tcPr>
            <w:tcW w:w="815" w:type="dxa"/>
            <w:vAlign w:val="top"/>
            <w:tcBorders>
              <w:top w:val="single" w:color="231F20" w:sz="2" w:space="0"/>
            </w:tcBorders>
          </w:tcPr>
          <w:p>
            <w:pPr>
              <w:pStyle w:val="TableText"/>
              <w:ind w:left="74"/>
              <w:spacing w:before="143" w:line="195" w:lineRule="auto"/>
              <w:rPr/>
            </w:pPr>
            <w:r>
              <w:rPr>
                <w:color w:val="231F20"/>
                <w:spacing w:val="-11"/>
              </w:rPr>
              <w:t>37.86±7.07</w:t>
            </w:r>
          </w:p>
        </w:tc>
        <w:tc>
          <w:tcPr>
            <w:tcW w:w="950" w:type="dxa"/>
            <w:vAlign w:val="top"/>
            <w:tcBorders>
              <w:top w:val="single" w:color="231F20" w:sz="2" w:space="0"/>
            </w:tcBorders>
          </w:tcPr>
          <w:p>
            <w:pPr>
              <w:pStyle w:val="TableText"/>
              <w:ind w:left="69"/>
              <w:spacing w:before="133" w:line="205" w:lineRule="auto"/>
              <w:rPr>
                <w:sz w:val="8"/>
                <w:szCs w:val="8"/>
              </w:rPr>
            </w:pPr>
            <w:r>
              <w:rPr>
                <w:color w:val="231F20"/>
                <w:spacing w:val="-12"/>
              </w:rPr>
              <w:t>73.83±9.11</w:t>
            </w:r>
            <w:r>
              <w:rPr>
                <w:sz w:val="8"/>
                <w:szCs w:val="8"/>
                <w:color w:val="231F20"/>
                <w:spacing w:val="10"/>
                <w:w w:val="113"/>
                <w:position w:val="5"/>
              </w:rPr>
              <w:t>*△</w:t>
            </w:r>
          </w:p>
        </w:tc>
      </w:tr>
      <w:tr>
        <w:trPr>
          <w:trHeight w:val="403" w:hRule="atLeast"/>
        </w:trPr>
        <w:tc>
          <w:tcPr>
            <w:tcW w:w="635" w:type="dxa"/>
            <w:vAlign w:val="top"/>
            <w:tcBorders>
              <w:bottom w:val="single" w:color="231F20" w:sz="6" w:space="0"/>
            </w:tcBorders>
          </w:tcPr>
          <w:p>
            <w:pPr>
              <w:pStyle w:val="TableText"/>
              <w:ind w:left="75"/>
              <w:spacing w:before="124" w:line="198" w:lineRule="auto"/>
              <w:rPr/>
            </w:pPr>
            <w:r>
              <w:rPr>
                <w:color w:val="231F20"/>
                <w:spacing w:val="8"/>
              </w:rPr>
              <w:t>对照组</w:t>
            </w:r>
          </w:p>
        </w:tc>
        <w:tc>
          <w:tcPr>
            <w:tcW w:w="350" w:type="dxa"/>
            <w:vAlign w:val="top"/>
            <w:tcBorders>
              <w:bottom w:val="single" w:color="231F20" w:sz="6" w:space="0"/>
            </w:tcBorders>
          </w:tcPr>
          <w:p>
            <w:pPr>
              <w:pStyle w:val="TableText"/>
              <w:ind w:left="95"/>
              <w:spacing w:before="154" w:line="200" w:lineRule="auto"/>
              <w:rPr/>
            </w:pPr>
            <w:r>
              <w:rPr>
                <w:color w:val="231F20"/>
                <w:spacing w:val="-6"/>
              </w:rPr>
              <w:t>57</w:t>
            </w:r>
          </w:p>
        </w:tc>
        <w:tc>
          <w:tcPr>
            <w:tcW w:w="849" w:type="dxa"/>
            <w:vAlign w:val="top"/>
            <w:tcBorders>
              <w:bottom w:val="single" w:color="231F20" w:sz="6" w:space="0"/>
            </w:tcBorders>
          </w:tcPr>
          <w:p>
            <w:pPr>
              <w:pStyle w:val="TableText"/>
              <w:ind w:left="83"/>
              <w:spacing w:before="154" w:line="200" w:lineRule="auto"/>
              <w:rPr/>
            </w:pPr>
            <w:r>
              <w:rPr>
                <w:color w:val="231F20"/>
                <w:spacing w:val="-9"/>
              </w:rPr>
              <w:t>17.90±3.93</w:t>
            </w:r>
          </w:p>
        </w:tc>
        <w:tc>
          <w:tcPr>
            <w:tcW w:w="892" w:type="dxa"/>
            <w:vAlign w:val="top"/>
            <w:tcBorders>
              <w:bottom w:val="single" w:color="231F20" w:sz="6" w:space="0"/>
            </w:tcBorders>
          </w:tcPr>
          <w:p>
            <w:pPr>
              <w:pStyle w:val="TableText"/>
              <w:ind w:left="69"/>
              <w:spacing w:before="143" w:line="210" w:lineRule="auto"/>
              <w:rPr>
                <w:sz w:val="8"/>
                <w:szCs w:val="8"/>
              </w:rPr>
            </w:pPr>
            <w:r>
              <w:rPr>
                <w:color w:val="231F20"/>
                <w:spacing w:val="-9"/>
              </w:rPr>
              <w:t>8.59±2.59</w:t>
            </w:r>
            <w:r>
              <w:rPr>
                <w:sz w:val="8"/>
                <w:szCs w:val="8"/>
                <w:color w:val="231F20"/>
                <w:spacing w:val="6"/>
                <w:w w:val="112"/>
                <w:position w:val="5"/>
              </w:rPr>
              <w:t>*</w:t>
            </w:r>
          </w:p>
        </w:tc>
        <w:tc>
          <w:tcPr>
            <w:tcW w:w="815" w:type="dxa"/>
            <w:vAlign w:val="top"/>
            <w:tcBorders>
              <w:bottom w:val="single" w:color="231F20" w:sz="6" w:space="0"/>
            </w:tcBorders>
          </w:tcPr>
          <w:p>
            <w:pPr>
              <w:pStyle w:val="TableText"/>
              <w:ind w:left="74"/>
              <w:spacing w:before="154" w:line="195" w:lineRule="auto"/>
              <w:rPr/>
            </w:pPr>
            <w:r>
              <w:rPr>
                <w:color w:val="231F20"/>
                <w:spacing w:val="-11"/>
              </w:rPr>
              <w:t>37.69±6.11</w:t>
            </w:r>
          </w:p>
        </w:tc>
        <w:tc>
          <w:tcPr>
            <w:tcW w:w="950" w:type="dxa"/>
            <w:vAlign w:val="top"/>
            <w:tcBorders>
              <w:bottom w:val="single" w:color="231F20" w:sz="6" w:space="0"/>
            </w:tcBorders>
          </w:tcPr>
          <w:p>
            <w:pPr>
              <w:pStyle w:val="TableText"/>
              <w:ind w:left="71"/>
              <w:spacing w:before="143" w:line="210" w:lineRule="auto"/>
              <w:rPr>
                <w:sz w:val="8"/>
                <w:szCs w:val="8"/>
              </w:rPr>
            </w:pPr>
            <w:r>
              <w:rPr>
                <w:color w:val="231F20"/>
                <w:spacing w:val="-9"/>
              </w:rPr>
              <w:t>53.73±8.23</w:t>
            </w:r>
            <w:r>
              <w:rPr>
                <w:sz w:val="8"/>
                <w:szCs w:val="8"/>
                <w:color w:val="231F20"/>
                <w:spacing w:val="5"/>
                <w:w w:val="127"/>
                <w:position w:val="5"/>
              </w:rPr>
              <w:t>*</w:t>
            </w:r>
          </w:p>
        </w:tc>
      </w:tr>
    </w:tbl>
    <w:p>
      <w:pPr>
        <w:pStyle w:val="BodyText"/>
        <w:ind w:left="845"/>
        <w:spacing w:before="208" w:line="211" w:lineRule="auto"/>
        <w:rPr>
          <w:sz w:val="15"/>
          <w:szCs w:val="15"/>
        </w:rPr>
      </w:pPr>
      <w:r>
        <w:rPr>
          <w:sz w:val="15"/>
          <w:szCs w:val="15"/>
          <w:color w:val="231F20"/>
          <w:spacing w:val="-6"/>
        </w:rPr>
        <w:t>注：与治疗前比较，* 表示 P＜0.05；与对照组</w:t>
      </w:r>
      <w:r>
        <w:rPr>
          <w:sz w:val="15"/>
          <w:szCs w:val="15"/>
          <w:color w:val="231F20"/>
          <w:spacing w:val="-7"/>
        </w:rPr>
        <w:t>比较，△表示 P＜0.05。</w:t>
      </w:r>
    </w:p>
    <w:p>
      <w:pPr>
        <w:pStyle w:val="BodyText"/>
        <w:ind w:left="845"/>
        <w:spacing w:before="48" w:line="202" w:lineRule="auto"/>
        <w:rPr/>
      </w:pPr>
      <w:r>
        <w:rPr>
          <w:color w:val="231F20"/>
          <w:spacing w:val="-6"/>
        </w:rPr>
        <w:t>3</w:t>
      </w:r>
      <w:r>
        <w:rPr>
          <w:color w:val="231F20"/>
          <w:spacing w:val="11"/>
        </w:rPr>
        <w:t xml:space="preserve">  </w:t>
      </w:r>
      <w:r>
        <w:rPr>
          <w:color w:val="231F20"/>
          <w:spacing w:val="-6"/>
        </w:rPr>
        <w:t>讨</w:t>
      </w:r>
      <w:r>
        <w:rPr>
          <w:color w:val="231F20"/>
          <w:spacing w:val="13"/>
        </w:rPr>
        <w:t xml:space="preserve">  </w:t>
      </w:r>
      <w:r>
        <w:rPr>
          <w:color w:val="231F20"/>
          <w:spacing w:val="-6"/>
        </w:rPr>
        <w:t>论</w:t>
      </w:r>
    </w:p>
    <w:p>
      <w:pPr>
        <w:pStyle w:val="BodyText"/>
        <w:ind w:left="839" w:right="223" w:firstLine="364"/>
        <w:spacing w:before="40" w:line="234" w:lineRule="auto"/>
        <w:jc w:val="both"/>
        <w:rPr/>
      </w:pPr>
      <w:r>
        <w:rPr>
          <w:color w:val="231F20"/>
          <w:spacing w:val="7"/>
        </w:rPr>
        <w:t>近几年人口老龄化</w:t>
      </w:r>
      <w:r>
        <w:rPr>
          <w:color w:val="231F20"/>
          <w:spacing w:val="-5"/>
        </w:rPr>
        <w:t xml:space="preserve"> </w:t>
      </w:r>
      <w:r>
        <w:rPr>
          <w:color w:val="231F20"/>
          <w:spacing w:val="7"/>
        </w:rPr>
        <w:t>，使得缺血性脑卒中的发生率不断</w:t>
      </w:r>
      <w:r>
        <w:rPr>
          <w:color w:val="231F20"/>
        </w:rPr>
        <w:t xml:space="preserve">  </w:t>
      </w:r>
      <w:r>
        <w:rPr>
          <w:color w:val="231F20"/>
          <w:spacing w:val="2"/>
        </w:rPr>
        <w:t>提高，针对此类患者，若临床治疗不及时，会给生活质量带</w:t>
      </w:r>
      <w:r>
        <w:rPr>
          <w:color w:val="231F20"/>
          <w:spacing w:val="4"/>
        </w:rPr>
        <w:t xml:space="preserve">  </w:t>
      </w:r>
      <w:r>
        <w:rPr>
          <w:color w:val="231F20"/>
          <w:spacing w:val="-2"/>
        </w:rPr>
        <w:t>来严重影响，病情严重者，还会对其生命安全构成</w:t>
      </w:r>
      <w:r>
        <w:rPr>
          <w:color w:val="231F20"/>
          <w:spacing w:val="-3"/>
        </w:rPr>
        <w:t>威胁</w:t>
      </w:r>
      <w:r>
        <w:rPr>
          <w:sz w:val="10"/>
          <w:szCs w:val="10"/>
          <w:color w:val="231F20"/>
          <w:spacing w:val="-3"/>
          <w:position w:val="6"/>
        </w:rPr>
        <w:t>[4]</w:t>
      </w:r>
      <w:r>
        <w:rPr>
          <w:color w:val="231F20"/>
          <w:spacing w:val="-3"/>
        </w:rPr>
        <w:t>。蒙</w:t>
      </w:r>
      <w:r>
        <w:rPr>
          <w:color w:val="231F20"/>
        </w:rPr>
        <w:t xml:space="preserve">  </w:t>
      </w:r>
      <w:r>
        <w:rPr>
          <w:color w:val="231F20"/>
          <w:spacing w:val="8"/>
        </w:rPr>
        <w:t>药具有多个作用靶点</w:t>
      </w:r>
      <w:r>
        <w:rPr>
          <w:color w:val="231F20"/>
          <w:spacing w:val="-20"/>
        </w:rPr>
        <w:t xml:space="preserve"> </w:t>
      </w:r>
      <w:r>
        <w:rPr>
          <w:color w:val="231F20"/>
          <w:spacing w:val="8"/>
        </w:rPr>
        <w:t>，参与调控多个环节，改善脑血液循</w:t>
      </w:r>
      <w:r>
        <w:rPr>
          <w:color w:val="231F20"/>
        </w:rPr>
        <w:t xml:space="preserve">  </w:t>
      </w:r>
      <w:r>
        <w:rPr>
          <w:color w:val="231F20"/>
          <w:spacing w:val="-4"/>
        </w:rPr>
        <w:t>环、减轻脑损害、保护神经元、调节神经信号通路。蒙西</w:t>
      </w:r>
      <w:r>
        <w:rPr>
          <w:color w:val="231F20"/>
          <w:spacing w:val="-5"/>
        </w:rPr>
        <w:t>医结</w:t>
      </w:r>
      <w:r>
        <w:rPr>
          <w:color w:val="231F20"/>
        </w:rPr>
        <w:t xml:space="preserve">  </w:t>
      </w:r>
      <w:r>
        <w:rPr>
          <w:color w:val="231F20"/>
          <w:spacing w:val="4"/>
        </w:rPr>
        <w:t>合治疗为目前较公认的治疗方式，在行西药疗法的基础上，</w:t>
      </w:r>
      <w:r>
        <w:rPr>
          <w:color w:val="231F20"/>
          <w:spacing w:val="10"/>
        </w:rPr>
        <w:t xml:space="preserve"> </w:t>
      </w:r>
      <w:r>
        <w:rPr>
          <w:color w:val="231F20"/>
          <w:spacing w:val="2"/>
        </w:rPr>
        <w:t>加用蒙药疗法进行辅助治疗，将共同的优势发挥出来，相辅</w:t>
      </w:r>
      <w:r>
        <w:rPr>
          <w:color w:val="231F20"/>
          <w:spacing w:val="4"/>
        </w:rPr>
        <w:t xml:space="preserve">  </w:t>
      </w:r>
      <w:r>
        <w:rPr>
          <w:color w:val="231F20"/>
          <w:spacing w:val="2"/>
        </w:rPr>
        <w:t>相成，不但能改善脑组织供血情况，还能对血液循环起到一</w:t>
      </w:r>
    </w:p>
    <w:p>
      <w:pPr>
        <w:spacing w:line="14" w:lineRule="auto"/>
        <w:rPr>
          <w:rFonts w:ascii="Arial"/>
          <w:sz w:val="2"/>
        </w:rPr>
      </w:pPr>
      <w:r>
        <w:rPr>
          <w:rFonts w:ascii="Arial" w:hAnsi="Arial" w:eastAsia="Arial" w:cs="Arial"/>
          <w:sz w:val="2"/>
          <w:szCs w:val="2"/>
        </w:rPr>
        <w:br w:type="column"/>
      </w:r>
    </w:p>
    <w:p>
      <w:pPr>
        <w:pStyle w:val="BodyText"/>
        <w:ind w:left="72" w:right="64"/>
        <w:spacing w:before="37" w:line="234" w:lineRule="auto"/>
        <w:jc w:val="both"/>
        <w:rPr/>
      </w:pPr>
      <w:r>
        <w:rPr>
          <w:color w:val="231F20"/>
          <w:spacing w:val="1"/>
        </w:rPr>
        <w:t>定的推动作用，促进机体康复</w:t>
      </w:r>
      <w:r>
        <w:rPr>
          <w:color w:val="231F20"/>
          <w:spacing w:val="-18"/>
        </w:rPr>
        <w:t xml:space="preserve"> </w:t>
      </w:r>
      <w:r>
        <w:rPr>
          <w:color w:val="231F20"/>
          <w:spacing w:val="1"/>
        </w:rPr>
        <w:t>。本研究结果表明，治疗组总</w:t>
      </w:r>
      <w:r>
        <w:rPr>
          <w:color w:val="231F20"/>
        </w:rPr>
        <w:t xml:space="preserve"> </w:t>
      </w:r>
      <w:r>
        <w:rPr>
          <w:color w:val="231F20"/>
          <w:spacing w:val="-10"/>
        </w:rPr>
        <w:t>有效率（94.74%）高于对照组（80.70%</w:t>
      </w:r>
      <w:r>
        <w:rPr>
          <w:color w:val="231F20"/>
          <w:spacing w:val="-22"/>
          <w:w w:val="63"/>
        </w:rPr>
        <w:t>）（</w:t>
      </w:r>
      <w:r>
        <w:rPr>
          <w:color w:val="231F20"/>
          <w:spacing w:val="-10"/>
        </w:rPr>
        <w:t>P&lt;0.05</w:t>
      </w:r>
      <w:r>
        <w:rPr>
          <w:color w:val="231F20"/>
          <w:spacing w:val="-22"/>
          <w:w w:val="63"/>
        </w:rPr>
        <w:t>）；</w:t>
      </w:r>
      <w:r>
        <w:rPr>
          <w:color w:val="231F20"/>
          <w:spacing w:val="-10"/>
        </w:rPr>
        <w:t>治疗后，两</w:t>
      </w:r>
      <w:r>
        <w:rPr>
          <w:color w:val="231F20"/>
          <w:spacing w:val="6"/>
        </w:rPr>
        <w:t xml:space="preserve"> </w:t>
      </w:r>
      <w:r>
        <w:rPr>
          <w:color w:val="231F20"/>
          <w:spacing w:val="-1"/>
        </w:rPr>
        <w:t>组 NIHSS 评分显著低于治疗前（P＜0.05）、ADL 评分显著</w:t>
      </w:r>
    </w:p>
    <w:p>
      <w:pPr>
        <w:pStyle w:val="BodyText"/>
        <w:ind w:right="64" w:firstLine="76"/>
        <w:spacing w:before="3" w:line="235" w:lineRule="auto"/>
        <w:jc w:val="both"/>
        <w:rPr/>
      </w:pPr>
      <w:r>
        <w:rPr>
          <w:color w:val="231F20"/>
          <w:spacing w:val="7"/>
        </w:rPr>
        <w:t>高于治疗前（P＜0.05</w:t>
      </w:r>
      <w:r>
        <w:rPr>
          <w:color w:val="231F20"/>
          <w:spacing w:val="-28"/>
        </w:rPr>
        <w:t>），</w:t>
      </w:r>
      <w:r>
        <w:rPr>
          <w:color w:val="231F20"/>
          <w:spacing w:val="7"/>
        </w:rPr>
        <w:t>且治疗组改善程度</w:t>
      </w:r>
      <w:r>
        <w:rPr>
          <w:color w:val="231F20"/>
          <w:spacing w:val="6"/>
        </w:rPr>
        <w:t>比对照组显著</w:t>
      </w:r>
      <w:r>
        <w:rPr>
          <w:color w:val="231F20"/>
          <w:spacing w:val="1"/>
        </w:rPr>
        <w:t xml:space="preserve"> </w:t>
      </w:r>
      <w:r>
        <w:rPr>
          <w:color w:val="231F20"/>
          <w:spacing w:val="-5"/>
        </w:rPr>
        <w:t>（P＜0.05）。由此可见，对缺血性脑卒中应用蒙西医结合治疗</w:t>
      </w:r>
      <w:r>
        <w:rPr>
          <w:color w:val="231F20"/>
          <w:spacing w:val="7"/>
        </w:rPr>
        <w:t xml:space="preserve"> </w:t>
      </w:r>
      <w:r>
        <w:rPr>
          <w:color w:val="231F20"/>
          <w:spacing w:val="5"/>
        </w:rPr>
        <w:t>有助于改善神经功能缺损情况，提高日常生活能力，安全性</w:t>
      </w:r>
      <w:r>
        <w:rPr>
          <w:color w:val="231F20"/>
          <w:spacing w:val="1"/>
        </w:rPr>
        <w:t xml:space="preserve"> </w:t>
      </w:r>
      <w:r>
        <w:rPr>
          <w:color w:val="231F20"/>
          <w:spacing w:val="4"/>
        </w:rPr>
        <w:t>高，值得推广。</w:t>
      </w:r>
    </w:p>
    <w:p>
      <w:pPr>
        <w:pStyle w:val="BodyText"/>
        <w:ind w:left="433"/>
        <w:spacing w:before="1" w:line="185" w:lineRule="auto"/>
        <w:rPr/>
      </w:pPr>
      <w:r>
        <w:rPr>
          <w:color w:val="231F20"/>
          <w:spacing w:val="6"/>
        </w:rPr>
        <w:t>参考文献</w:t>
      </w:r>
    </w:p>
    <w:p>
      <w:pPr>
        <w:pStyle w:val="BodyText"/>
        <w:ind w:left="289" w:right="64" w:hanging="211"/>
        <w:spacing w:before="54" w:line="216" w:lineRule="auto"/>
        <w:rPr/>
      </w:pPr>
      <w:r>
        <w:rPr>
          <w:color w:val="231F20"/>
          <w:spacing w:val="7"/>
        </w:rPr>
        <w:t>[1]孙隆.</w:t>
      </w:r>
      <w:r>
        <w:rPr>
          <w:color w:val="231F20"/>
          <w:spacing w:val="-4"/>
        </w:rPr>
        <w:t xml:space="preserve"> </w:t>
      </w:r>
      <w:r>
        <w:rPr>
          <w:color w:val="231F20"/>
          <w:spacing w:val="7"/>
        </w:rPr>
        <w:t>中西医结合治疗急性缺血性脑卒中的临床研究[J].</w:t>
      </w:r>
      <w:r>
        <w:rPr>
          <w:color w:val="231F20"/>
        </w:rPr>
        <w:t xml:space="preserve"> </w:t>
      </w:r>
      <w:r>
        <w:rPr>
          <w:color w:val="231F20"/>
          <w:spacing w:val="-11"/>
        </w:rPr>
        <w:t>中国中医药现代远程教育，2018，16（19</w:t>
      </w:r>
      <w:r>
        <w:rPr>
          <w:color w:val="231F20"/>
          <w:spacing w:val="-40"/>
          <w:w w:val="85"/>
        </w:rPr>
        <w:t>）：</w:t>
      </w:r>
      <w:r>
        <w:rPr>
          <w:color w:val="231F20"/>
          <w:spacing w:val="-11"/>
        </w:rPr>
        <w:t>116-117.</w:t>
      </w:r>
    </w:p>
    <w:p>
      <w:pPr>
        <w:pStyle w:val="BodyText"/>
        <w:ind w:left="266" w:right="64" w:hanging="188"/>
        <w:spacing w:before="43" w:line="222" w:lineRule="auto"/>
        <w:rPr/>
      </w:pPr>
      <w:r>
        <w:rPr>
          <w:color w:val="231F20"/>
          <w:spacing w:val="6"/>
        </w:rPr>
        <w:t>[2]中华医学会神经病学分会，中华医学会神经病学分会脑</w:t>
      </w:r>
      <w:r>
        <w:rPr>
          <w:color w:val="231F20"/>
          <w:spacing w:val="18"/>
        </w:rPr>
        <w:t xml:space="preserve"> </w:t>
      </w:r>
      <w:r>
        <w:rPr>
          <w:color w:val="231F20"/>
          <w:spacing w:val="3"/>
        </w:rPr>
        <w:t>血管病学组.</w:t>
      </w:r>
      <w:r>
        <w:rPr>
          <w:color w:val="231F20"/>
          <w:spacing w:val="-3"/>
        </w:rPr>
        <w:t xml:space="preserve"> </w:t>
      </w:r>
      <w:r>
        <w:rPr>
          <w:color w:val="231F20"/>
          <w:spacing w:val="3"/>
        </w:rPr>
        <w:t>中国急性缺血性脑卒中诊治指南 2014[J].</w:t>
      </w:r>
      <w:r>
        <w:rPr>
          <w:color w:val="231F20"/>
          <w:spacing w:val="-16"/>
        </w:rPr>
        <w:t xml:space="preserve"> </w:t>
      </w:r>
      <w:r>
        <w:rPr>
          <w:color w:val="231F20"/>
          <w:spacing w:val="3"/>
        </w:rPr>
        <w:t>中</w:t>
      </w:r>
      <w:r>
        <w:rPr>
          <w:color w:val="231F20"/>
        </w:rPr>
        <w:t xml:space="preserve"> </w:t>
      </w:r>
      <w:r>
        <w:rPr>
          <w:color w:val="231F20"/>
          <w:spacing w:val="-11"/>
        </w:rPr>
        <w:t>华神经科杂志，2015，48（4</w:t>
      </w:r>
      <w:r>
        <w:rPr>
          <w:color w:val="231F20"/>
          <w:spacing w:val="-27"/>
          <w:w w:val="58"/>
        </w:rPr>
        <w:t>）：</w:t>
      </w:r>
      <w:r>
        <w:rPr>
          <w:color w:val="231F20"/>
          <w:spacing w:val="-11"/>
        </w:rPr>
        <w:t>246-2</w:t>
      </w:r>
      <w:r>
        <w:rPr>
          <w:color w:val="231F20"/>
          <w:spacing w:val="-12"/>
        </w:rPr>
        <w:t>57.</w:t>
      </w:r>
    </w:p>
    <w:p>
      <w:pPr>
        <w:pStyle w:val="BodyText"/>
        <w:ind w:left="261" w:right="64" w:hanging="183"/>
        <w:spacing w:before="44" w:line="218" w:lineRule="auto"/>
        <w:rPr/>
      </w:pPr>
      <w:r>
        <w:rPr>
          <w:color w:val="231F20"/>
          <w:spacing w:val="3"/>
        </w:rPr>
        <w:t>[3]白清云.</w:t>
      </w:r>
      <w:r>
        <w:rPr>
          <w:color w:val="231F20"/>
          <w:spacing w:val="-19"/>
        </w:rPr>
        <w:t xml:space="preserve"> </w:t>
      </w:r>
      <w:r>
        <w:rPr>
          <w:color w:val="231F20"/>
          <w:spacing w:val="3"/>
        </w:rPr>
        <w:t>中国医学百科全书·蒙医学[M].</w:t>
      </w:r>
      <w:r>
        <w:rPr>
          <w:color w:val="231F20"/>
          <w:spacing w:val="2"/>
        </w:rPr>
        <w:t>赤峰：内蒙古科学</w:t>
      </w:r>
      <w:r>
        <w:rPr>
          <w:color w:val="231F20"/>
        </w:rPr>
        <w:t xml:space="preserve"> </w:t>
      </w:r>
      <w:r>
        <w:rPr>
          <w:color w:val="231F20"/>
          <w:spacing w:val="-11"/>
        </w:rPr>
        <w:t>技术出版社，1987：187-189．</w:t>
      </w:r>
    </w:p>
    <w:p>
      <w:pPr>
        <w:pStyle w:val="BodyText"/>
        <w:ind w:left="278" w:right="64" w:hanging="200"/>
        <w:spacing w:before="36" w:line="216" w:lineRule="auto"/>
        <w:rPr/>
      </w:pPr>
      <w:r>
        <w:rPr>
          <w:color w:val="231F20"/>
          <w:spacing w:val="12"/>
        </w:rPr>
        <w:t>[4]赵耀</w:t>
      </w:r>
      <w:r>
        <w:rPr>
          <w:color w:val="231F20"/>
          <w:spacing w:val="-13"/>
        </w:rPr>
        <w:t xml:space="preserve"> </w:t>
      </w:r>
      <w:r>
        <w:rPr>
          <w:color w:val="231F20"/>
          <w:spacing w:val="12"/>
        </w:rPr>
        <w:t>.</w:t>
      </w:r>
      <w:r>
        <w:rPr>
          <w:color w:val="231F20"/>
          <w:spacing w:val="-9"/>
        </w:rPr>
        <w:t xml:space="preserve"> </w:t>
      </w:r>
      <w:r>
        <w:rPr>
          <w:color w:val="231F20"/>
          <w:spacing w:val="12"/>
        </w:rPr>
        <w:t>中西医药物治疗缺血性脑血管病的效果观察[J].</w:t>
      </w:r>
      <w:r>
        <w:rPr>
          <w:color w:val="231F20"/>
        </w:rPr>
        <w:t xml:space="preserve"> </w:t>
      </w:r>
      <w:r>
        <w:rPr>
          <w:color w:val="231F20"/>
          <w:spacing w:val="-12"/>
        </w:rPr>
        <w:t>临床合理用药，2018，11（12</w:t>
      </w:r>
      <w:r>
        <w:rPr>
          <w:color w:val="231F20"/>
          <w:spacing w:val="-29"/>
          <w:w w:val="62"/>
        </w:rPr>
        <w:t>）：</w:t>
      </w:r>
      <w:r>
        <w:rPr>
          <w:color w:val="231F20"/>
          <w:spacing w:val="-12"/>
        </w:rPr>
        <w:t>51-52.</w:t>
      </w:r>
    </w:p>
    <w:p>
      <w:pPr>
        <w:spacing w:line="255" w:lineRule="auto"/>
        <w:rPr>
          <w:rFonts w:ascii="Arial"/>
          <w:sz w:val="21"/>
        </w:rPr>
      </w:pPr>
      <w:r>
        <w:drawing>
          <wp:anchor distT="0" distB="0" distL="0" distR="0" simplePos="0" relativeHeight="251658240" behindDoc="0" locked="0" layoutInCell="1" allowOverlap="1">
            <wp:simplePos x="0" y="0"/>
            <wp:positionH relativeFrom="column">
              <wp:posOffset>44062</wp:posOffset>
            </wp:positionH>
            <wp:positionV relativeFrom="paragraph">
              <wp:posOffset>82025</wp:posOffset>
            </wp:positionV>
            <wp:extent cx="679800"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79800" cy="6350"/>
                    </a:xfrm>
                    <a:prstGeom prst="rect">
                      <a:avLst/>
                    </a:prstGeom>
                  </pic:spPr>
                </pic:pic>
              </a:graphicData>
            </a:graphic>
          </wp:anchor>
        </w:drawing>
      </w:r>
      <w:r/>
    </w:p>
    <w:p>
      <w:pPr>
        <w:pStyle w:val="BodyText"/>
        <w:ind w:left="431"/>
        <w:spacing w:before="73" w:line="201" w:lineRule="auto"/>
        <w:rPr/>
      </w:pPr>
      <w:r>
        <w:rPr>
          <w:color w:val="231F20"/>
          <w:spacing w:val="-8"/>
        </w:rPr>
        <w:t>2020 年 9</w:t>
      </w:r>
      <w:r>
        <w:rPr>
          <w:color w:val="231F20"/>
          <w:spacing w:val="20"/>
          <w:w w:val="101"/>
        </w:rPr>
        <w:t xml:space="preserve"> </w:t>
      </w:r>
      <w:r>
        <w:rPr>
          <w:color w:val="231F20"/>
          <w:spacing w:val="-8"/>
        </w:rPr>
        <w:t>月 28  日收稿</w:t>
      </w:r>
    </w:p>
    <w:p>
      <w:pPr>
        <w:spacing w:line="201" w:lineRule="auto"/>
        <w:sectPr>
          <w:type w:val="continuous"/>
          <w:pgSz w:w="11905" w:h="16156"/>
          <w:pgMar w:top="1230" w:right="1181" w:bottom="0" w:left="407" w:header="908" w:footer="0" w:gutter="0"/>
          <w:cols w:equalWidth="0" w:num="2">
            <w:col w:w="5599" w:space="100"/>
            <w:col w:w="4617" w:space="0"/>
          </w:cols>
        </w:sectPr>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337"/>
        <w:spacing w:before="116" w:line="187" w:lineRule="auto"/>
        <w:outlineLvl w:val="0"/>
        <w:rPr>
          <w:sz w:val="27"/>
          <w:szCs w:val="27"/>
        </w:rPr>
      </w:pPr>
      <w:r>
        <w:rPr>
          <w:sz w:val="27"/>
          <w:szCs w:val="27"/>
          <w:color w:val="231F20"/>
          <w:spacing w:val="9"/>
        </w:rPr>
        <w:t>壮药花红胶囊联合抗生素治疗急性盆腔炎的临床效果</w:t>
      </w:r>
    </w:p>
    <w:p>
      <w:pPr>
        <w:spacing w:line="274" w:lineRule="auto"/>
        <w:rPr>
          <w:rFonts w:ascii="Arial"/>
          <w:sz w:val="21"/>
        </w:rPr>
      </w:pPr>
      <w:r/>
    </w:p>
    <w:p>
      <w:pPr>
        <w:spacing w:line="275" w:lineRule="auto"/>
        <w:rPr>
          <w:rFonts w:ascii="Arial"/>
          <w:sz w:val="21"/>
        </w:rPr>
      </w:pPr>
      <w:r/>
    </w:p>
    <w:p>
      <w:pPr>
        <w:pStyle w:val="BodyText"/>
        <w:ind w:left="5268"/>
        <w:spacing w:before="73" w:line="192" w:lineRule="auto"/>
        <w:rPr/>
      </w:pPr>
      <w:r>
        <w:rPr>
          <w:color w:val="231F20"/>
          <w:spacing w:val="16"/>
        </w:rPr>
        <w:t>李明明</w:t>
      </w:r>
    </w:p>
    <w:p>
      <w:pPr>
        <w:pStyle w:val="BodyText"/>
        <w:ind w:left="3728"/>
        <w:spacing w:before="62" w:line="197" w:lineRule="auto"/>
        <w:rPr/>
      </w:pPr>
      <w:r>
        <w:rPr>
          <w:color w:val="231F20"/>
          <w:spacing w:val="-1"/>
        </w:rPr>
        <w:t>（郑州市第九人民医院，河南</w:t>
      </w:r>
      <w:r>
        <w:rPr>
          <w:color w:val="231F20"/>
          <w:spacing w:val="24"/>
          <w:w w:val="101"/>
        </w:rPr>
        <w:t xml:space="preserve">  </w:t>
      </w:r>
      <w:r>
        <w:rPr>
          <w:color w:val="231F20"/>
          <w:spacing w:val="-1"/>
        </w:rPr>
        <w:t>郑州</w:t>
      </w:r>
      <w:r>
        <w:rPr>
          <w:color w:val="231F20"/>
          <w:spacing w:val="12"/>
          <w:w w:val="101"/>
        </w:rPr>
        <w:t xml:space="preserve">  </w:t>
      </w:r>
      <w:r>
        <w:rPr>
          <w:color w:val="231F20"/>
          <w:spacing w:val="-1"/>
        </w:rPr>
        <w:t>450003）</w:t>
      </w:r>
    </w:p>
    <w:p>
      <w:pPr>
        <w:spacing w:line="271" w:lineRule="auto"/>
        <w:rPr>
          <w:rFonts w:ascii="Arial"/>
          <w:sz w:val="21"/>
        </w:rPr>
      </w:pPr>
      <w:r/>
    </w:p>
    <w:p>
      <w:pPr>
        <w:spacing w:line="272" w:lineRule="auto"/>
        <w:rPr>
          <w:rFonts w:ascii="Arial"/>
          <w:sz w:val="21"/>
        </w:rPr>
      </w:pPr>
      <w:r/>
    </w:p>
    <w:p>
      <w:pPr>
        <w:pStyle w:val="BodyText"/>
        <w:ind w:left="843" w:firstLine="357"/>
        <w:spacing w:before="73" w:line="229" w:lineRule="auto"/>
        <w:jc w:val="both"/>
        <w:rPr/>
      </w:pPr>
      <w:r>
        <w:rPr>
          <w:color w:val="231F20"/>
          <w:spacing w:val="6"/>
        </w:rPr>
        <w:t>摘</w:t>
      </w:r>
      <w:r>
        <w:rPr>
          <w:color w:val="231F20"/>
        </w:rPr>
        <w:t xml:space="preserve">    </w:t>
      </w:r>
      <w:r>
        <w:rPr>
          <w:color w:val="231F20"/>
          <w:spacing w:val="6"/>
        </w:rPr>
        <w:t>要：</w:t>
      </w:r>
      <w:r>
        <w:rPr>
          <w:color w:val="066792"/>
          <w:spacing w:val="6"/>
        </w:rPr>
        <w:t>目</w:t>
      </w:r>
      <w:r>
        <w:rPr>
          <w:color w:val="066792"/>
          <w:spacing w:val="-30"/>
        </w:rPr>
        <w:t xml:space="preserve"> </w:t>
      </w:r>
      <w:r>
        <w:rPr>
          <w:color w:val="066792"/>
          <w:spacing w:val="6"/>
        </w:rPr>
        <w:t>的</w:t>
      </w:r>
      <w:r>
        <w:rPr>
          <w:color w:val="231F20"/>
          <w:spacing w:val="6"/>
        </w:rPr>
        <w:t>：观察壮药花红胶囊联合抗生素治疗急性盆腔炎的临床效果</w:t>
      </w:r>
      <w:r>
        <w:rPr>
          <w:color w:val="231F20"/>
          <w:spacing w:val="-22"/>
        </w:rPr>
        <w:t xml:space="preserve"> </w:t>
      </w:r>
      <w:r>
        <w:rPr>
          <w:color w:val="231F20"/>
          <w:spacing w:val="6"/>
        </w:rPr>
        <w:t>。</w:t>
      </w:r>
      <w:r>
        <w:rPr>
          <w:color w:val="066792"/>
          <w:spacing w:val="6"/>
        </w:rPr>
        <w:t>方法</w:t>
      </w:r>
      <w:r>
        <w:rPr>
          <w:color w:val="231F20"/>
          <w:spacing w:val="6"/>
        </w:rPr>
        <w:t>：选取2</w:t>
      </w:r>
      <w:r>
        <w:rPr>
          <w:color w:val="231F20"/>
          <w:spacing w:val="5"/>
        </w:rPr>
        <w:t>018年3月—2020年2月我院</w:t>
      </w:r>
      <w:r>
        <w:rPr>
          <w:color w:val="231F20"/>
        </w:rPr>
        <w:t xml:space="preserve">  </w:t>
      </w:r>
      <w:r>
        <w:rPr>
          <w:color w:val="231F20"/>
          <w:spacing w:val="10"/>
        </w:rPr>
        <w:t>收治的80例急性盆腔炎的患者，按照不同的治疗方法分为对照组和观察组，每组40例</w:t>
      </w:r>
      <w:r>
        <w:rPr>
          <w:color w:val="231F20"/>
          <w:spacing w:val="-19"/>
        </w:rPr>
        <w:t xml:space="preserve"> </w:t>
      </w:r>
      <w:r>
        <w:rPr>
          <w:color w:val="231F20"/>
          <w:spacing w:val="10"/>
        </w:rPr>
        <w:t>。对照组使用单一的抗生素治疗，</w:t>
      </w:r>
      <w:r>
        <w:rPr>
          <w:color w:val="231F20"/>
        </w:rPr>
        <w:t xml:space="preserve"> </w:t>
      </w:r>
      <w:r>
        <w:rPr>
          <w:color w:val="231F20"/>
          <w:spacing w:val="10"/>
        </w:rPr>
        <w:t>观察组在对照组基础上采取花红胶囊进行治疗，在两组接受治疗后分析临床疗效</w:t>
      </w:r>
      <w:r>
        <w:rPr>
          <w:color w:val="231F20"/>
          <w:spacing w:val="-4"/>
        </w:rPr>
        <w:t xml:space="preserve"> </w:t>
      </w:r>
      <w:r>
        <w:rPr>
          <w:color w:val="231F20"/>
          <w:spacing w:val="10"/>
        </w:rPr>
        <w:t>。</w:t>
      </w:r>
      <w:r>
        <w:rPr>
          <w:color w:val="066792"/>
          <w:spacing w:val="10"/>
        </w:rPr>
        <w:t>结果</w:t>
      </w:r>
      <w:r>
        <w:rPr>
          <w:color w:val="231F20"/>
          <w:spacing w:val="10"/>
        </w:rPr>
        <w:t>：两组治疗结束后，经过数据对</w:t>
      </w:r>
      <w:r>
        <w:rPr>
          <w:color w:val="231F20"/>
        </w:rPr>
        <w:t xml:space="preserve">  </w:t>
      </w:r>
      <w:r>
        <w:rPr>
          <w:color w:val="231F20"/>
          <w:spacing w:val="3"/>
        </w:rPr>
        <w:t>比分析，观察组盆腔积液深度和盆腔炎性包块平均直径以及中医症候评分平均优于对照组，差异有统计学意义（P＜0.05）。</w:t>
      </w:r>
      <w:r>
        <w:rPr>
          <w:color w:val="231F20"/>
          <w:spacing w:val="15"/>
          <w:w w:val="101"/>
        </w:rPr>
        <w:t xml:space="preserve"> </w:t>
      </w:r>
      <w:r>
        <w:rPr>
          <w:color w:val="231F20"/>
          <w:spacing w:val="2"/>
        </w:rPr>
        <w:t>观察组治疗有效率为92.50%（37/40</w:t>
      </w:r>
      <w:r>
        <w:rPr>
          <w:color w:val="231F20"/>
          <w:spacing w:val="-36"/>
          <w:w w:val="88"/>
        </w:rPr>
        <w:t>），</w:t>
      </w:r>
      <w:r>
        <w:rPr>
          <w:color w:val="231F20"/>
          <w:spacing w:val="2"/>
        </w:rPr>
        <w:t>对照</w:t>
      </w:r>
      <w:r>
        <w:rPr>
          <w:color w:val="231F20"/>
          <w:spacing w:val="1"/>
        </w:rPr>
        <w:t>组治疗有效率为60.00%（24/40</w:t>
      </w:r>
      <w:r>
        <w:rPr>
          <w:color w:val="231F20"/>
          <w:spacing w:val="-36"/>
          <w:w w:val="88"/>
        </w:rPr>
        <w:t>），</w:t>
      </w:r>
      <w:r>
        <w:rPr>
          <w:color w:val="231F20"/>
          <w:spacing w:val="1"/>
        </w:rPr>
        <w:t>差异有统计学意义（P＜0.05）。</w:t>
      </w:r>
      <w:r>
        <w:rPr>
          <w:color w:val="066792"/>
          <w:spacing w:val="1"/>
        </w:rPr>
        <w:t>结论</w:t>
      </w:r>
      <w:r>
        <w:rPr>
          <w:color w:val="231F20"/>
          <w:spacing w:val="1"/>
        </w:rPr>
        <w:t>：壮药</w:t>
      </w:r>
      <w:r>
        <w:rPr>
          <w:color w:val="231F20"/>
          <w:spacing w:val="3"/>
        </w:rPr>
        <w:t xml:space="preserve">  </w:t>
      </w:r>
      <w:r>
        <w:rPr>
          <w:color w:val="231F20"/>
          <w:spacing w:val="15"/>
        </w:rPr>
        <w:t>花红胶囊联合抗生素治疗急性盆腔炎效果显著，能</w:t>
      </w:r>
      <w:r>
        <w:rPr>
          <w:color w:val="231F20"/>
          <w:spacing w:val="14"/>
        </w:rPr>
        <w:t>够提高治疗有效率，明确减少盆腔积液，缩小盆腔炎性包块平均直</w:t>
      </w:r>
      <w:r>
        <w:rPr>
          <w:color w:val="231F20"/>
        </w:rPr>
        <w:t xml:space="preserve">  </w:t>
      </w:r>
      <w:r>
        <w:rPr>
          <w:color w:val="231F20"/>
          <w:spacing w:val="4"/>
        </w:rPr>
        <w:t>径，有效促进早日康复，值得临床推广。</w:t>
      </w:r>
    </w:p>
    <w:p>
      <w:pPr>
        <w:pStyle w:val="BodyText"/>
        <w:ind w:left="1201"/>
        <w:spacing w:before="1" w:line="194" w:lineRule="auto"/>
        <w:rPr/>
      </w:pPr>
      <w:r>
        <w:rPr>
          <w:color w:val="231F20"/>
          <w:spacing w:val="1"/>
        </w:rPr>
        <w:t>关键词：壮药花红胶囊；抗生素；急性盆腔炎；临床效果</w:t>
      </w:r>
    </w:p>
    <w:p>
      <w:pPr>
        <w:pStyle w:val="BodyText"/>
        <w:ind w:left="2422"/>
        <w:spacing w:before="43" w:line="196" w:lineRule="auto"/>
        <w:rPr/>
      </w:pPr>
      <w:r>
        <w:rPr>
          <w:color w:val="231F20"/>
          <w:spacing w:val="-7"/>
        </w:rPr>
        <w:t>中图分类号：R291.8           文献标识码：B</w:t>
      </w:r>
      <w:r>
        <w:rPr>
          <w:color w:val="231F20"/>
          <w:spacing w:val="-8"/>
        </w:rPr>
        <w:t xml:space="preserve">          文章编号：1006-6810（2021）04-0028-03</w:t>
      </w:r>
    </w:p>
    <w:p>
      <w:pPr>
        <w:ind w:left="1198"/>
        <w:spacing w:before="6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DOI:10.16041/j.cnki.cn15-1175.2021.04</w:t>
      </w:r>
      <w:r>
        <w:rPr>
          <w:rFonts w:ascii="Times New Roman" w:hAnsi="Times New Roman" w:eastAsia="Times New Roman" w:cs="Times New Roman"/>
          <w:sz w:val="18"/>
          <w:szCs w:val="18"/>
          <w:spacing w:val="-1"/>
        </w:rPr>
        <w:t>.016</w:t>
      </w:r>
    </w:p>
    <w:p>
      <w:pPr>
        <w:spacing w:before="67"/>
        <w:rPr/>
      </w:pPr>
      <w:r/>
    </w:p>
    <w:p>
      <w:pPr>
        <w:sectPr>
          <w:type w:val="continuous"/>
          <w:pgSz w:w="11905" w:h="16156"/>
          <w:pgMar w:top="1230" w:right="1181" w:bottom="0" w:left="407" w:header="908" w:footer="0" w:gutter="0"/>
          <w:cols w:equalWidth="0" w:num="1">
            <w:col w:w="10315" w:space="0"/>
          </w:cols>
        </w:sectPr>
        <w:rPr/>
      </w:pPr>
    </w:p>
    <w:p>
      <w:pPr>
        <w:pStyle w:val="BodyText"/>
        <w:ind w:left="839" w:right="309" w:firstLine="362"/>
        <w:spacing w:before="46"/>
        <w:jc w:val="both"/>
        <w:rPr>
          <w:sz w:val="15"/>
          <w:szCs w:val="15"/>
        </w:rPr>
      </w:pPr>
      <w:r>
        <w:rPr>
          <w:color w:val="231F20"/>
          <w:spacing w:val="9"/>
        </w:rPr>
        <w:t>急性盆腔炎是女性内生殖器及其周围结缔组织发生的</w:t>
      </w:r>
      <w:r>
        <w:rPr>
          <w:color w:val="231F20"/>
        </w:rPr>
        <w:t xml:space="preserve">  </w:t>
      </w:r>
      <w:r>
        <w:rPr>
          <w:color w:val="231F20"/>
          <w:spacing w:val="3"/>
        </w:rPr>
        <w:t>急性炎症病变，临床以采用抗生素感染治疗为主</w:t>
      </w:r>
      <w:r>
        <w:rPr>
          <w:sz w:val="10"/>
          <w:szCs w:val="10"/>
          <w:color w:val="231F20"/>
          <w:spacing w:val="3"/>
          <w:position w:val="6"/>
        </w:rPr>
        <w:t>[1]</w:t>
      </w:r>
      <w:r>
        <w:rPr>
          <w:sz w:val="10"/>
          <w:szCs w:val="10"/>
          <w:color w:val="231F20"/>
          <w:spacing w:val="-8"/>
          <w:position w:val="6"/>
        </w:rPr>
        <w:t xml:space="preserve"> </w:t>
      </w:r>
      <w:r>
        <w:rPr>
          <w:color w:val="231F20"/>
          <w:spacing w:val="3"/>
        </w:rPr>
        <w:t>。急性盆</w:t>
      </w:r>
      <w:r>
        <w:rPr>
          <w:color w:val="231F20"/>
        </w:rPr>
        <w:t xml:space="preserve">  </w:t>
      </w:r>
      <w:r>
        <w:rPr>
          <w:color w:val="231F20"/>
          <w:spacing w:val="9"/>
        </w:rPr>
        <w:t>腔炎主要包括急性子宫内膜炎、急性盆腔腹膜炎和急性输</w:t>
      </w:r>
      <w:r>
        <w:rPr>
          <w:color w:val="231F20"/>
          <w:spacing w:val="3"/>
        </w:rPr>
        <w:t xml:space="preserve">  </w:t>
      </w:r>
      <w:r>
        <w:rPr>
          <w:color w:val="231F20"/>
          <w:spacing w:val="2"/>
        </w:rPr>
        <w:t>卵管炎症等，如果没有得到及时有效的控制，可能发展为弥</w:t>
      </w:r>
      <w:r>
        <w:rPr>
          <w:color w:val="231F20"/>
          <w:spacing w:val="4"/>
        </w:rPr>
        <w:t xml:space="preserve">  </w:t>
      </w:r>
      <w:r>
        <w:rPr>
          <w:color w:val="231F20"/>
          <w:spacing w:val="2"/>
        </w:rPr>
        <w:t>漫性腹膜炎、败血症和感染性休克，更加严重的可能导致生</w:t>
      </w:r>
      <w:r>
        <w:rPr>
          <w:color w:val="231F20"/>
          <w:spacing w:val="4"/>
        </w:rPr>
        <w:t xml:space="preserve">  </w:t>
      </w:r>
      <w:r>
        <w:rPr>
          <w:u w:val="single" w:color="auto"/>
          <w:color w:val="231F20"/>
          <w:spacing w:val="4"/>
        </w:rPr>
        <w:t>命安全受到影响</w:t>
      </w:r>
      <w:r>
        <w:rPr>
          <w:sz w:val="10"/>
          <w:szCs w:val="10"/>
          <w:u w:val="single" w:color="auto"/>
          <w:color w:val="231F20"/>
          <w:spacing w:val="4"/>
          <w:position w:val="6"/>
        </w:rPr>
        <w:t>[2]</w:t>
      </w:r>
      <w:r>
        <w:rPr>
          <w:u w:val="single" w:color="auto"/>
          <w:color w:val="231F20"/>
          <w:spacing w:val="4"/>
        </w:rPr>
        <w:t>。</w:t>
      </w:r>
      <w:r>
        <w:rPr>
          <w:color w:val="231F20"/>
          <w:spacing w:val="4"/>
        </w:rPr>
        <w:t>急性盆腔炎是临床上一</w:t>
      </w:r>
      <w:r>
        <w:rPr>
          <w:color w:val="231F20"/>
          <w:spacing w:val="3"/>
        </w:rPr>
        <w:t>种常见的妇科类</w:t>
      </w:r>
      <w:r>
        <w:rPr>
          <w:color w:val="231F20"/>
        </w:rPr>
        <w:t xml:space="preserve">  </w:t>
      </w:r>
      <w:r>
        <w:rPr>
          <w:sz w:val="15"/>
          <w:szCs w:val="15"/>
          <w:color w:val="231F20"/>
          <w:spacing w:val="-4"/>
        </w:rPr>
        <w:t>作者简介：李明明（1983-</w:t>
      </w:r>
      <w:r>
        <w:rPr>
          <w:sz w:val="15"/>
          <w:szCs w:val="15"/>
          <w:color w:val="231F20"/>
          <w:spacing w:val="-28"/>
          <w:w w:val="78"/>
        </w:rPr>
        <w:t>），</w:t>
      </w:r>
      <w:r>
        <w:rPr>
          <w:sz w:val="15"/>
          <w:szCs w:val="15"/>
          <w:color w:val="231F20"/>
          <w:spacing w:val="-4"/>
        </w:rPr>
        <w:t>女，河南郑州人，本科学历，主治医师。</w:t>
      </w:r>
    </w:p>
    <w:p>
      <w:pPr>
        <w:pStyle w:val="BodyText"/>
        <w:ind w:left="840"/>
        <w:spacing w:line="162" w:lineRule="exact"/>
        <w:rPr>
          <w:sz w:val="15"/>
          <w:szCs w:val="15"/>
        </w:rPr>
      </w:pPr>
      <w:r>
        <w:rPr>
          <w:sz w:val="15"/>
          <w:szCs w:val="15"/>
          <w:color w:val="231F20"/>
          <w:spacing w:val="1"/>
        </w:rPr>
        <w:t>研究方向：妇产科出生。</w:t>
      </w:r>
    </w:p>
    <w:p>
      <w:pPr>
        <w:spacing w:line="14" w:lineRule="auto"/>
        <w:rPr>
          <w:rFonts w:ascii="Arial"/>
          <w:sz w:val="2"/>
        </w:rPr>
      </w:pPr>
      <w:r>
        <w:rPr>
          <w:rFonts w:ascii="Arial" w:hAnsi="Arial" w:eastAsia="Arial" w:cs="Arial"/>
          <w:sz w:val="2"/>
          <w:szCs w:val="2"/>
        </w:rPr>
        <w:br w:type="column"/>
      </w:r>
    </w:p>
    <w:p>
      <w:pPr>
        <w:pStyle w:val="BodyText"/>
        <w:ind w:right="63" w:firstLine="1"/>
        <w:spacing w:before="36" w:line="224" w:lineRule="auto"/>
        <w:jc w:val="both"/>
        <w:rPr/>
      </w:pPr>
      <w:r>
        <w:rPr>
          <w:color w:val="231F20"/>
          <w:spacing w:val="9"/>
        </w:rPr>
        <w:t>疾病，目前大致判定急性盆腔炎的诱因是多种致病菌混合</w:t>
      </w:r>
      <w:r>
        <w:rPr>
          <w:color w:val="231F20"/>
          <w:spacing w:val="6"/>
        </w:rPr>
        <w:t xml:space="preserve"> </w:t>
      </w:r>
      <w:r>
        <w:rPr>
          <w:color w:val="231F20"/>
          <w:spacing w:val="2"/>
        </w:rPr>
        <w:t>感染。抗生素虽然可以从病因上治疗急性盆腔炎，但是对于</w:t>
      </w:r>
      <w:r>
        <w:rPr>
          <w:color w:val="231F20"/>
          <w:spacing w:val="10"/>
        </w:rPr>
        <w:t xml:space="preserve"> </w:t>
      </w:r>
      <w:r>
        <w:rPr>
          <w:color w:val="231F20"/>
          <w:spacing w:val="2"/>
        </w:rPr>
        <w:t>有效改善临床症状、缓解痛苦效果不那么明显，且长期服用</w:t>
      </w:r>
      <w:r>
        <w:rPr>
          <w:color w:val="231F20"/>
          <w:spacing w:val="10"/>
        </w:rPr>
        <w:t xml:space="preserve"> </w:t>
      </w:r>
      <w:r>
        <w:rPr>
          <w:color w:val="231F20"/>
          <w:spacing w:val="4"/>
        </w:rPr>
        <w:t>会导致出现一系列不良反应</w:t>
      </w:r>
      <w:r>
        <w:rPr>
          <w:sz w:val="10"/>
          <w:szCs w:val="10"/>
          <w:color w:val="231F20"/>
          <w:spacing w:val="4"/>
          <w:position w:val="6"/>
        </w:rPr>
        <w:t>[3]</w:t>
      </w:r>
      <w:r>
        <w:rPr>
          <w:color w:val="231F20"/>
          <w:spacing w:val="4"/>
        </w:rPr>
        <w:t>。探讨一种不但可</w:t>
      </w:r>
      <w:r>
        <w:rPr>
          <w:color w:val="231F20"/>
          <w:spacing w:val="3"/>
        </w:rPr>
        <w:t>以从根本上</w:t>
      </w:r>
      <w:r>
        <w:rPr>
          <w:color w:val="231F20"/>
        </w:rPr>
        <w:t xml:space="preserve"> </w:t>
      </w:r>
      <w:r>
        <w:rPr>
          <w:color w:val="231F20"/>
          <w:spacing w:val="8"/>
        </w:rPr>
        <w:t>化解病因也可以有效改善症状的方法有实际意义</w:t>
      </w:r>
      <w:r>
        <w:rPr>
          <w:color w:val="231F20"/>
          <w:spacing w:val="-18"/>
        </w:rPr>
        <w:t xml:space="preserve"> </w:t>
      </w:r>
      <w:r>
        <w:rPr>
          <w:color w:val="231F20"/>
          <w:spacing w:val="8"/>
        </w:rPr>
        <w:t>。盆腔炎</w:t>
      </w:r>
      <w:r>
        <w:rPr>
          <w:color w:val="231F20"/>
        </w:rPr>
        <w:t xml:space="preserve"> </w:t>
      </w:r>
      <w:r>
        <w:rPr>
          <w:color w:val="231F20"/>
          <w:spacing w:val="2"/>
        </w:rPr>
        <w:t>属于湿热瘀结症，可以采取具有清热解毒、消痛排脓和抑菌</w:t>
      </w:r>
      <w:r>
        <w:rPr>
          <w:color w:val="231F20"/>
          <w:spacing w:val="10"/>
        </w:rPr>
        <w:t xml:space="preserve"> </w:t>
      </w:r>
      <w:r>
        <w:rPr>
          <w:color w:val="231F20"/>
          <w:spacing w:val="3"/>
        </w:rPr>
        <w:t>等功效的药物进行治疗</w:t>
      </w:r>
      <w:r>
        <w:rPr>
          <w:sz w:val="10"/>
          <w:szCs w:val="10"/>
          <w:color w:val="231F20"/>
          <w:spacing w:val="3"/>
          <w:position w:val="6"/>
        </w:rPr>
        <w:t>[4]</w:t>
      </w:r>
      <w:r>
        <w:rPr>
          <w:sz w:val="10"/>
          <w:szCs w:val="10"/>
          <w:color w:val="231F20"/>
          <w:spacing w:val="-7"/>
          <w:position w:val="6"/>
        </w:rPr>
        <w:t xml:space="preserve"> </w:t>
      </w:r>
      <w:r>
        <w:rPr>
          <w:color w:val="231F20"/>
          <w:spacing w:val="3"/>
        </w:rPr>
        <w:t>。花红胶囊清热利湿，还能有效抑</w:t>
      </w:r>
      <w:r>
        <w:rPr>
          <w:color w:val="231F20"/>
        </w:rPr>
        <w:t xml:space="preserve"> </w:t>
      </w:r>
      <w:r>
        <w:rPr>
          <w:color w:val="231F20"/>
          <w:spacing w:val="-4"/>
        </w:rPr>
        <w:t>菌、活血通经、祛瘀止痛，符合急性盆腔炎的治疗原则。我院</w:t>
      </w:r>
    </w:p>
    <w:p>
      <w:pPr>
        <w:spacing w:line="224" w:lineRule="auto"/>
        <w:sectPr>
          <w:type w:val="continuous"/>
          <w:pgSz w:w="11905" w:h="16156"/>
          <w:pgMar w:top="1230" w:right="1181" w:bottom="0" w:left="407" w:header="908" w:footer="0" w:gutter="0"/>
          <w:cols w:equalWidth="0" w:num="2">
            <w:col w:w="5668" w:space="100"/>
            <w:col w:w="4547" w:space="0"/>
          </w:cols>
        </w:sectPr>
        <w:rPr/>
      </w:pPr>
    </w:p>
    <w:p>
      <w:pPr>
        <w:spacing w:line="153" w:lineRule="exact"/>
        <w:rPr/>
      </w:pPr>
      <w:r/>
    </w:p>
    <w:p>
      <w:pPr>
        <w:spacing w:line="153" w:lineRule="exact"/>
        <w:sectPr>
          <w:headerReference w:type="default" r:id="rId3"/>
          <w:footerReference w:type="default" r:id="rId4"/>
          <w:pgSz w:w="11905" w:h="16156"/>
          <w:pgMar w:top="1216" w:right="1181" w:bottom="1004" w:left="407" w:header="893" w:footer="765" w:gutter="0"/>
          <w:cols w:equalWidth="0" w:num="1">
            <w:col w:w="10315" w:space="0"/>
          </w:cols>
        </w:sectPr>
        <w:rPr/>
      </w:pPr>
    </w:p>
    <w:p>
      <w:pPr>
        <w:pStyle w:val="BodyText"/>
        <w:ind w:left="843" w:right="276"/>
        <w:spacing w:before="36" w:line="239" w:lineRule="auto"/>
        <w:rPr/>
      </w:pPr>
      <w:r>
        <w:rPr>
          <w:color w:val="231F20"/>
          <w:spacing w:val="9"/>
        </w:rPr>
        <w:t>就壮药花红胶囊联合抗生素治疗盆腔炎的临床效果进行分</w:t>
      </w:r>
      <w:r>
        <w:rPr>
          <w:color w:val="231F20"/>
          <w:spacing w:val="1"/>
        </w:rPr>
        <w:t xml:space="preserve"> </w:t>
      </w:r>
      <w:r>
        <w:rPr>
          <w:color w:val="231F20"/>
          <w:spacing w:val="-7"/>
        </w:rPr>
        <w:t>析，报道如下。</w:t>
      </w:r>
    </w:p>
    <w:p>
      <w:pPr>
        <w:pStyle w:val="BodyText"/>
        <w:ind w:left="858"/>
        <w:spacing w:line="199" w:lineRule="auto"/>
        <w:outlineLvl w:val="1"/>
        <w:rPr/>
      </w:pPr>
      <w:r>
        <w:rPr>
          <w:color w:val="231F20"/>
        </w:rPr>
        <w:t>1</w:t>
      </w:r>
      <w:r>
        <w:rPr>
          <w:color w:val="231F20"/>
          <w:spacing w:val="13"/>
          <w:w w:val="101"/>
        </w:rPr>
        <w:t xml:space="preserve">  </w:t>
      </w:r>
      <w:r>
        <w:rPr>
          <w:color w:val="231F20"/>
        </w:rPr>
        <w:t>资料与方法</w:t>
      </w:r>
    </w:p>
    <w:p>
      <w:pPr>
        <w:pStyle w:val="BodyText"/>
        <w:ind w:left="858"/>
        <w:spacing w:before="28" w:line="209" w:lineRule="auto"/>
        <w:rPr/>
      </w:pPr>
      <w:r>
        <w:rPr>
          <w:color w:val="231F20"/>
          <w:spacing w:val="-1"/>
        </w:rPr>
        <w:t>1.1 一般资料  选取 2018 年 3 月—2020</w:t>
      </w:r>
      <w:r>
        <w:rPr>
          <w:color w:val="231F20"/>
          <w:spacing w:val="20"/>
        </w:rPr>
        <w:t xml:space="preserve"> </w:t>
      </w:r>
      <w:r>
        <w:rPr>
          <w:color w:val="231F20"/>
          <w:spacing w:val="-1"/>
        </w:rPr>
        <w:t>年</w:t>
      </w:r>
      <w:r>
        <w:rPr>
          <w:color w:val="231F20"/>
          <w:spacing w:val="1"/>
        </w:rPr>
        <w:t xml:space="preserve"> </w:t>
      </w:r>
      <w:r>
        <w:rPr>
          <w:color w:val="231F20"/>
          <w:spacing w:val="-1"/>
        </w:rPr>
        <w:t>2</w:t>
      </w:r>
      <w:r>
        <w:rPr>
          <w:color w:val="231F20"/>
          <w:spacing w:val="3"/>
        </w:rPr>
        <w:t xml:space="preserve"> </w:t>
      </w:r>
      <w:r>
        <w:rPr>
          <w:color w:val="231F20"/>
          <w:spacing w:val="-1"/>
        </w:rPr>
        <w:t>月我院收治的</w:t>
      </w:r>
    </w:p>
    <w:p>
      <w:pPr>
        <w:pStyle w:val="BodyText"/>
        <w:ind w:left="768" w:right="276" w:firstLine="79"/>
        <w:spacing w:before="34" w:line="227" w:lineRule="auto"/>
        <w:rPr/>
      </w:pPr>
      <w:r>
        <w:rPr>
          <w:color w:val="231F20"/>
          <w:spacing w:val="5"/>
        </w:rPr>
        <w:t>80 例急性盆腔炎的患者，按照不同的治疗方法分为对照组</w:t>
      </w:r>
      <w:r>
        <w:rPr>
          <w:color w:val="231F20"/>
          <w:spacing w:val="7"/>
        </w:rPr>
        <w:t xml:space="preserve"> </w:t>
      </w:r>
      <w:r>
        <w:rPr>
          <w:color w:val="231F20"/>
          <w:spacing w:val="4"/>
        </w:rPr>
        <w:t>和观察组，</w:t>
      </w:r>
      <w:r>
        <w:rPr>
          <w:color w:val="231F20"/>
          <w:spacing w:val="-9"/>
        </w:rPr>
        <w:t xml:space="preserve"> </w:t>
      </w:r>
      <w:r>
        <w:rPr>
          <w:color w:val="231F20"/>
          <w:spacing w:val="4"/>
        </w:rPr>
        <w:t>每组 40 例</w:t>
      </w:r>
      <w:r>
        <w:rPr>
          <w:color w:val="231F20"/>
          <w:spacing w:val="-27"/>
        </w:rPr>
        <w:t xml:space="preserve"> </w:t>
      </w:r>
      <w:r>
        <w:rPr>
          <w:color w:val="231F20"/>
          <w:spacing w:val="4"/>
        </w:rPr>
        <w:t>。观察组年龄 20~56 岁</w:t>
      </w:r>
      <w:r>
        <w:rPr>
          <w:color w:val="231F20"/>
          <w:spacing w:val="-13"/>
        </w:rPr>
        <w:t xml:space="preserve"> </w:t>
      </w:r>
      <w:r>
        <w:rPr>
          <w:color w:val="231F20"/>
          <w:spacing w:val="4"/>
        </w:rPr>
        <w:t>，平均年龄</w:t>
      </w:r>
      <w:r>
        <w:rPr>
          <w:color w:val="231F20"/>
        </w:rPr>
        <w:t xml:space="preserve"> </w:t>
      </w:r>
      <w:r>
        <w:rPr>
          <w:color w:val="231F20"/>
          <w:spacing w:val="-14"/>
        </w:rPr>
        <w:t>（32.5±6.7）岁；病程</w:t>
      </w:r>
      <w:r>
        <w:rPr>
          <w:color w:val="231F20"/>
          <w:spacing w:val="28"/>
          <w:w w:val="101"/>
        </w:rPr>
        <w:t xml:space="preserve"> </w:t>
      </w:r>
      <w:r>
        <w:rPr>
          <w:color w:val="231F20"/>
          <w:spacing w:val="-14"/>
        </w:rPr>
        <w:t>1~5</w:t>
      </w:r>
      <w:r>
        <w:rPr>
          <w:color w:val="231F20"/>
          <w:spacing w:val="17"/>
          <w:w w:val="101"/>
        </w:rPr>
        <w:t xml:space="preserve"> </w:t>
      </w:r>
      <w:r>
        <w:rPr>
          <w:color w:val="231F20"/>
          <w:spacing w:val="-14"/>
        </w:rPr>
        <w:t>d，平均病程（2.8±2.3）d</w:t>
      </w:r>
      <w:r>
        <w:rPr>
          <w:color w:val="231F20"/>
          <w:spacing w:val="-30"/>
        </w:rPr>
        <w:t xml:space="preserve"> </w:t>
      </w:r>
      <w:r>
        <w:rPr>
          <w:color w:val="231F20"/>
          <w:spacing w:val="-14"/>
        </w:rPr>
        <w:t>。对照组年</w:t>
      </w:r>
      <w:r>
        <w:rPr>
          <w:color w:val="231F20"/>
        </w:rPr>
        <w:t xml:space="preserve"> </w:t>
      </w:r>
      <w:r>
        <w:rPr>
          <w:color w:val="231F20"/>
          <w:spacing w:val="-12"/>
        </w:rPr>
        <w:t>龄</w:t>
      </w:r>
      <w:r>
        <w:rPr>
          <w:color w:val="231F20"/>
          <w:spacing w:val="20"/>
          <w:w w:val="101"/>
        </w:rPr>
        <w:t xml:space="preserve"> </w:t>
      </w:r>
      <w:r>
        <w:rPr>
          <w:color w:val="231F20"/>
          <w:spacing w:val="-12"/>
        </w:rPr>
        <w:t>19~54 岁，平均年龄（33.6±6.1）岁；病程</w:t>
      </w:r>
      <w:r>
        <w:rPr>
          <w:color w:val="231F20"/>
          <w:spacing w:val="18"/>
        </w:rPr>
        <w:t xml:space="preserve"> </w:t>
      </w:r>
      <w:r>
        <w:rPr>
          <w:color w:val="231F20"/>
          <w:spacing w:val="-12"/>
        </w:rPr>
        <w:t>1~9</w:t>
      </w:r>
      <w:r>
        <w:rPr>
          <w:color w:val="231F20"/>
          <w:spacing w:val="18"/>
        </w:rPr>
        <w:t xml:space="preserve"> </w:t>
      </w:r>
      <w:r>
        <w:rPr>
          <w:color w:val="231F20"/>
          <w:spacing w:val="-12"/>
        </w:rPr>
        <w:t>d，平均病程</w:t>
      </w:r>
      <w:r>
        <w:rPr>
          <w:color w:val="231F20"/>
        </w:rPr>
        <w:t xml:space="preserve"> </w:t>
      </w:r>
      <w:r>
        <w:rPr>
          <w:color w:val="231F20"/>
          <w:spacing w:val="-7"/>
        </w:rPr>
        <w:t>（3.2±</w:t>
      </w:r>
      <w:r>
        <w:rPr>
          <w:color w:val="231F20"/>
          <w:spacing w:val="-28"/>
        </w:rPr>
        <w:t xml:space="preserve"> </w:t>
      </w:r>
      <w:r>
        <w:rPr>
          <w:color w:val="231F20"/>
          <w:spacing w:val="-7"/>
        </w:rPr>
        <w:t>1.8）d</w:t>
      </w:r>
      <w:r>
        <w:rPr>
          <w:color w:val="231F20"/>
          <w:spacing w:val="-30"/>
        </w:rPr>
        <w:t xml:space="preserve"> </w:t>
      </w:r>
      <w:r>
        <w:rPr>
          <w:color w:val="231F20"/>
          <w:spacing w:val="-7"/>
        </w:rPr>
        <w:t>。两组一般资料差异无统计学意义（P＜0</w:t>
      </w:r>
      <w:r>
        <w:rPr>
          <w:color w:val="231F20"/>
          <w:spacing w:val="-8"/>
        </w:rPr>
        <w:t>.05</w:t>
      </w:r>
      <w:r>
        <w:rPr>
          <w:color w:val="231F20"/>
          <w:spacing w:val="-29"/>
          <w:w w:val="71"/>
        </w:rPr>
        <w:t>），</w:t>
      </w:r>
      <w:r>
        <w:rPr>
          <w:color w:val="231F20"/>
          <w:spacing w:val="-8"/>
        </w:rPr>
        <w:t>具</w:t>
      </w:r>
      <w:r>
        <w:rPr>
          <w:color w:val="231F20"/>
        </w:rPr>
        <w:t xml:space="preserve"> </w:t>
      </w:r>
      <w:r>
        <w:rPr>
          <w:color w:val="231F20"/>
          <w:spacing w:val="20"/>
        </w:rPr>
        <w:t>有可比性。</w:t>
      </w:r>
    </w:p>
    <w:p>
      <w:pPr>
        <w:pStyle w:val="BodyText"/>
        <w:ind w:left="841" w:right="276" w:firstLine="360"/>
        <w:spacing w:before="45" w:line="235" w:lineRule="auto"/>
        <w:rPr/>
      </w:pPr>
      <w:r>
        <w:rPr>
          <w:color w:val="231F20"/>
          <w:spacing w:val="1"/>
        </w:rPr>
        <w:t>纳入标准：有性生活史；符合急性盆腔炎临床研究方案</w:t>
      </w:r>
      <w:r>
        <w:rPr>
          <w:color w:val="231F20"/>
          <w:spacing w:val="14"/>
          <w:w w:val="101"/>
        </w:rPr>
        <w:t xml:space="preserve"> </w:t>
      </w:r>
      <w:r>
        <w:rPr>
          <w:color w:val="231F20"/>
          <w:spacing w:val="1"/>
        </w:rPr>
        <w:t>标准；自愿作为接受实验对象，且自愿签署知情同</w:t>
      </w:r>
      <w:r>
        <w:rPr>
          <w:color w:val="231F20"/>
        </w:rPr>
        <w:t>意书。</w:t>
      </w:r>
    </w:p>
    <w:p>
      <w:pPr>
        <w:pStyle w:val="BodyText"/>
        <w:ind w:left="848" w:right="276" w:firstLine="350"/>
        <w:spacing w:before="1" w:line="232" w:lineRule="auto"/>
        <w:rPr/>
      </w:pPr>
      <w:r>
        <w:rPr>
          <w:color w:val="231F20"/>
          <w:spacing w:val="1"/>
        </w:rPr>
        <w:t>排除标准：合并有其他组织系统疾病或者精神病；妊娠</w:t>
      </w:r>
      <w:r>
        <w:rPr>
          <w:color w:val="231F20"/>
          <w:spacing w:val="17"/>
        </w:rPr>
        <w:t xml:space="preserve"> </w:t>
      </w:r>
      <w:r>
        <w:rPr>
          <w:color w:val="231F20"/>
          <w:spacing w:val="-2"/>
        </w:rPr>
        <w:t>和哺乳期；药物过敏等。</w:t>
      </w:r>
    </w:p>
    <w:p>
      <w:pPr>
        <w:pStyle w:val="BodyText"/>
        <w:ind w:left="840" w:right="223" w:firstLine="17"/>
        <w:spacing w:before="1" w:line="231" w:lineRule="auto"/>
        <w:rPr/>
      </w:pPr>
      <w:r>
        <w:rPr>
          <w:color w:val="231F20"/>
          <w:spacing w:val="5"/>
        </w:rPr>
        <w:t>1.2 治疗方法  对照组进行传统的基础治疗，进行物理降温</w:t>
      </w:r>
      <w:r>
        <w:rPr>
          <w:color w:val="231F20"/>
          <w:spacing w:val="7"/>
        </w:rPr>
        <w:t xml:space="preserve">  </w:t>
      </w:r>
      <w:r>
        <w:rPr>
          <w:color w:val="231F20"/>
          <w:spacing w:val="2"/>
        </w:rPr>
        <w:t>处理，使体内水电解质紊乱有效缓解，单一使用抗生素进行</w:t>
      </w:r>
      <w:r>
        <w:rPr>
          <w:color w:val="231F20"/>
          <w:spacing w:val="3"/>
        </w:rPr>
        <w:t xml:space="preserve">  </w:t>
      </w:r>
      <w:r>
        <w:rPr>
          <w:color w:val="231F20"/>
          <w:spacing w:val="2"/>
        </w:rPr>
        <w:t>治疗，取 0.5</w:t>
      </w:r>
      <w:r>
        <w:rPr>
          <w:color w:val="231F20"/>
          <w:spacing w:val="17"/>
          <w:w w:val="101"/>
        </w:rPr>
        <w:t xml:space="preserve"> </w:t>
      </w:r>
      <w:r>
        <w:rPr>
          <w:color w:val="231F20"/>
          <w:spacing w:val="2"/>
        </w:rPr>
        <w:t>g 左氧氟沙星注射液（浙江医药</w:t>
      </w:r>
      <w:r>
        <w:rPr>
          <w:color w:val="231F20"/>
          <w:spacing w:val="1"/>
        </w:rPr>
        <w:t>股份有限公司</w:t>
      </w:r>
      <w:r>
        <w:rPr>
          <w:color w:val="231F20"/>
        </w:rPr>
        <w:t xml:space="preserve">  </w:t>
      </w:r>
      <w:r>
        <w:rPr>
          <w:color w:val="231F20"/>
          <w:spacing w:val="-9"/>
        </w:rPr>
        <w:t>新昌制药厂，国药准字 H20000056，规格：0.</w:t>
      </w:r>
      <w:r>
        <w:rPr>
          <w:color w:val="231F20"/>
          <w:spacing w:val="-10"/>
        </w:rPr>
        <w:t>2</w:t>
      </w:r>
      <w:r>
        <w:rPr>
          <w:color w:val="231F20"/>
          <w:spacing w:val="15"/>
        </w:rPr>
        <w:t xml:space="preserve"> </w:t>
      </w:r>
      <w:r>
        <w:rPr>
          <w:color w:val="231F20"/>
          <w:spacing w:val="-10"/>
        </w:rPr>
        <w:t>g）同时静脉滴</w:t>
      </w:r>
      <w:r>
        <w:rPr>
          <w:color w:val="231F20"/>
        </w:rPr>
        <w:t xml:space="preserve">  </w:t>
      </w:r>
      <w:r>
        <w:rPr>
          <w:color w:val="231F20"/>
          <w:spacing w:val="-1"/>
        </w:rPr>
        <w:t>注替硝唑（蚌埠丰原突山制药公司，国药准字 H20023531，</w:t>
      </w:r>
      <w:r>
        <w:rPr>
          <w:color w:val="231F20"/>
          <w:spacing w:val="15"/>
        </w:rPr>
        <w:t xml:space="preserve"> </w:t>
      </w:r>
      <w:r>
        <w:rPr>
          <w:color w:val="231F20"/>
          <w:spacing w:val="-3"/>
        </w:rPr>
        <w:t>规格：100</w:t>
      </w:r>
      <w:r>
        <w:rPr>
          <w:color w:val="231F20"/>
          <w:spacing w:val="18"/>
        </w:rPr>
        <w:t xml:space="preserve"> </w:t>
      </w:r>
      <w:r>
        <w:rPr>
          <w:color w:val="231F20"/>
          <w:spacing w:val="-3"/>
        </w:rPr>
        <w:t>mL×0.4</w:t>
      </w:r>
      <w:r>
        <w:rPr>
          <w:color w:val="231F20"/>
          <w:spacing w:val="17"/>
        </w:rPr>
        <w:t xml:space="preserve"> </w:t>
      </w:r>
      <w:r>
        <w:rPr>
          <w:color w:val="231F20"/>
          <w:spacing w:val="-3"/>
        </w:rPr>
        <w:t>g</w:t>
      </w:r>
      <w:r>
        <w:rPr>
          <w:color w:val="231F20"/>
          <w:spacing w:val="-29"/>
          <w:w w:val="71"/>
        </w:rPr>
        <w:t>），</w:t>
      </w:r>
      <w:r>
        <w:rPr>
          <w:color w:val="231F20"/>
          <w:spacing w:val="-3"/>
        </w:rPr>
        <w:t>2 次/d</w:t>
      </w:r>
      <w:r>
        <w:rPr>
          <w:color w:val="231F20"/>
          <w:spacing w:val="-30"/>
        </w:rPr>
        <w:t xml:space="preserve"> </w:t>
      </w:r>
      <w:r>
        <w:rPr>
          <w:color w:val="231F20"/>
          <w:spacing w:val="-3"/>
        </w:rPr>
        <w:t>。观察组</w:t>
      </w:r>
      <w:r>
        <w:rPr>
          <w:color w:val="231F20"/>
          <w:spacing w:val="-4"/>
        </w:rPr>
        <w:t>在对照组治疗基础上</w:t>
      </w:r>
      <w:r>
        <w:rPr>
          <w:color w:val="231F20"/>
        </w:rPr>
        <w:t xml:space="preserve">  </w:t>
      </w:r>
      <w:r>
        <w:rPr>
          <w:color w:val="231F20"/>
          <w:spacing w:val="2"/>
        </w:rPr>
        <w:t>联合花红胶囊（广西壮族自治区花红药业股份有限公司，国</w:t>
      </w:r>
      <w:r>
        <w:rPr>
          <w:color w:val="231F20"/>
          <w:spacing w:val="3"/>
        </w:rPr>
        <w:t xml:space="preserve">  </w:t>
      </w:r>
      <w:r>
        <w:rPr>
          <w:color w:val="231F20"/>
          <w:spacing w:val="-15"/>
        </w:rPr>
        <w:t>药准字 Z20025194，规格：0.25</w:t>
      </w:r>
      <w:r>
        <w:rPr>
          <w:color w:val="231F20"/>
          <w:spacing w:val="19"/>
          <w:w w:val="101"/>
        </w:rPr>
        <w:t xml:space="preserve"> </w:t>
      </w:r>
      <w:r>
        <w:rPr>
          <w:color w:val="231F20"/>
          <w:spacing w:val="-15"/>
        </w:rPr>
        <w:t>g）治</w:t>
      </w:r>
      <w:r>
        <w:rPr>
          <w:color w:val="231F20"/>
          <w:spacing w:val="-16"/>
        </w:rPr>
        <w:t>疗，3</w:t>
      </w:r>
      <w:r>
        <w:rPr>
          <w:color w:val="231F20"/>
          <w:spacing w:val="8"/>
        </w:rPr>
        <w:t xml:space="preserve"> </w:t>
      </w:r>
      <w:r>
        <w:rPr>
          <w:color w:val="231F20"/>
          <w:spacing w:val="-16"/>
        </w:rPr>
        <w:t>次/d，3</w:t>
      </w:r>
      <w:r>
        <w:rPr>
          <w:color w:val="231F20"/>
          <w:spacing w:val="6"/>
        </w:rPr>
        <w:t xml:space="preserve"> </w:t>
      </w:r>
      <w:r>
        <w:rPr>
          <w:color w:val="231F20"/>
          <w:spacing w:val="-16"/>
        </w:rPr>
        <w:t>粒/次，1 个</w:t>
      </w:r>
      <w:r>
        <w:rPr>
          <w:color w:val="231F20"/>
        </w:rPr>
        <w:t xml:space="preserve">  </w:t>
      </w:r>
      <w:r>
        <w:rPr>
          <w:color w:val="231F20"/>
          <w:spacing w:val="1"/>
        </w:rPr>
        <w:t>星期为</w:t>
      </w:r>
      <w:r>
        <w:rPr>
          <w:color w:val="231F20"/>
          <w:spacing w:val="17"/>
        </w:rPr>
        <w:t xml:space="preserve"> </w:t>
      </w:r>
      <w:r>
        <w:rPr>
          <w:color w:val="231F20"/>
          <w:spacing w:val="1"/>
        </w:rPr>
        <w:t>1 个疗程。</w:t>
      </w:r>
    </w:p>
    <w:p>
      <w:pPr>
        <w:pStyle w:val="BodyText"/>
        <w:ind w:left="840" w:right="223" w:firstLine="17"/>
        <w:spacing w:before="35" w:line="230" w:lineRule="auto"/>
        <w:rPr/>
      </w:pPr>
      <w:r>
        <w:rPr>
          <w:color w:val="231F20"/>
          <w:spacing w:val="5"/>
        </w:rPr>
        <w:t>1.3 观察指标  观察并记录两组治疗前后盆腔积液深度、盆</w:t>
      </w:r>
      <w:r>
        <w:rPr>
          <w:color w:val="231F20"/>
          <w:spacing w:val="7"/>
        </w:rPr>
        <w:t xml:space="preserve">  </w:t>
      </w:r>
      <w:r>
        <w:rPr>
          <w:color w:val="231F20"/>
          <w:spacing w:val="8"/>
        </w:rPr>
        <w:t>腔炎性包块平均直径和中医症候评分</w:t>
      </w:r>
      <w:r>
        <w:rPr>
          <w:color w:val="231F20"/>
          <w:spacing w:val="-21"/>
        </w:rPr>
        <w:t xml:space="preserve"> </w:t>
      </w:r>
      <w:r>
        <w:rPr>
          <w:color w:val="231F20"/>
          <w:spacing w:val="8"/>
        </w:rPr>
        <w:t>。两组接受治疗后统</w:t>
      </w:r>
      <w:r>
        <w:rPr>
          <w:color w:val="231F20"/>
        </w:rPr>
        <w:t xml:space="preserve">  </w:t>
      </w:r>
      <w:r>
        <w:rPr>
          <w:color w:val="231F20"/>
          <w:spacing w:val="-2"/>
        </w:rPr>
        <w:t>计治疗总有效率，治愈：临床症状全部消失，血象恢复</w:t>
      </w:r>
      <w:r>
        <w:rPr>
          <w:color w:val="231F20"/>
          <w:spacing w:val="-3"/>
        </w:rPr>
        <w:t>正常，</w:t>
      </w:r>
      <w:r>
        <w:rPr>
          <w:color w:val="231F20"/>
        </w:rPr>
        <w:t xml:space="preserve"> </w:t>
      </w:r>
      <w:r>
        <w:rPr>
          <w:color w:val="231F20"/>
          <w:spacing w:val="8"/>
        </w:rPr>
        <w:t>B 超单侧或者双侧附件恢复正常</w:t>
      </w:r>
      <w:r>
        <w:rPr>
          <w:color w:val="231F20"/>
          <w:spacing w:val="-14"/>
        </w:rPr>
        <w:t xml:space="preserve"> </w:t>
      </w:r>
      <w:r>
        <w:rPr>
          <w:color w:val="231F20"/>
          <w:spacing w:val="8"/>
        </w:rPr>
        <w:t>，盆腔炎性包块消失</w:t>
      </w:r>
      <w:r>
        <w:rPr>
          <w:color w:val="231F20"/>
          <w:spacing w:val="7"/>
        </w:rPr>
        <w:t>；显</w:t>
      </w:r>
      <w:r>
        <w:rPr>
          <w:color w:val="231F20"/>
        </w:rPr>
        <w:t xml:space="preserve">  </w:t>
      </w:r>
      <w:r>
        <w:rPr>
          <w:color w:val="231F20"/>
          <w:spacing w:val="3"/>
        </w:rPr>
        <w:t>效：临床症状和体征明显好转，血象和 B </w:t>
      </w:r>
      <w:r>
        <w:rPr>
          <w:color w:val="231F20"/>
          <w:spacing w:val="2"/>
        </w:rPr>
        <w:t>超检查明显改善，</w:t>
      </w:r>
      <w:r>
        <w:rPr>
          <w:color w:val="231F20"/>
        </w:rPr>
        <w:t xml:space="preserve"> </w:t>
      </w:r>
      <w:r>
        <w:rPr>
          <w:color w:val="231F20"/>
          <w:spacing w:val="7"/>
        </w:rPr>
        <w:t>但是盆腔炎性包块没有恢复正常</w:t>
      </w:r>
      <w:r>
        <w:rPr>
          <w:color w:val="231F20"/>
          <w:spacing w:val="-20"/>
        </w:rPr>
        <w:t xml:space="preserve"> </w:t>
      </w:r>
      <w:r>
        <w:rPr>
          <w:color w:val="231F20"/>
          <w:spacing w:val="7"/>
        </w:rPr>
        <w:t>；好转：</w:t>
      </w:r>
      <w:r>
        <w:rPr>
          <w:color w:val="231F20"/>
          <w:spacing w:val="-24"/>
        </w:rPr>
        <w:t xml:space="preserve"> </w:t>
      </w:r>
      <w:r>
        <w:rPr>
          <w:color w:val="231F20"/>
          <w:spacing w:val="7"/>
        </w:rPr>
        <w:t>临床症状有</w:t>
      </w:r>
      <w:r>
        <w:rPr>
          <w:color w:val="231F20"/>
          <w:spacing w:val="6"/>
        </w:rPr>
        <w:t>所改</w:t>
      </w:r>
      <w:r>
        <w:rPr>
          <w:color w:val="231F20"/>
        </w:rPr>
        <w:t xml:space="preserve">  </w:t>
      </w:r>
      <w:r>
        <w:rPr>
          <w:color w:val="231F20"/>
          <w:spacing w:val="-4"/>
        </w:rPr>
        <w:t>善，但是并没有恢复正常状态；无效，临床症状没有改</w:t>
      </w:r>
      <w:r>
        <w:rPr>
          <w:color w:val="231F20"/>
          <w:spacing w:val="-5"/>
        </w:rPr>
        <w:t>善，血</w:t>
      </w:r>
      <w:r>
        <w:rPr>
          <w:color w:val="231F20"/>
        </w:rPr>
        <w:t xml:space="preserve">  </w:t>
      </w:r>
      <w:r>
        <w:rPr>
          <w:color w:val="231F20"/>
          <w:spacing w:val="1"/>
        </w:rPr>
        <w:t>象和 B 超检查没有变化，体温持续没有减退，</w:t>
      </w:r>
      <w:r>
        <w:rPr>
          <w:color w:val="231F20"/>
        </w:rPr>
        <w:t>且包块有增大  </w:t>
      </w:r>
      <w:r>
        <w:rPr>
          <w:color w:val="231F20"/>
          <w:spacing w:val="-8"/>
        </w:rPr>
        <w:t>的现象</w:t>
      </w:r>
      <w:r>
        <w:rPr>
          <w:color w:val="231F20"/>
          <w:spacing w:val="-30"/>
        </w:rPr>
        <w:t xml:space="preserve"> </w:t>
      </w:r>
      <w:r>
        <w:rPr>
          <w:color w:val="231F20"/>
          <w:spacing w:val="-8"/>
        </w:rPr>
        <w:t>。总有效率=（治愈+显效+好转）/总例数×</w:t>
      </w:r>
      <w:r>
        <w:rPr>
          <w:color w:val="231F20"/>
          <w:spacing w:val="-30"/>
        </w:rPr>
        <w:t xml:space="preserve"> </w:t>
      </w:r>
      <w:r>
        <w:rPr>
          <w:color w:val="231F20"/>
          <w:spacing w:val="-8"/>
        </w:rPr>
        <w:t>1</w:t>
      </w:r>
      <w:r>
        <w:rPr>
          <w:color w:val="231F20"/>
          <w:spacing w:val="-9"/>
        </w:rPr>
        <w:t>00%。</w:t>
      </w:r>
    </w:p>
    <w:p>
      <w:pPr>
        <w:pStyle w:val="BodyText"/>
        <w:ind w:left="768" w:right="276" w:firstLine="89"/>
        <w:spacing w:before="34" w:line="220" w:lineRule="auto"/>
        <w:rPr/>
      </w:pPr>
      <w:r>
        <w:pict>
          <v:shape id="_x0000_s8" style="position:absolute;margin-left:114.999pt;margin-top:17.8857pt;mso-position-vertical-relative:text;mso-position-horizontal-relative:text;width:3.35pt;height:0.2pt;z-index:251660288;" filled="false" strokecolor="#231F20" strokeweight="0.20pt" coordsize="66,4" coordorigin="0,0" path="m0,1l66,1e">
            <v:stroke joinstyle="miter" miterlimit="10"/>
          </v:shape>
        </w:pict>
      </w:r>
      <w:r>
        <w:rPr>
          <w:color w:val="231F20"/>
        </w:rPr>
        <w:t>1.4 统计学方法  采用 SPSS21.0 软件分析处理数据，计量资</w:t>
      </w:r>
      <w:r>
        <w:rPr>
          <w:color w:val="231F20"/>
          <w:spacing w:val="1"/>
        </w:rPr>
        <w:t xml:space="preserve"> </w:t>
      </w:r>
      <w:r>
        <w:rPr>
          <w:color w:val="231F20"/>
          <w:spacing w:val="-4"/>
        </w:rPr>
        <w:t>料以均数±标准差（</w:t>
      </w:r>
      <w:r>
        <w:rPr>
          <w:color w:val="231F20"/>
          <w:spacing w:val="-4"/>
        </w:rPr>
        <w:t>x</w:t>
      </w:r>
      <w:r>
        <w:rPr>
          <w:color w:val="231F20"/>
          <w:spacing w:val="-4"/>
        </w:rPr>
        <w:t>±s）表示，行 t 检验；计数资料用百分率</w:t>
      </w:r>
      <w:r>
        <w:rPr>
          <w:color w:val="231F20"/>
          <w:spacing w:val="14"/>
        </w:rPr>
        <w:t xml:space="preserve"> </w:t>
      </w:r>
      <w:r>
        <w:rPr>
          <w:color w:val="231F20"/>
          <w:spacing w:val="-17"/>
        </w:rPr>
        <w:t>（%）表示，行 χ</w:t>
      </w:r>
      <w:r>
        <w:rPr>
          <w:sz w:val="10"/>
          <w:szCs w:val="10"/>
          <w:color w:val="231F20"/>
          <w:spacing w:val="-17"/>
          <w:position w:val="6"/>
        </w:rPr>
        <w:t>2</w:t>
      </w:r>
      <w:r>
        <w:rPr>
          <w:sz w:val="10"/>
          <w:szCs w:val="10"/>
          <w:color w:val="231F20"/>
          <w:spacing w:val="33"/>
          <w:position w:val="6"/>
        </w:rPr>
        <w:t xml:space="preserve"> </w:t>
      </w:r>
      <w:r>
        <w:rPr>
          <w:color w:val="231F20"/>
          <w:spacing w:val="-2"/>
        </w:rPr>
        <w:t>检验</w:t>
      </w:r>
      <w:r>
        <w:rPr>
          <w:color w:val="231F20"/>
          <w:spacing w:val="-31"/>
        </w:rPr>
        <w:t xml:space="preserve"> </w:t>
      </w:r>
      <w:r>
        <w:rPr>
          <w:color w:val="231F20"/>
          <w:spacing w:val="-2"/>
        </w:rPr>
        <w:t>。P＜0.05 表示差异有统计学意义。</w:t>
      </w:r>
    </w:p>
    <w:p>
      <w:pPr>
        <w:pStyle w:val="BodyText"/>
        <w:ind w:left="843"/>
        <w:spacing w:before="61" w:line="200" w:lineRule="auto"/>
        <w:rPr/>
      </w:pPr>
      <w:r>
        <w:rPr>
          <w:color w:val="231F20"/>
          <w:spacing w:val="-7"/>
        </w:rPr>
        <w:t>2</w:t>
      </w:r>
      <w:r>
        <w:rPr>
          <w:color w:val="231F20"/>
          <w:spacing w:val="14"/>
        </w:rPr>
        <w:t xml:space="preserve">  </w:t>
      </w:r>
      <w:r>
        <w:rPr>
          <w:color w:val="231F20"/>
          <w:spacing w:val="-7"/>
        </w:rPr>
        <w:t>结</w:t>
      </w:r>
      <w:r>
        <w:rPr>
          <w:color w:val="231F20"/>
          <w:spacing w:val="12"/>
        </w:rPr>
        <w:t xml:space="preserve">  </w:t>
      </w:r>
      <w:r>
        <w:rPr>
          <w:color w:val="231F20"/>
          <w:spacing w:val="-7"/>
        </w:rPr>
        <w:t>果</w:t>
      </w:r>
    </w:p>
    <w:p>
      <w:pPr>
        <w:pStyle w:val="BodyText"/>
        <w:ind w:left="768" w:right="223" w:firstLine="74"/>
        <w:spacing w:before="31" w:line="237" w:lineRule="auto"/>
        <w:jc w:val="both"/>
        <w:rPr/>
      </w:pPr>
      <w:r>
        <w:rPr>
          <w:color w:val="231F20"/>
          <w:spacing w:val="3"/>
        </w:rPr>
        <w:t>2.1 两组治疗有效率比较  对照组治疗总有效率为 60.00</w:t>
      </w:r>
      <w:r>
        <w:rPr>
          <w:color w:val="231F20"/>
          <w:spacing w:val="2"/>
        </w:rPr>
        <w:t>%，</w:t>
      </w:r>
      <w:r>
        <w:rPr>
          <w:color w:val="231F20"/>
        </w:rPr>
        <w:t xml:space="preserve"> </w:t>
      </w:r>
      <w:r>
        <w:rPr>
          <w:color w:val="231F20"/>
          <w:spacing w:val="16"/>
        </w:rPr>
        <w:t>观察组治疗总有效率为 92.50%</w:t>
      </w:r>
      <w:r>
        <w:rPr>
          <w:color w:val="231F20"/>
          <w:spacing w:val="6"/>
        </w:rPr>
        <w:t xml:space="preserve"> </w:t>
      </w:r>
      <w:r>
        <w:rPr>
          <w:color w:val="231F20"/>
          <w:spacing w:val="16"/>
        </w:rPr>
        <w:t>，</w:t>
      </w:r>
      <w:r>
        <w:rPr>
          <w:color w:val="231F20"/>
          <w:spacing w:val="-29"/>
        </w:rPr>
        <w:t xml:space="preserve"> </w:t>
      </w:r>
      <w:r>
        <w:rPr>
          <w:color w:val="231F20"/>
          <w:spacing w:val="16"/>
        </w:rPr>
        <w:t>差异具有统计学意义</w:t>
      </w:r>
      <w:r>
        <w:rPr>
          <w:color w:val="231F20"/>
        </w:rPr>
        <w:t xml:space="preserve">  </w:t>
      </w:r>
      <w:r>
        <w:rPr>
          <w:color w:val="231F20"/>
          <w:spacing w:val="-10"/>
        </w:rPr>
        <w:t>（P＜0.05</w:t>
      </w:r>
      <w:r>
        <w:rPr>
          <w:color w:val="231F20"/>
          <w:spacing w:val="-29"/>
          <w:w w:val="71"/>
        </w:rPr>
        <w:t>），</w:t>
      </w:r>
      <w:r>
        <w:rPr>
          <w:color w:val="231F20"/>
          <w:spacing w:val="-10"/>
        </w:rPr>
        <w:t>见表</w:t>
      </w:r>
      <w:r>
        <w:rPr>
          <w:color w:val="231F20"/>
          <w:spacing w:val="15"/>
        </w:rPr>
        <w:t xml:space="preserve"> </w:t>
      </w:r>
      <w:r>
        <w:rPr>
          <w:color w:val="231F20"/>
          <w:spacing w:val="-10"/>
        </w:rPr>
        <w:t>1。</w:t>
      </w:r>
    </w:p>
    <w:p>
      <w:pPr>
        <w:pStyle w:val="BodyText"/>
        <w:ind w:left="1946"/>
        <w:spacing w:line="196" w:lineRule="auto"/>
        <w:outlineLvl w:val="0"/>
        <w:rPr>
          <w:sz w:val="15"/>
          <w:szCs w:val="15"/>
        </w:rPr>
      </w:pPr>
      <w:r>
        <w:rPr>
          <w:sz w:val="15"/>
          <w:szCs w:val="15"/>
          <w:color w:val="231F20"/>
          <w:spacing w:val="-7"/>
        </w:rPr>
        <w:t>表</w:t>
      </w:r>
      <w:r>
        <w:rPr>
          <w:sz w:val="15"/>
          <w:szCs w:val="15"/>
          <w:color w:val="231F20"/>
          <w:spacing w:val="12"/>
          <w:w w:val="101"/>
        </w:rPr>
        <w:t xml:space="preserve"> </w:t>
      </w:r>
      <w:r>
        <w:rPr>
          <w:sz w:val="15"/>
          <w:szCs w:val="15"/>
          <w:color w:val="231F20"/>
          <w:spacing w:val="-7"/>
        </w:rPr>
        <w:t>1</w:t>
      </w:r>
      <w:r>
        <w:rPr>
          <w:sz w:val="15"/>
          <w:szCs w:val="15"/>
          <w:color w:val="231F20"/>
          <w:spacing w:val="13"/>
          <w:w w:val="101"/>
        </w:rPr>
        <w:t xml:space="preserve">  </w:t>
      </w:r>
      <w:r>
        <w:rPr>
          <w:sz w:val="15"/>
          <w:szCs w:val="15"/>
          <w:color w:val="231F20"/>
          <w:spacing w:val="-7"/>
        </w:rPr>
        <w:t>两组治疗有效率比较[n（%）]</w:t>
      </w:r>
    </w:p>
    <w:p>
      <w:pPr>
        <w:spacing w:line="27" w:lineRule="exact"/>
        <w:rPr/>
      </w:pPr>
      <w:r/>
    </w:p>
    <w:tbl>
      <w:tblPr>
        <w:tblStyle w:val="TableNormal"/>
        <w:tblW w:w="4491" w:type="dxa"/>
        <w:tblInd w:w="83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60"/>
        <w:gridCol w:w="389"/>
        <w:gridCol w:w="681"/>
        <w:gridCol w:w="711"/>
        <w:gridCol w:w="708"/>
        <w:gridCol w:w="708"/>
        <w:gridCol w:w="734"/>
      </w:tblGrid>
      <w:tr>
        <w:trPr>
          <w:trHeight w:val="341" w:hRule="atLeast"/>
        </w:trPr>
        <w:tc>
          <w:tcPr>
            <w:tcW w:w="560" w:type="dxa"/>
            <w:vAlign w:val="top"/>
            <w:tcBorders>
              <w:bottom w:val="single" w:color="231F20" w:sz="2" w:space="0"/>
              <w:top w:val="single" w:color="231F20" w:sz="6" w:space="0"/>
            </w:tcBorders>
          </w:tcPr>
          <w:p>
            <w:pPr>
              <w:pStyle w:val="TableText"/>
              <w:ind w:left="149"/>
              <w:spacing w:before="88" w:line="189" w:lineRule="auto"/>
              <w:rPr/>
            </w:pPr>
            <w:r>
              <w:rPr>
                <w:color w:val="231F20"/>
                <w:spacing w:val="-3"/>
                <w:w w:val="98"/>
              </w:rPr>
              <w:t>组别</w:t>
            </w:r>
          </w:p>
        </w:tc>
        <w:tc>
          <w:tcPr>
            <w:tcW w:w="389" w:type="dxa"/>
            <w:vAlign w:val="top"/>
            <w:tcBorders>
              <w:bottom w:val="single" w:color="231F20" w:sz="2" w:space="0"/>
              <w:top w:val="single" w:color="231F20" w:sz="6" w:space="0"/>
            </w:tcBorders>
          </w:tcPr>
          <w:p>
            <w:pPr>
              <w:pStyle w:val="TableText"/>
              <w:ind w:left="70"/>
              <w:spacing w:before="92" w:line="186" w:lineRule="auto"/>
              <w:rPr>
                <w:sz w:val="14"/>
                <w:szCs w:val="14"/>
              </w:rPr>
            </w:pPr>
            <w:r>
              <w:rPr>
                <w:sz w:val="14"/>
                <w:szCs w:val="14"/>
                <w:color w:val="231F20"/>
                <w:spacing w:val="-1"/>
                <w:w w:val="95"/>
              </w:rPr>
              <w:t>例数</w:t>
            </w:r>
          </w:p>
        </w:tc>
        <w:tc>
          <w:tcPr>
            <w:tcW w:w="681" w:type="dxa"/>
            <w:vAlign w:val="top"/>
            <w:tcBorders>
              <w:bottom w:val="single" w:color="231F20" w:sz="2" w:space="0"/>
              <w:top w:val="single" w:color="231F20" w:sz="6" w:space="0"/>
            </w:tcBorders>
          </w:tcPr>
          <w:p>
            <w:pPr>
              <w:pStyle w:val="TableText"/>
              <w:ind w:left="204"/>
              <w:spacing w:before="88" w:line="192" w:lineRule="auto"/>
              <w:rPr/>
            </w:pPr>
            <w:r>
              <w:rPr>
                <w:color w:val="231F20"/>
                <w:spacing w:val="-3"/>
                <w:w w:val="97"/>
              </w:rPr>
              <w:t>治愈</w:t>
            </w:r>
          </w:p>
        </w:tc>
        <w:tc>
          <w:tcPr>
            <w:tcW w:w="711" w:type="dxa"/>
            <w:vAlign w:val="top"/>
            <w:tcBorders>
              <w:bottom w:val="single" w:color="231F20" w:sz="2" w:space="0"/>
              <w:top w:val="single" w:color="231F20" w:sz="6" w:space="0"/>
            </w:tcBorders>
          </w:tcPr>
          <w:p>
            <w:pPr>
              <w:pStyle w:val="TableText"/>
              <w:ind w:left="224"/>
              <w:spacing w:before="88" w:line="189" w:lineRule="auto"/>
              <w:rPr/>
            </w:pPr>
            <w:r>
              <w:rPr>
                <w:color w:val="231F20"/>
                <w:spacing w:val="-3"/>
                <w:w w:val="97"/>
              </w:rPr>
              <w:t>显效</w:t>
            </w:r>
          </w:p>
        </w:tc>
        <w:tc>
          <w:tcPr>
            <w:tcW w:w="708" w:type="dxa"/>
            <w:vAlign w:val="top"/>
            <w:tcBorders>
              <w:bottom w:val="single" w:color="231F20" w:sz="2" w:space="0"/>
              <w:top w:val="single" w:color="231F20" w:sz="6" w:space="0"/>
            </w:tcBorders>
          </w:tcPr>
          <w:p>
            <w:pPr>
              <w:pStyle w:val="TableText"/>
              <w:ind w:left="221"/>
              <w:spacing w:before="88" w:line="189" w:lineRule="auto"/>
              <w:rPr/>
            </w:pPr>
            <w:r>
              <w:rPr>
                <w:color w:val="231F20"/>
                <w:spacing w:val="-3"/>
                <w:w w:val="98"/>
              </w:rPr>
              <w:t>好转</w:t>
            </w:r>
          </w:p>
        </w:tc>
        <w:tc>
          <w:tcPr>
            <w:tcW w:w="708" w:type="dxa"/>
            <w:vAlign w:val="top"/>
            <w:tcBorders>
              <w:bottom w:val="single" w:color="231F20" w:sz="2" w:space="0"/>
              <w:top w:val="single" w:color="231F20" w:sz="6" w:space="0"/>
            </w:tcBorders>
          </w:tcPr>
          <w:p>
            <w:pPr>
              <w:pStyle w:val="TableText"/>
              <w:ind w:left="221"/>
              <w:spacing w:before="80" w:line="196" w:lineRule="auto"/>
              <w:rPr/>
            </w:pPr>
            <w:r>
              <w:rPr>
                <w:color w:val="231F20"/>
                <w:spacing w:val="-1"/>
                <w:w w:val="96"/>
              </w:rPr>
              <w:t>无效</w:t>
            </w:r>
          </w:p>
        </w:tc>
        <w:tc>
          <w:tcPr>
            <w:tcW w:w="734" w:type="dxa"/>
            <w:vAlign w:val="top"/>
            <w:tcBorders>
              <w:bottom w:val="single" w:color="231F20" w:sz="2" w:space="0"/>
              <w:top w:val="single" w:color="231F20" w:sz="6" w:space="0"/>
            </w:tcBorders>
          </w:tcPr>
          <w:p>
            <w:pPr>
              <w:pStyle w:val="TableText"/>
              <w:ind w:left="169"/>
              <w:spacing w:before="89" w:line="188" w:lineRule="auto"/>
              <w:rPr/>
            </w:pPr>
            <w:r>
              <w:rPr>
                <w:color w:val="231F20"/>
                <w:spacing w:val="-1"/>
                <w:w w:val="94"/>
              </w:rPr>
              <w:t>总有效</w:t>
            </w:r>
          </w:p>
        </w:tc>
      </w:tr>
      <w:tr>
        <w:trPr>
          <w:trHeight w:val="394" w:hRule="atLeast"/>
        </w:trPr>
        <w:tc>
          <w:tcPr>
            <w:tcW w:w="560" w:type="dxa"/>
            <w:vAlign w:val="top"/>
            <w:tcBorders>
              <w:top w:val="single" w:color="231F20" w:sz="2" w:space="0"/>
            </w:tcBorders>
          </w:tcPr>
          <w:p>
            <w:pPr>
              <w:pStyle w:val="TableText"/>
              <w:ind w:left="78"/>
              <w:spacing w:before="128" w:line="198" w:lineRule="auto"/>
              <w:rPr/>
            </w:pPr>
            <w:r>
              <w:rPr>
                <w:color w:val="231F20"/>
                <w:spacing w:val="-4"/>
                <w:w w:val="97"/>
              </w:rPr>
              <w:t>对照组</w:t>
            </w:r>
          </w:p>
        </w:tc>
        <w:tc>
          <w:tcPr>
            <w:tcW w:w="389" w:type="dxa"/>
            <w:vAlign w:val="top"/>
            <w:tcBorders>
              <w:top w:val="single" w:color="231F20" w:sz="2" w:space="0"/>
            </w:tcBorders>
          </w:tcPr>
          <w:p>
            <w:pPr>
              <w:pStyle w:val="TableText"/>
              <w:ind w:left="129"/>
              <w:spacing w:before="158" w:line="200" w:lineRule="auto"/>
              <w:rPr/>
            </w:pPr>
            <w:r>
              <w:rPr>
                <w:color w:val="231F20"/>
                <w:spacing w:val="-6"/>
                <w:w w:val="96"/>
              </w:rPr>
              <w:t>40</w:t>
            </w:r>
          </w:p>
        </w:tc>
        <w:tc>
          <w:tcPr>
            <w:tcW w:w="681" w:type="dxa"/>
            <w:vAlign w:val="top"/>
            <w:tcBorders>
              <w:top w:val="single" w:color="231F20" w:sz="2" w:space="0"/>
            </w:tcBorders>
          </w:tcPr>
          <w:p>
            <w:pPr>
              <w:pStyle w:val="TableText"/>
              <w:spacing w:before="137" w:line="198" w:lineRule="auto"/>
              <w:jc w:val="right"/>
              <w:rPr/>
            </w:pPr>
            <w:r>
              <w:rPr>
                <w:color w:val="231F20"/>
                <w:spacing w:val="-16"/>
                <w:w w:val="90"/>
              </w:rPr>
              <w:t>4（10.00）</w:t>
            </w:r>
          </w:p>
        </w:tc>
        <w:tc>
          <w:tcPr>
            <w:tcW w:w="711" w:type="dxa"/>
            <w:vAlign w:val="top"/>
            <w:tcBorders>
              <w:top w:val="single" w:color="231F20" w:sz="2" w:space="0"/>
            </w:tcBorders>
          </w:tcPr>
          <w:p>
            <w:pPr>
              <w:pStyle w:val="TableText"/>
              <w:spacing w:before="137" w:line="198" w:lineRule="auto"/>
              <w:jc w:val="right"/>
              <w:rPr/>
            </w:pPr>
            <w:r>
              <w:rPr>
                <w:color w:val="231F20"/>
                <w:spacing w:val="-20"/>
                <w:w w:val="93"/>
              </w:rPr>
              <w:t>11（27.50）</w:t>
            </w:r>
          </w:p>
        </w:tc>
        <w:tc>
          <w:tcPr>
            <w:tcW w:w="708" w:type="dxa"/>
            <w:vAlign w:val="top"/>
            <w:tcBorders>
              <w:top w:val="single" w:color="231F20" w:sz="2" w:space="0"/>
            </w:tcBorders>
          </w:tcPr>
          <w:p>
            <w:pPr>
              <w:pStyle w:val="TableText"/>
              <w:ind w:right="7"/>
              <w:spacing w:before="137" w:line="198" w:lineRule="auto"/>
              <w:jc w:val="right"/>
              <w:rPr/>
            </w:pPr>
            <w:r>
              <w:rPr>
                <w:color w:val="231F20"/>
                <w:spacing w:val="-18"/>
                <w:w w:val="95"/>
              </w:rPr>
              <w:t>9（22.50）</w:t>
            </w:r>
          </w:p>
        </w:tc>
        <w:tc>
          <w:tcPr>
            <w:tcW w:w="708" w:type="dxa"/>
            <w:vAlign w:val="top"/>
            <w:tcBorders>
              <w:top w:val="single" w:color="231F20" w:sz="2" w:space="0"/>
            </w:tcBorders>
          </w:tcPr>
          <w:p>
            <w:pPr>
              <w:pStyle w:val="TableText"/>
              <w:spacing w:before="137" w:line="198" w:lineRule="auto"/>
              <w:jc w:val="right"/>
              <w:rPr/>
            </w:pPr>
            <w:r>
              <w:rPr>
                <w:color w:val="231F20"/>
                <w:spacing w:val="-14"/>
                <w:w w:val="87"/>
              </w:rPr>
              <w:t>16（40.00）</w:t>
            </w:r>
          </w:p>
        </w:tc>
        <w:tc>
          <w:tcPr>
            <w:tcW w:w="734" w:type="dxa"/>
            <w:vAlign w:val="top"/>
            <w:tcBorders>
              <w:top w:val="single" w:color="231F20" w:sz="2" w:space="0"/>
            </w:tcBorders>
          </w:tcPr>
          <w:p>
            <w:pPr>
              <w:pStyle w:val="TableText"/>
              <w:spacing w:before="137" w:line="198" w:lineRule="auto"/>
              <w:jc w:val="right"/>
              <w:rPr/>
            </w:pPr>
            <w:r>
              <w:rPr>
                <w:color w:val="231F20"/>
                <w:spacing w:val="-13"/>
                <w:w w:val="87"/>
              </w:rPr>
              <w:t>24（60.00）</w:t>
            </w:r>
          </w:p>
        </w:tc>
      </w:tr>
      <w:tr>
        <w:trPr>
          <w:trHeight w:val="377" w:hRule="atLeast"/>
        </w:trPr>
        <w:tc>
          <w:tcPr>
            <w:tcW w:w="560" w:type="dxa"/>
            <w:vAlign w:val="top"/>
          </w:tcPr>
          <w:p>
            <w:pPr>
              <w:pStyle w:val="TableText"/>
              <w:ind w:left="81"/>
              <w:spacing w:before="117" w:line="190" w:lineRule="auto"/>
              <w:rPr/>
            </w:pPr>
            <w:r>
              <w:rPr>
                <w:color w:val="231F20"/>
                <w:spacing w:val="-3"/>
                <w:w w:val="96"/>
              </w:rPr>
              <w:t>观察组</w:t>
            </w:r>
          </w:p>
        </w:tc>
        <w:tc>
          <w:tcPr>
            <w:tcW w:w="389" w:type="dxa"/>
            <w:vAlign w:val="top"/>
          </w:tcPr>
          <w:p>
            <w:pPr>
              <w:pStyle w:val="TableText"/>
              <w:ind w:left="129"/>
              <w:spacing w:before="139" w:line="200" w:lineRule="auto"/>
              <w:rPr/>
            </w:pPr>
            <w:r>
              <w:rPr>
                <w:color w:val="231F20"/>
                <w:spacing w:val="-6"/>
                <w:w w:val="96"/>
              </w:rPr>
              <w:t>40</w:t>
            </w:r>
          </w:p>
        </w:tc>
        <w:tc>
          <w:tcPr>
            <w:tcW w:w="681" w:type="dxa"/>
            <w:vAlign w:val="top"/>
          </w:tcPr>
          <w:p>
            <w:pPr>
              <w:pStyle w:val="TableText"/>
              <w:spacing w:before="117" w:line="198" w:lineRule="auto"/>
              <w:jc w:val="right"/>
              <w:rPr/>
            </w:pPr>
            <w:r>
              <w:rPr>
                <w:color w:val="231F20"/>
                <w:spacing w:val="-18"/>
                <w:w w:val="89"/>
              </w:rPr>
              <w:t>13（32.50）</w:t>
            </w:r>
          </w:p>
        </w:tc>
        <w:tc>
          <w:tcPr>
            <w:tcW w:w="711" w:type="dxa"/>
            <w:vAlign w:val="top"/>
          </w:tcPr>
          <w:p>
            <w:pPr>
              <w:pStyle w:val="TableText"/>
              <w:spacing w:before="117" w:line="198" w:lineRule="auto"/>
              <w:jc w:val="right"/>
              <w:rPr/>
            </w:pPr>
            <w:r>
              <w:rPr>
                <w:color w:val="231F20"/>
                <w:spacing w:val="-17"/>
                <w:w w:val="90"/>
              </w:rPr>
              <w:t>12（30.00）</w:t>
            </w:r>
          </w:p>
        </w:tc>
        <w:tc>
          <w:tcPr>
            <w:tcW w:w="708" w:type="dxa"/>
            <w:vAlign w:val="top"/>
          </w:tcPr>
          <w:p>
            <w:pPr>
              <w:pStyle w:val="TableText"/>
              <w:spacing w:before="117" w:line="198" w:lineRule="auto"/>
              <w:jc w:val="right"/>
              <w:rPr/>
            </w:pPr>
            <w:r>
              <w:rPr>
                <w:color w:val="231F20"/>
                <w:spacing w:val="-17"/>
                <w:w w:val="90"/>
              </w:rPr>
              <w:t>12（30.00）</w:t>
            </w:r>
          </w:p>
        </w:tc>
        <w:tc>
          <w:tcPr>
            <w:tcW w:w="708" w:type="dxa"/>
            <w:vAlign w:val="top"/>
          </w:tcPr>
          <w:p>
            <w:pPr>
              <w:pStyle w:val="TableText"/>
              <w:ind w:left="138"/>
              <w:spacing w:before="117" w:line="198" w:lineRule="auto"/>
              <w:rPr/>
            </w:pPr>
            <w:r>
              <w:rPr>
                <w:color w:val="231F20"/>
                <w:spacing w:val="-19"/>
                <w:w w:val="96"/>
              </w:rPr>
              <w:t>3（7.50）</w:t>
            </w:r>
          </w:p>
        </w:tc>
        <w:tc>
          <w:tcPr>
            <w:tcW w:w="734" w:type="dxa"/>
            <w:vAlign w:val="top"/>
          </w:tcPr>
          <w:p>
            <w:pPr>
              <w:pStyle w:val="TableText"/>
              <w:spacing w:before="117" w:line="198" w:lineRule="auto"/>
              <w:jc w:val="right"/>
              <w:rPr/>
            </w:pPr>
            <w:r>
              <w:rPr>
                <w:color w:val="231F20"/>
                <w:spacing w:val="-17"/>
                <w:w w:val="91"/>
              </w:rPr>
              <w:t>37（92.50）</w:t>
            </w:r>
          </w:p>
        </w:tc>
      </w:tr>
      <w:tr>
        <w:trPr>
          <w:trHeight w:val="384" w:hRule="atLeast"/>
        </w:trPr>
        <w:tc>
          <w:tcPr>
            <w:tcW w:w="560" w:type="dxa"/>
            <w:vAlign w:val="top"/>
          </w:tcPr>
          <w:p>
            <w:pPr>
              <w:pStyle w:val="TableText"/>
              <w:ind w:left="225"/>
              <w:spacing w:before="124" w:line="174" w:lineRule="auto"/>
              <w:rPr>
                <w:sz w:val="8"/>
                <w:szCs w:val="8"/>
              </w:rPr>
            </w:pPr>
            <w:r>
              <w:rPr>
                <w:color w:val="231F20"/>
                <w:spacing w:val="-3"/>
                <w:position w:val="-2"/>
              </w:rPr>
              <w:t>χ</w:t>
            </w:r>
            <w:r>
              <w:rPr>
                <w:sz w:val="8"/>
                <w:szCs w:val="8"/>
                <w:color w:val="231F20"/>
                <w:spacing w:val="-3"/>
                <w:position w:val="3"/>
              </w:rPr>
              <w:t>2</w:t>
            </w:r>
          </w:p>
        </w:tc>
        <w:tc>
          <w:tcPr>
            <w:tcW w:w="389" w:type="dxa"/>
            <w:vAlign w:val="top"/>
          </w:tcPr>
          <w:p>
            <w:pPr>
              <w:rPr>
                <w:rFonts w:ascii="Arial"/>
                <w:sz w:val="21"/>
              </w:rPr>
            </w:pPr>
            <w:r/>
          </w:p>
        </w:tc>
        <w:tc>
          <w:tcPr>
            <w:tcW w:w="681" w:type="dxa"/>
            <w:vAlign w:val="top"/>
          </w:tcPr>
          <w:p>
            <w:pPr>
              <w:pStyle w:val="TableText"/>
              <w:ind w:left="163"/>
              <w:spacing w:before="134" w:line="200" w:lineRule="auto"/>
              <w:rPr/>
            </w:pPr>
            <w:r>
              <w:rPr>
                <w:color w:val="231F20"/>
                <w:spacing w:val="-15"/>
              </w:rPr>
              <w:t>15.126</w:t>
            </w:r>
          </w:p>
        </w:tc>
        <w:tc>
          <w:tcPr>
            <w:tcW w:w="711" w:type="dxa"/>
            <w:vAlign w:val="top"/>
          </w:tcPr>
          <w:p>
            <w:pPr>
              <w:pStyle w:val="TableText"/>
              <w:ind w:left="207"/>
              <w:spacing w:before="134" w:line="200" w:lineRule="auto"/>
              <w:rPr/>
            </w:pPr>
            <w:r>
              <w:rPr>
                <w:color w:val="231F20"/>
                <w:spacing w:val="-12"/>
              </w:rPr>
              <w:t>0.153</w:t>
            </w:r>
          </w:p>
        </w:tc>
        <w:tc>
          <w:tcPr>
            <w:tcW w:w="708" w:type="dxa"/>
            <w:vAlign w:val="top"/>
          </w:tcPr>
          <w:p>
            <w:pPr>
              <w:pStyle w:val="TableText"/>
              <w:ind w:left="217"/>
              <w:spacing w:before="134" w:line="200" w:lineRule="auto"/>
              <w:rPr/>
            </w:pPr>
            <w:r>
              <w:rPr>
                <w:color w:val="231F20"/>
                <w:spacing w:val="-14"/>
              </w:rPr>
              <w:t>1.453</w:t>
            </w:r>
          </w:p>
        </w:tc>
        <w:tc>
          <w:tcPr>
            <w:tcW w:w="708" w:type="dxa"/>
            <w:vAlign w:val="top"/>
          </w:tcPr>
          <w:p>
            <w:pPr>
              <w:pStyle w:val="TableText"/>
              <w:ind w:left="171"/>
              <w:spacing w:before="134" w:line="200" w:lineRule="auto"/>
              <w:rPr/>
            </w:pPr>
            <w:r>
              <w:rPr>
                <w:color w:val="231F20"/>
                <w:spacing w:val="-14"/>
              </w:rPr>
              <w:t>29.163</w:t>
            </w:r>
          </w:p>
        </w:tc>
        <w:tc>
          <w:tcPr>
            <w:tcW w:w="734" w:type="dxa"/>
            <w:vAlign w:val="top"/>
          </w:tcPr>
          <w:p>
            <w:pPr>
              <w:pStyle w:val="TableText"/>
              <w:ind w:left="183"/>
              <w:spacing w:before="134" w:line="200" w:lineRule="auto"/>
              <w:rPr/>
            </w:pPr>
            <w:r>
              <w:rPr>
                <w:color w:val="231F20"/>
                <w:spacing w:val="-14"/>
              </w:rPr>
              <w:t>29.163</w:t>
            </w:r>
          </w:p>
        </w:tc>
      </w:tr>
      <w:tr>
        <w:trPr>
          <w:trHeight w:val="395" w:hRule="atLeast"/>
        </w:trPr>
        <w:tc>
          <w:tcPr>
            <w:tcW w:w="560" w:type="dxa"/>
            <w:vAlign w:val="top"/>
            <w:tcBorders>
              <w:bottom w:val="single" w:color="231F20" w:sz="6" w:space="0"/>
            </w:tcBorders>
          </w:tcPr>
          <w:p>
            <w:pPr>
              <w:pStyle w:val="TableText"/>
              <w:ind w:left="240"/>
              <w:spacing w:before="130" w:line="165" w:lineRule="auto"/>
              <w:rPr/>
            </w:pPr>
            <w:r>
              <w:rPr>
                <w:color w:val="231F20"/>
                <w:spacing w:val="6"/>
              </w:rPr>
              <w:t>P</w:t>
            </w:r>
          </w:p>
        </w:tc>
        <w:tc>
          <w:tcPr>
            <w:tcW w:w="389" w:type="dxa"/>
            <w:vAlign w:val="top"/>
            <w:tcBorders>
              <w:bottom w:val="single" w:color="231F20" w:sz="6" w:space="0"/>
            </w:tcBorders>
          </w:tcPr>
          <w:p>
            <w:pPr>
              <w:rPr>
                <w:rFonts w:ascii="Arial"/>
                <w:sz w:val="21"/>
              </w:rPr>
            </w:pPr>
            <w:r/>
          </w:p>
        </w:tc>
        <w:tc>
          <w:tcPr>
            <w:tcW w:w="681" w:type="dxa"/>
            <w:vAlign w:val="top"/>
            <w:tcBorders>
              <w:bottom w:val="single" w:color="231F20" w:sz="6" w:space="0"/>
            </w:tcBorders>
          </w:tcPr>
          <w:p>
            <w:pPr>
              <w:pStyle w:val="TableText"/>
              <w:ind w:left="186"/>
              <w:spacing w:before="125" w:line="200" w:lineRule="auto"/>
              <w:rPr/>
            </w:pPr>
            <w:r>
              <w:rPr>
                <w:color w:val="231F20"/>
                <w:spacing w:val="-12"/>
              </w:rPr>
              <w:t>0.000</w:t>
            </w:r>
          </w:p>
        </w:tc>
        <w:tc>
          <w:tcPr>
            <w:tcW w:w="711" w:type="dxa"/>
            <w:vAlign w:val="top"/>
            <w:tcBorders>
              <w:bottom w:val="single" w:color="231F20" w:sz="6" w:space="0"/>
            </w:tcBorders>
          </w:tcPr>
          <w:p>
            <w:pPr>
              <w:pStyle w:val="TableText"/>
              <w:ind w:left="207"/>
              <w:spacing w:before="125" w:line="200" w:lineRule="auto"/>
              <w:rPr/>
            </w:pPr>
            <w:r>
              <w:rPr>
                <w:color w:val="231F20"/>
                <w:spacing w:val="-12"/>
              </w:rPr>
              <w:t>0.696</w:t>
            </w:r>
          </w:p>
        </w:tc>
        <w:tc>
          <w:tcPr>
            <w:tcW w:w="708" w:type="dxa"/>
            <w:vAlign w:val="top"/>
            <w:tcBorders>
              <w:bottom w:val="single" w:color="231F20" w:sz="6" w:space="0"/>
            </w:tcBorders>
          </w:tcPr>
          <w:p>
            <w:pPr>
              <w:pStyle w:val="TableText"/>
              <w:ind w:left="205"/>
              <w:spacing w:before="125" w:line="200" w:lineRule="auto"/>
              <w:rPr/>
            </w:pPr>
            <w:r>
              <w:rPr>
                <w:color w:val="231F20"/>
                <w:spacing w:val="-12"/>
              </w:rPr>
              <w:t>0.228</w:t>
            </w:r>
          </w:p>
        </w:tc>
        <w:tc>
          <w:tcPr>
            <w:tcW w:w="708" w:type="dxa"/>
            <w:vAlign w:val="top"/>
            <w:tcBorders>
              <w:bottom w:val="single" w:color="231F20" w:sz="6" w:space="0"/>
            </w:tcBorders>
          </w:tcPr>
          <w:p>
            <w:pPr>
              <w:pStyle w:val="TableText"/>
              <w:ind w:left="205"/>
              <w:spacing w:before="125" w:line="200" w:lineRule="auto"/>
              <w:rPr/>
            </w:pPr>
            <w:r>
              <w:rPr>
                <w:color w:val="231F20"/>
                <w:spacing w:val="-12"/>
              </w:rPr>
              <w:t>0.000</w:t>
            </w:r>
          </w:p>
        </w:tc>
        <w:tc>
          <w:tcPr>
            <w:tcW w:w="734" w:type="dxa"/>
            <w:vAlign w:val="top"/>
            <w:tcBorders>
              <w:bottom w:val="single" w:color="231F20" w:sz="6" w:space="0"/>
            </w:tcBorders>
          </w:tcPr>
          <w:p>
            <w:pPr>
              <w:pStyle w:val="TableText"/>
              <w:ind w:left="217"/>
              <w:spacing w:before="125" w:line="200" w:lineRule="auto"/>
              <w:rPr/>
            </w:pPr>
            <w:r>
              <w:rPr>
                <w:color w:val="231F20"/>
                <w:spacing w:val="-12"/>
              </w:rPr>
              <w:t>0.000</w:t>
            </w:r>
          </w:p>
        </w:tc>
      </w:tr>
    </w:tbl>
    <w:p>
      <w:pPr>
        <w:pStyle w:val="BodyText"/>
        <w:ind w:left="843"/>
        <w:spacing w:before="93" w:line="164" w:lineRule="auto"/>
        <w:rPr/>
      </w:pPr>
      <w:r>
        <w:rPr>
          <w:color w:val="231F20"/>
          <w:spacing w:val="6"/>
        </w:rPr>
        <w:t>2.2 两组治疗前后数据比较  两组接受治疗后，盆腔积液深</w:t>
      </w:r>
    </w:p>
    <w:p>
      <w:pPr>
        <w:spacing w:line="14" w:lineRule="auto"/>
        <w:rPr>
          <w:rFonts w:ascii="Arial"/>
          <w:sz w:val="2"/>
        </w:rPr>
      </w:pPr>
      <w:r>
        <w:rPr>
          <w:rFonts w:ascii="Arial" w:hAnsi="Arial" w:eastAsia="Arial" w:cs="Arial"/>
          <w:sz w:val="2"/>
          <w:szCs w:val="2"/>
        </w:rPr>
        <w:br w:type="column"/>
      </w:r>
    </w:p>
    <w:p>
      <w:pPr>
        <w:pStyle w:val="BodyText"/>
        <w:ind w:right="64" w:firstLine="72"/>
        <w:spacing w:before="38" w:line="236" w:lineRule="auto"/>
        <w:jc w:val="both"/>
        <w:rPr/>
      </w:pPr>
      <w:r>
        <w:rPr>
          <w:color w:val="231F20"/>
          <w:spacing w:val="2"/>
        </w:rPr>
        <w:t>度、盆腔炎性包块平均直径和中医症候评分都有所改善，治</w:t>
      </w:r>
      <w:r>
        <w:rPr>
          <w:color w:val="231F20"/>
          <w:spacing w:val="6"/>
        </w:rPr>
        <w:t xml:space="preserve"> </w:t>
      </w:r>
      <w:r>
        <w:rPr>
          <w:color w:val="231F20"/>
          <w:spacing w:val="6"/>
        </w:rPr>
        <w:t>疗前后数值差异具有统计学意义（P＜0.05</w:t>
      </w:r>
      <w:r>
        <w:rPr>
          <w:color w:val="231F20"/>
          <w:spacing w:val="-32"/>
          <w:w w:val="79"/>
        </w:rPr>
        <w:t>）；</w:t>
      </w:r>
      <w:r>
        <w:rPr>
          <w:color w:val="231F20"/>
          <w:spacing w:val="6"/>
        </w:rPr>
        <w:t>观察组各项指</w:t>
      </w:r>
      <w:r>
        <w:rPr>
          <w:color w:val="231F20"/>
        </w:rPr>
        <w:t xml:space="preserve"> </w:t>
      </w:r>
      <w:r>
        <w:rPr>
          <w:color w:val="231F20"/>
          <w:spacing w:val="22"/>
        </w:rPr>
        <w:t>标的下降幅度高于对照组 ，</w:t>
      </w:r>
      <w:r>
        <w:rPr>
          <w:color w:val="231F20"/>
          <w:spacing w:val="-27"/>
        </w:rPr>
        <w:t xml:space="preserve"> </w:t>
      </w:r>
      <w:r>
        <w:rPr>
          <w:color w:val="231F20"/>
          <w:spacing w:val="22"/>
        </w:rPr>
        <w:t>数值差</w:t>
      </w:r>
      <w:r>
        <w:rPr>
          <w:color w:val="231F20"/>
          <w:spacing w:val="-29"/>
        </w:rPr>
        <w:t xml:space="preserve"> </w:t>
      </w:r>
      <w:r>
        <w:rPr>
          <w:color w:val="231F20"/>
          <w:spacing w:val="22"/>
        </w:rPr>
        <w:t>异</w:t>
      </w:r>
      <w:r>
        <w:rPr>
          <w:color w:val="231F20"/>
          <w:spacing w:val="-29"/>
        </w:rPr>
        <w:t xml:space="preserve"> </w:t>
      </w:r>
      <w:r>
        <w:rPr>
          <w:color w:val="231F20"/>
          <w:spacing w:val="22"/>
        </w:rPr>
        <w:t>具有统计</w:t>
      </w:r>
      <w:r>
        <w:rPr>
          <w:color w:val="231F20"/>
          <w:spacing w:val="21"/>
        </w:rPr>
        <w:t>学意义</w:t>
      </w:r>
      <w:r>
        <w:rPr>
          <w:color w:val="231F20"/>
        </w:rPr>
        <w:t xml:space="preserve"> </w:t>
      </w:r>
      <w:r>
        <w:rPr>
          <w:color w:val="231F20"/>
          <w:spacing w:val="-12"/>
        </w:rPr>
        <w:t>（P＜0.05）。见表 2。</w:t>
      </w:r>
    </w:p>
    <w:p>
      <w:pPr>
        <w:pStyle w:val="BodyText"/>
        <w:ind w:left="1140"/>
        <w:spacing w:line="196" w:lineRule="auto"/>
        <w:rPr>
          <w:sz w:val="15"/>
          <w:szCs w:val="15"/>
        </w:rPr>
      </w:pPr>
      <w:r>
        <w:pict>
          <v:shape id="_x0000_s10" style="position:absolute;margin-left:159.787pt;margin-top:1.21142pt;mso-position-vertical-relative:text;mso-position-horizontal-relative:text;width:2.7pt;height:0.2pt;z-index:251661312;" filled="false" strokecolor="#231F20" strokeweight="0.20pt" coordsize="54,4" coordorigin="0,0" path="m0,1l53,1e">
            <v:stroke joinstyle="miter" miterlimit="10"/>
          </v:shape>
        </w:pict>
      </w:r>
      <w:r>
        <w:rPr>
          <w:sz w:val="15"/>
          <w:szCs w:val="15"/>
          <w:color w:val="231F20"/>
          <w:spacing w:val="-3"/>
        </w:rPr>
        <w:t>表 2</w:t>
      </w:r>
      <w:r>
        <w:rPr>
          <w:sz w:val="15"/>
          <w:szCs w:val="15"/>
          <w:color w:val="231F20"/>
          <w:spacing w:val="20"/>
        </w:rPr>
        <w:t xml:space="preserve">  </w:t>
      </w:r>
      <w:r>
        <w:rPr>
          <w:sz w:val="15"/>
          <w:szCs w:val="15"/>
          <w:color w:val="231F20"/>
          <w:spacing w:val="-3"/>
        </w:rPr>
        <w:t>两组治疗前后数据比较（</w:t>
      </w:r>
      <w:r>
        <w:rPr>
          <w:sz w:val="15"/>
          <w:szCs w:val="15"/>
          <w:color w:val="231F20"/>
          <w:spacing w:val="-3"/>
        </w:rPr>
        <w:t>x</w:t>
      </w:r>
      <w:r>
        <w:rPr>
          <w:sz w:val="15"/>
          <w:szCs w:val="15"/>
          <w:color w:val="231F20"/>
          <w:spacing w:val="-3"/>
        </w:rPr>
        <w:t>±s）</w:t>
      </w:r>
    </w:p>
    <w:p>
      <w:pPr>
        <w:spacing w:line="82" w:lineRule="auto"/>
        <w:rPr>
          <w:rFonts w:ascii="Arial"/>
          <w:sz w:val="2"/>
        </w:rPr>
      </w:pPr>
      <w:r>
        <w:rPr>
          <w:rFonts w:ascii="Arial"/>
          <w:sz w:val="2"/>
        </w:rPr>
      </w:r>
    </w:p>
    <w:tbl>
      <w:tblPr>
        <w:tblStyle w:val="TableNormal"/>
        <w:tblW w:w="4494" w:type="dxa"/>
        <w:tblInd w:w="5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47"/>
        <w:gridCol w:w="365"/>
        <w:gridCol w:w="635"/>
        <w:gridCol w:w="592"/>
        <w:gridCol w:w="599"/>
        <w:gridCol w:w="591"/>
        <w:gridCol w:w="565"/>
        <w:gridCol w:w="600"/>
      </w:tblGrid>
      <w:tr>
        <w:trPr>
          <w:trHeight w:val="301" w:hRule="atLeast"/>
        </w:trPr>
        <w:tc>
          <w:tcPr>
            <w:tcW w:w="547" w:type="dxa"/>
            <w:vAlign w:val="top"/>
            <w:vMerge w:val="restart"/>
            <w:tcBorders>
              <w:bottom w:val="nil"/>
              <w:top w:val="single" w:color="231F20" w:sz="6" w:space="0"/>
            </w:tcBorders>
          </w:tcPr>
          <w:p>
            <w:pPr>
              <w:spacing w:line="334" w:lineRule="auto"/>
              <w:rPr>
                <w:rFonts w:ascii="Arial"/>
                <w:sz w:val="21"/>
              </w:rPr>
            </w:pPr>
            <w:r/>
          </w:p>
          <w:p>
            <w:pPr>
              <w:pStyle w:val="TableText"/>
              <w:ind w:left="124"/>
              <w:spacing w:before="64" w:line="189" w:lineRule="auto"/>
              <w:rPr/>
            </w:pPr>
            <w:r>
              <w:rPr>
                <w:color w:val="231F20"/>
                <w:spacing w:val="7"/>
              </w:rPr>
              <w:t>组别</w:t>
            </w:r>
          </w:p>
        </w:tc>
        <w:tc>
          <w:tcPr>
            <w:tcW w:w="365" w:type="dxa"/>
            <w:vAlign w:val="top"/>
            <w:vMerge w:val="restart"/>
            <w:textDirection w:val="tbRlV"/>
            <w:tcBorders>
              <w:bottom w:val="nil"/>
              <w:top w:val="single" w:color="231F20" w:sz="6" w:space="0"/>
            </w:tcBorders>
          </w:tcPr>
          <w:p>
            <w:pPr>
              <w:pStyle w:val="TableText"/>
              <w:ind w:left="288"/>
              <w:spacing w:before="94" w:line="188" w:lineRule="auto"/>
              <w:rPr/>
            </w:pPr>
            <w:r>
              <w:rPr>
                <w:color w:val="231F20"/>
                <w:spacing w:val="3"/>
              </w:rPr>
              <w:t>例</w:t>
            </w:r>
            <w:r>
              <w:rPr>
                <w:color w:val="231F20"/>
                <w:spacing w:val="25"/>
              </w:rPr>
              <w:t xml:space="preserve"> </w:t>
            </w:r>
            <w:r>
              <w:rPr>
                <w:color w:val="231F20"/>
                <w:spacing w:val="3"/>
              </w:rPr>
              <w:t>数</w:t>
            </w:r>
          </w:p>
        </w:tc>
        <w:tc>
          <w:tcPr>
            <w:tcW w:w="1227" w:type="dxa"/>
            <w:vAlign w:val="top"/>
            <w:gridSpan w:val="2"/>
            <w:vMerge w:val="restart"/>
            <w:tcBorders>
              <w:bottom w:val="nil"/>
              <w:top w:val="single" w:color="231F20" w:sz="6" w:space="0"/>
            </w:tcBorders>
          </w:tcPr>
          <w:p>
            <w:pPr>
              <w:pStyle w:val="TableText"/>
              <w:ind w:left="141"/>
              <w:spacing w:before="82" w:line="199" w:lineRule="auto"/>
              <w:rPr/>
            </w:pPr>
            <w:r>
              <w:rPr>
                <w:color w:val="231F20"/>
                <w:spacing w:val="8"/>
              </w:rPr>
              <w:t>盆腔积液深度</w:t>
            </w:r>
          </w:p>
          <w:p>
            <w:pPr>
              <w:pStyle w:val="TableText"/>
              <w:ind w:left="382"/>
              <w:spacing w:before="63" w:line="198" w:lineRule="auto"/>
              <w:rPr/>
            </w:pPr>
            <w:r>
              <w:rPr>
                <w:color w:val="231F20"/>
                <w:spacing w:val="-11"/>
              </w:rPr>
              <w:t>（cm）</w:t>
            </w:r>
          </w:p>
        </w:tc>
        <w:tc>
          <w:tcPr>
            <w:tcW w:w="2355" w:type="dxa"/>
            <w:vAlign w:val="top"/>
            <w:gridSpan w:val="4"/>
            <w:tcBorders>
              <w:top w:val="single" w:color="231F20" w:sz="6" w:space="0"/>
            </w:tcBorders>
          </w:tcPr>
          <w:p>
            <w:pPr>
              <w:pStyle w:val="TableText"/>
              <w:ind w:left="125"/>
              <w:spacing w:before="82" w:line="194" w:lineRule="auto"/>
              <w:rPr/>
            </w:pPr>
            <w:r>
              <w:rPr>
                <w:color w:val="231F20"/>
                <w:spacing w:val="6"/>
              </w:rPr>
              <w:t>盆腔炎性包块     中医症候评分</w:t>
            </w:r>
          </w:p>
        </w:tc>
      </w:tr>
      <w:tr>
        <w:trPr>
          <w:trHeight w:val="312" w:hRule="atLeast"/>
        </w:trPr>
        <w:tc>
          <w:tcPr>
            <w:tcW w:w="547" w:type="dxa"/>
            <w:vAlign w:val="top"/>
            <w:vMerge w:val="continue"/>
            <w:tcBorders>
              <w:bottom w:val="nil"/>
              <w:top w:val="nil"/>
            </w:tcBorders>
          </w:tcPr>
          <w:p>
            <w:pPr>
              <w:rPr>
                <w:rFonts w:ascii="Arial"/>
                <w:sz w:val="21"/>
              </w:rPr>
            </w:pPr>
            <w:r/>
          </w:p>
        </w:tc>
        <w:tc>
          <w:tcPr>
            <w:tcW w:w="365" w:type="dxa"/>
            <w:vAlign w:val="top"/>
            <w:vMerge w:val="continue"/>
            <w:textDirection w:val="tbRlV"/>
            <w:tcBorders>
              <w:bottom w:val="nil"/>
              <w:top w:val="nil"/>
            </w:tcBorders>
          </w:tcPr>
          <w:p>
            <w:pPr>
              <w:rPr>
                <w:rFonts w:ascii="Arial"/>
                <w:sz w:val="21"/>
              </w:rPr>
            </w:pPr>
            <w:r/>
          </w:p>
        </w:tc>
        <w:tc>
          <w:tcPr>
            <w:tcW w:w="1227" w:type="dxa"/>
            <w:vAlign w:val="top"/>
            <w:gridSpan w:val="2"/>
            <w:vMerge w:val="continue"/>
            <w:tcBorders>
              <w:bottom w:val="single" w:color="231F20" w:sz="2" w:space="0"/>
              <w:top w:val="nil"/>
            </w:tcBorders>
          </w:tcPr>
          <w:p>
            <w:pPr>
              <w:rPr>
                <w:rFonts w:ascii="Arial"/>
                <w:sz w:val="21"/>
              </w:rPr>
            </w:pPr>
            <w:r/>
          </w:p>
        </w:tc>
        <w:tc>
          <w:tcPr>
            <w:tcW w:w="2355" w:type="dxa"/>
            <w:vAlign w:val="top"/>
            <w:gridSpan w:val="4"/>
            <w:tcBorders>
              <w:bottom w:val="single" w:color="231F20" w:sz="2" w:space="0"/>
            </w:tcBorders>
          </w:tcPr>
          <w:p>
            <w:pPr>
              <w:pStyle w:val="TableText"/>
              <w:ind w:left="364"/>
              <w:spacing w:before="58" w:line="198" w:lineRule="auto"/>
              <w:rPr/>
            </w:pPr>
            <w:r>
              <w:rPr>
                <w:color w:val="231F20"/>
                <w:spacing w:val="-3"/>
              </w:rPr>
              <w:t>（cm</w:t>
            </w:r>
            <w:r>
              <w:rPr>
                <w:color w:val="231F20"/>
                <w:spacing w:val="-5"/>
              </w:rPr>
              <w:t>）</w:t>
            </w:r>
            <w:r>
              <w:rPr>
                <w:color w:val="231F20"/>
                <w:spacing w:val="1"/>
              </w:rPr>
              <w:t xml:space="preserve">               </w:t>
            </w:r>
            <w:r>
              <w:rPr>
                <w:color w:val="231F20"/>
                <w:spacing w:val="-5"/>
              </w:rPr>
              <w:t>（</w:t>
            </w:r>
            <w:r>
              <w:rPr>
                <w:color w:val="231F20"/>
                <w:spacing w:val="-3"/>
              </w:rPr>
              <w:t>分）</w:t>
            </w:r>
          </w:p>
        </w:tc>
      </w:tr>
      <w:tr>
        <w:trPr>
          <w:trHeight w:val="347" w:hRule="atLeast"/>
        </w:trPr>
        <w:tc>
          <w:tcPr>
            <w:tcW w:w="547" w:type="dxa"/>
            <w:vAlign w:val="top"/>
            <w:vMerge w:val="continue"/>
            <w:tcBorders>
              <w:bottom w:val="single" w:color="231F20" w:sz="2" w:space="0"/>
              <w:top w:val="nil"/>
            </w:tcBorders>
          </w:tcPr>
          <w:p>
            <w:pPr>
              <w:rPr>
                <w:rFonts w:ascii="Arial"/>
                <w:sz w:val="21"/>
              </w:rPr>
            </w:pPr>
            <w:r/>
          </w:p>
        </w:tc>
        <w:tc>
          <w:tcPr>
            <w:tcW w:w="365" w:type="dxa"/>
            <w:vAlign w:val="top"/>
            <w:vMerge w:val="continue"/>
            <w:textDirection w:val="tbRlV"/>
            <w:tcBorders>
              <w:bottom w:val="single" w:color="231F20" w:sz="2" w:space="0"/>
              <w:top w:val="nil"/>
            </w:tcBorders>
          </w:tcPr>
          <w:p>
            <w:pPr>
              <w:rPr>
                <w:rFonts w:ascii="Arial"/>
                <w:sz w:val="21"/>
              </w:rPr>
            </w:pPr>
            <w:r/>
          </w:p>
        </w:tc>
        <w:tc>
          <w:tcPr>
            <w:tcW w:w="635" w:type="dxa"/>
            <w:vAlign w:val="top"/>
            <w:tcBorders>
              <w:bottom w:val="single" w:color="231F20" w:sz="2" w:space="0"/>
              <w:top w:val="single" w:color="231F20" w:sz="2" w:space="0"/>
            </w:tcBorders>
          </w:tcPr>
          <w:p>
            <w:pPr>
              <w:pStyle w:val="TableText"/>
              <w:ind w:left="90"/>
              <w:spacing w:before="94" w:line="190" w:lineRule="auto"/>
              <w:rPr/>
            </w:pPr>
            <w:r>
              <w:rPr>
                <w:color w:val="231F20"/>
                <w:spacing w:val="7"/>
              </w:rPr>
              <w:t>治疗前</w:t>
            </w:r>
          </w:p>
        </w:tc>
        <w:tc>
          <w:tcPr>
            <w:tcW w:w="592" w:type="dxa"/>
            <w:vAlign w:val="top"/>
            <w:tcBorders>
              <w:bottom w:val="single" w:color="231F20" w:sz="2" w:space="0"/>
              <w:top w:val="single" w:color="231F20" w:sz="2" w:space="0"/>
            </w:tcBorders>
          </w:tcPr>
          <w:p>
            <w:pPr>
              <w:pStyle w:val="TableText"/>
              <w:ind w:left="76"/>
              <w:spacing w:before="96" w:line="186" w:lineRule="auto"/>
              <w:rPr/>
            </w:pPr>
            <w:r>
              <w:rPr>
                <w:color w:val="231F20"/>
                <w:spacing w:val="2"/>
              </w:rPr>
              <w:t>治疗后</w:t>
            </w:r>
          </w:p>
        </w:tc>
        <w:tc>
          <w:tcPr>
            <w:tcW w:w="599" w:type="dxa"/>
            <w:vAlign w:val="top"/>
            <w:tcBorders>
              <w:bottom w:val="single" w:color="231F20" w:sz="2" w:space="0"/>
              <w:top w:val="single" w:color="231F20" w:sz="2" w:space="0"/>
            </w:tcBorders>
          </w:tcPr>
          <w:p>
            <w:pPr>
              <w:pStyle w:val="TableText"/>
              <w:ind w:left="67"/>
              <w:spacing w:before="94" w:line="190" w:lineRule="auto"/>
              <w:rPr/>
            </w:pPr>
            <w:r>
              <w:rPr>
                <w:color w:val="231F20"/>
                <w:spacing w:val="7"/>
              </w:rPr>
              <w:t>治疗前</w:t>
            </w:r>
          </w:p>
        </w:tc>
        <w:tc>
          <w:tcPr>
            <w:tcW w:w="591" w:type="dxa"/>
            <w:vAlign w:val="top"/>
            <w:tcBorders>
              <w:bottom w:val="single" w:color="231F20" w:sz="2" w:space="0"/>
              <w:top w:val="single" w:color="231F20" w:sz="2" w:space="0"/>
            </w:tcBorders>
          </w:tcPr>
          <w:p>
            <w:pPr>
              <w:pStyle w:val="TableText"/>
              <w:ind w:left="63"/>
              <w:spacing w:before="93" w:line="191" w:lineRule="auto"/>
              <w:rPr/>
            </w:pPr>
            <w:r>
              <w:rPr>
                <w:color w:val="231F20"/>
                <w:spacing w:val="7"/>
              </w:rPr>
              <w:t>治疗后</w:t>
            </w:r>
          </w:p>
        </w:tc>
        <w:tc>
          <w:tcPr>
            <w:tcW w:w="565" w:type="dxa"/>
            <w:vAlign w:val="top"/>
            <w:tcBorders>
              <w:bottom w:val="single" w:color="231F20" w:sz="2" w:space="0"/>
              <w:top w:val="single" w:color="231F20" w:sz="2" w:space="0"/>
            </w:tcBorders>
          </w:tcPr>
          <w:p>
            <w:pPr>
              <w:pStyle w:val="TableText"/>
              <w:ind w:left="64"/>
              <w:spacing w:before="100" w:line="189" w:lineRule="auto"/>
              <w:rPr>
                <w:sz w:val="14"/>
                <w:szCs w:val="14"/>
              </w:rPr>
            </w:pPr>
            <w:r>
              <w:rPr>
                <w:sz w:val="14"/>
                <w:szCs w:val="14"/>
                <w:color w:val="231F20"/>
                <w:spacing w:val="6"/>
              </w:rPr>
              <w:t>治疗前</w:t>
            </w:r>
          </w:p>
        </w:tc>
        <w:tc>
          <w:tcPr>
            <w:tcW w:w="600" w:type="dxa"/>
            <w:vAlign w:val="top"/>
            <w:tcBorders>
              <w:bottom w:val="single" w:color="231F20" w:sz="2" w:space="0"/>
              <w:top w:val="single" w:color="231F20" w:sz="2" w:space="0"/>
            </w:tcBorders>
          </w:tcPr>
          <w:p>
            <w:pPr>
              <w:pStyle w:val="TableText"/>
              <w:ind w:left="64"/>
              <w:spacing w:before="93" w:line="191" w:lineRule="auto"/>
              <w:rPr/>
            </w:pPr>
            <w:r>
              <w:rPr>
                <w:color w:val="231F20"/>
                <w:spacing w:val="7"/>
              </w:rPr>
              <w:t>治疗后</w:t>
            </w:r>
          </w:p>
        </w:tc>
      </w:tr>
      <w:tr>
        <w:trPr>
          <w:trHeight w:val="452" w:hRule="atLeast"/>
        </w:trPr>
        <w:tc>
          <w:tcPr>
            <w:tcW w:w="547" w:type="dxa"/>
            <w:vAlign w:val="top"/>
            <w:tcBorders>
              <w:top w:val="single" w:color="231F20" w:sz="2" w:space="0"/>
            </w:tcBorders>
          </w:tcPr>
          <w:p>
            <w:pPr>
              <w:pStyle w:val="TableText"/>
              <w:ind w:left="127"/>
              <w:spacing w:before="133" w:line="190" w:lineRule="auto"/>
              <w:rPr/>
            </w:pPr>
            <w:r>
              <w:rPr>
                <w:color w:val="231F20"/>
                <w:spacing w:val="6"/>
              </w:rPr>
              <w:t>观察</w:t>
            </w:r>
          </w:p>
        </w:tc>
        <w:tc>
          <w:tcPr>
            <w:tcW w:w="365" w:type="dxa"/>
            <w:vAlign w:val="top"/>
            <w:tcBorders>
              <w:top w:val="single" w:color="231F20" w:sz="2" w:space="0"/>
            </w:tcBorders>
          </w:tcPr>
          <w:p>
            <w:pPr>
              <w:spacing w:line="259" w:lineRule="auto"/>
              <w:rPr>
                <w:rFonts w:ascii="Arial"/>
                <w:sz w:val="21"/>
              </w:rPr>
            </w:pPr>
            <w:r/>
          </w:p>
          <w:p>
            <w:pPr>
              <w:pStyle w:val="TableText"/>
              <w:ind w:left="112"/>
              <w:spacing w:before="64" w:line="117" w:lineRule="exact"/>
              <w:rPr/>
            </w:pPr>
            <w:r>
              <w:rPr>
                <w:color w:val="231F20"/>
                <w:spacing w:val="-5"/>
                <w:position w:val="-2"/>
              </w:rPr>
              <w:t>40</w:t>
            </w:r>
          </w:p>
        </w:tc>
        <w:tc>
          <w:tcPr>
            <w:tcW w:w="635" w:type="dxa"/>
            <w:vAlign w:val="top"/>
            <w:tcBorders>
              <w:top w:val="single" w:color="231F20" w:sz="2" w:space="0"/>
            </w:tcBorders>
          </w:tcPr>
          <w:p>
            <w:pPr>
              <w:pStyle w:val="TableText"/>
              <w:ind w:left="146"/>
              <w:spacing w:before="155" w:line="200" w:lineRule="auto"/>
              <w:rPr/>
            </w:pPr>
            <w:r>
              <w:rPr>
                <w:color w:val="231F20"/>
                <w:spacing w:val="-6"/>
              </w:rPr>
              <w:t>2.51±</w:t>
            </w:r>
          </w:p>
        </w:tc>
        <w:tc>
          <w:tcPr>
            <w:tcW w:w="592" w:type="dxa"/>
            <w:vAlign w:val="top"/>
            <w:tcBorders>
              <w:top w:val="single" w:color="231F20" w:sz="2" w:space="0"/>
            </w:tcBorders>
          </w:tcPr>
          <w:p>
            <w:pPr>
              <w:pStyle w:val="TableText"/>
              <w:ind w:left="126"/>
              <w:spacing w:before="156" w:line="200" w:lineRule="auto"/>
              <w:rPr/>
            </w:pPr>
            <w:r>
              <w:rPr>
                <w:color w:val="231F20"/>
                <w:spacing w:val="-6"/>
              </w:rPr>
              <w:t>0.24±</w:t>
            </w:r>
          </w:p>
        </w:tc>
        <w:tc>
          <w:tcPr>
            <w:tcW w:w="599" w:type="dxa"/>
            <w:vAlign w:val="top"/>
            <w:tcBorders>
              <w:top w:val="single" w:color="231F20" w:sz="2" w:space="0"/>
            </w:tcBorders>
          </w:tcPr>
          <w:p>
            <w:pPr>
              <w:pStyle w:val="TableText"/>
              <w:ind w:left="120"/>
              <w:spacing w:before="156" w:line="200" w:lineRule="auto"/>
              <w:rPr/>
            </w:pPr>
            <w:r>
              <w:rPr>
                <w:color w:val="231F20"/>
                <w:spacing w:val="-5"/>
              </w:rPr>
              <w:t>4.62±</w:t>
            </w:r>
          </w:p>
        </w:tc>
        <w:tc>
          <w:tcPr>
            <w:tcW w:w="591" w:type="dxa"/>
            <w:vAlign w:val="top"/>
            <w:tcBorders>
              <w:top w:val="single" w:color="231F20" w:sz="2" w:space="0"/>
            </w:tcBorders>
          </w:tcPr>
          <w:p>
            <w:pPr>
              <w:pStyle w:val="TableText"/>
              <w:ind w:left="119"/>
              <w:spacing w:before="155" w:line="200" w:lineRule="auto"/>
              <w:rPr/>
            </w:pPr>
            <w:r>
              <w:rPr>
                <w:color w:val="231F20"/>
                <w:spacing w:val="-6"/>
              </w:rPr>
              <w:t>2.25±</w:t>
            </w:r>
          </w:p>
        </w:tc>
        <w:tc>
          <w:tcPr>
            <w:tcW w:w="565" w:type="dxa"/>
            <w:vAlign w:val="top"/>
            <w:tcBorders>
              <w:top w:val="single" w:color="231F20" w:sz="2" w:space="0"/>
            </w:tcBorders>
          </w:tcPr>
          <w:p>
            <w:pPr>
              <w:pStyle w:val="TableText"/>
              <w:ind w:left="66"/>
              <w:spacing w:before="155" w:line="200" w:lineRule="auto"/>
              <w:rPr/>
            </w:pPr>
            <w:r>
              <w:rPr>
                <w:color w:val="231F20"/>
                <w:spacing w:val="-6"/>
              </w:rPr>
              <w:t>20.52±</w:t>
            </w:r>
          </w:p>
        </w:tc>
        <w:tc>
          <w:tcPr>
            <w:tcW w:w="600" w:type="dxa"/>
            <w:vAlign w:val="top"/>
            <w:tcBorders>
              <w:top w:val="single" w:color="231F20" w:sz="2" w:space="0"/>
            </w:tcBorders>
          </w:tcPr>
          <w:p>
            <w:pPr>
              <w:pStyle w:val="TableText"/>
              <w:ind w:left="122"/>
              <w:spacing w:before="155" w:line="200" w:lineRule="auto"/>
              <w:rPr/>
            </w:pPr>
            <w:r>
              <w:rPr>
                <w:color w:val="231F20"/>
                <w:spacing w:val="-6"/>
              </w:rPr>
              <w:t>3.59±</w:t>
            </w:r>
          </w:p>
        </w:tc>
      </w:tr>
      <w:tr>
        <w:trPr>
          <w:trHeight w:val="256" w:hRule="atLeast"/>
        </w:trPr>
        <w:tc>
          <w:tcPr>
            <w:tcW w:w="547" w:type="dxa"/>
            <w:vAlign w:val="top"/>
          </w:tcPr>
          <w:p>
            <w:pPr>
              <w:pStyle w:val="TableText"/>
              <w:ind w:left="204"/>
              <w:spacing w:before="21" w:line="196" w:lineRule="auto"/>
              <w:rPr/>
            </w:pPr>
            <w:r>
              <w:rPr>
                <w:color w:val="231F20"/>
                <w:spacing w:val="5"/>
              </w:rPr>
              <w:t>组</w:t>
            </w:r>
          </w:p>
        </w:tc>
        <w:tc>
          <w:tcPr>
            <w:tcW w:w="365" w:type="dxa"/>
            <w:vAlign w:val="top"/>
          </w:tcPr>
          <w:p>
            <w:pPr>
              <w:rPr>
                <w:rFonts w:ascii="Arial"/>
                <w:sz w:val="21"/>
              </w:rPr>
            </w:pPr>
            <w:r/>
          </w:p>
        </w:tc>
        <w:tc>
          <w:tcPr>
            <w:tcW w:w="635" w:type="dxa"/>
            <w:vAlign w:val="top"/>
          </w:tcPr>
          <w:p>
            <w:pPr>
              <w:pStyle w:val="TableText"/>
              <w:ind w:left="191"/>
              <w:spacing w:before="44" w:line="188" w:lineRule="auto"/>
              <w:rPr/>
            </w:pPr>
            <w:r>
              <w:rPr>
                <w:color w:val="231F20"/>
                <w:spacing w:val="-5"/>
              </w:rPr>
              <w:t>2.12</w:t>
            </w:r>
          </w:p>
        </w:tc>
        <w:tc>
          <w:tcPr>
            <w:tcW w:w="592" w:type="dxa"/>
            <w:vAlign w:val="top"/>
          </w:tcPr>
          <w:p>
            <w:pPr>
              <w:pStyle w:val="TableText"/>
              <w:ind w:left="168"/>
              <w:spacing w:before="44" w:line="188" w:lineRule="auto"/>
              <w:rPr/>
            </w:pPr>
            <w:r>
              <w:rPr>
                <w:color w:val="231F20"/>
                <w:spacing w:val="-5"/>
              </w:rPr>
              <w:t>0.26</w:t>
            </w:r>
          </w:p>
        </w:tc>
        <w:tc>
          <w:tcPr>
            <w:tcW w:w="599" w:type="dxa"/>
            <w:vAlign w:val="top"/>
          </w:tcPr>
          <w:p>
            <w:pPr>
              <w:pStyle w:val="TableText"/>
              <w:ind w:left="166"/>
              <w:spacing w:before="44" w:line="188" w:lineRule="auto"/>
              <w:rPr/>
            </w:pPr>
            <w:r>
              <w:rPr>
                <w:color w:val="231F20"/>
                <w:spacing w:val="-5"/>
              </w:rPr>
              <w:t>0.43</w:t>
            </w:r>
          </w:p>
        </w:tc>
        <w:tc>
          <w:tcPr>
            <w:tcW w:w="591" w:type="dxa"/>
            <w:vAlign w:val="top"/>
          </w:tcPr>
          <w:p>
            <w:pPr>
              <w:pStyle w:val="TableText"/>
              <w:ind w:left="163"/>
              <w:spacing w:before="44" w:line="188" w:lineRule="auto"/>
              <w:rPr/>
            </w:pPr>
            <w:r>
              <w:rPr>
                <w:color w:val="231F20"/>
                <w:spacing w:val="-5"/>
              </w:rPr>
              <w:t>0.23</w:t>
            </w:r>
          </w:p>
        </w:tc>
        <w:tc>
          <w:tcPr>
            <w:tcW w:w="565" w:type="dxa"/>
            <w:vAlign w:val="top"/>
          </w:tcPr>
          <w:p>
            <w:pPr>
              <w:pStyle w:val="TableText"/>
              <w:ind w:left="109"/>
              <w:spacing w:before="44" w:line="188" w:lineRule="auto"/>
              <w:rPr/>
            </w:pPr>
            <w:r>
              <w:rPr>
                <w:color w:val="231F20"/>
                <w:spacing w:val="-6"/>
              </w:rPr>
              <w:t>20.57</w:t>
            </w:r>
          </w:p>
        </w:tc>
        <w:tc>
          <w:tcPr>
            <w:tcW w:w="600" w:type="dxa"/>
            <w:vAlign w:val="top"/>
          </w:tcPr>
          <w:p>
            <w:pPr>
              <w:pStyle w:val="TableText"/>
              <w:ind w:left="178"/>
              <w:spacing w:before="44" w:line="188" w:lineRule="auto"/>
              <w:rPr/>
            </w:pPr>
            <w:r>
              <w:rPr>
                <w:color w:val="231F20"/>
                <w:spacing w:val="-8"/>
              </w:rPr>
              <w:t>1.03</w:t>
            </w:r>
          </w:p>
        </w:tc>
      </w:tr>
      <w:tr>
        <w:trPr>
          <w:trHeight w:val="264" w:hRule="atLeast"/>
        </w:trPr>
        <w:tc>
          <w:tcPr>
            <w:tcW w:w="547" w:type="dxa"/>
            <w:vAlign w:val="top"/>
          </w:tcPr>
          <w:p>
            <w:pPr>
              <w:pStyle w:val="TableText"/>
              <w:ind w:left="123"/>
              <w:spacing w:before="95" w:line="159" w:lineRule="exact"/>
              <w:rPr/>
            </w:pPr>
            <w:r>
              <w:rPr>
                <w:color w:val="231F20"/>
                <w:spacing w:val="7"/>
              </w:rPr>
              <w:t>对照</w:t>
            </w:r>
          </w:p>
        </w:tc>
        <w:tc>
          <w:tcPr>
            <w:tcW w:w="365" w:type="dxa"/>
            <w:vAlign w:val="top"/>
          </w:tcPr>
          <w:p>
            <w:pPr>
              <w:rPr>
                <w:rFonts w:ascii="Arial"/>
                <w:sz w:val="21"/>
              </w:rPr>
            </w:pPr>
            <w:r/>
          </w:p>
        </w:tc>
        <w:tc>
          <w:tcPr>
            <w:tcW w:w="635" w:type="dxa"/>
            <w:vAlign w:val="top"/>
          </w:tcPr>
          <w:p>
            <w:pPr>
              <w:pStyle w:val="TableText"/>
              <w:ind w:left="146"/>
              <w:spacing w:before="125" w:line="129" w:lineRule="exact"/>
              <w:rPr/>
            </w:pPr>
            <w:r>
              <w:rPr>
                <w:color w:val="231F20"/>
                <w:spacing w:val="-6"/>
                <w:position w:val="-2"/>
              </w:rPr>
              <w:t>2.43±</w:t>
            </w:r>
          </w:p>
        </w:tc>
        <w:tc>
          <w:tcPr>
            <w:tcW w:w="592" w:type="dxa"/>
            <w:vAlign w:val="top"/>
          </w:tcPr>
          <w:p>
            <w:pPr>
              <w:pStyle w:val="TableText"/>
              <w:ind w:left="126"/>
              <w:spacing w:before="125" w:line="129" w:lineRule="exact"/>
              <w:rPr/>
            </w:pPr>
            <w:r>
              <w:rPr>
                <w:color w:val="231F20"/>
                <w:spacing w:val="-6"/>
                <w:position w:val="-2"/>
              </w:rPr>
              <w:t>0.73±</w:t>
            </w:r>
          </w:p>
        </w:tc>
        <w:tc>
          <w:tcPr>
            <w:tcW w:w="599" w:type="dxa"/>
            <w:vAlign w:val="top"/>
          </w:tcPr>
          <w:p>
            <w:pPr>
              <w:pStyle w:val="TableText"/>
              <w:ind w:left="120"/>
              <w:spacing w:before="125" w:line="129" w:lineRule="exact"/>
              <w:rPr/>
            </w:pPr>
            <w:r>
              <w:rPr>
                <w:color w:val="231F20"/>
                <w:spacing w:val="-5"/>
                <w:position w:val="-2"/>
              </w:rPr>
              <w:t>4.52±</w:t>
            </w:r>
          </w:p>
        </w:tc>
        <w:tc>
          <w:tcPr>
            <w:tcW w:w="591" w:type="dxa"/>
            <w:vAlign w:val="top"/>
          </w:tcPr>
          <w:p>
            <w:pPr>
              <w:pStyle w:val="TableText"/>
              <w:ind w:left="122"/>
              <w:spacing w:before="125" w:line="129" w:lineRule="exact"/>
              <w:rPr/>
            </w:pPr>
            <w:r>
              <w:rPr>
                <w:color w:val="231F20"/>
                <w:spacing w:val="-6"/>
                <w:position w:val="-2"/>
              </w:rPr>
              <w:t>3.41±</w:t>
            </w:r>
          </w:p>
        </w:tc>
        <w:tc>
          <w:tcPr>
            <w:tcW w:w="565" w:type="dxa"/>
            <w:vAlign w:val="top"/>
          </w:tcPr>
          <w:p>
            <w:pPr>
              <w:pStyle w:val="TableText"/>
              <w:ind w:left="66"/>
              <w:spacing w:before="125" w:line="129" w:lineRule="exact"/>
              <w:rPr/>
            </w:pPr>
            <w:r>
              <w:rPr>
                <w:color w:val="231F20"/>
                <w:spacing w:val="-7"/>
                <w:position w:val="-2"/>
              </w:rPr>
              <w:t>20.53±</w:t>
            </w:r>
          </w:p>
        </w:tc>
        <w:tc>
          <w:tcPr>
            <w:tcW w:w="600" w:type="dxa"/>
            <w:vAlign w:val="top"/>
          </w:tcPr>
          <w:p>
            <w:pPr>
              <w:pStyle w:val="TableText"/>
              <w:ind w:left="124"/>
              <w:spacing w:before="125" w:line="129" w:lineRule="exact"/>
              <w:rPr/>
            </w:pPr>
            <w:r>
              <w:rPr>
                <w:color w:val="231F20"/>
                <w:spacing w:val="-7"/>
                <w:position w:val="-2"/>
              </w:rPr>
              <w:t>8.25±</w:t>
            </w:r>
          </w:p>
        </w:tc>
      </w:tr>
      <w:tr>
        <w:trPr>
          <w:trHeight w:val="418" w:hRule="atLeast"/>
        </w:trPr>
        <w:tc>
          <w:tcPr>
            <w:tcW w:w="547" w:type="dxa"/>
            <w:vAlign w:val="top"/>
          </w:tcPr>
          <w:p>
            <w:pPr>
              <w:pStyle w:val="TableText"/>
              <w:ind w:left="204"/>
              <w:spacing w:before="177" w:line="196" w:lineRule="auto"/>
              <w:rPr/>
            </w:pPr>
            <w:r>
              <w:rPr>
                <w:color w:val="231F20"/>
                <w:spacing w:val="5"/>
              </w:rPr>
              <w:t>组</w:t>
            </w:r>
          </w:p>
        </w:tc>
        <w:tc>
          <w:tcPr>
            <w:tcW w:w="365" w:type="dxa"/>
            <w:vAlign w:val="top"/>
          </w:tcPr>
          <w:p>
            <w:pPr>
              <w:pStyle w:val="TableText"/>
              <w:ind w:left="112"/>
              <w:spacing w:before="30" w:line="200" w:lineRule="auto"/>
              <w:rPr/>
            </w:pPr>
            <w:r>
              <w:rPr>
                <w:color w:val="231F20"/>
                <w:spacing w:val="-5"/>
              </w:rPr>
              <w:t>40</w:t>
            </w:r>
          </w:p>
        </w:tc>
        <w:tc>
          <w:tcPr>
            <w:tcW w:w="635" w:type="dxa"/>
            <w:vAlign w:val="top"/>
          </w:tcPr>
          <w:p>
            <w:pPr>
              <w:pStyle w:val="TableText"/>
              <w:ind w:left="190"/>
              <w:spacing w:before="198" w:line="195" w:lineRule="auto"/>
              <w:rPr/>
            </w:pPr>
            <w:r>
              <w:rPr>
                <w:color w:val="231F20"/>
                <w:spacing w:val="-5"/>
              </w:rPr>
              <w:t>0.43</w:t>
            </w:r>
          </w:p>
        </w:tc>
        <w:tc>
          <w:tcPr>
            <w:tcW w:w="592" w:type="dxa"/>
            <w:vAlign w:val="top"/>
          </w:tcPr>
          <w:p>
            <w:pPr>
              <w:pStyle w:val="TableText"/>
              <w:ind w:left="168"/>
              <w:spacing w:before="198" w:line="195" w:lineRule="auto"/>
              <w:rPr/>
            </w:pPr>
            <w:r>
              <w:rPr>
                <w:color w:val="231F20"/>
                <w:spacing w:val="-5"/>
              </w:rPr>
              <w:t>0.14</w:t>
            </w:r>
          </w:p>
        </w:tc>
        <w:tc>
          <w:tcPr>
            <w:tcW w:w="599" w:type="dxa"/>
            <w:vAlign w:val="top"/>
          </w:tcPr>
          <w:p>
            <w:pPr>
              <w:pStyle w:val="TableText"/>
              <w:ind w:left="166"/>
              <w:spacing w:before="198" w:line="195" w:lineRule="auto"/>
              <w:rPr/>
            </w:pPr>
            <w:r>
              <w:rPr>
                <w:color w:val="231F20"/>
                <w:spacing w:val="-5"/>
              </w:rPr>
              <w:t>0.81</w:t>
            </w:r>
          </w:p>
        </w:tc>
        <w:tc>
          <w:tcPr>
            <w:tcW w:w="591" w:type="dxa"/>
            <w:vAlign w:val="top"/>
          </w:tcPr>
          <w:p>
            <w:pPr>
              <w:pStyle w:val="TableText"/>
              <w:ind w:left="163"/>
              <w:spacing w:before="198" w:line="195" w:lineRule="auto"/>
              <w:rPr/>
            </w:pPr>
            <w:r>
              <w:rPr>
                <w:color w:val="231F20"/>
                <w:spacing w:val="-5"/>
              </w:rPr>
              <w:t>0.73</w:t>
            </w:r>
          </w:p>
        </w:tc>
        <w:tc>
          <w:tcPr>
            <w:tcW w:w="565" w:type="dxa"/>
            <w:vAlign w:val="top"/>
          </w:tcPr>
          <w:p>
            <w:pPr>
              <w:pStyle w:val="TableText"/>
              <w:ind w:left="147"/>
              <w:spacing w:before="198" w:line="195" w:lineRule="auto"/>
              <w:rPr/>
            </w:pPr>
            <w:r>
              <w:rPr>
                <w:color w:val="231F20"/>
                <w:spacing w:val="-5"/>
              </w:rPr>
              <w:t>4.16</w:t>
            </w:r>
          </w:p>
        </w:tc>
        <w:tc>
          <w:tcPr>
            <w:tcW w:w="600" w:type="dxa"/>
            <w:vAlign w:val="top"/>
          </w:tcPr>
          <w:p>
            <w:pPr>
              <w:pStyle w:val="TableText"/>
              <w:ind w:left="165"/>
              <w:spacing w:before="198" w:line="195" w:lineRule="auto"/>
              <w:rPr/>
            </w:pPr>
            <w:r>
              <w:rPr>
                <w:color w:val="231F20"/>
                <w:spacing w:val="-5"/>
              </w:rPr>
              <w:t>2.12</w:t>
            </w:r>
          </w:p>
        </w:tc>
      </w:tr>
      <w:tr>
        <w:trPr>
          <w:trHeight w:val="332" w:hRule="atLeast"/>
        </w:trPr>
        <w:tc>
          <w:tcPr>
            <w:tcW w:w="547" w:type="dxa"/>
            <w:vAlign w:val="top"/>
          </w:tcPr>
          <w:p>
            <w:pPr>
              <w:pStyle w:val="TableText"/>
              <w:ind w:left="261"/>
              <w:spacing w:before="124" w:line="163" w:lineRule="auto"/>
              <w:rPr/>
            </w:pPr>
            <w:r>
              <w:rPr>
                <w:color w:val="231F20"/>
              </w:rPr>
              <w:t>t</w:t>
            </w:r>
          </w:p>
        </w:tc>
        <w:tc>
          <w:tcPr>
            <w:tcW w:w="365" w:type="dxa"/>
            <w:vAlign w:val="top"/>
          </w:tcPr>
          <w:p>
            <w:pPr>
              <w:rPr>
                <w:rFonts w:ascii="Arial"/>
                <w:sz w:val="21"/>
              </w:rPr>
            </w:pPr>
            <w:r/>
          </w:p>
        </w:tc>
        <w:tc>
          <w:tcPr>
            <w:tcW w:w="635" w:type="dxa"/>
            <w:vAlign w:val="top"/>
          </w:tcPr>
          <w:p>
            <w:pPr>
              <w:pStyle w:val="TableText"/>
              <w:ind w:left="149"/>
              <w:spacing w:before="119" w:line="189" w:lineRule="auto"/>
              <w:rPr/>
            </w:pPr>
            <w:r>
              <w:rPr>
                <w:color w:val="231F20"/>
                <w:spacing w:val="-6"/>
              </w:rPr>
              <w:t>0.282</w:t>
            </w:r>
          </w:p>
        </w:tc>
        <w:tc>
          <w:tcPr>
            <w:tcW w:w="592" w:type="dxa"/>
            <w:vAlign w:val="top"/>
          </w:tcPr>
          <w:p>
            <w:pPr>
              <w:pStyle w:val="TableText"/>
              <w:ind w:left="103"/>
              <w:spacing w:before="119" w:line="189" w:lineRule="auto"/>
              <w:rPr/>
            </w:pPr>
            <w:r>
              <w:rPr>
                <w:color w:val="231F20"/>
                <w:spacing w:val="-9"/>
              </w:rPr>
              <w:t>12.637</w:t>
            </w:r>
          </w:p>
        </w:tc>
        <w:tc>
          <w:tcPr>
            <w:tcW w:w="599" w:type="dxa"/>
            <w:vAlign w:val="top"/>
          </w:tcPr>
          <w:p>
            <w:pPr>
              <w:pStyle w:val="TableText"/>
              <w:ind w:left="125"/>
              <w:spacing w:before="119" w:line="189" w:lineRule="auto"/>
              <w:rPr/>
            </w:pPr>
            <w:r>
              <w:rPr>
                <w:color w:val="231F20"/>
                <w:spacing w:val="-6"/>
              </w:rPr>
              <w:t>0.830</w:t>
            </w:r>
          </w:p>
        </w:tc>
        <w:tc>
          <w:tcPr>
            <w:tcW w:w="591" w:type="dxa"/>
            <w:vAlign w:val="top"/>
          </w:tcPr>
          <w:p>
            <w:pPr>
              <w:pStyle w:val="TableText"/>
              <w:ind w:left="97"/>
              <w:spacing w:before="119" w:line="189" w:lineRule="auto"/>
              <w:rPr/>
            </w:pPr>
            <w:r>
              <w:rPr>
                <w:color w:val="231F20"/>
                <w:spacing w:val="-9"/>
              </w:rPr>
              <w:t>11.542</w:t>
            </w:r>
          </w:p>
        </w:tc>
        <w:tc>
          <w:tcPr>
            <w:tcW w:w="565" w:type="dxa"/>
            <w:vAlign w:val="top"/>
          </w:tcPr>
          <w:p>
            <w:pPr>
              <w:pStyle w:val="TableText"/>
              <w:ind w:left="108"/>
              <w:spacing w:before="119" w:line="189" w:lineRule="auto"/>
              <w:rPr/>
            </w:pPr>
            <w:r>
              <w:rPr>
                <w:color w:val="231F20"/>
                <w:spacing w:val="-6"/>
              </w:rPr>
              <w:t>0.003</w:t>
            </w:r>
          </w:p>
        </w:tc>
        <w:tc>
          <w:tcPr>
            <w:tcW w:w="600" w:type="dxa"/>
            <w:vAlign w:val="top"/>
          </w:tcPr>
          <w:p>
            <w:pPr>
              <w:pStyle w:val="TableText"/>
              <w:ind w:left="98"/>
              <w:spacing w:before="119" w:line="189" w:lineRule="auto"/>
              <w:rPr/>
            </w:pPr>
            <w:r>
              <w:rPr>
                <w:color w:val="231F20"/>
                <w:spacing w:val="-9"/>
              </w:rPr>
              <w:t>15.057</w:t>
            </w:r>
          </w:p>
        </w:tc>
      </w:tr>
      <w:tr>
        <w:trPr>
          <w:trHeight w:val="387" w:hRule="atLeast"/>
        </w:trPr>
        <w:tc>
          <w:tcPr>
            <w:tcW w:w="547" w:type="dxa"/>
            <w:vAlign w:val="top"/>
            <w:tcBorders>
              <w:bottom w:val="single" w:color="231F20" w:sz="6" w:space="0"/>
            </w:tcBorders>
          </w:tcPr>
          <w:p>
            <w:pPr>
              <w:pStyle w:val="TableText"/>
              <w:ind w:left="237"/>
              <w:spacing w:before="129" w:line="165" w:lineRule="auto"/>
              <w:rPr/>
            </w:pPr>
            <w:r>
              <w:rPr>
                <w:color w:val="231F20"/>
                <w:spacing w:val="6"/>
              </w:rPr>
              <w:t>P</w:t>
            </w:r>
          </w:p>
        </w:tc>
        <w:tc>
          <w:tcPr>
            <w:tcW w:w="365" w:type="dxa"/>
            <w:vAlign w:val="top"/>
            <w:tcBorders>
              <w:bottom w:val="single" w:color="231F20" w:sz="6" w:space="0"/>
            </w:tcBorders>
          </w:tcPr>
          <w:p>
            <w:pPr>
              <w:rPr>
                <w:rFonts w:ascii="Arial"/>
                <w:sz w:val="21"/>
              </w:rPr>
            </w:pPr>
            <w:r/>
          </w:p>
        </w:tc>
        <w:tc>
          <w:tcPr>
            <w:tcW w:w="635" w:type="dxa"/>
            <w:vAlign w:val="top"/>
            <w:tcBorders>
              <w:bottom w:val="single" w:color="231F20" w:sz="6" w:space="0"/>
            </w:tcBorders>
          </w:tcPr>
          <w:p>
            <w:pPr>
              <w:pStyle w:val="TableText"/>
              <w:ind w:left="149"/>
              <w:spacing w:before="124" w:line="200" w:lineRule="auto"/>
              <w:rPr/>
            </w:pPr>
            <w:r>
              <w:rPr>
                <w:color w:val="231F20"/>
                <w:spacing w:val="-6"/>
              </w:rPr>
              <w:t>0.779</w:t>
            </w:r>
          </w:p>
        </w:tc>
        <w:tc>
          <w:tcPr>
            <w:tcW w:w="592" w:type="dxa"/>
            <w:vAlign w:val="top"/>
            <w:tcBorders>
              <w:bottom w:val="single" w:color="231F20" w:sz="6" w:space="0"/>
            </w:tcBorders>
          </w:tcPr>
          <w:p>
            <w:pPr>
              <w:pStyle w:val="TableText"/>
              <w:ind w:left="129"/>
              <w:spacing w:before="124" w:line="200" w:lineRule="auto"/>
              <w:rPr/>
            </w:pPr>
            <w:r>
              <w:rPr>
                <w:color w:val="231F20"/>
                <w:spacing w:val="-6"/>
              </w:rPr>
              <w:t>0.000</w:t>
            </w:r>
          </w:p>
        </w:tc>
        <w:tc>
          <w:tcPr>
            <w:tcW w:w="599" w:type="dxa"/>
            <w:vAlign w:val="top"/>
            <w:tcBorders>
              <w:bottom w:val="single" w:color="231F20" w:sz="6" w:space="0"/>
            </w:tcBorders>
          </w:tcPr>
          <w:p>
            <w:pPr>
              <w:pStyle w:val="TableText"/>
              <w:ind w:left="125"/>
              <w:spacing w:before="124" w:line="200" w:lineRule="auto"/>
              <w:rPr/>
            </w:pPr>
            <w:r>
              <w:rPr>
                <w:color w:val="231F20"/>
                <w:spacing w:val="-6"/>
              </w:rPr>
              <w:t>0.408</w:t>
            </w:r>
          </w:p>
        </w:tc>
        <w:tc>
          <w:tcPr>
            <w:tcW w:w="591" w:type="dxa"/>
            <w:vAlign w:val="top"/>
            <w:tcBorders>
              <w:bottom w:val="single" w:color="231F20" w:sz="6" w:space="0"/>
            </w:tcBorders>
          </w:tcPr>
          <w:p>
            <w:pPr>
              <w:pStyle w:val="TableText"/>
              <w:ind w:left="122"/>
              <w:spacing w:before="124" w:line="200" w:lineRule="auto"/>
              <w:rPr/>
            </w:pPr>
            <w:r>
              <w:rPr>
                <w:color w:val="231F20"/>
                <w:spacing w:val="-6"/>
              </w:rPr>
              <w:t>0.000</w:t>
            </w:r>
          </w:p>
        </w:tc>
        <w:tc>
          <w:tcPr>
            <w:tcW w:w="565" w:type="dxa"/>
            <w:vAlign w:val="top"/>
            <w:tcBorders>
              <w:bottom w:val="single" w:color="231F20" w:sz="6" w:space="0"/>
            </w:tcBorders>
          </w:tcPr>
          <w:p>
            <w:pPr>
              <w:pStyle w:val="TableText"/>
              <w:ind w:left="108"/>
              <w:spacing w:before="124" w:line="200" w:lineRule="auto"/>
              <w:rPr/>
            </w:pPr>
            <w:r>
              <w:rPr>
                <w:color w:val="231F20"/>
                <w:spacing w:val="-6"/>
              </w:rPr>
              <w:t>0.997</w:t>
            </w:r>
          </w:p>
        </w:tc>
        <w:tc>
          <w:tcPr>
            <w:tcW w:w="600" w:type="dxa"/>
            <w:vAlign w:val="top"/>
            <w:tcBorders>
              <w:bottom w:val="single" w:color="231F20" w:sz="6" w:space="0"/>
            </w:tcBorders>
          </w:tcPr>
          <w:p>
            <w:pPr>
              <w:pStyle w:val="TableText"/>
              <w:ind w:left="123"/>
              <w:spacing w:before="124" w:line="200" w:lineRule="auto"/>
              <w:rPr/>
            </w:pPr>
            <w:r>
              <w:rPr>
                <w:color w:val="231F20"/>
                <w:spacing w:val="-6"/>
              </w:rPr>
              <w:t>0.000</w:t>
            </w:r>
          </w:p>
        </w:tc>
      </w:tr>
    </w:tbl>
    <w:p>
      <w:pPr>
        <w:pStyle w:val="BodyText"/>
        <w:ind w:left="77"/>
        <w:spacing w:before="75" w:line="202" w:lineRule="auto"/>
        <w:outlineLvl w:val="1"/>
        <w:rPr/>
      </w:pPr>
      <w:r>
        <w:rPr>
          <w:color w:val="231F20"/>
          <w:spacing w:val="-6"/>
        </w:rPr>
        <w:t>3</w:t>
      </w:r>
      <w:r>
        <w:rPr>
          <w:color w:val="231F20"/>
          <w:spacing w:val="11"/>
        </w:rPr>
        <w:t xml:space="preserve">  </w:t>
      </w:r>
      <w:r>
        <w:rPr>
          <w:color w:val="231F20"/>
          <w:spacing w:val="-6"/>
        </w:rPr>
        <w:t>讨</w:t>
      </w:r>
      <w:r>
        <w:rPr>
          <w:color w:val="231F20"/>
          <w:spacing w:val="13"/>
        </w:rPr>
        <w:t xml:space="preserve">  </w:t>
      </w:r>
      <w:r>
        <w:rPr>
          <w:color w:val="231F20"/>
          <w:spacing w:val="-6"/>
        </w:rPr>
        <w:t>论</w:t>
      </w:r>
    </w:p>
    <w:p>
      <w:pPr>
        <w:pStyle w:val="BodyText"/>
        <w:ind w:left="71" w:right="10" w:firstLine="361"/>
        <w:spacing w:before="35" w:line="233" w:lineRule="auto"/>
        <w:jc w:val="both"/>
        <w:rPr/>
      </w:pPr>
      <w:r>
        <w:rPr>
          <w:color w:val="231F20"/>
          <w:spacing w:val="17"/>
        </w:rPr>
        <w:t>急性盆腔炎是女性内生殖器及其周围结缔组织产生</w:t>
      </w:r>
      <w:r>
        <w:rPr>
          <w:color w:val="231F20"/>
          <w:spacing w:val="2"/>
        </w:rPr>
        <w:t xml:space="preserve">  </w:t>
      </w:r>
      <w:r>
        <w:rPr>
          <w:color w:val="231F20"/>
          <w:spacing w:val="5"/>
        </w:rPr>
        <w:t>的急性炎症病变，主要包括子宫内膜炎、盆腔腹膜炎等</w:t>
      </w:r>
      <w:r>
        <w:rPr>
          <w:sz w:val="10"/>
          <w:szCs w:val="10"/>
          <w:color w:val="231F20"/>
          <w:spacing w:val="5"/>
          <w:position w:val="6"/>
        </w:rPr>
        <w:t>[5]</w:t>
      </w:r>
      <w:r>
        <w:rPr>
          <w:color w:val="231F20"/>
          <w:spacing w:val="5"/>
        </w:rPr>
        <w:t>，</w:t>
      </w:r>
      <w:r>
        <w:rPr>
          <w:color w:val="231F20"/>
          <w:spacing w:val="18"/>
        </w:rPr>
        <w:t xml:space="preserve"> </w:t>
      </w:r>
      <w:r>
        <w:rPr>
          <w:color w:val="231F20"/>
          <w:spacing w:val="8"/>
        </w:rPr>
        <w:t>现如今临床发病率呈持续上升趋势</w:t>
      </w:r>
      <w:r>
        <w:rPr>
          <w:color w:val="231F20"/>
          <w:spacing w:val="-16"/>
        </w:rPr>
        <w:t xml:space="preserve"> </w:t>
      </w:r>
      <w:r>
        <w:rPr>
          <w:color w:val="231F20"/>
          <w:spacing w:val="8"/>
        </w:rPr>
        <w:t>，患病的原</w:t>
      </w:r>
      <w:r>
        <w:rPr>
          <w:color w:val="231F20"/>
          <w:spacing w:val="7"/>
        </w:rPr>
        <w:t>因较多，包</w:t>
      </w:r>
      <w:r>
        <w:rPr>
          <w:color w:val="231F20"/>
        </w:rPr>
        <w:t xml:space="preserve">  </w:t>
      </w:r>
      <w:r>
        <w:rPr>
          <w:color w:val="231F20"/>
          <w:spacing w:val="9"/>
        </w:rPr>
        <w:t>括粪链球菌、大肠埃希菌和溶血性链球菌等，大多数诱因</w:t>
      </w:r>
      <w:r>
        <w:rPr>
          <w:color w:val="231F20"/>
          <w:spacing w:val="2"/>
        </w:rPr>
        <w:t xml:space="preserve">  </w:t>
      </w:r>
      <w:r>
        <w:rPr>
          <w:color w:val="231F20"/>
          <w:spacing w:val="8"/>
        </w:rPr>
        <w:t>为混合性感染</w:t>
      </w:r>
      <w:r>
        <w:rPr>
          <w:color w:val="231F20"/>
          <w:spacing w:val="-21"/>
        </w:rPr>
        <w:t xml:space="preserve"> </w:t>
      </w:r>
      <w:r>
        <w:rPr>
          <w:color w:val="231F20"/>
          <w:spacing w:val="8"/>
        </w:rPr>
        <w:t>。现如今医学主要使用抗生素治疗，但是治</w:t>
      </w:r>
      <w:r>
        <w:rPr>
          <w:color w:val="231F20"/>
        </w:rPr>
        <w:t xml:space="preserve">  </w:t>
      </w:r>
      <w:r>
        <w:rPr>
          <w:color w:val="231F20"/>
          <w:spacing w:val="9"/>
        </w:rPr>
        <w:t>疗效果不够理想，如果持续发展下去可能转变成慢性盆腔</w:t>
      </w:r>
      <w:r>
        <w:rPr>
          <w:color w:val="231F20"/>
          <w:spacing w:val="2"/>
        </w:rPr>
        <w:t xml:space="preserve">  </w:t>
      </w:r>
      <w:r>
        <w:rPr>
          <w:color w:val="231F20"/>
          <w:spacing w:val="2"/>
        </w:rPr>
        <w:t>炎甚至不孕，影响身体和心理健康。且抗生素副作用大，而</w:t>
      </w:r>
      <w:r>
        <w:rPr>
          <w:color w:val="231F20"/>
          <w:spacing w:val="3"/>
        </w:rPr>
        <w:t xml:space="preserve">  </w:t>
      </w:r>
      <w:r>
        <w:rPr>
          <w:color w:val="231F20"/>
          <w:spacing w:val="15"/>
        </w:rPr>
        <w:t>且不能长期服用</w:t>
      </w:r>
      <w:r>
        <w:rPr>
          <w:color w:val="231F20"/>
          <w:spacing w:val="-11"/>
        </w:rPr>
        <w:t xml:space="preserve"> </w:t>
      </w:r>
      <w:r>
        <w:rPr>
          <w:color w:val="231F20"/>
          <w:spacing w:val="15"/>
        </w:rPr>
        <w:t>，抗生素方案侧重于根治病原体杜绝破</w:t>
      </w:r>
      <w:r>
        <w:rPr>
          <w:color w:val="231F20"/>
        </w:rPr>
        <w:t xml:space="preserve">  </w:t>
      </w:r>
      <w:r>
        <w:rPr>
          <w:color w:val="231F20"/>
          <w:spacing w:val="3"/>
        </w:rPr>
        <w:t>坏。</w:t>
      </w:r>
    </w:p>
    <w:p>
      <w:pPr>
        <w:pStyle w:val="BodyText"/>
        <w:ind w:left="70" w:firstLine="358"/>
        <w:spacing w:before="4" w:line="234" w:lineRule="auto"/>
        <w:jc w:val="both"/>
        <w:rPr/>
      </w:pPr>
      <w:r>
        <w:rPr>
          <w:color w:val="231F20"/>
          <w:spacing w:val="9"/>
        </w:rPr>
        <w:t>左氧氟沙星可以对厌氧菌、革兰阳性菌及革兰阴性菌</w:t>
      </w:r>
      <w:r>
        <w:rPr>
          <w:color w:val="231F20"/>
          <w:spacing w:val="2"/>
        </w:rPr>
        <w:t xml:space="preserve">  </w:t>
      </w:r>
      <w:r>
        <w:rPr>
          <w:color w:val="231F20"/>
          <w:spacing w:val="2"/>
        </w:rPr>
        <w:t>起到有效杀灭的作用。替硝唑对于厌氧菌也能发挥作用，但</w:t>
      </w:r>
      <w:r>
        <w:rPr>
          <w:color w:val="231F20"/>
          <w:spacing w:val="4"/>
        </w:rPr>
        <w:t xml:space="preserve">  </w:t>
      </w:r>
      <w:r>
        <w:rPr>
          <w:color w:val="231F20"/>
          <w:spacing w:val="8"/>
        </w:rPr>
        <w:t>是医学临床分析得出</w:t>
      </w:r>
      <w:r>
        <w:rPr>
          <w:color w:val="231F20"/>
          <w:spacing w:val="-20"/>
        </w:rPr>
        <w:t xml:space="preserve"> </w:t>
      </w:r>
      <w:r>
        <w:rPr>
          <w:color w:val="231F20"/>
          <w:spacing w:val="8"/>
        </w:rPr>
        <w:t>，运用抗生素治疗急性盆腔炎时虽然</w:t>
      </w:r>
      <w:r>
        <w:rPr>
          <w:color w:val="231F20"/>
        </w:rPr>
        <w:t xml:space="preserve">  </w:t>
      </w:r>
      <w:r>
        <w:rPr>
          <w:color w:val="231F20"/>
          <w:spacing w:val="6"/>
        </w:rPr>
        <w:t>可以相对改善治疗效果，</w:t>
      </w:r>
      <w:r>
        <w:rPr>
          <w:color w:val="231F20"/>
          <w:spacing w:val="-3"/>
        </w:rPr>
        <w:t xml:space="preserve"> </w:t>
      </w:r>
      <w:r>
        <w:rPr>
          <w:color w:val="231F20"/>
          <w:spacing w:val="6"/>
        </w:rPr>
        <w:t>但是不够理想</w:t>
      </w:r>
      <w:r>
        <w:rPr>
          <w:color w:val="231F20"/>
          <w:spacing w:val="-18"/>
        </w:rPr>
        <w:t xml:space="preserve"> </w:t>
      </w:r>
      <w:r>
        <w:rPr>
          <w:color w:val="231F20"/>
          <w:spacing w:val="6"/>
        </w:rPr>
        <w:t>，不能有效缓解痛</w:t>
      </w:r>
      <w:r>
        <w:rPr>
          <w:color w:val="231F20"/>
        </w:rPr>
        <w:t xml:space="preserve">  </w:t>
      </w:r>
      <w:r>
        <w:rPr>
          <w:color w:val="231F20"/>
          <w:spacing w:val="2"/>
        </w:rPr>
        <w:t>苦，而且长期服用会导致不良反应增多。长期使用抗生素还</w:t>
      </w:r>
      <w:r>
        <w:rPr>
          <w:color w:val="231F20"/>
          <w:spacing w:val="4"/>
        </w:rPr>
        <w:t xml:space="preserve">  </w:t>
      </w:r>
      <w:r>
        <w:rPr>
          <w:color w:val="231F20"/>
          <w:spacing w:val="5"/>
        </w:rPr>
        <w:t>会使患者对药物产生耐药性，同时还存在反复</w:t>
      </w:r>
      <w:r>
        <w:rPr>
          <w:color w:val="231F20"/>
          <w:spacing w:val="4"/>
        </w:rPr>
        <w:t>发作的现象。</w:t>
      </w:r>
      <w:r>
        <w:rPr>
          <w:color w:val="231F20"/>
        </w:rPr>
        <w:t xml:space="preserve"> </w:t>
      </w:r>
      <w:r>
        <w:rPr>
          <w:color w:val="231F20"/>
          <w:spacing w:val="9"/>
        </w:rPr>
        <w:t>需要探讨一种可以持续使用同时又可以改善临床症状的方</w:t>
      </w:r>
      <w:r>
        <w:rPr>
          <w:color w:val="231F20"/>
          <w:spacing w:val="2"/>
        </w:rPr>
        <w:t xml:space="preserve">  </w:t>
      </w:r>
      <w:r>
        <w:rPr>
          <w:color w:val="231F20"/>
          <w:spacing w:val="2"/>
        </w:rPr>
        <w:t>法。临床分析发现，采用中医疗法治疗急性盆腔炎可以有效</w:t>
      </w:r>
      <w:r>
        <w:rPr>
          <w:color w:val="231F20"/>
          <w:spacing w:val="4"/>
        </w:rPr>
        <w:t xml:space="preserve">  </w:t>
      </w:r>
      <w:r>
        <w:rPr>
          <w:color w:val="231F20"/>
          <w:spacing w:val="2"/>
        </w:rPr>
        <w:t>改善临床症状，减轻痛苦，再加上联合抗生素使用，治疗效</w:t>
      </w:r>
      <w:r>
        <w:rPr>
          <w:color w:val="231F20"/>
          <w:spacing w:val="4"/>
        </w:rPr>
        <w:t xml:space="preserve">  </w:t>
      </w:r>
      <w:r>
        <w:rPr>
          <w:color w:val="231F20"/>
          <w:spacing w:val="6"/>
        </w:rPr>
        <w:t>果更加理想。</w:t>
      </w:r>
    </w:p>
    <w:p>
      <w:pPr>
        <w:pStyle w:val="BodyText"/>
        <w:ind w:left="71" w:firstLine="359"/>
        <w:spacing w:before="4" w:line="227" w:lineRule="auto"/>
        <w:jc w:val="both"/>
        <w:rPr/>
      </w:pPr>
      <w:r>
        <w:rPr>
          <w:color w:val="231F20"/>
          <w:spacing w:val="4"/>
        </w:rPr>
        <w:t>壮药花红胶囊的成分包括一点红、桃金娘根、鸡血藤、</w:t>
      </w:r>
      <w:r>
        <w:rPr>
          <w:color w:val="231F20"/>
          <w:spacing w:val="8"/>
        </w:rPr>
        <w:t xml:space="preserve"> </w:t>
      </w:r>
      <w:r>
        <w:rPr>
          <w:color w:val="231F20"/>
          <w:spacing w:val="1"/>
        </w:rPr>
        <w:t>白花蛇舌草、地桃花和白青叶</w:t>
      </w:r>
      <w:r>
        <w:rPr>
          <w:color w:val="231F20"/>
          <w:spacing w:val="-17"/>
        </w:rPr>
        <w:t xml:space="preserve"> </w:t>
      </w:r>
      <w:r>
        <w:rPr>
          <w:color w:val="231F20"/>
          <w:spacing w:val="1"/>
        </w:rPr>
        <w:t>。研究显示，白花蛇舌草能够</w:t>
      </w:r>
      <w:r>
        <w:rPr>
          <w:color w:val="231F20"/>
        </w:rPr>
        <w:t xml:space="preserve">  </w:t>
      </w:r>
      <w:r>
        <w:rPr>
          <w:color w:val="231F20"/>
          <w:spacing w:val="-4"/>
        </w:rPr>
        <w:t>清热利湿、抗菌；地桃花和白青叶能够解毒止痛、祛瘀</w:t>
      </w:r>
      <w:r>
        <w:rPr>
          <w:color w:val="231F20"/>
          <w:spacing w:val="-5"/>
        </w:rPr>
        <w:t>；鸡血</w:t>
      </w:r>
      <w:r>
        <w:rPr>
          <w:color w:val="231F20"/>
        </w:rPr>
        <w:t xml:space="preserve">  </w:t>
      </w:r>
      <w:r>
        <w:rPr>
          <w:color w:val="231F20"/>
          <w:spacing w:val="8"/>
        </w:rPr>
        <w:t>藤和桃金娘根则活血通经</w:t>
      </w:r>
      <w:r>
        <w:rPr>
          <w:color w:val="231F20"/>
          <w:spacing w:val="-21"/>
        </w:rPr>
        <w:t xml:space="preserve"> </w:t>
      </w:r>
      <w:r>
        <w:rPr>
          <w:color w:val="231F20"/>
          <w:spacing w:val="8"/>
        </w:rPr>
        <w:t>。花红胶囊可以消除大肠埃希菌</w:t>
      </w:r>
      <w:r>
        <w:rPr>
          <w:color w:val="231F20"/>
        </w:rPr>
        <w:t xml:space="preserve">  </w:t>
      </w:r>
      <w:r>
        <w:rPr>
          <w:color w:val="231F20"/>
          <w:spacing w:val="2"/>
        </w:rPr>
        <w:t>等致病菌，有效阻止其对身体机能的破坏，而且花红胶囊的</w:t>
      </w:r>
      <w:r>
        <w:rPr>
          <w:color w:val="231F20"/>
          <w:spacing w:val="3"/>
        </w:rPr>
        <w:t xml:space="preserve">  </w:t>
      </w:r>
      <w:r>
        <w:rPr>
          <w:color w:val="231F20"/>
          <w:spacing w:val="2"/>
        </w:rPr>
        <w:t>消炎抗菌效果明显，联合抗生素作用于盆腔炎治疗，可以加</w:t>
      </w:r>
      <w:r>
        <w:rPr>
          <w:color w:val="231F20"/>
          <w:spacing w:val="3"/>
        </w:rPr>
        <w:t xml:space="preserve">  </w:t>
      </w:r>
      <w:r>
        <w:rPr>
          <w:color w:val="231F20"/>
          <w:spacing w:val="2"/>
        </w:rPr>
        <w:t>快盆腔包块的消失，有效改善临床症状，而且在停止服药后</w:t>
      </w:r>
      <w:r>
        <w:rPr>
          <w:color w:val="231F20"/>
          <w:spacing w:val="3"/>
        </w:rPr>
        <w:t xml:space="preserve">  </w:t>
      </w:r>
      <w:r>
        <w:rPr>
          <w:color w:val="231F20"/>
          <w:spacing w:val="2"/>
        </w:rPr>
        <w:t>能相对减少反复发作的概率。研究显示，在本次壮药花红胶</w:t>
      </w:r>
      <w:r>
        <w:rPr>
          <w:color w:val="231F20"/>
          <w:spacing w:val="3"/>
        </w:rPr>
        <w:t xml:space="preserve">  </w:t>
      </w:r>
      <w:r>
        <w:rPr>
          <w:color w:val="231F20"/>
          <w:spacing w:val="9"/>
        </w:rPr>
        <w:t>囊联合抗生素治疗急性盆腔炎的临床效果分析中，对照组</w:t>
      </w:r>
      <w:r>
        <w:rPr>
          <w:color w:val="231F20"/>
          <w:spacing w:val="2"/>
        </w:rPr>
        <w:t xml:space="preserve">  </w:t>
      </w:r>
      <w:r>
        <w:rPr>
          <w:color w:val="231F20"/>
          <w:spacing w:val="-1"/>
        </w:rPr>
        <w:t>治</w:t>
      </w:r>
      <w:r>
        <w:rPr>
          <w:color w:val="231F20"/>
          <w:spacing w:val="-17"/>
        </w:rPr>
        <w:t xml:space="preserve"> </w:t>
      </w:r>
      <w:r>
        <w:rPr>
          <w:color w:val="231F20"/>
          <w:spacing w:val="-1"/>
        </w:rPr>
        <w:t>疗</w:t>
      </w:r>
      <w:r>
        <w:rPr>
          <w:color w:val="231F20"/>
          <w:spacing w:val="-9"/>
        </w:rPr>
        <w:t xml:space="preserve"> </w:t>
      </w:r>
      <w:r>
        <w:rPr>
          <w:color w:val="231F20"/>
          <w:spacing w:val="-1"/>
        </w:rPr>
        <w:t>总</w:t>
      </w:r>
      <w:r>
        <w:rPr>
          <w:color w:val="231F20"/>
          <w:spacing w:val="-16"/>
        </w:rPr>
        <w:t xml:space="preserve"> </w:t>
      </w:r>
      <w:r>
        <w:rPr>
          <w:color w:val="231F20"/>
          <w:spacing w:val="-1"/>
        </w:rPr>
        <w:t>有</w:t>
      </w:r>
      <w:r>
        <w:rPr>
          <w:color w:val="231F20"/>
          <w:spacing w:val="-14"/>
        </w:rPr>
        <w:t xml:space="preserve"> </w:t>
      </w:r>
      <w:r>
        <w:rPr>
          <w:color w:val="231F20"/>
          <w:spacing w:val="-1"/>
        </w:rPr>
        <w:t>效</w:t>
      </w:r>
      <w:r>
        <w:rPr>
          <w:color w:val="231F20"/>
          <w:spacing w:val="-13"/>
        </w:rPr>
        <w:t xml:space="preserve"> </w:t>
      </w:r>
      <w:r>
        <w:rPr>
          <w:color w:val="231F20"/>
          <w:spacing w:val="-1"/>
        </w:rPr>
        <w:t>率</w:t>
      </w:r>
      <w:r>
        <w:rPr>
          <w:color w:val="231F20"/>
          <w:spacing w:val="-9"/>
        </w:rPr>
        <w:t xml:space="preserve"> </w:t>
      </w:r>
      <w:r>
        <w:rPr>
          <w:color w:val="231F20"/>
          <w:spacing w:val="-1"/>
        </w:rPr>
        <w:t>为</w:t>
      </w:r>
      <w:r>
        <w:rPr>
          <w:color w:val="231F20"/>
          <w:spacing w:val="33"/>
          <w:w w:val="101"/>
        </w:rPr>
        <w:t xml:space="preserve"> </w:t>
      </w:r>
      <w:r>
        <w:rPr>
          <w:color w:val="231F20"/>
          <w:spacing w:val="-1"/>
        </w:rPr>
        <w:t>60.00%</w:t>
      </w:r>
      <w:r>
        <w:rPr>
          <w:color w:val="231F20"/>
          <w:spacing w:val="13"/>
          <w:w w:val="101"/>
        </w:rPr>
        <w:t xml:space="preserve"> </w:t>
      </w:r>
      <w:r>
        <w:rPr>
          <w:color w:val="231F20"/>
          <w:spacing w:val="-1"/>
        </w:rPr>
        <w:t>， 观 察 组 治</w:t>
      </w:r>
      <w:r>
        <w:rPr>
          <w:color w:val="231F20"/>
          <w:spacing w:val="-2"/>
        </w:rPr>
        <w:t xml:space="preserve"> 疗 总 有 效 率 为</w:t>
      </w:r>
      <w:r>
        <w:rPr>
          <w:color w:val="231F20"/>
        </w:rPr>
        <w:t xml:space="preserve">  </w:t>
      </w:r>
      <w:r>
        <w:rPr>
          <w:color w:val="231F20"/>
          <w:spacing w:val="-4"/>
        </w:rPr>
        <w:t>92.50%，差异具有统计学意义（P＜0.05）。两组治疗后，盆</w:t>
      </w:r>
      <w:r>
        <w:rPr>
          <w:color w:val="231F20"/>
          <w:spacing w:val="1"/>
        </w:rPr>
        <w:t xml:space="preserve">  </w:t>
      </w:r>
      <w:r>
        <w:rPr>
          <w:color w:val="231F20"/>
          <w:spacing w:val="9"/>
        </w:rPr>
        <w:t>腔积液深度、盆腔炎性包块平均直径和中医症候评分都有</w:t>
      </w:r>
    </w:p>
    <w:p>
      <w:pPr>
        <w:spacing w:line="227" w:lineRule="auto"/>
        <w:sectPr>
          <w:type w:val="continuous"/>
          <w:pgSz w:w="11905" w:h="16156"/>
          <w:pgMar w:top="1216" w:right="1181" w:bottom="1004" w:left="407" w:header="893" w:footer="765" w:gutter="0"/>
          <w:cols w:equalWidth="0" w:num="2">
            <w:col w:w="5599" w:space="100"/>
            <w:col w:w="4617" w:space="0"/>
          </w:cols>
        </w:sectPr>
        <w:rPr/>
      </w:pPr>
    </w:p>
    <w:p>
      <w:pPr>
        <w:spacing w:before="236"/>
        <w:rPr/>
      </w:pPr>
      <w:r/>
    </w:p>
    <w:p>
      <w:pPr>
        <w:sectPr>
          <w:headerReference w:type="default" r:id="rId5"/>
          <w:footerReference w:type="default" r:id="rId6"/>
          <w:pgSz w:w="11905" w:h="16156"/>
          <w:pgMar w:top="1216" w:right="1189" w:bottom="400" w:left="407" w:header="893" w:footer="0" w:gutter="0"/>
          <w:cols w:equalWidth="0" w:num="1">
            <w:col w:w="10307" w:space="0"/>
          </w:cols>
        </w:sectPr>
        <w:rPr/>
      </w:pPr>
    </w:p>
    <w:p>
      <w:pPr>
        <w:pStyle w:val="BodyText"/>
        <w:ind w:left="768" w:right="280" w:firstLine="89"/>
        <w:spacing w:before="42"/>
        <w:jc w:val="both"/>
        <w:rPr/>
      </w:pPr>
      <w:r>
        <w:rPr>
          <w:color w:val="231F20"/>
          <w:spacing w:val="5"/>
        </w:rPr>
        <w:t>1.2 治疗方法  考虑患者病程久，病情危重，与神经内科协</w:t>
      </w:r>
      <w:r>
        <w:rPr>
          <w:color w:val="231F20"/>
          <w:spacing w:val="7"/>
        </w:rPr>
        <w:t xml:space="preserve">  </w:t>
      </w:r>
      <w:r>
        <w:rPr>
          <w:color w:val="231F20"/>
        </w:rPr>
        <w:t>助治疗，加强静脉止血、营养神经等治疗，嘱患者绝对卧床，</w:t>
      </w:r>
      <w:r>
        <w:rPr>
          <w:color w:val="231F20"/>
          <w:spacing w:val="14"/>
          <w:w w:val="101"/>
        </w:rPr>
        <w:t xml:space="preserve"> </w:t>
      </w:r>
      <w:r>
        <w:rPr>
          <w:color w:val="231F20"/>
        </w:rPr>
        <w:t>予静脉滴注地塞米松 40</w:t>
      </w:r>
      <w:r>
        <w:rPr>
          <w:color w:val="231F20"/>
          <w:spacing w:val="24"/>
          <w:w w:val="101"/>
        </w:rPr>
        <w:t xml:space="preserve"> </w:t>
      </w:r>
      <w:r>
        <w:rPr>
          <w:color w:val="231F20"/>
        </w:rPr>
        <w:t>mg，1 次/d</w:t>
      </w:r>
      <w:r>
        <w:rPr>
          <w:color w:val="231F20"/>
          <w:spacing w:val="-19"/>
        </w:rPr>
        <w:t xml:space="preserve"> </w:t>
      </w:r>
      <w:r>
        <w:rPr>
          <w:color w:val="231F20"/>
        </w:rPr>
        <w:t>，</w:t>
      </w:r>
      <w:r>
        <w:rPr>
          <w:color w:val="231F20"/>
          <w:spacing w:val="-25"/>
        </w:rPr>
        <w:t xml:space="preserve"> </w:t>
      </w:r>
      <w:r>
        <w:rPr>
          <w:color w:val="231F20"/>
        </w:rPr>
        <w:t>同时静注人免疫球蛋  </w:t>
      </w:r>
      <w:r>
        <w:rPr>
          <w:color w:val="231F20"/>
          <w:spacing w:val="-4"/>
        </w:rPr>
        <w:t>白 25 g，连续用 3 d 后，血尿症状消失，治疗过程中未再出现</w:t>
      </w:r>
      <w:r>
        <w:rPr>
          <w:color w:val="231F20"/>
          <w:spacing w:val="2"/>
        </w:rPr>
        <w:t xml:space="preserve">  </w:t>
      </w:r>
      <w:r>
        <w:rPr>
          <w:color w:val="231F20"/>
          <w:spacing w:val="-3"/>
        </w:rPr>
        <w:t>晕厥、意识障碍等表现</w:t>
      </w:r>
      <w:r>
        <w:rPr>
          <w:color w:val="231F20"/>
          <w:spacing w:val="-29"/>
        </w:rPr>
        <w:t xml:space="preserve"> </w:t>
      </w:r>
      <w:r>
        <w:rPr>
          <w:color w:val="231F20"/>
          <w:spacing w:val="-3"/>
        </w:rPr>
        <w:t>。复查血常规示：白细胞 9.04×</w:t>
      </w:r>
      <w:r>
        <w:rPr>
          <w:color w:val="231F20"/>
          <w:spacing w:val="-30"/>
        </w:rPr>
        <w:t xml:space="preserve"> </w:t>
      </w:r>
      <w:r>
        <w:rPr>
          <w:color w:val="231F20"/>
          <w:spacing w:val="-3"/>
        </w:rPr>
        <w:t>10</w:t>
      </w:r>
      <w:r>
        <w:rPr>
          <w:sz w:val="10"/>
          <w:szCs w:val="10"/>
          <w:color w:val="231F20"/>
          <w:spacing w:val="-3"/>
          <w:position w:val="6"/>
        </w:rPr>
        <w:t>9</w:t>
      </w:r>
      <w:r>
        <w:rPr>
          <w:color w:val="231F20"/>
          <w:spacing w:val="-3"/>
        </w:rPr>
        <w:t>/L、</w:t>
      </w:r>
      <w:r>
        <w:rPr>
          <w:color w:val="231F20"/>
        </w:rPr>
        <w:t xml:space="preserve"> </w:t>
      </w:r>
      <w:r>
        <w:rPr>
          <w:color w:val="231F20"/>
          <w:spacing w:val="-2"/>
        </w:rPr>
        <w:t>血红蛋白</w:t>
      </w:r>
      <w:r>
        <w:rPr>
          <w:color w:val="231F20"/>
          <w:spacing w:val="17"/>
        </w:rPr>
        <w:t xml:space="preserve"> </w:t>
      </w:r>
      <w:r>
        <w:rPr>
          <w:color w:val="231F20"/>
          <w:spacing w:val="-2"/>
        </w:rPr>
        <w:t>117g/L、血小板</w:t>
      </w:r>
      <w:r>
        <w:rPr>
          <w:color w:val="231F20"/>
          <w:spacing w:val="16"/>
        </w:rPr>
        <w:t xml:space="preserve"> </w:t>
      </w:r>
      <w:r>
        <w:rPr>
          <w:color w:val="231F20"/>
          <w:spacing w:val="-2"/>
        </w:rPr>
        <w:t>113×</w:t>
      </w:r>
      <w:r>
        <w:rPr>
          <w:color w:val="231F20"/>
          <w:spacing w:val="-31"/>
        </w:rPr>
        <w:t xml:space="preserve"> </w:t>
      </w:r>
      <w:r>
        <w:rPr>
          <w:color w:val="231F20"/>
          <w:spacing w:val="-2"/>
        </w:rPr>
        <w:t>10</w:t>
      </w:r>
      <w:r>
        <w:rPr>
          <w:sz w:val="10"/>
          <w:szCs w:val="10"/>
          <w:color w:val="231F20"/>
          <w:spacing w:val="-2"/>
          <w:position w:val="6"/>
        </w:rPr>
        <w:t>9</w:t>
      </w:r>
      <w:r>
        <w:rPr>
          <w:color w:val="231F20"/>
          <w:spacing w:val="-2"/>
        </w:rPr>
        <w:t>/L。在这</w:t>
      </w:r>
      <w:r>
        <w:rPr>
          <w:color w:val="231F20"/>
          <w:spacing w:val="-3"/>
        </w:rPr>
        <w:t>期间持续口服蒙</w:t>
      </w:r>
      <w:r>
        <w:rPr>
          <w:color w:val="231F20"/>
        </w:rPr>
        <w:t xml:space="preserve">  </w:t>
      </w:r>
      <w:r>
        <w:rPr>
          <w:color w:val="231F20"/>
          <w:spacing w:val="-8"/>
        </w:rPr>
        <w:t>药。晨起予通拉嘎-5 味丸（13 丸）、阿拉坦五味丸（13 丸）或</w:t>
      </w:r>
      <w:r>
        <w:rPr>
          <w:color w:val="231F20"/>
          <w:spacing w:val="6"/>
        </w:rPr>
        <w:t xml:space="preserve">  </w:t>
      </w:r>
      <w:r>
        <w:rPr>
          <w:color w:val="231F20"/>
          <w:spacing w:val="4"/>
        </w:rPr>
        <w:t>哈日嘎布 日-10</w:t>
      </w:r>
      <w:r>
        <w:rPr>
          <w:color w:val="231F20"/>
          <w:spacing w:val="32"/>
        </w:rPr>
        <w:t xml:space="preserve"> </w:t>
      </w:r>
      <w:r>
        <w:rPr>
          <w:color w:val="231F20"/>
          <w:spacing w:val="4"/>
        </w:rPr>
        <w:t>味丸（</w:t>
      </w:r>
      <w:r>
        <w:rPr>
          <w:color w:val="231F20"/>
          <w:spacing w:val="-11"/>
        </w:rPr>
        <w:t xml:space="preserve"> </w:t>
      </w:r>
      <w:r>
        <w:rPr>
          <w:color w:val="231F20"/>
          <w:spacing w:val="4"/>
        </w:rPr>
        <w:t>13 丸）等蒙药交替服用，调节清浊</w:t>
      </w:r>
      <w:r>
        <w:rPr>
          <w:color w:val="231F20"/>
        </w:rPr>
        <w:t xml:space="preserve">  </w:t>
      </w:r>
      <w:r>
        <w:rPr>
          <w:color w:val="231F20"/>
          <w:spacing w:val="18"/>
        </w:rPr>
        <w:t>代谢、胃肠道消化功能</w:t>
      </w:r>
      <w:r>
        <w:rPr>
          <w:color w:val="231F20"/>
          <w:spacing w:val="-11"/>
        </w:rPr>
        <w:t xml:space="preserve"> </w:t>
      </w:r>
      <w:r>
        <w:rPr>
          <w:color w:val="231F20"/>
          <w:spacing w:val="18"/>
        </w:rPr>
        <w:t>。午饭后予主要方剂止血八味散</w:t>
      </w:r>
      <w:r>
        <w:rPr>
          <w:color w:val="231F20"/>
        </w:rPr>
        <w:t xml:space="preserve">  </w:t>
      </w:r>
      <w:r>
        <w:rPr>
          <w:color w:val="231F20"/>
          <w:spacing w:val="-10"/>
        </w:rPr>
        <w:t>（3</w:t>
      </w:r>
      <w:r>
        <w:rPr>
          <w:color w:val="231F20"/>
          <w:spacing w:val="32"/>
          <w:w w:val="101"/>
        </w:rPr>
        <w:t xml:space="preserve"> </w:t>
      </w:r>
      <w:r>
        <w:rPr>
          <w:color w:val="231F20"/>
          <w:spacing w:val="-10"/>
        </w:rPr>
        <w:t>g</w:t>
      </w:r>
      <w:r>
        <w:rPr>
          <w:color w:val="231F20"/>
          <w:spacing w:val="-29"/>
          <w:w w:val="71"/>
        </w:rPr>
        <w:t>），</w:t>
      </w:r>
      <w:r>
        <w:rPr>
          <w:color w:val="231F20"/>
          <w:spacing w:val="-10"/>
        </w:rPr>
        <w:t>锁脉止血、清血热</w:t>
      </w:r>
      <w:r>
        <w:rPr>
          <w:color w:val="231F20"/>
          <w:spacing w:val="-30"/>
        </w:rPr>
        <w:t xml:space="preserve"> </w:t>
      </w:r>
      <w:r>
        <w:rPr>
          <w:color w:val="231F20"/>
          <w:spacing w:val="-10"/>
        </w:rPr>
        <w:t>。晚饭后予让阿嘎日</w:t>
      </w:r>
      <w:r>
        <w:rPr>
          <w:color w:val="231F20"/>
          <w:spacing w:val="-11"/>
        </w:rPr>
        <w:t>-8（3</w:t>
      </w:r>
      <w:r>
        <w:rPr>
          <w:color w:val="231F20"/>
          <w:spacing w:val="13"/>
        </w:rPr>
        <w:t xml:space="preserve"> </w:t>
      </w:r>
      <w:r>
        <w:rPr>
          <w:color w:val="231F20"/>
          <w:spacing w:val="-11"/>
        </w:rPr>
        <w:t>g）、阿嘎</w:t>
      </w:r>
      <w:r>
        <w:rPr>
          <w:color w:val="231F20"/>
        </w:rPr>
        <w:t xml:space="preserve">  </w:t>
      </w:r>
      <w:r>
        <w:rPr>
          <w:color w:val="231F20"/>
          <w:spacing w:val="-9"/>
        </w:rPr>
        <w:t>日-35（3</w:t>
      </w:r>
      <w:r>
        <w:rPr>
          <w:color w:val="231F20"/>
          <w:spacing w:val="17"/>
        </w:rPr>
        <w:t xml:space="preserve"> </w:t>
      </w:r>
      <w:r>
        <w:rPr>
          <w:color w:val="231F20"/>
          <w:spacing w:val="-9"/>
        </w:rPr>
        <w:t>g）、阿敏额尔敦（3</w:t>
      </w:r>
      <w:r>
        <w:rPr>
          <w:color w:val="231F20"/>
          <w:spacing w:val="17"/>
        </w:rPr>
        <w:t xml:space="preserve"> </w:t>
      </w:r>
      <w:r>
        <w:rPr>
          <w:color w:val="231F20"/>
          <w:spacing w:val="-9"/>
        </w:rPr>
        <w:t>g）等交替服用</w:t>
      </w:r>
      <w:r>
        <w:rPr>
          <w:color w:val="231F20"/>
          <w:spacing w:val="-10"/>
        </w:rPr>
        <w:t>，调节气血循环。</w:t>
      </w:r>
      <w:r>
        <w:rPr>
          <w:color w:val="231F20"/>
        </w:rPr>
        <w:t xml:space="preserve"> </w:t>
      </w:r>
      <w:r>
        <w:rPr>
          <w:color w:val="231F20"/>
          <w:spacing w:val="-3"/>
        </w:rPr>
        <w:t>晚睡前予Ⅲ号珍宝丸（9 丸）、扎冲-13</w:t>
      </w:r>
      <w:r>
        <w:rPr>
          <w:color w:val="231F20"/>
          <w:spacing w:val="15"/>
        </w:rPr>
        <w:t xml:space="preserve"> </w:t>
      </w:r>
      <w:r>
        <w:rPr>
          <w:color w:val="231F20"/>
          <w:spacing w:val="-3"/>
        </w:rPr>
        <w:t>味丸（11 丸</w:t>
      </w:r>
      <w:r>
        <w:rPr>
          <w:color w:val="231F20"/>
          <w:spacing w:val="-4"/>
        </w:rPr>
        <w:t>）等营养</w:t>
      </w:r>
      <w:r>
        <w:rPr>
          <w:color w:val="231F20"/>
        </w:rPr>
        <w:t xml:space="preserve">  </w:t>
      </w:r>
      <w:r>
        <w:rPr>
          <w:color w:val="231F20"/>
          <w:spacing w:val="1"/>
        </w:rPr>
        <w:t>神经、改善循环治疗。治疗 36</w:t>
      </w:r>
      <w:r>
        <w:rPr>
          <w:color w:val="231F20"/>
          <w:spacing w:val="14"/>
          <w:w w:val="101"/>
        </w:rPr>
        <w:t xml:space="preserve"> </w:t>
      </w:r>
      <w:r>
        <w:rPr>
          <w:color w:val="231F20"/>
          <w:spacing w:val="1"/>
        </w:rPr>
        <w:t>d 后复查头颅 </w:t>
      </w:r>
      <w:r>
        <w:rPr>
          <w:color w:val="231F20"/>
        </w:rPr>
        <w:t>CT</w:t>
      </w:r>
      <w:r>
        <w:rPr>
          <w:color w:val="231F20"/>
          <w:spacing w:val="1"/>
        </w:rPr>
        <w:t xml:space="preserve"> 提示</w:t>
      </w:r>
      <w:r>
        <w:rPr>
          <w:color w:val="231F20"/>
        </w:rPr>
        <w:t>蛛网膜  </w:t>
      </w:r>
      <w:r>
        <w:rPr>
          <w:color w:val="231F20"/>
          <w:spacing w:val="11"/>
        </w:rPr>
        <w:t>下腔出血基本吸收，病情基本稳定后出院</w:t>
      </w:r>
      <w:r>
        <w:rPr>
          <w:color w:val="231F20"/>
          <w:spacing w:val="-24"/>
        </w:rPr>
        <w:t xml:space="preserve"> </w:t>
      </w:r>
      <w:r>
        <w:rPr>
          <w:color w:val="231F20"/>
          <w:spacing w:val="11"/>
        </w:rPr>
        <w:t>。出院后序贯治</w:t>
      </w:r>
      <w:r>
        <w:rPr>
          <w:color w:val="231F20"/>
        </w:rPr>
        <w:t xml:space="preserve">  </w:t>
      </w:r>
      <w:r>
        <w:rPr>
          <w:color w:val="231F20"/>
          <w:spacing w:val="-3"/>
        </w:rPr>
        <w:t>疗，静脉滴注利妥昔单抗 0.1</w:t>
      </w:r>
      <w:r>
        <w:rPr>
          <w:color w:val="231F20"/>
          <w:spacing w:val="37"/>
          <w:w w:val="101"/>
        </w:rPr>
        <w:t xml:space="preserve"> </w:t>
      </w:r>
      <w:r>
        <w:rPr>
          <w:color w:val="231F20"/>
          <w:spacing w:val="-3"/>
        </w:rPr>
        <w:t>g，1 次/周，连续用 4 周，同时</w:t>
      </w:r>
      <w:r>
        <w:rPr>
          <w:color w:val="231F20"/>
        </w:rPr>
        <w:t xml:space="preserve">  </w:t>
      </w:r>
      <w:r>
        <w:rPr>
          <w:color w:val="231F20"/>
          <w:spacing w:val="3"/>
        </w:rPr>
        <w:t>口服蒙药治疗 3 个月，定期复查血小板，一般维持在</w:t>
      </w:r>
      <w:r>
        <w:rPr>
          <w:color w:val="231F20"/>
          <w:spacing w:val="32"/>
          <w:w w:val="101"/>
        </w:rPr>
        <w:t xml:space="preserve"> </w:t>
      </w:r>
      <w:r>
        <w:rPr>
          <w:color w:val="231F20"/>
          <w:spacing w:val="3"/>
        </w:rPr>
        <w:t>126</w:t>
      </w:r>
      <w:r>
        <w:rPr>
          <w:color w:val="231F20"/>
          <w:spacing w:val="-35"/>
        </w:rPr>
        <w:t xml:space="preserve"> </w:t>
      </w:r>
      <w:r>
        <w:rPr>
          <w:color w:val="231F20"/>
          <w:spacing w:val="3"/>
        </w:rPr>
        <w:t>×</w:t>
      </w:r>
      <w:r>
        <w:rPr>
          <w:color w:val="231F20"/>
        </w:rPr>
        <w:t xml:space="preserve">  </w:t>
      </w:r>
      <w:r>
        <w:rPr>
          <w:color w:val="231F20"/>
          <w:spacing w:val="13"/>
        </w:rPr>
        <w:t>10</w:t>
      </w:r>
      <w:r>
        <w:rPr>
          <w:sz w:val="10"/>
          <w:szCs w:val="10"/>
          <w:color w:val="231F20"/>
          <w:spacing w:val="13"/>
          <w:position w:val="6"/>
        </w:rPr>
        <w:t>9</w:t>
      </w:r>
      <w:r>
        <w:rPr>
          <w:color w:val="231F20"/>
          <w:spacing w:val="-22"/>
        </w:rPr>
        <w:t>/L～224×</w:t>
      </w:r>
      <w:r>
        <w:rPr>
          <w:color w:val="231F20"/>
          <w:spacing w:val="-30"/>
        </w:rPr>
        <w:t xml:space="preserve"> </w:t>
      </w:r>
      <w:r>
        <w:rPr>
          <w:color w:val="231F20"/>
          <w:spacing w:val="-22"/>
        </w:rPr>
        <w:t>10</w:t>
      </w:r>
      <w:r>
        <w:rPr>
          <w:sz w:val="10"/>
          <w:szCs w:val="10"/>
          <w:color w:val="231F20"/>
          <w:spacing w:val="-2"/>
          <w:position w:val="6"/>
        </w:rPr>
        <w:t>9</w:t>
      </w:r>
      <w:r>
        <w:rPr>
          <w:color w:val="231F20"/>
          <w:spacing w:val="-2"/>
        </w:rPr>
        <w:t>/L 之间。</w:t>
      </w:r>
    </w:p>
    <w:p>
      <w:pPr>
        <w:pStyle w:val="BodyText"/>
        <w:ind w:left="843"/>
        <w:spacing w:line="200" w:lineRule="auto"/>
        <w:outlineLvl w:val="1"/>
        <w:rPr/>
      </w:pPr>
      <w:r>
        <w:rPr>
          <w:color w:val="231F20"/>
          <w:spacing w:val="-7"/>
        </w:rPr>
        <w:t>2</w:t>
      </w:r>
      <w:r>
        <w:rPr>
          <w:color w:val="231F20"/>
          <w:spacing w:val="14"/>
        </w:rPr>
        <w:t xml:space="preserve">  </w:t>
      </w:r>
      <w:r>
        <w:rPr>
          <w:color w:val="231F20"/>
          <w:spacing w:val="-7"/>
        </w:rPr>
        <w:t>结</w:t>
      </w:r>
      <w:r>
        <w:rPr>
          <w:color w:val="231F20"/>
          <w:spacing w:val="10"/>
        </w:rPr>
        <w:t xml:space="preserve">   </w:t>
      </w:r>
      <w:r>
        <w:rPr>
          <w:color w:val="231F20"/>
          <w:spacing w:val="-7"/>
        </w:rPr>
        <w:t>果</w:t>
      </w:r>
    </w:p>
    <w:p>
      <w:pPr>
        <w:pStyle w:val="BodyText"/>
        <w:ind w:left="768" w:right="346" w:firstLine="464"/>
        <w:spacing w:before="35" w:line="242" w:lineRule="auto"/>
        <w:jc w:val="both"/>
        <w:rPr/>
      </w:pPr>
      <w:r>
        <w:rPr>
          <w:color w:val="231F20"/>
          <w:spacing w:val="-2"/>
        </w:rPr>
        <w:t>自停服所有蒙药至今，定期</w:t>
      </w:r>
      <w:r>
        <w:rPr>
          <w:color w:val="231F20"/>
          <w:spacing w:val="26"/>
          <w:w w:val="101"/>
        </w:rPr>
        <w:t xml:space="preserve"> </w:t>
      </w:r>
      <w:r>
        <w:rPr>
          <w:color w:val="231F20"/>
          <w:spacing w:val="-2"/>
        </w:rPr>
        <w:t>1 个月复查一次血常规，血</w:t>
      </w:r>
      <w:r>
        <w:rPr>
          <w:color w:val="231F20"/>
        </w:rPr>
        <w:t xml:space="preserve"> </w:t>
      </w:r>
      <w:r>
        <w:rPr>
          <w:color w:val="231F20"/>
          <w:spacing w:val="11"/>
        </w:rPr>
        <w:t>小板基本维持在正常范围内</w:t>
      </w:r>
      <w:r>
        <w:rPr>
          <w:color w:val="231F20"/>
          <w:spacing w:val="-24"/>
        </w:rPr>
        <w:t xml:space="preserve"> </w:t>
      </w:r>
      <w:r>
        <w:rPr>
          <w:color w:val="231F20"/>
          <w:spacing w:val="11"/>
        </w:rPr>
        <w:t>。最近一次随访复查血常规示</w:t>
      </w:r>
      <w:r>
        <w:rPr>
          <w:color w:val="231F20"/>
        </w:rPr>
        <w:t xml:space="preserve"> </w:t>
      </w:r>
      <w:r>
        <w:rPr>
          <w:color w:val="231F20"/>
          <w:spacing w:val="-5"/>
        </w:rPr>
        <w:t>（2020-5-26</w:t>
      </w:r>
      <w:r>
        <w:rPr>
          <w:color w:val="231F20"/>
          <w:spacing w:val="-30"/>
          <w:w w:val="64"/>
        </w:rPr>
        <w:t>）：</w:t>
      </w:r>
      <w:r>
        <w:rPr>
          <w:color w:val="231F20"/>
          <w:spacing w:val="-5"/>
        </w:rPr>
        <w:t>白细胞 6.27×</w:t>
      </w:r>
      <w:r>
        <w:rPr>
          <w:color w:val="231F20"/>
          <w:spacing w:val="-31"/>
        </w:rPr>
        <w:t xml:space="preserve"> </w:t>
      </w:r>
      <w:r>
        <w:rPr>
          <w:color w:val="231F20"/>
          <w:spacing w:val="-6"/>
        </w:rPr>
        <w:t>10</w:t>
      </w:r>
      <w:r>
        <w:rPr>
          <w:sz w:val="10"/>
          <w:szCs w:val="10"/>
          <w:color w:val="231F20"/>
          <w:spacing w:val="-6"/>
          <w:position w:val="6"/>
        </w:rPr>
        <w:t>9</w:t>
      </w:r>
      <w:r>
        <w:rPr>
          <w:color w:val="231F20"/>
          <w:spacing w:val="-6"/>
        </w:rPr>
        <w:t>/L、血红蛋白</w:t>
      </w:r>
      <w:r>
        <w:rPr>
          <w:color w:val="231F20"/>
          <w:spacing w:val="16"/>
          <w:w w:val="101"/>
        </w:rPr>
        <w:t xml:space="preserve"> </w:t>
      </w:r>
      <w:r>
        <w:rPr>
          <w:color w:val="231F20"/>
          <w:spacing w:val="-11"/>
          <w:w w:val="96"/>
        </w:rPr>
        <w:t>128</w:t>
      </w:r>
      <w:r>
        <w:rPr>
          <w:color w:val="231F20"/>
          <w:spacing w:val="15"/>
        </w:rPr>
        <w:t xml:space="preserve"> </w:t>
      </w:r>
      <w:r>
        <w:rPr>
          <w:color w:val="231F20"/>
          <w:spacing w:val="-11"/>
          <w:w w:val="96"/>
        </w:rPr>
        <w:t>g/L、血小板</w:t>
      </w:r>
      <w:r>
        <w:rPr>
          <w:color w:val="231F20"/>
        </w:rPr>
        <w:t xml:space="preserve"> </w:t>
      </w:r>
      <w:r>
        <w:rPr>
          <w:color w:val="231F20"/>
          <w:spacing w:val="-2"/>
        </w:rPr>
        <w:t>137×</w:t>
      </w:r>
      <w:r>
        <w:rPr>
          <w:color w:val="231F20"/>
          <w:spacing w:val="-14"/>
        </w:rPr>
        <w:t xml:space="preserve"> </w:t>
      </w:r>
      <w:r>
        <w:rPr>
          <w:color w:val="231F20"/>
          <w:spacing w:val="-2"/>
        </w:rPr>
        <w:t>10</w:t>
      </w:r>
      <w:r>
        <w:rPr>
          <w:sz w:val="10"/>
          <w:szCs w:val="10"/>
          <w:color w:val="231F20"/>
          <w:spacing w:val="-2"/>
          <w:position w:val="6"/>
        </w:rPr>
        <w:t>9</w:t>
      </w:r>
      <w:r>
        <w:rPr>
          <w:color w:val="231F20"/>
          <w:spacing w:val="-2"/>
        </w:rPr>
        <w:t>/L。疾病基本稳定，生活状态良好。</w:t>
      </w:r>
    </w:p>
    <w:p>
      <w:pPr>
        <w:pStyle w:val="BodyText"/>
        <w:ind w:left="845"/>
        <w:spacing w:before="1" w:line="201" w:lineRule="auto"/>
        <w:outlineLvl w:val="1"/>
        <w:rPr/>
      </w:pPr>
      <w:r>
        <w:rPr>
          <w:color w:val="231F20"/>
          <w:spacing w:val="-6"/>
        </w:rPr>
        <w:t>3</w:t>
      </w:r>
      <w:r>
        <w:rPr>
          <w:color w:val="231F20"/>
          <w:spacing w:val="11"/>
        </w:rPr>
        <w:t xml:space="preserve">  </w:t>
      </w:r>
      <w:r>
        <w:rPr>
          <w:color w:val="231F20"/>
          <w:spacing w:val="-6"/>
        </w:rPr>
        <w:t>讨</w:t>
      </w:r>
      <w:r>
        <w:rPr>
          <w:color w:val="231F20"/>
          <w:spacing w:val="13"/>
        </w:rPr>
        <w:t xml:space="preserve">  </w:t>
      </w:r>
      <w:r>
        <w:rPr>
          <w:color w:val="231F20"/>
          <w:spacing w:val="-6"/>
        </w:rPr>
        <w:t>论</w:t>
      </w:r>
    </w:p>
    <w:p>
      <w:pPr>
        <w:pStyle w:val="BodyText"/>
        <w:ind w:left="838" w:right="346" w:firstLine="370"/>
        <w:spacing w:before="33" w:line="242" w:lineRule="auto"/>
        <w:jc w:val="both"/>
        <w:rPr/>
      </w:pPr>
      <w:r>
        <w:rPr>
          <w:color w:val="231F20"/>
          <w:spacing w:val="8"/>
        </w:rPr>
        <w:t>随着医学不断发展，各种新的治疗药物及技术不断出</w:t>
      </w:r>
      <w:r>
        <w:rPr>
          <w:color w:val="231F20"/>
          <w:spacing w:val="17"/>
        </w:rPr>
        <w:t xml:space="preserve"> </w:t>
      </w:r>
      <w:r>
        <w:rPr>
          <w:color w:val="231F20"/>
          <w:spacing w:val="2"/>
        </w:rPr>
        <w:t>现，现代医学与传统医学的结合治疗发挥着更好的作用。在</w:t>
      </w:r>
      <w:r>
        <w:rPr>
          <w:color w:val="231F20"/>
          <w:spacing w:val="9"/>
        </w:rPr>
        <w:t xml:space="preserve"> </w:t>
      </w:r>
      <w:r>
        <w:rPr>
          <w:color w:val="231F20"/>
          <w:spacing w:val="4"/>
        </w:rPr>
        <w:t>此病例中不难发现，蒙西医结合治疗 </w:t>
      </w:r>
      <w:r>
        <w:rPr>
          <w:color w:val="231F20"/>
        </w:rPr>
        <w:t>RITP</w:t>
      </w:r>
      <w:r>
        <w:rPr>
          <w:color w:val="231F20"/>
          <w:spacing w:val="4"/>
        </w:rPr>
        <w:t xml:space="preserve"> 的疗效及预后得</w:t>
      </w:r>
      <w:r>
        <w:rPr>
          <w:color w:val="231F20"/>
          <w:spacing w:val="8"/>
        </w:rPr>
        <w:t xml:space="preserve"> </w:t>
      </w:r>
      <w:r>
        <w:rPr>
          <w:color w:val="231F20"/>
          <w:spacing w:val="4"/>
        </w:rPr>
        <w:t>到了改善。但蒙医药治疗 </w:t>
      </w:r>
      <w:r>
        <w:rPr>
          <w:color w:val="231F20"/>
        </w:rPr>
        <w:t>RITP</w:t>
      </w:r>
      <w:r>
        <w:rPr>
          <w:color w:val="231F20"/>
          <w:spacing w:val="4"/>
        </w:rPr>
        <w:t xml:space="preserve"> 的具体成分及作用机制方面</w:t>
      </w:r>
      <w:r>
        <w:rPr>
          <w:color w:val="231F20"/>
          <w:spacing w:val="8"/>
        </w:rPr>
        <w:t xml:space="preserve"> </w:t>
      </w:r>
      <w:r>
        <w:rPr>
          <w:color w:val="231F20"/>
          <w:spacing w:val="2"/>
        </w:rPr>
        <w:t>试验研究较少，后续有待此类研究的开展，以期为蒙医药治</w:t>
      </w:r>
    </w:p>
    <w:p>
      <w:pPr>
        <w:spacing w:line="14" w:lineRule="auto"/>
        <w:rPr>
          <w:rFonts w:ascii="Arial"/>
          <w:sz w:val="2"/>
        </w:rPr>
      </w:pPr>
      <w:r>
        <w:rPr>
          <w:rFonts w:ascii="Arial" w:hAnsi="Arial" w:eastAsia="Arial" w:cs="Arial"/>
          <w:sz w:val="2"/>
          <w:szCs w:val="2"/>
        </w:rPr>
        <w:br w:type="column"/>
      </w:r>
    </w:p>
    <w:p>
      <w:pPr>
        <w:pStyle w:val="BodyText"/>
        <w:ind w:left="2"/>
        <w:spacing w:before="47" w:line="190" w:lineRule="auto"/>
        <w:rPr/>
      </w:pPr>
      <w:r>
        <w:rPr>
          <w:color w:val="231F20"/>
          <w:spacing w:val="6"/>
        </w:rPr>
        <w:t>疗 </w:t>
      </w:r>
      <w:r>
        <w:rPr>
          <w:color w:val="231F20"/>
        </w:rPr>
        <w:t>RITP</w:t>
      </w:r>
      <w:r>
        <w:rPr>
          <w:color w:val="231F20"/>
          <w:spacing w:val="6"/>
        </w:rPr>
        <w:t xml:space="preserve"> 提供更多的理论依据。</w:t>
      </w:r>
    </w:p>
    <w:p>
      <w:pPr>
        <w:pStyle w:val="BodyText"/>
        <w:ind w:left="364"/>
        <w:spacing w:before="64" w:line="185" w:lineRule="auto"/>
        <w:rPr/>
      </w:pPr>
      <w:r>
        <w:rPr>
          <w:color w:val="231F20"/>
          <w:spacing w:val="6"/>
        </w:rPr>
        <w:t>参考文献</w:t>
      </w:r>
    </w:p>
    <w:p>
      <w:pPr>
        <w:pStyle w:val="BodyText"/>
        <w:ind w:left="196" w:right="55" w:hanging="188"/>
        <w:spacing w:before="60" w:line="226" w:lineRule="auto"/>
        <w:rPr/>
      </w:pPr>
      <w:r>
        <w:rPr>
          <w:color w:val="231F20"/>
          <w:spacing w:val="16"/>
        </w:rPr>
        <w:t>[1]中华医学会血液学分会止血与血栓学组</w:t>
      </w:r>
      <w:r>
        <w:rPr>
          <w:color w:val="231F20"/>
          <w:spacing w:val="-11"/>
        </w:rPr>
        <w:t xml:space="preserve"> </w:t>
      </w:r>
      <w:r>
        <w:rPr>
          <w:color w:val="231F20"/>
          <w:spacing w:val="16"/>
        </w:rPr>
        <w:t>.</w:t>
      </w:r>
      <w:r>
        <w:rPr>
          <w:color w:val="231F20"/>
          <w:spacing w:val="-27"/>
        </w:rPr>
        <w:t xml:space="preserve"> </w:t>
      </w:r>
      <w:r>
        <w:rPr>
          <w:color w:val="231F20"/>
          <w:spacing w:val="16"/>
        </w:rPr>
        <w:t>成人原发免</w:t>
      </w:r>
      <w:r>
        <w:rPr>
          <w:color w:val="231F20"/>
        </w:rPr>
        <w:t xml:space="preserve"> </w:t>
      </w:r>
      <w:r>
        <w:rPr>
          <w:color w:val="231F20"/>
          <w:spacing w:val="10"/>
        </w:rPr>
        <w:t>疫性血小板减少症诊断与治疗中国专家共识（2016 年</w:t>
      </w:r>
      <w:r>
        <w:rPr>
          <w:color w:val="231F20"/>
          <w:spacing w:val="5"/>
        </w:rPr>
        <w:t xml:space="preserve"> </w:t>
      </w:r>
      <w:r>
        <w:rPr>
          <w:color w:val="231F20"/>
          <w:spacing w:val="-11"/>
        </w:rPr>
        <w:t>版）[J].中华血液学杂志，2016，37（2</w:t>
      </w:r>
      <w:r>
        <w:rPr>
          <w:color w:val="231F20"/>
          <w:spacing w:val="-27"/>
          <w:w w:val="58"/>
        </w:rPr>
        <w:t>）：</w:t>
      </w:r>
      <w:r>
        <w:rPr>
          <w:color w:val="231F20"/>
          <w:spacing w:val="-11"/>
        </w:rPr>
        <w:t>89-</w:t>
      </w:r>
      <w:r>
        <w:rPr>
          <w:color w:val="231F20"/>
          <w:spacing w:val="-12"/>
        </w:rPr>
        <w:t>93.</w:t>
      </w:r>
    </w:p>
    <w:p>
      <w:pPr>
        <w:pStyle w:val="BodyText"/>
        <w:ind w:left="217" w:right="55" w:hanging="209"/>
        <w:spacing w:before="52" w:line="218" w:lineRule="auto"/>
        <w:rPr/>
      </w:pPr>
      <w:r>
        <w:rPr>
          <w:color w:val="231F20"/>
          <w:spacing w:val="5"/>
        </w:rPr>
        <w:t>[2]高钰思，杭盖巴特尔</w:t>
      </w:r>
      <w:r>
        <w:rPr>
          <w:color w:val="231F20"/>
          <w:spacing w:val="-21"/>
        </w:rPr>
        <w:t xml:space="preserve"> </w:t>
      </w:r>
      <w:r>
        <w:rPr>
          <w:color w:val="231F20"/>
          <w:spacing w:val="5"/>
        </w:rPr>
        <w:t>.</w:t>
      </w:r>
      <w:r>
        <w:rPr>
          <w:color w:val="231F20"/>
          <w:spacing w:val="-14"/>
        </w:rPr>
        <w:t xml:space="preserve"> </w:t>
      </w:r>
      <w:r>
        <w:rPr>
          <w:color w:val="231F20"/>
          <w:spacing w:val="5"/>
        </w:rPr>
        <w:t>蒙医“</w:t>
      </w:r>
      <w:r>
        <w:rPr>
          <w:color w:val="231F20"/>
          <w:spacing w:val="-19"/>
        </w:rPr>
        <w:t xml:space="preserve"> </w:t>
      </w:r>
      <w:r>
        <w:rPr>
          <w:color w:val="231F20"/>
          <w:spacing w:val="5"/>
        </w:rPr>
        <w:t>平衡三根</w:t>
      </w:r>
      <w:r>
        <w:rPr>
          <w:color w:val="231F20"/>
          <w:spacing w:val="-25"/>
        </w:rPr>
        <w:t xml:space="preserve"> </w:t>
      </w:r>
      <w:r>
        <w:rPr>
          <w:color w:val="231F20"/>
          <w:spacing w:val="5"/>
        </w:rPr>
        <w:t>、调动人</w:t>
      </w:r>
      <w:r>
        <w:rPr>
          <w:color w:val="231F20"/>
          <w:spacing w:val="4"/>
        </w:rPr>
        <w:t>体 自愈</w:t>
      </w:r>
      <w:r>
        <w:rPr>
          <w:color w:val="231F20"/>
        </w:rPr>
        <w:t xml:space="preserve"> </w:t>
      </w:r>
      <w:r>
        <w:rPr>
          <w:color w:val="231F20"/>
          <w:spacing w:val="1"/>
        </w:rPr>
        <w:t>能力”治疗疾病的经验[J].中国民族医药杂志，2018，24</w:t>
      </w:r>
    </w:p>
    <w:p>
      <w:pPr>
        <w:pStyle w:val="BodyText"/>
        <w:ind w:left="120"/>
        <w:spacing w:before="51" w:line="197" w:lineRule="auto"/>
        <w:rPr/>
      </w:pPr>
      <w:r>
        <w:rPr>
          <w:color w:val="231F20"/>
        </w:rPr>
        <w:t>（5</w:t>
      </w:r>
      <w:r>
        <w:rPr>
          <w:color w:val="231F20"/>
          <w:spacing w:val="-28"/>
          <w:w w:val="60"/>
        </w:rPr>
        <w:t>）：</w:t>
      </w:r>
      <w:r>
        <w:rPr>
          <w:color w:val="231F20"/>
        </w:rPr>
        <w:t>32-33.</w:t>
      </w:r>
    </w:p>
    <w:p>
      <w:pPr>
        <w:pStyle w:val="BodyText"/>
        <w:ind w:left="191" w:hanging="183"/>
        <w:spacing w:before="49" w:line="226" w:lineRule="auto"/>
        <w:rPr/>
      </w:pPr>
      <w:r>
        <w:rPr>
          <w:color w:val="231F20"/>
          <w:spacing w:val="-1"/>
        </w:rPr>
        <w:t>[3]滕志，雷秦，许世娟，等.利妥昔单抗治疗难治性特发</w:t>
      </w:r>
      <w:r>
        <w:rPr>
          <w:color w:val="231F20"/>
          <w:spacing w:val="-2"/>
        </w:rPr>
        <w:t>性血</w:t>
      </w:r>
      <w:r>
        <w:rPr>
          <w:color w:val="231F20"/>
        </w:rPr>
        <w:t xml:space="preserve">  </w:t>
      </w:r>
      <w:r>
        <w:rPr>
          <w:color w:val="231F20"/>
          <w:spacing w:val="5"/>
        </w:rPr>
        <w:t>小板减少性紫癜患者临床研究[J].陕西医学杂志，2019，</w:t>
      </w:r>
      <w:r>
        <w:rPr>
          <w:color w:val="231F20"/>
          <w:spacing w:val="9"/>
        </w:rPr>
        <w:t xml:space="preserve"> </w:t>
      </w:r>
      <w:r>
        <w:rPr>
          <w:color w:val="231F20"/>
          <w:spacing w:val="-15"/>
        </w:rPr>
        <w:t>48（1</w:t>
      </w:r>
      <w:r>
        <w:rPr>
          <w:color w:val="231F20"/>
          <w:spacing w:val="-39"/>
          <w:w w:val="84"/>
        </w:rPr>
        <w:t>）：</w:t>
      </w:r>
      <w:r>
        <w:rPr>
          <w:color w:val="231F20"/>
          <w:spacing w:val="-15"/>
        </w:rPr>
        <w:t>102-104.</w:t>
      </w:r>
    </w:p>
    <w:p>
      <w:pPr>
        <w:pStyle w:val="BodyText"/>
        <w:ind w:left="203" w:right="55" w:hanging="195"/>
        <w:spacing w:before="49" w:line="226" w:lineRule="auto"/>
        <w:rPr/>
      </w:pPr>
      <w:r>
        <w:rPr>
          <w:color w:val="231F20"/>
          <w:spacing w:val="-1"/>
        </w:rPr>
        <w:t>[4]李青芬，孙延庆，张启科，等.地塞米松联合小剂量</w:t>
      </w:r>
      <w:r>
        <w:rPr>
          <w:color w:val="231F20"/>
          <w:spacing w:val="-2"/>
        </w:rPr>
        <w:t>利妥昔</w:t>
      </w:r>
      <w:r>
        <w:rPr>
          <w:color w:val="231F20"/>
        </w:rPr>
        <w:t xml:space="preserve"> </w:t>
      </w:r>
      <w:r>
        <w:rPr>
          <w:color w:val="231F20"/>
          <w:spacing w:val="12"/>
        </w:rPr>
        <w:t>单抗治疗复发难治性血小板减少性紫癜的疗效[J].甘肃</w:t>
      </w:r>
      <w:r>
        <w:rPr>
          <w:color w:val="231F20"/>
          <w:spacing w:val="3"/>
        </w:rPr>
        <w:t xml:space="preserve"> </w:t>
      </w:r>
      <w:r>
        <w:rPr>
          <w:color w:val="231F20"/>
          <w:spacing w:val="-16"/>
        </w:rPr>
        <w:t>医药，2018，37（3</w:t>
      </w:r>
      <w:r>
        <w:rPr>
          <w:color w:val="231F20"/>
          <w:spacing w:val="-30"/>
          <w:w w:val="63"/>
        </w:rPr>
        <w:t>）：</w:t>
      </w:r>
      <w:r>
        <w:rPr>
          <w:color w:val="231F20"/>
          <w:spacing w:val="-16"/>
        </w:rPr>
        <w:t>261-262.</w:t>
      </w:r>
    </w:p>
    <w:p>
      <w:pPr>
        <w:pStyle w:val="BodyText"/>
        <w:ind w:left="200" w:right="55" w:hanging="192"/>
        <w:spacing w:before="50" w:line="226" w:lineRule="auto"/>
        <w:rPr/>
      </w:pPr>
      <w:r>
        <w:rPr>
          <w:color w:val="231F20"/>
          <w:spacing w:val="5"/>
        </w:rPr>
        <w:t>[5]何继祥，姜义荣.利妥昔单抗联合地塞米松在治疗难</w:t>
      </w:r>
      <w:r>
        <w:rPr>
          <w:color w:val="231F20"/>
          <w:spacing w:val="4"/>
        </w:rPr>
        <w:t>治性</w:t>
      </w:r>
      <w:r>
        <w:rPr>
          <w:color w:val="231F20"/>
        </w:rPr>
        <w:t xml:space="preserve"> </w:t>
      </w:r>
      <w:r>
        <w:rPr>
          <w:color w:val="231F20"/>
          <w:spacing w:val="12"/>
        </w:rPr>
        <w:t>血小板减少性紫癜中的临床疗效及其安全性分析[J].中</w:t>
      </w:r>
      <w:r>
        <w:rPr>
          <w:color w:val="231F20"/>
          <w:spacing w:val="6"/>
        </w:rPr>
        <w:t xml:space="preserve"> </w:t>
      </w:r>
      <w:r>
        <w:rPr>
          <w:color w:val="231F20"/>
          <w:spacing w:val="-13"/>
        </w:rPr>
        <w:t>国现代药物应用，2019，13（7</w:t>
      </w:r>
      <w:r>
        <w:rPr>
          <w:color w:val="231F20"/>
          <w:spacing w:val="-38"/>
          <w:w w:val="81"/>
        </w:rPr>
        <w:t>）：</w:t>
      </w:r>
      <w:r>
        <w:rPr>
          <w:color w:val="231F20"/>
          <w:spacing w:val="-13"/>
        </w:rPr>
        <w:t>120-121.</w:t>
      </w:r>
    </w:p>
    <w:p>
      <w:pPr>
        <w:pStyle w:val="BodyText"/>
        <w:ind w:left="199" w:right="55" w:hanging="191"/>
        <w:spacing w:before="49" w:line="226" w:lineRule="auto"/>
        <w:rPr/>
      </w:pPr>
      <w:r>
        <w:rPr>
          <w:color w:val="231F20"/>
          <w:spacing w:val="-4"/>
        </w:rPr>
        <w:t>[6]陈成坚，谢碧霞，谢伟成，等.</w:t>
      </w:r>
      <w:r>
        <w:rPr>
          <w:color w:val="231F20"/>
          <w:spacing w:val="-29"/>
        </w:rPr>
        <w:t xml:space="preserve"> </w:t>
      </w:r>
      <w:r>
        <w:rPr>
          <w:color w:val="231F20"/>
          <w:spacing w:val="-4"/>
        </w:rPr>
        <w:t>小剂量美罗华治疗</w:t>
      </w:r>
      <w:r>
        <w:rPr>
          <w:color w:val="231F20"/>
          <w:spacing w:val="-5"/>
        </w:rPr>
        <w:t>难治/复发</w:t>
      </w:r>
      <w:r>
        <w:rPr>
          <w:color w:val="231F20"/>
        </w:rPr>
        <w:t xml:space="preserve"> </w:t>
      </w:r>
      <w:r>
        <w:rPr>
          <w:color w:val="231F20"/>
          <w:spacing w:val="12"/>
        </w:rPr>
        <w:t>免疫性血小板减少性紫癜中的临床观察[J].中国现代药</w:t>
      </w:r>
      <w:r>
        <w:rPr>
          <w:color w:val="231F20"/>
          <w:spacing w:val="8"/>
        </w:rPr>
        <w:t xml:space="preserve"> </w:t>
      </w:r>
      <w:r>
        <w:rPr>
          <w:color w:val="231F20"/>
          <w:spacing w:val="-17"/>
        </w:rPr>
        <w:t>物应用，2017，11（9</w:t>
      </w:r>
      <w:r>
        <w:rPr>
          <w:color w:val="231F20"/>
          <w:spacing w:val="-38"/>
          <w:w w:val="81"/>
        </w:rPr>
        <w:t>）：</w:t>
      </w:r>
      <w:r>
        <w:rPr>
          <w:color w:val="231F20"/>
          <w:spacing w:val="-17"/>
        </w:rPr>
        <w:t>129-131.</w:t>
      </w:r>
    </w:p>
    <w:p>
      <w:pPr>
        <w:pStyle w:val="BodyText"/>
        <w:ind w:left="197" w:right="3" w:hanging="189"/>
        <w:spacing w:before="51" w:line="233" w:lineRule="auto"/>
        <w:rPr/>
      </w:pPr>
      <w:r>
        <w:rPr>
          <w:color w:val="231F20"/>
          <w:spacing w:val="3"/>
        </w:rPr>
        <w:t>[7]宝音朝古拉，李权，邢迎春，等</w:t>
      </w:r>
      <w:r>
        <w:rPr>
          <w:color w:val="231F20"/>
          <w:spacing w:val="-25"/>
        </w:rPr>
        <w:t xml:space="preserve"> </w:t>
      </w:r>
      <w:r>
        <w:rPr>
          <w:color w:val="231F20"/>
          <w:spacing w:val="3"/>
        </w:rPr>
        <w:t>.</w:t>
      </w:r>
      <w:r>
        <w:rPr>
          <w:color w:val="231F20"/>
          <w:spacing w:val="-21"/>
        </w:rPr>
        <w:t xml:space="preserve"> </w:t>
      </w:r>
      <w:r>
        <w:rPr>
          <w:color w:val="231F20"/>
          <w:spacing w:val="3"/>
        </w:rPr>
        <w:t>蒙医药治疗原发性血小</w:t>
      </w:r>
      <w:r>
        <w:rPr>
          <w:color w:val="231F20"/>
        </w:rPr>
        <w:t xml:space="preserve">  </w:t>
      </w:r>
      <w:r>
        <w:rPr>
          <w:color w:val="231F20"/>
          <w:spacing w:val="-1"/>
        </w:rPr>
        <w:t>板减少症的体会[J].中国</w:t>
      </w:r>
      <w:r>
        <w:rPr>
          <w:color w:val="231F20"/>
          <w:spacing w:val="-12"/>
        </w:rPr>
        <w:t xml:space="preserve"> </w:t>
      </w:r>
      <w:r>
        <w:rPr>
          <w:color w:val="231F20"/>
          <w:spacing w:val="-1"/>
        </w:rPr>
        <w:t>民族医药杂志，2017，12（12</w:t>
      </w:r>
      <w:r>
        <w:rPr>
          <w:color w:val="231F20"/>
          <w:spacing w:val="-46"/>
        </w:rPr>
        <w:t>）：</w:t>
      </w:r>
      <w:r>
        <w:rPr>
          <w:color w:val="231F20"/>
        </w:rPr>
        <w:t xml:space="preserve"> </w:t>
      </w:r>
      <w:r>
        <w:rPr>
          <w:color w:val="231F20"/>
          <w:spacing w:val="-4"/>
        </w:rPr>
        <w:t>34-35.</w:t>
      </w:r>
    </w:p>
    <w:p>
      <w:pPr>
        <w:pStyle w:val="BodyText"/>
        <w:ind w:left="208" w:right="55" w:hanging="200"/>
        <w:spacing w:before="22" w:line="226" w:lineRule="auto"/>
        <w:rPr/>
      </w:pPr>
      <w:r>
        <w:rPr>
          <w:color w:val="231F20"/>
          <w:spacing w:val="-1"/>
        </w:rPr>
        <w:t>[8]孟景晔，龙潺，骆子义，等.糖皮质激素联合小剂量</w:t>
      </w:r>
      <w:r>
        <w:rPr>
          <w:color w:val="231F20"/>
          <w:spacing w:val="-2"/>
        </w:rPr>
        <w:t>美罗华</w:t>
      </w:r>
      <w:r>
        <w:rPr>
          <w:color w:val="231F20"/>
        </w:rPr>
        <w:t xml:space="preserve"> </w:t>
      </w:r>
      <w:r>
        <w:rPr>
          <w:color w:val="231F20"/>
          <w:spacing w:val="12"/>
        </w:rPr>
        <w:t>治疗难治性原发性免疫性血小板减少症的临床研究[J</w:t>
      </w:r>
      <w:r>
        <w:rPr>
          <w:color w:val="231F20"/>
          <w:spacing w:val="11"/>
        </w:rPr>
        <w:t>].</w:t>
      </w:r>
      <w:r>
        <w:rPr>
          <w:color w:val="231F20"/>
        </w:rPr>
        <w:t xml:space="preserve"> </w:t>
      </w:r>
      <w:r>
        <w:rPr>
          <w:color w:val="231F20"/>
          <w:spacing w:val="-14"/>
        </w:rPr>
        <w:t>临床医学，2017，37（2</w:t>
      </w:r>
      <w:r>
        <w:rPr>
          <w:color w:val="231F20"/>
          <w:spacing w:val="-28"/>
          <w:w w:val="60"/>
        </w:rPr>
        <w:t>）：</w:t>
      </w:r>
      <w:r>
        <w:rPr>
          <w:color w:val="231F20"/>
          <w:spacing w:val="-14"/>
        </w:rPr>
        <w:t>21-22.</w:t>
      </w:r>
    </w:p>
    <w:p>
      <w:pPr>
        <w:spacing w:line="268"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86954</wp:posOffset>
            </wp:positionV>
            <wp:extent cx="679801" cy="6350"/>
            <wp:effectExtent l="0" t="0" r="0" b="0"/>
            <wp:wrapNone/>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679801" cy="6350"/>
                    </a:xfrm>
                    <a:prstGeom prst="rect">
                      <a:avLst/>
                    </a:prstGeom>
                  </pic:spPr>
                </pic:pic>
              </a:graphicData>
            </a:graphic>
          </wp:anchor>
        </w:drawing>
      </w:r>
      <w:r/>
    </w:p>
    <w:p>
      <w:pPr>
        <w:pStyle w:val="BodyText"/>
        <w:ind w:left="362"/>
        <w:spacing w:before="74" w:line="201" w:lineRule="auto"/>
        <w:rPr/>
      </w:pPr>
      <w:r>
        <w:rPr>
          <w:color w:val="231F20"/>
          <w:spacing w:val="-8"/>
        </w:rPr>
        <w:t>2020 年 9</w:t>
      </w:r>
      <w:r>
        <w:rPr>
          <w:color w:val="231F20"/>
          <w:spacing w:val="20"/>
          <w:w w:val="101"/>
        </w:rPr>
        <w:t xml:space="preserve"> </w:t>
      </w:r>
      <w:r>
        <w:rPr>
          <w:color w:val="231F20"/>
          <w:spacing w:val="-8"/>
        </w:rPr>
        <w:t>月 23  日收稿</w:t>
      </w:r>
    </w:p>
    <w:p>
      <w:pPr>
        <w:spacing w:line="201" w:lineRule="auto"/>
        <w:sectPr>
          <w:type w:val="continuous"/>
          <w:pgSz w:w="11905" w:h="16156"/>
          <w:pgMar w:top="1216" w:right="1189" w:bottom="400" w:left="407" w:header="893" w:footer="0" w:gutter="0"/>
          <w:cols w:equalWidth="0" w:num="2">
            <w:col w:w="5668" w:space="100"/>
            <w:col w:w="4539" w:space="0"/>
          </w:cols>
        </w:sectPr>
        <w:rPr/>
      </w:pPr>
    </w:p>
    <w:p>
      <w:pPr>
        <w:spacing w:line="285" w:lineRule="auto"/>
        <w:rPr>
          <w:rFonts w:ascii="Arial"/>
          <w:sz w:val="21"/>
        </w:rPr>
      </w:pPr>
      <w:r/>
    </w:p>
    <w:p>
      <w:pPr>
        <w:spacing w:line="285" w:lineRule="auto"/>
        <w:rPr>
          <w:rFonts w:ascii="Arial"/>
          <w:sz w:val="21"/>
        </w:rPr>
      </w:pPr>
      <w:r/>
    </w:p>
    <w:p>
      <w:pPr>
        <w:spacing w:line="286" w:lineRule="auto"/>
        <w:rPr>
          <w:rFonts w:ascii="Arial"/>
          <w:sz w:val="21"/>
        </w:rPr>
      </w:pPr>
      <w:r>
        <w:drawing>
          <wp:anchor distT="0" distB="0" distL="0" distR="0" simplePos="0" relativeHeight="251662336" behindDoc="0" locked="0" layoutInCell="1" allowOverlap="1">
            <wp:simplePos x="0" y="0"/>
            <wp:positionH relativeFrom="column">
              <wp:posOffset>532130</wp:posOffset>
            </wp:positionH>
            <wp:positionV relativeFrom="paragraph">
              <wp:posOffset>12329</wp:posOffset>
            </wp:positionV>
            <wp:extent cx="5976620" cy="6350"/>
            <wp:effectExtent l="0" t="0" r="0" b="0"/>
            <wp:wrapNone/>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5976620" cy="6350"/>
                    </a:xfrm>
                    <a:prstGeom prst="rect">
                      <a:avLst/>
                    </a:prstGeom>
                  </pic:spPr>
                </pic:pic>
              </a:graphicData>
            </a:graphic>
          </wp:anchor>
        </w:drawing>
      </w:r>
      <w:r/>
    </w:p>
    <w:p>
      <w:pPr>
        <w:spacing w:line="286" w:lineRule="auto"/>
        <w:rPr>
          <w:rFonts w:ascii="Arial"/>
          <w:sz w:val="21"/>
        </w:rPr>
      </w:pPr>
      <w:r/>
    </w:p>
    <w:p>
      <w:pPr>
        <w:pStyle w:val="BodyText"/>
        <w:ind w:left="768"/>
        <w:spacing w:before="74" w:line="197" w:lineRule="auto"/>
        <w:rPr/>
      </w:pPr>
      <w:r>
        <w:rPr>
          <w:color w:val="231F20"/>
          <w:spacing w:val="-5"/>
        </w:rPr>
        <w:t>（上接 29</w:t>
      </w:r>
      <w:r>
        <w:rPr>
          <w:color w:val="231F20"/>
          <w:spacing w:val="21"/>
        </w:rPr>
        <w:t xml:space="preserve"> </w:t>
      </w:r>
      <w:r>
        <w:rPr>
          <w:color w:val="231F20"/>
          <w:spacing w:val="-5"/>
        </w:rPr>
        <w:t>页）</w:t>
      </w:r>
    </w:p>
    <w:p>
      <w:pPr>
        <w:spacing w:before="64"/>
        <w:rPr/>
      </w:pPr>
      <w:r/>
    </w:p>
    <w:p>
      <w:pPr>
        <w:sectPr>
          <w:type w:val="continuous"/>
          <w:pgSz w:w="11905" w:h="16156"/>
          <w:pgMar w:top="1216" w:right="1189" w:bottom="400" w:left="407" w:header="893" w:footer="0" w:gutter="0"/>
          <w:cols w:equalWidth="0" w:num="1">
            <w:col w:w="10307" w:space="0"/>
          </w:cols>
        </w:sectPr>
        <w:rPr/>
      </w:pPr>
    </w:p>
    <w:p>
      <w:pPr>
        <w:pStyle w:val="BodyText"/>
        <w:ind w:left="841" w:right="346"/>
        <w:spacing w:before="39" w:line="236" w:lineRule="auto"/>
        <w:jc w:val="both"/>
        <w:rPr/>
      </w:pPr>
      <w:r>
        <w:rPr>
          <w:color w:val="231F20"/>
          <w:spacing w:val="-7"/>
        </w:rPr>
        <w:t>所改善，治疗前后数值差异具有统计学意义（P＜0.0</w:t>
      </w:r>
      <w:r>
        <w:rPr>
          <w:color w:val="231F20"/>
          <w:spacing w:val="-8"/>
        </w:rPr>
        <w:t>5）。临床</w:t>
      </w:r>
      <w:r>
        <w:rPr>
          <w:color w:val="231F20"/>
        </w:rPr>
        <w:t xml:space="preserve"> </w:t>
      </w:r>
      <w:r>
        <w:rPr>
          <w:color w:val="231F20"/>
          <w:spacing w:val="9"/>
        </w:rPr>
        <w:t>结果表明，观察组采取的壮药花红胶囊联合抗生素治疗急</w:t>
      </w:r>
      <w:r>
        <w:rPr>
          <w:color w:val="231F20"/>
          <w:spacing w:val="4"/>
        </w:rPr>
        <w:t xml:space="preserve"> </w:t>
      </w:r>
      <w:r>
        <w:rPr>
          <w:color w:val="231F20"/>
          <w:spacing w:val="8"/>
        </w:rPr>
        <w:t>性盆腔炎的疗效明显优于对照组，有效缓解炎症</w:t>
      </w:r>
      <w:r>
        <w:rPr>
          <w:color w:val="231F20"/>
          <w:spacing w:val="-18"/>
        </w:rPr>
        <w:t xml:space="preserve"> </w:t>
      </w:r>
      <w:r>
        <w:rPr>
          <w:color w:val="231F20"/>
          <w:spacing w:val="7"/>
        </w:rPr>
        <w:t>，减轻痛</w:t>
      </w:r>
      <w:r>
        <w:rPr>
          <w:color w:val="231F20"/>
        </w:rPr>
        <w:t xml:space="preserve"> </w:t>
      </w:r>
      <w:r>
        <w:rPr>
          <w:color w:val="231F20"/>
          <w:spacing w:val="-1"/>
        </w:rPr>
        <w:t>苦，减少复发，同时可以明显改善湿热症候。</w:t>
      </w:r>
    </w:p>
    <w:p>
      <w:pPr>
        <w:pStyle w:val="BodyText"/>
        <w:ind w:left="841" w:right="346" w:firstLine="355"/>
        <w:spacing w:before="3" w:line="233" w:lineRule="auto"/>
        <w:jc w:val="both"/>
        <w:rPr/>
      </w:pPr>
      <w:r>
        <w:rPr>
          <w:color w:val="231F20"/>
          <w:spacing w:val="17"/>
        </w:rPr>
        <w:t>综上所述，花红胶囊联合抗生素治疗急性盆腔炎能</w:t>
      </w:r>
      <w:r>
        <w:rPr>
          <w:color w:val="231F20"/>
          <w:spacing w:val="8"/>
        </w:rPr>
        <w:t xml:space="preserve"> </w:t>
      </w:r>
      <w:r>
        <w:rPr>
          <w:color w:val="231F20"/>
          <w:spacing w:val="9"/>
        </w:rPr>
        <w:t>够达到理想的效果，有效地改善临床症状，改善病情，值</w:t>
      </w:r>
      <w:r>
        <w:rPr>
          <w:color w:val="231F20"/>
          <w:spacing w:val="3"/>
        </w:rPr>
        <w:t xml:space="preserve"> </w:t>
      </w:r>
      <w:r>
        <w:rPr>
          <w:color w:val="231F20"/>
          <w:spacing w:val="10"/>
        </w:rPr>
        <w:t>得推广。</w:t>
      </w:r>
    </w:p>
    <w:p>
      <w:pPr>
        <w:pStyle w:val="BodyText"/>
        <w:ind w:left="1202"/>
        <w:spacing w:before="1" w:line="185" w:lineRule="auto"/>
        <w:rPr/>
      </w:pPr>
      <w:r>
        <w:rPr>
          <w:color w:val="231F20"/>
          <w:spacing w:val="6"/>
        </w:rPr>
        <w:t>参考文献</w:t>
      </w:r>
    </w:p>
    <w:p>
      <w:pPr>
        <w:pStyle w:val="BodyText"/>
        <w:ind w:left="1033" w:right="290" w:hanging="186"/>
        <w:spacing w:before="57" w:line="221" w:lineRule="auto"/>
        <w:rPr/>
      </w:pPr>
      <w:r>
        <w:rPr>
          <w:color w:val="231F20"/>
          <w:spacing w:val="8"/>
        </w:rPr>
        <w:t>[1]沙丽曼·卡斯令，王芸.</w:t>
      </w:r>
      <w:r>
        <w:rPr>
          <w:color w:val="231F20"/>
          <w:spacing w:val="-7"/>
        </w:rPr>
        <w:t xml:space="preserve"> </w:t>
      </w:r>
      <w:r>
        <w:rPr>
          <w:color w:val="231F20"/>
          <w:spacing w:val="8"/>
        </w:rPr>
        <w:t>门诊盆腔炎性疾病患者采取康妇</w:t>
      </w:r>
      <w:r>
        <w:rPr>
          <w:color w:val="231F20"/>
        </w:rPr>
        <w:t xml:space="preserve">  </w:t>
      </w:r>
      <w:r>
        <w:rPr>
          <w:color w:val="231F20"/>
          <w:spacing w:val="5"/>
        </w:rPr>
        <w:t>炎胶囊联合抗生素治疗的效果[J].中国保健营养，2019，</w:t>
      </w:r>
      <w:r>
        <w:rPr>
          <w:color w:val="231F20"/>
          <w:spacing w:val="6"/>
        </w:rPr>
        <w:t xml:space="preserve"> </w:t>
      </w:r>
      <w:r>
        <w:rPr>
          <w:color w:val="231F20"/>
          <w:spacing w:val="-10"/>
        </w:rPr>
        <w:t>29（20</w:t>
      </w:r>
      <w:r>
        <w:rPr>
          <w:color w:val="231F20"/>
          <w:spacing w:val="-29"/>
          <w:w w:val="61"/>
        </w:rPr>
        <w:t>）：</w:t>
      </w:r>
      <w:r>
        <w:rPr>
          <w:color w:val="231F20"/>
          <w:spacing w:val="-10"/>
        </w:rPr>
        <w:t>301-302.</w:t>
      </w:r>
    </w:p>
    <w:p>
      <w:pPr>
        <w:pStyle w:val="BodyText"/>
        <w:ind w:left="847"/>
        <w:spacing w:before="44" w:line="158" w:lineRule="auto"/>
        <w:rPr/>
      </w:pPr>
      <w:r>
        <w:rPr>
          <w:color w:val="231F20"/>
          <w:spacing w:val="5"/>
        </w:rPr>
        <w:t>[2]张瑜，索玉平.康妇消炎栓辅助治疗慢性盆腔炎急性发作</w:t>
      </w:r>
    </w:p>
    <w:p>
      <w:pPr>
        <w:spacing w:line="14" w:lineRule="auto"/>
        <w:rPr>
          <w:rFonts w:ascii="Arial"/>
          <w:sz w:val="2"/>
        </w:rPr>
      </w:pPr>
      <w:r>
        <w:rPr>
          <w:rFonts w:ascii="Arial" w:hAnsi="Arial" w:eastAsia="Arial" w:cs="Arial"/>
          <w:sz w:val="2"/>
          <w:szCs w:val="2"/>
        </w:rPr>
        <w:br w:type="column"/>
      </w:r>
    </w:p>
    <w:p>
      <w:pPr>
        <w:pStyle w:val="BodyText"/>
        <w:ind w:left="206"/>
        <w:spacing w:before="47" w:line="197" w:lineRule="auto"/>
        <w:rPr/>
      </w:pPr>
      <w:r>
        <w:rPr>
          <w:color w:val="231F20"/>
          <w:spacing w:val="-11"/>
        </w:rPr>
        <w:t>的效果[J].中国实用医刊，2020，47（16</w:t>
      </w:r>
      <w:r>
        <w:rPr>
          <w:color w:val="231F20"/>
          <w:spacing w:val="-41"/>
          <w:w w:val="87"/>
        </w:rPr>
        <w:t>）：</w:t>
      </w:r>
      <w:r>
        <w:rPr>
          <w:color w:val="231F20"/>
          <w:spacing w:val="-11"/>
        </w:rPr>
        <w:t>118-120.</w:t>
      </w:r>
    </w:p>
    <w:p>
      <w:pPr>
        <w:pStyle w:val="BodyText"/>
        <w:ind w:left="197" w:hanging="189"/>
        <w:spacing w:before="46" w:line="221" w:lineRule="auto"/>
        <w:rPr/>
      </w:pPr>
      <w:r>
        <w:rPr>
          <w:color w:val="231F20"/>
          <w:spacing w:val="11"/>
        </w:rPr>
        <w:t>[3]张怡.妇可靖胶囊联合抗生素治疗慢性盆腔炎的临床效</w:t>
      </w:r>
      <w:r>
        <w:rPr>
          <w:color w:val="231F20"/>
          <w:spacing w:val="5"/>
        </w:rPr>
        <w:t xml:space="preserve">  </w:t>
      </w:r>
      <w:r>
        <w:rPr>
          <w:color w:val="231F20"/>
          <w:spacing w:val="-1"/>
        </w:rPr>
        <w:t>果及对患者生活质量影响分析[J].医学理论与实践，2019，</w:t>
      </w:r>
      <w:r>
        <w:rPr>
          <w:color w:val="231F20"/>
          <w:spacing w:val="9"/>
        </w:rPr>
        <w:t xml:space="preserve"> </w:t>
      </w:r>
      <w:r>
        <w:rPr>
          <w:color w:val="231F20"/>
          <w:spacing w:val="-10"/>
        </w:rPr>
        <w:t>32（1</w:t>
      </w:r>
      <w:r>
        <w:rPr>
          <w:color w:val="231F20"/>
          <w:spacing w:val="-28"/>
          <w:w w:val="60"/>
        </w:rPr>
        <w:t>）：</w:t>
      </w:r>
      <w:r>
        <w:rPr>
          <w:color w:val="231F20"/>
          <w:spacing w:val="-10"/>
        </w:rPr>
        <w:t>91-93.</w:t>
      </w:r>
    </w:p>
    <w:p>
      <w:pPr>
        <w:pStyle w:val="BodyText"/>
        <w:ind w:left="194" w:right="55" w:hanging="186"/>
        <w:spacing w:before="46" w:line="215" w:lineRule="auto"/>
        <w:rPr/>
      </w:pPr>
      <w:r>
        <w:rPr>
          <w:color w:val="231F20"/>
          <w:spacing w:val="11"/>
        </w:rPr>
        <w:t>[4]饶浔.桂枝茯苓胶囊联合抗生素治疗慢性盆腔炎的临床</w:t>
      </w:r>
      <w:r>
        <w:rPr>
          <w:color w:val="231F20"/>
          <w:spacing w:val="12"/>
        </w:rPr>
        <w:t xml:space="preserve"> </w:t>
      </w:r>
      <w:r>
        <w:rPr>
          <w:color w:val="231F20"/>
          <w:spacing w:val="-12"/>
        </w:rPr>
        <w:t>观察[J].当代医学，2018，24（30</w:t>
      </w:r>
      <w:r>
        <w:rPr>
          <w:color w:val="231F20"/>
          <w:spacing w:val="-38"/>
          <w:w w:val="80"/>
        </w:rPr>
        <w:t>）：</w:t>
      </w:r>
      <w:r>
        <w:rPr>
          <w:color w:val="231F20"/>
          <w:spacing w:val="-12"/>
        </w:rPr>
        <w:t>170-171.</w:t>
      </w:r>
    </w:p>
    <w:p>
      <w:pPr>
        <w:pStyle w:val="BodyText"/>
        <w:ind w:left="120" w:right="55" w:hanging="112"/>
        <w:spacing w:before="43" w:line="222" w:lineRule="auto"/>
        <w:rPr/>
      </w:pPr>
      <w:r>
        <w:rPr>
          <w:color w:val="231F20"/>
          <w:spacing w:val="5"/>
        </w:rPr>
        <w:t>[5]朱士杰，刘海英，施正祥.妇炎康复胶囊联合抗生素</w:t>
      </w:r>
      <w:r>
        <w:rPr>
          <w:color w:val="231F20"/>
          <w:spacing w:val="4"/>
        </w:rPr>
        <w:t>治疗</w:t>
      </w:r>
      <w:r>
        <w:rPr>
          <w:color w:val="231F20"/>
        </w:rPr>
        <w:t xml:space="preserve"> </w:t>
      </w:r>
      <w:r>
        <w:rPr>
          <w:color w:val="231F20"/>
          <w:spacing w:val="9"/>
        </w:rPr>
        <w:t>慢性盆腔炎的临床观察[J].中华中 医药</w:t>
      </w:r>
      <w:r>
        <w:rPr>
          <w:color w:val="231F20"/>
          <w:spacing w:val="8"/>
        </w:rPr>
        <w:t>学刊，2019，37</w:t>
      </w:r>
      <w:r>
        <w:rPr>
          <w:color w:val="231F20"/>
        </w:rPr>
        <w:t xml:space="preserve"> </w:t>
      </w:r>
      <w:r>
        <w:rPr>
          <w:color w:val="231F20"/>
          <w:spacing w:val="-2"/>
        </w:rPr>
        <w:t>（4</w:t>
      </w:r>
      <w:r>
        <w:rPr>
          <w:color w:val="231F20"/>
          <w:spacing w:val="-28"/>
          <w:w w:val="60"/>
        </w:rPr>
        <w:t>）：</w:t>
      </w:r>
      <w:r>
        <w:rPr>
          <w:color w:val="231F20"/>
          <w:spacing w:val="-2"/>
        </w:rPr>
        <w:t>974-977.</w:t>
      </w:r>
    </w:p>
    <w:p>
      <w:pPr>
        <w:spacing w:line="253" w:lineRule="auto"/>
        <w:rPr>
          <w:rFonts w:ascii="Arial"/>
          <w:sz w:val="21"/>
        </w:rPr>
      </w:pPr>
      <w:r>
        <w:drawing>
          <wp:anchor distT="0" distB="0" distL="0" distR="0" simplePos="0" relativeHeight="251663360" behindDoc="0" locked="0" layoutInCell="1" allowOverlap="1">
            <wp:simplePos x="0" y="0"/>
            <wp:positionH relativeFrom="column">
              <wp:posOffset>0</wp:posOffset>
            </wp:positionH>
            <wp:positionV relativeFrom="paragraph">
              <wp:posOffset>82025</wp:posOffset>
            </wp:positionV>
            <wp:extent cx="679801" cy="6350"/>
            <wp:effectExtent l="0" t="0" r="0" b="0"/>
            <wp:wrapNone/>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679801" cy="6350"/>
                    </a:xfrm>
                    <a:prstGeom prst="rect">
                      <a:avLst/>
                    </a:prstGeom>
                  </pic:spPr>
                </pic:pic>
              </a:graphicData>
            </a:graphic>
          </wp:anchor>
        </w:drawing>
      </w:r>
      <w:r/>
    </w:p>
    <w:p>
      <w:pPr>
        <w:pStyle w:val="BodyText"/>
        <w:ind w:left="362"/>
        <w:spacing w:before="73" w:line="201" w:lineRule="auto"/>
        <w:rPr/>
      </w:pPr>
      <w:r>
        <w:rPr>
          <w:color w:val="231F20"/>
          <w:spacing w:val="-10"/>
        </w:rPr>
        <w:t>2020 年 9</w:t>
      </w:r>
      <w:r>
        <w:rPr>
          <w:color w:val="231F20"/>
          <w:spacing w:val="30"/>
          <w:w w:val="101"/>
        </w:rPr>
        <w:t xml:space="preserve"> </w:t>
      </w:r>
      <w:r>
        <w:rPr>
          <w:color w:val="231F20"/>
          <w:spacing w:val="-10"/>
        </w:rPr>
        <w:t>月</w:t>
      </w:r>
      <w:r>
        <w:rPr>
          <w:color w:val="231F20"/>
          <w:spacing w:val="14"/>
        </w:rPr>
        <w:t xml:space="preserve"> </w:t>
      </w:r>
      <w:r>
        <w:rPr>
          <w:color w:val="231F20"/>
          <w:spacing w:val="-10"/>
        </w:rPr>
        <w:t>18  日收稿</w:t>
      </w:r>
    </w:p>
    <w:sectPr>
      <w:type w:val="continuous"/>
      <w:pgSz w:w="11905" w:h="16156"/>
      <w:pgMar w:top="1216" w:right="1189" w:bottom="400" w:left="407" w:header="893" w:footer="0" w:gutter="0"/>
      <w:cols w:equalWidth="0" w:num="2">
        <w:col w:w="5668" w:space="100"/>
        <w:col w:w="453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8" w:lineRule="auto"/>
      <w:jc w:val="right"/>
      <w:rPr/>
    </w:pPr>
    <w:r>
      <w:rPr>
        <w:color w:val="231F20"/>
        <w:spacing w:val="-8"/>
      </w:rPr>
      <w:t>（下转 33</w:t>
    </w:r>
    <w:r>
      <w:rPr>
        <w:color w:val="231F20"/>
        <w:spacing w:val="17"/>
      </w:rPr>
      <w:t xml:space="preserve"> </w:t>
    </w:r>
    <w:r>
      <w:rPr>
        <w:color w:val="231F20"/>
        <w:spacing w:val="-8"/>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8"/>
      <w:spacing w:before="61" w:line="170" w:lineRule="auto"/>
      <w:tabs>
        <w:tab w:val="left" w:pos="998"/>
      </w:tabs>
      <w:rPr>
        <w:sz w:val="20"/>
        <w:szCs w:val="20"/>
      </w:rPr>
    </w:pPr>
    <w:r>
      <w:pict>
        <v:shape id="WordPictureWatermark2" style="position:absolute;margin-left:20.4pt;margin-top:780.4pt;mso-position-vertical-relative:page;mso-position-horizontal-relative:page;width:475.5pt;height:9.7pt;z-index:-251658240;" o:allowincell="f" filled="false" stroked="false" type="#_x0000_t75">
          <v:imagedata o:title="" r:id="rId1"/>
        </v:shape>
      </w:pict>
    </w:r>
    <w:r>
      <w:rPr>
        <w:u w:val="single" w:color="auto"/>
        <w:color w:val="231F20"/>
      </w:rPr>
      <w:tab/>
    </w:r>
    <w:r>
      <w:rPr>
        <w:u w:val="single" w:color="auto"/>
        <w:color w:val="231F20"/>
        <w:spacing w:val="-13"/>
      </w:rPr>
      <w:t>28</w:t>
    </w:r>
    <w:r>
      <w:rPr>
        <w:u w:val="single" w:color="auto"/>
        <w:color w:val="231F20"/>
      </w:rPr>
      <w:t xml:space="preserve">                                       </w:t>
    </w:r>
    <w:r>
      <w:rPr>
        <w:sz w:val="20"/>
        <w:szCs w:val="20"/>
        <w:u w:val="single" w:color="auto"/>
        <w:color w:val="231F20"/>
        <w:spacing w:val="-13"/>
      </w:rPr>
      <w:t>Journal</w:t>
    </w:r>
    <w:r>
      <w:rPr>
        <w:sz w:val="20"/>
        <w:szCs w:val="20"/>
        <w:u w:val="single" w:color="auto"/>
        <w:color w:val="231F20"/>
        <w:spacing w:val="22"/>
        <w:w w:val="101"/>
      </w:rPr>
      <w:t xml:space="preserve"> </w:t>
    </w:r>
    <w:r>
      <w:rPr>
        <w:sz w:val="20"/>
        <w:szCs w:val="20"/>
        <w:u w:val="single" w:color="auto"/>
        <w:color w:val="231F20"/>
        <w:spacing w:val="-13"/>
      </w:rPr>
      <w:t>of</w:t>
    </w:r>
    <w:r>
      <w:rPr>
        <w:sz w:val="20"/>
        <w:szCs w:val="20"/>
        <w:u w:val="single" w:color="auto"/>
        <w:color w:val="231F20"/>
        <w:spacing w:val="8"/>
      </w:rPr>
      <w:t xml:space="preserve"> </w:t>
    </w:r>
    <w:r>
      <w:rPr>
        <w:sz w:val="20"/>
        <w:szCs w:val="20"/>
        <w:u w:val="single" w:color="auto"/>
        <w:color w:val="231F20"/>
        <w:spacing w:val="-13"/>
      </w:rPr>
      <w:t>Medicine</w:t>
    </w:r>
    <w:r>
      <w:rPr>
        <w:sz w:val="20"/>
        <w:szCs w:val="20"/>
        <w:u w:val="single" w:color="auto"/>
        <w:color w:val="231F20"/>
        <w:spacing w:val="17"/>
        <w:w w:val="101"/>
      </w:rPr>
      <w:t xml:space="preserve"> </w:t>
    </w:r>
    <w:r>
      <w:rPr>
        <w:sz w:val="20"/>
        <w:szCs w:val="20"/>
        <w:u w:val="single" w:color="auto"/>
        <w:color w:val="231F20"/>
        <w:spacing w:val="-13"/>
      </w:rPr>
      <w:t>and</w:t>
    </w:r>
    <w:r>
      <w:rPr>
        <w:sz w:val="20"/>
        <w:szCs w:val="20"/>
        <w:u w:val="single" w:color="auto"/>
        <w:color w:val="231F20"/>
        <w:spacing w:val="16"/>
      </w:rPr>
      <w:t xml:space="preserve"> </w:t>
    </w:r>
    <w:r>
      <w:rPr>
        <w:sz w:val="20"/>
        <w:szCs w:val="20"/>
        <w:u w:val="single" w:color="auto"/>
        <w:color w:val="231F20"/>
        <w:spacing w:val="-13"/>
      </w:rPr>
      <w:t>Ph</w:t>
    </w:r>
    <w:r>
      <w:rPr>
        <w:sz w:val="20"/>
        <w:szCs w:val="20"/>
        <w:u w:val="single" w:color="auto"/>
        <w:color w:val="231F20"/>
        <w:spacing w:val="-14"/>
      </w:rPr>
      <w:t>armacr</w:t>
    </w:r>
    <w:r>
      <w:rPr>
        <w:sz w:val="20"/>
        <w:szCs w:val="20"/>
        <w:u w:val="single" w:color="auto"/>
        <w:color w:val="231F20"/>
        <w:spacing w:val="15"/>
      </w:rPr>
      <w:t xml:space="preserve"> </w:t>
    </w:r>
    <w:r>
      <w:rPr>
        <w:sz w:val="20"/>
        <w:szCs w:val="20"/>
        <w:u w:val="single" w:color="auto"/>
        <w:color w:val="231F20"/>
        <w:spacing w:val="-14"/>
      </w:rPr>
      <w:t>of</w:t>
    </w:r>
    <w:r>
      <w:rPr>
        <w:sz w:val="20"/>
        <w:szCs w:val="20"/>
        <w:u w:val="single" w:color="auto"/>
        <w:color w:val="231F20"/>
        <w:spacing w:val="8"/>
      </w:rPr>
      <w:t xml:space="preserve"> </w:t>
    </w:r>
    <w:r>
      <w:rPr>
        <w:sz w:val="20"/>
        <w:szCs w:val="20"/>
        <w:u w:val="single" w:color="auto"/>
        <w:color w:val="231F20"/>
        <w:spacing w:val="-14"/>
      </w:rPr>
      <w:t>Chinese</w:t>
    </w:r>
    <w:r>
      <w:rPr>
        <w:sz w:val="20"/>
        <w:szCs w:val="20"/>
        <w:u w:val="single" w:color="auto"/>
        <w:color w:val="231F20"/>
        <w:spacing w:val="20"/>
      </w:rPr>
      <w:t xml:space="preserve"> </w:t>
    </w:r>
    <w:r>
      <w:rPr>
        <w:sz w:val="20"/>
        <w:szCs w:val="20"/>
        <w:u w:val="single" w:color="auto"/>
        <w:color w:val="231F20"/>
        <w:spacing w:val="-14"/>
      </w:rPr>
      <w:t>Minorities      April</w:t>
    </w:r>
    <w:r>
      <w:rPr>
        <w:sz w:val="20"/>
        <w:szCs w:val="20"/>
        <w:u w:val="single" w:color="auto"/>
        <w:color w:val="231F20"/>
        <w:spacing w:val="17"/>
        <w:w w:val="101"/>
      </w:rPr>
      <w:t xml:space="preserve"> </w:t>
    </w:r>
    <w:r>
      <w:rPr>
        <w:sz w:val="20"/>
        <w:szCs w:val="20"/>
        <w:u w:val="single" w:color="auto"/>
        <w:color w:val="231F20"/>
        <w:spacing w:val="-14"/>
      </w:rPr>
      <w:t>2021，Vol.27</w:t>
    </w:r>
    <w:r>
      <w:rPr>
        <w:sz w:val="20"/>
        <w:szCs w:val="20"/>
        <w:u w:val="single" w:color="auto"/>
        <w:color w:val="231F20"/>
        <w:spacing w:val="18"/>
        <w:w w:val="101"/>
      </w:rPr>
      <w:t xml:space="preserve"> </w:t>
    </w:r>
    <w:r>
      <w:rPr>
        <w:sz w:val="20"/>
        <w:szCs w:val="20"/>
        <w:u w:val="single" w:color="auto"/>
        <w:color w:val="231F20"/>
        <w:spacing w:val="-14"/>
      </w:rPr>
      <w:t>No.</w:t>
    </w:r>
    <w:r>
      <w:rPr>
        <w:sz w:val="20"/>
        <w:szCs w:val="20"/>
        <w:color w:val="231F20"/>
        <w:spacing w:val="-14"/>
      </w:rPr>
      <w:t>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
      <w:spacing w:before="55" w:line="180" w:lineRule="auto"/>
      <w:rPr/>
    </w:pPr>
    <w:r>
      <w:pict>
        <v:shape id="WordPictureWatermark6" style="position:absolute;margin-left:20.4pt;margin-top:780.4pt;mso-position-vertical-relative:page;mso-position-horizontal-relative:page;width:475.5pt;height:9.7pt;z-index:-251657216;" o:allowincell="f" filled="false" stroked="false" type="#_x0000_t75">
          <v:imagedata o:title="" r:id="rId1"/>
        </v:shape>
      </w:pict>
    </w:r>
    <w:r>
      <w:rPr>
        <w:sz w:val="20"/>
        <w:szCs w:val="20"/>
        <w:u w:val="single" w:color="auto"/>
        <w:color w:val="231F20"/>
        <w:spacing w:val="-4"/>
      </w:rPr>
      <w:t>中</w:t>
    </w:r>
    <w:r>
      <w:rPr>
        <w:sz w:val="20"/>
        <w:szCs w:val="20"/>
        <w:u w:val="single" w:color="auto"/>
        <w:color w:val="231F20"/>
        <w:spacing w:val="-5"/>
      </w:rPr>
      <w:t xml:space="preserve"> </w:t>
    </w:r>
    <w:r>
      <w:rPr>
        <w:sz w:val="20"/>
        <w:szCs w:val="20"/>
        <w:u w:val="single" w:color="auto"/>
        <w:color w:val="231F20"/>
        <w:spacing w:val="-4"/>
      </w:rPr>
      <w:t>国民族医药杂志</w:t>
    </w:r>
    <w:r>
      <w:rPr>
        <w:sz w:val="20"/>
        <w:szCs w:val="20"/>
        <w:u w:val="single" w:color="auto"/>
        <w:color w:val="231F20"/>
        <w:spacing w:val="12"/>
      </w:rPr>
      <w:t xml:space="preserve">   </w:t>
    </w:r>
    <w:r>
      <w:rPr>
        <w:u w:val="single" w:color="auto"/>
        <w:color w:val="231F20"/>
        <w:spacing w:val="-4"/>
      </w:rPr>
      <w:t>2021 年4</w:t>
    </w:r>
    <w:r>
      <w:rPr>
        <w:u w:val="single" w:color="auto"/>
        <w:color w:val="231F20"/>
        <w:spacing w:val="13"/>
      </w:rPr>
      <w:t xml:space="preserve"> </w:t>
    </w:r>
    <w:r>
      <w:rPr>
        <w:u w:val="single" w:color="auto"/>
        <w:color w:val="231F20"/>
        <w:spacing w:val="-4"/>
      </w:rPr>
      <w:t>月</w:t>
    </w:r>
    <w:r>
      <w:rPr>
        <w:u w:val="single" w:color="auto"/>
        <w:color w:val="231F20"/>
        <w:spacing w:val="16"/>
        <w:w w:val="101"/>
      </w:rPr>
      <w:t xml:space="preserve">  </w:t>
    </w:r>
    <w:r>
      <w:rPr>
        <w:u w:val="single" w:color="auto"/>
        <w:color w:val="231F20"/>
        <w:spacing w:val="-4"/>
      </w:rPr>
      <w:t>第 27 卷   第4 期</w:t>
    </w:r>
    <w:r>
      <w:rPr>
        <w:u w:val="single" w:color="auto"/>
        <w:color w:val="231F20"/>
        <w:spacing w:val="1"/>
      </w:rPr>
      <w:t xml:space="preserve">                              </w:t>
    </w:r>
    <w:r>
      <w:rPr>
        <w:u w:val="single" w:color="auto"/>
        <w:color w:val="231F20"/>
      </w:rPr>
      <w:t xml:space="preserve">                                                                   </w:t>
    </w:r>
    <w:r>
      <w:rPr>
        <w:u w:val="single" w:color="auto"/>
        <w:color w:val="231F20"/>
        <w:spacing w:val="-4"/>
      </w:rPr>
      <w:t>29</w:t>
    </w:r>
    <w:r>
      <w:rPr>
        <w:u w:val="single" w:color="auto"/>
        <w:color w:val="231F2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
      <w:spacing w:before="55" w:line="180" w:lineRule="auto"/>
      <w:rPr/>
    </w:pPr>
    <w:r>
      <w:pict>
        <v:shape id="WordPictureWatermark12" style="position:absolute;margin-left:20.4pt;margin-top:780.4pt;mso-position-vertical-relative:page;mso-position-horizontal-relative:page;width:475.5pt;height:9.7pt;z-index:251660288;" o:allowincell="f" filled="false" stroked="false" type="#_x0000_t75">
          <v:imagedata o:title="" r:id="rId1"/>
        </v:shape>
      </w:pict>
    </w:r>
    <w:r>
      <w:rPr>
        <w:sz w:val="20"/>
        <w:szCs w:val="20"/>
        <w:u w:val="single" w:color="auto"/>
        <w:color w:val="231F20"/>
        <w:spacing w:val="-4"/>
      </w:rPr>
      <w:t>中</w:t>
    </w:r>
    <w:r>
      <w:rPr>
        <w:sz w:val="20"/>
        <w:szCs w:val="20"/>
        <w:u w:val="single" w:color="auto"/>
        <w:color w:val="231F20"/>
        <w:spacing w:val="-8"/>
      </w:rPr>
      <w:t xml:space="preserve"> </w:t>
    </w:r>
    <w:r>
      <w:rPr>
        <w:sz w:val="20"/>
        <w:szCs w:val="20"/>
        <w:u w:val="single" w:color="auto"/>
        <w:color w:val="231F20"/>
        <w:spacing w:val="-4"/>
      </w:rPr>
      <w:t>国民族医药杂志</w:t>
    </w:r>
    <w:r>
      <w:rPr>
        <w:sz w:val="20"/>
        <w:szCs w:val="20"/>
        <w:u w:val="single" w:color="auto"/>
        <w:color w:val="231F20"/>
        <w:spacing w:val="12"/>
      </w:rPr>
      <w:t xml:space="preserve">   </w:t>
    </w:r>
    <w:r>
      <w:rPr>
        <w:u w:val="single" w:color="auto"/>
        <w:color w:val="231F20"/>
        <w:spacing w:val="-4"/>
      </w:rPr>
      <w:t>2021 年4</w:t>
    </w:r>
    <w:r>
      <w:rPr>
        <w:u w:val="single" w:color="auto"/>
        <w:color w:val="231F20"/>
        <w:spacing w:val="13"/>
      </w:rPr>
      <w:t xml:space="preserve"> </w:t>
    </w:r>
    <w:r>
      <w:rPr>
        <w:u w:val="single" w:color="auto"/>
        <w:color w:val="231F20"/>
        <w:spacing w:val="-4"/>
      </w:rPr>
      <w:t>月</w:t>
    </w:r>
    <w:r>
      <w:rPr>
        <w:u w:val="single" w:color="auto"/>
        <w:color w:val="231F20"/>
        <w:spacing w:val="16"/>
        <w:w w:val="101"/>
      </w:rPr>
      <w:t xml:space="preserve">  </w:t>
    </w:r>
    <w:r>
      <w:rPr>
        <w:u w:val="single" w:color="auto"/>
        <w:color w:val="231F20"/>
        <w:spacing w:val="-4"/>
      </w:rPr>
      <w:t>第 27 卷   第4 期</w:t>
    </w:r>
    <w:r>
      <w:rPr>
        <w:u w:val="single" w:color="auto"/>
        <w:color w:val="231F20"/>
        <w:spacing w:val="1"/>
      </w:rPr>
      <w:t xml:space="preserve">                                 </w:t>
    </w:r>
    <w:r>
      <w:rPr>
        <w:u w:val="single" w:color="auto"/>
        <w:color w:val="231F20"/>
      </w:rPr>
      <w:t xml:space="preserve">                                                                </w:t>
    </w:r>
    <w:r>
      <w:rPr>
        <w:u w:val="single" w:color="auto"/>
        <w:color w:val="231F20"/>
        <w:spacing w:val="-4"/>
      </w:rPr>
      <w:t>33</w:t>
    </w:r>
    <w:r>
      <w:rPr>
        <w:u w:val="single" w:color="auto"/>
        <w:color w:val="231F20"/>
      </w:rPr>
      <w:t xml:space="preserve">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png"/><Relationship Id="rId7" Type="http://schemas.openxmlformats.org/officeDocument/2006/relationships/image" Target="media/image5.jpeg"/><Relationship Id="rId6" Type="http://schemas.openxmlformats.org/officeDocument/2006/relationships/footer" Target="footer2.xml"/><Relationship Id="rId5" Type="http://schemas.openxmlformats.org/officeDocument/2006/relationships/header" Target="header3.xml"/><Relationship Id="rId4" Type="http://schemas.openxmlformats.org/officeDocument/2006/relationships/footer" Target="footer1.xml"/><Relationship Id="rId3" Type="http://schemas.openxmlformats.org/officeDocument/2006/relationships/header" Target="header2.xml"/><Relationship Id="rId2" Type="http://schemas.openxmlformats.org/officeDocument/2006/relationships/image" Target="media/image2.jpeg"/><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2023-06-15T10:30:47Z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2025-10-28T21:30:20</vt:filetime>
  </property>
</Properties>
</file>