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95"/>
        <w:spacing w:before="259" w:line="24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头孢曲松钠联合替硝唑治疗急性盆腔炎</w:t>
      </w:r>
      <w:r>
        <w:rPr>
          <w:rFonts w:ascii="SimHei" w:hAnsi="SimHei" w:eastAsia="SimHei" w:cs="SimHei"/>
          <w:sz w:val="40"/>
          <w:szCs w:val="40"/>
          <w:color w:val="231F20"/>
          <w:spacing w:val="-69"/>
        </w:rPr>
        <w:t xml:space="preserve"> </w:t>
      </w: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60</w:t>
      </w:r>
      <w:r>
        <w:rPr>
          <w:rFonts w:ascii="SimHei" w:hAnsi="SimHei" w:eastAsia="SimHei" w:cs="SimHei"/>
          <w:sz w:val="40"/>
          <w:szCs w:val="40"/>
          <w:color w:val="231F20"/>
          <w:spacing w:val="-89"/>
        </w:rPr>
        <w:t xml:space="preserve"> </w:t>
      </w: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例临床疗效</w:t>
      </w:r>
    </w:p>
    <w:p>
      <w:pPr>
        <w:ind w:left="678"/>
        <w:spacing w:before="46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林晓霞</w:t>
      </w:r>
    </w:p>
    <w:p>
      <w:pPr>
        <w:ind w:left="673"/>
        <w:spacing w:before="69" w:line="2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福建省地质医院，福建 福州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350018</w:t>
      </w:r>
    </w:p>
    <w:p>
      <w:pPr>
        <w:ind w:left="673" w:firstLine="1"/>
        <w:spacing w:before="244" w:line="20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摘要：目的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探讨急性盆腔炎患者应用头孢曲松钠联合替硝唑治疗的临床疗效。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方法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选择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2020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年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月至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2022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年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福建省地质医院收治的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120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例急性盆腔炎患者，采用随机数字表法分为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两组：对照组（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60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例，将替硝唑作为基础联合使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用左氧氟沙星），试验组（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60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例，将替硝唑作为基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础联合使用头孢曲松钠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治疗持续时间均为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7 d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。对比两组的症状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缓解时间、不良反应，及血清降钙素原水平（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PCT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C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反应蛋白（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CRP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）、白细胞计数（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WBC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）的变化情况，对比两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组的临床疗效。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>结果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治疗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7 d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后，试验组临床总有效率高于对照组，症状缓解时间短于对照组；治疗前、治疗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3 d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后、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治疗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7 d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后血清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WBC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CRP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PCT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水平，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两组均呈逐渐降低的变化趋势，且与对照组治疗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3 d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后、治疗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7 d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后相比，试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验组水平均更低，差异有统计学意义（均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P&lt;0.05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）。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>结论</w:t>
      </w: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急性盆腔炎患者应用头孢曲松钠联合替硝唑治疗可有效减轻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炎症反应，还可改善临床症状，疗效显著，安全性良好。</w:t>
      </w:r>
    </w:p>
    <w:p>
      <w:pPr>
        <w:ind w:left="675"/>
        <w:spacing w:before="3" w:line="250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8"/>
          <w:position w:val="1"/>
        </w:rPr>
        <w:t>关键词：</w:t>
      </w:r>
      <w:r>
        <w:rPr>
          <w:rFonts w:ascii="SimSun" w:hAnsi="SimSun" w:eastAsia="SimSun" w:cs="SimSun"/>
          <w:sz w:val="19"/>
          <w:szCs w:val="19"/>
          <w:color w:val="231F20"/>
          <w:spacing w:val="-8"/>
          <w:position w:val="1"/>
        </w:rPr>
        <w:t>盆腔炎性疾病；头孢曲松钠；替硝唑；炎症因子</w:t>
      </w:r>
    </w:p>
    <w:p>
      <w:pPr>
        <w:ind w:left="683"/>
        <w:spacing w:before="20" w:line="23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DOI:</w:t>
      </w:r>
      <w:r>
        <w:rPr>
          <w:rFonts w:ascii="SimHei" w:hAnsi="SimHei" w:eastAsia="SimHei" w:cs="SimHei"/>
          <w:sz w:val="19"/>
          <w:szCs w:val="19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10.19939/j.cnki.1672-2809.2023.01.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20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671" w:right="129" w:firstLine="7"/>
        <w:spacing w:before="6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</w:rPr>
        <w:t>Clinical Efﬁcacy of Ceftriaxone Sodium Combined</w:t>
      </w:r>
      <w:r>
        <w:rPr>
          <w:sz w:val="24"/>
          <w:szCs w:val="24"/>
          <w:b/>
          <w:bCs/>
          <w:color w:val="231F20"/>
          <w:spacing w:val="-1"/>
        </w:rPr>
        <w:t xml:space="preserve"> with Tinidazole in the Treatment</w:t>
      </w:r>
      <w:r>
        <w:rPr>
          <w:sz w:val="24"/>
          <w:szCs w:val="24"/>
          <w:b/>
          <w:bCs/>
          <w:color w:val="231F20"/>
          <w:spacing w:val="9"/>
        </w:rPr>
        <w:t xml:space="preserve"> </w:t>
      </w:r>
      <w:r>
        <w:rPr>
          <w:sz w:val="24"/>
          <w:szCs w:val="24"/>
          <w:b/>
          <w:bCs/>
          <w:color w:val="231F20"/>
          <w:spacing w:val="-1"/>
        </w:rPr>
        <w:t>of</w:t>
      </w:r>
      <w:r>
        <w:rPr>
          <w:sz w:val="24"/>
          <w:szCs w:val="24"/>
          <w:b/>
          <w:bCs/>
          <w:color w:val="231F20"/>
          <w:spacing w:val="-12"/>
        </w:rPr>
        <w:t xml:space="preserve"> </w:t>
      </w:r>
      <w:r>
        <w:rPr>
          <w:sz w:val="24"/>
          <w:szCs w:val="24"/>
          <w:b/>
          <w:bCs/>
          <w:color w:val="231F20"/>
          <w:spacing w:val="-1"/>
        </w:rPr>
        <w:t>Patients</w:t>
      </w:r>
      <w:r>
        <w:rPr>
          <w:sz w:val="24"/>
          <w:szCs w:val="24"/>
          <w:b/>
          <w:bCs/>
          <w:color w:val="231F20"/>
        </w:rPr>
        <w:t xml:space="preserve"> </w:t>
      </w:r>
      <w:r>
        <w:rPr>
          <w:sz w:val="24"/>
          <w:szCs w:val="24"/>
          <w:b/>
          <w:bCs/>
          <w:color w:val="231F20"/>
        </w:rPr>
        <w:t>with</w:t>
      </w:r>
      <w:r>
        <w:rPr>
          <w:sz w:val="24"/>
          <w:szCs w:val="24"/>
          <w:b/>
          <w:bCs/>
          <w:color w:val="231F20"/>
          <w:spacing w:val="-11"/>
        </w:rPr>
        <w:t xml:space="preserve"> </w:t>
      </w:r>
      <w:r>
        <w:rPr>
          <w:sz w:val="24"/>
          <w:szCs w:val="24"/>
          <w:b/>
          <w:bCs/>
          <w:color w:val="231F20"/>
        </w:rPr>
        <w:t>Acute Pelvic Inﬂammatory Di</w:t>
      </w:r>
      <w:r>
        <w:rPr>
          <w:sz w:val="24"/>
          <w:szCs w:val="24"/>
          <w:b/>
          <w:bCs/>
          <w:color w:val="231F20"/>
          <w:spacing w:val="-1"/>
        </w:rPr>
        <w:t>sease</w:t>
      </w:r>
    </w:p>
    <w:p>
      <w:pPr>
        <w:pStyle w:val="BodyText"/>
        <w:ind w:left="672"/>
        <w:spacing w:before="82" w:line="192" w:lineRule="auto"/>
        <w:rPr/>
      </w:pPr>
      <w:r>
        <w:rPr>
          <w:color w:val="231F20"/>
          <w:spacing w:val="-1"/>
        </w:rPr>
        <w:t>LIN Xiaoxia</w:t>
      </w:r>
    </w:p>
    <w:p>
      <w:pPr>
        <w:pStyle w:val="BodyText"/>
        <w:ind w:left="672"/>
        <w:spacing w:before="97" w:line="190" w:lineRule="auto"/>
        <w:rPr/>
      </w:pPr>
      <w:r>
        <w:rPr>
          <w:color w:val="231F20"/>
        </w:rPr>
        <w:t>Fujian Geological Hospital, Fuzhou Fujian 350018, Ch</w:t>
      </w:r>
      <w:r>
        <w:rPr>
          <w:color w:val="231F20"/>
          <w:spacing w:val="-1"/>
        </w:rPr>
        <w:t>ina.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68" w:right="57" w:firstLine="1"/>
        <w:spacing w:before="55" w:line="295" w:lineRule="auto"/>
        <w:jc w:val="both"/>
        <w:rPr/>
      </w:pPr>
      <w:r>
        <w:rPr>
          <w:b/>
          <w:bCs/>
          <w:color w:val="231F20"/>
        </w:rPr>
        <w:t>Abstract</w:t>
      </w:r>
      <w:r>
        <w:rPr>
          <w:b/>
          <w:bCs/>
          <w:color w:val="231F20"/>
          <w:spacing w:val="14"/>
        </w:rPr>
        <w:t>:</w:t>
      </w:r>
      <w:r>
        <w:rPr>
          <w:b/>
          <w:bCs/>
          <w:color w:val="231F20"/>
          <w:spacing w:val="32"/>
          <w:w w:val="102"/>
        </w:rPr>
        <w:t xml:space="preserve"> </w:t>
      </w:r>
      <w:r>
        <w:rPr>
          <w:b/>
          <w:bCs/>
          <w:color w:val="231F20"/>
        </w:rPr>
        <w:t>Objective</w:t>
      </w:r>
      <w:r>
        <w:rPr>
          <w:b/>
          <w:bCs/>
          <w:color w:val="231F20"/>
          <w:spacing w:val="14"/>
        </w:rPr>
        <w:t xml:space="preserve">    </w:t>
      </w:r>
      <w:r>
        <w:rPr>
          <w:color w:val="231F20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investigate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efficacy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ceftriaxone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sodium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combined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tinidazole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treatment </w:t>
      </w:r>
      <w:r>
        <w:rPr>
          <w:color w:val="231F20"/>
        </w:rPr>
        <w:t>of patients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inﬂammatory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disease.</w:t>
      </w:r>
      <w:r>
        <w:rPr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</w:rPr>
        <w:t>Methods    </w:t>
      </w:r>
      <w:r>
        <w:rPr>
          <w:color w:val="231F20"/>
        </w:rPr>
        <w:t>A total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120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pelvic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inﬂammatory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disease</w:t>
      </w:r>
      <w:r>
        <w:rPr>
          <w:color w:val="231F20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Fujian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Geol</w:t>
      </w:r>
      <w:r>
        <w:rPr>
          <w:color w:val="231F20"/>
          <w:spacing w:val="-1"/>
        </w:rPr>
        <w:t>ogical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January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2020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January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2022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selected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divided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according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random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method.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(60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cases,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tinidazole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basis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combined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levoﬂoxacin),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experimental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(60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cases,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tinidazole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basis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combined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ceftriaxone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sodium).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treated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7</w:t>
      </w:r>
      <w:r>
        <w:rPr>
          <w:color w:val="231F20"/>
        </w:rPr>
        <w:t xml:space="preserve"> </w:t>
      </w:r>
      <w:r>
        <w:rPr>
          <w:color w:val="231F20"/>
        </w:rPr>
        <w:t>days. 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efﬁcacy,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symptom relief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time,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adverse reactions, 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serum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procalcitoni</w:t>
      </w:r>
      <w:r>
        <w:rPr>
          <w:color w:val="231F20"/>
          <w:spacing w:val="-1"/>
        </w:rPr>
        <w:t>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level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(PCT),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C-reactive</w:t>
      </w:r>
      <w:r>
        <w:rPr>
          <w:color w:val="231F20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(CRP), white blood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cell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count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(WBC) were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compared between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groups.</w:t>
      </w:r>
      <w:r>
        <w:rPr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Results    </w:t>
      </w:r>
      <w:r>
        <w:rPr>
          <w:color w:val="231F20"/>
        </w:rPr>
        <w:t>After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7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day</w:t>
      </w:r>
      <w:r>
        <w:rPr>
          <w:color w:val="231F20"/>
          <w:spacing w:val="-1"/>
        </w:rPr>
        <w:t>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treatment,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effective rate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higher than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group,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symptom relief time was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sh</w:t>
      </w:r>
      <w:r>
        <w:rPr>
          <w:color w:val="231F20"/>
          <w:spacing w:val="-1"/>
        </w:rPr>
        <w:t>orter</w:t>
      </w:r>
      <w:r>
        <w:rPr>
          <w:color w:val="231F20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group;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serum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WBC,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PC</w:t>
      </w:r>
      <w:r>
        <w:rPr>
          <w:color w:val="231F20"/>
          <w:spacing w:val="-1"/>
        </w:rPr>
        <w:t>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before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treatment,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7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days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treatment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gradually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decreasing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trend,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levels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 treatment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7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 treatment,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signiﬁcant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(</w:t>
      </w:r>
      <w:r>
        <w:rPr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</w:rPr>
        <w:t xml:space="preserve"> </w:t>
      </w:r>
      <w:r>
        <w:rPr>
          <w:b/>
          <w:bCs/>
          <w:color w:val="231F20"/>
        </w:rPr>
        <w:t>Conclusion    </w:t>
      </w:r>
      <w:r>
        <w:rPr>
          <w:color w:val="231F20"/>
        </w:rPr>
        <w:t>Ceftriaxone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sodium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combined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tinida</w:t>
      </w:r>
      <w:r>
        <w:rPr>
          <w:color w:val="231F20"/>
          <w:spacing w:val="-1"/>
        </w:rPr>
        <w:t>zole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effectively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reduce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inﬂammatory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reaction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improve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</w:rPr>
        <w:t xml:space="preserve"> </w:t>
      </w:r>
      <w:r>
        <w:rPr>
          <w:color w:val="231F20"/>
        </w:rPr>
        <w:t>symptoms in patients with acute pelvic inﬂammation, with signiﬁcant efﬁcacy </w:t>
      </w:r>
      <w:r>
        <w:rPr>
          <w:color w:val="231F20"/>
          <w:spacing w:val="-1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good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safety.</w:t>
      </w:r>
    </w:p>
    <w:p>
      <w:pPr>
        <w:pStyle w:val="BodyText"/>
        <w:ind w:left="673"/>
        <w:spacing w:before="20" w:line="250" w:lineRule="exact"/>
        <w:rPr/>
      </w:pPr>
      <w:r>
        <w:rPr>
          <w:b/>
          <w:bCs/>
          <w:color w:val="231F20"/>
          <w:position w:val="3"/>
        </w:rPr>
        <w:t>Key words: </w:t>
      </w:r>
      <w:r>
        <w:rPr>
          <w:color w:val="231F20"/>
          <w:position w:val="3"/>
        </w:rPr>
        <w:t>Pelvic inﬂammatory disease; Ceftriaxone sodium; Tinidazo</w:t>
      </w:r>
      <w:r>
        <w:rPr>
          <w:color w:val="231F20"/>
          <w:spacing w:val="-1"/>
          <w:position w:val="3"/>
        </w:rPr>
        <w:t>le; Inﬂammatory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spacing w:val="-1"/>
          <w:position w:val="3"/>
        </w:rPr>
        <w:t>factors</w:t>
      </w:r>
    </w:p>
    <w:p>
      <w:pPr>
        <w:spacing w:before="73"/>
        <w:rPr/>
      </w:pPr>
      <w:r/>
    </w:p>
    <w:p>
      <w:pPr>
        <w:sectPr>
          <w:headerReference w:type="default" r:id="rId1"/>
          <w:pgSz w:w="12076" w:h="16498"/>
          <w:pgMar w:top="1307" w:right="1117" w:bottom="0" w:left="407" w:header="976" w:footer="0" w:gutter="0"/>
          <w:cols w:equalWidth="0" w:num="1">
            <w:col w:w="10550" w:space="0"/>
          </w:cols>
        </w:sectPr>
        <w:rPr/>
      </w:pPr>
    </w:p>
    <w:p>
      <w:pPr>
        <w:ind w:left="672" w:right="286" w:firstLine="423"/>
        <w:spacing w:before="47" w:line="210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急性盆腔炎属于急性感染型疾病，多发生于女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性上生殖道及其周围组织，分为急性、慢性两类，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慢性期缺乏典型症状，而急性期时患者的临床症状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较为明显，如高热、食欲缺乏等，可伴发腹膜炎，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泌尿系感染等。主要临床表现为下腹痛、发热、阴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道分泌物增多，本病高发年龄为性活跃期，与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频繁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性生活、宫颈局部微损伤以及病原体侵入有关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，抗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生素药物治疗是目前常用的治疗措施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  <w:position w:val="9"/>
        </w:rPr>
        <w:t>［1］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。现阶段临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床常用的抗生素为左氧氟沙星和替硝唑联合治疗，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前者是喹诺酮类药物，具有抗菌谱广、抗菌作用强</w:t>
      </w:r>
    </w:p>
    <w:p>
      <w:pPr>
        <w:spacing w:line="299" w:lineRule="auto"/>
        <w:rPr>
          <w:rFonts w:ascii="Arial"/>
          <w:sz w:val="21"/>
        </w:rPr>
      </w:pPr>
      <w:r>
        <w:pict>
          <v:shape id="_x0000_s8" style="position:absolute;margin-left:33.7083pt;margin-top:11.8521pt;mso-position-vertical-relative:text;mso-position-horizontal-relative:text;width:233.9pt;height:0.5pt;z-index:251658240;" filled="false" strokecolor="#231F20" strokeweight="0.50pt" coordsize="4677,10" coordorigin="0,0" path="m0,5l4677,5e">
            <v:stroke joinstyle="miter" miterlimit="10"/>
          </v:shape>
        </w:pict>
      </w:r>
      <w:r/>
    </w:p>
    <w:p>
      <w:pPr>
        <w:ind w:left="1594" w:right="355" w:hanging="919"/>
        <w:spacing w:before="62" w:line="242" w:lineRule="auto"/>
        <w:rPr>
          <w:rFonts w:ascii="SimSun" w:hAnsi="SimSun" w:eastAsia="SimSun" w:cs="SimSun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-11"/>
        </w:rPr>
        <w:t>作者简介：林晓霞，本科，副主任医师。研究方向：妇产科</w:t>
      </w:r>
      <w:r>
        <w:rPr>
          <w:rFonts w:ascii="KaiTi" w:hAnsi="KaiTi" w:eastAsia="KaiTi" w:cs="KaiTi"/>
          <w:sz w:val="19"/>
          <w:szCs w:val="19"/>
          <w:color w:val="231F20"/>
          <w:spacing w:val="16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-5"/>
        </w:rPr>
        <w:t>相关疾病诊疗。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E-mail: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13799973330@163.com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1" w:firstLine="4"/>
        <w:spacing w:before="47" w:line="208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等突出优势，但对厌氧菌和肠球菌的作用较差；后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者属于硝基咪唑类药物，其主要通过抑制病原体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DNA 合成，以达到抗菌的目的，但单一应用难以获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得理想的治疗收益，需联合其他抗需氧菌药物共同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发挥作用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  <w:position w:val="9"/>
        </w:rPr>
        <w:t>［2］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。头孢曲松钠主要通过抑制细菌细胞壁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合成发挥杀菌作用，在治疗细菌感染性疾病方面具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有良好的作用，在临床中多用于泌尿系统感染等治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疗，抗菌谱比较广，与头孢噻肟钠相仿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  <w:position w:val="9"/>
        </w:rPr>
        <w:t>［3］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。本研究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旨在探讨急性盆腔炎患者应用头孢曲松钠联合替硝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唑治疗的临床疗效，研究如下。</w:t>
      </w:r>
    </w:p>
    <w:p>
      <w:pPr>
        <w:ind w:left="19"/>
        <w:spacing w:before="2" w:line="19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31F20"/>
          <w:spacing w:val="-4"/>
        </w:rPr>
        <w:t>1</w:t>
      </w:r>
      <w:r>
        <w:rPr>
          <w:rFonts w:ascii="SimHei" w:hAnsi="SimHei" w:eastAsia="SimHei" w:cs="SimHei"/>
          <w:sz w:val="22"/>
          <w:szCs w:val="22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4"/>
        </w:rPr>
        <w:t>资料与方法</w:t>
      </w:r>
    </w:p>
    <w:p>
      <w:pPr>
        <w:ind w:left="18"/>
        <w:spacing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1.1</w:t>
      </w:r>
      <w:r>
        <w:rPr>
          <w:rFonts w:ascii="SimHei" w:hAnsi="SimHei" w:eastAsia="SimHei" w:cs="SimHei"/>
          <w:sz w:val="21"/>
          <w:szCs w:val="21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一般资料</w:t>
      </w:r>
    </w:p>
    <w:p>
      <w:pPr>
        <w:ind w:left="418"/>
        <w:spacing w:before="20" w:line="16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此次研究经福建省地质医院医学伦理委员会审</w:t>
      </w:r>
    </w:p>
    <w:p>
      <w:pPr>
        <w:spacing w:line="168" w:lineRule="auto"/>
        <w:sectPr>
          <w:type w:val="continuous"/>
          <w:pgSz w:w="12076" w:h="16498"/>
          <w:pgMar w:top="1307" w:right="1117" w:bottom="0" w:left="407" w:header="976" w:footer="0" w:gutter="0"/>
          <w:cols w:equalWidth="0" w:num="2">
            <w:col w:w="5703" w:space="100"/>
            <w:col w:w="4748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2"/>
          <w:footerReference w:type="default" r:id="rId3"/>
          <w:pgSz w:w="12076" w:h="16498"/>
          <w:pgMar w:top="1307" w:right="992" w:bottom="547" w:left="407" w:header="976" w:footer="354" w:gutter="0"/>
          <w:cols w:equalWidth="0" w:num="1">
            <w:col w:w="10675" w:space="0"/>
          </w:cols>
        </w:sectPr>
        <w:rPr/>
      </w:pPr>
    </w:p>
    <w:p>
      <w:pPr>
        <w:ind w:left="785" w:right="155"/>
        <w:spacing w:before="49" w:line="20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批并展开。2020 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1 月至 2022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1 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120 例急性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盆腔炎患者，以随机数字表法为依据将样本分为两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组：对照组（60 例）和试验组（60 例）。对照组：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年龄为（24.57±3.87）岁，年龄范围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18~39 岁；体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温为（38.55±1.19）℃,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体温范围 37.87~40.19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℃。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疾病类型：急性盆腔腹膜炎、急性输卵管炎、急性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子宫内膜炎、输卵管卵巢脓肿例数分别为 27、21、</w:t>
      </w:r>
    </w:p>
    <w:p>
      <w:pPr>
        <w:pStyle w:val="BodyText"/>
        <w:ind w:left="668" w:right="126" w:firstLine="118"/>
        <w:spacing w:before="10" w:line="20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7、5 ；试验组：年龄为（23.27±3.45）岁，年龄范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18~36 岁；体温为（38.61±1.38）℃,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体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温范围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为 37.67~40.32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℃。疾病类型：急性盆腔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腹膜炎、急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性输卵管炎、急性子宫内膜炎、输卵管卵巢脓肿例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数分别为 26、22、6、6。两组间差异无统计学意义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&gt;0.05）。纳入标准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8"/>
          <w:w w:val="66"/>
        </w:rPr>
        <w:t>：（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1）将《盆腔炎症性疾病诊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治规范（修订版）》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9"/>
        </w:rPr>
        <w:t>［4］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作为此次研究诊断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依据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1"/>
          <w:w w:val="62"/>
        </w:rPr>
        <w:t>；（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2）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经妇科检查后确诊者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2"/>
          <w:w w:val="64"/>
        </w:rPr>
        <w:t>；（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3）心、肝、肾等重要器官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无障碍者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3"/>
          <w:w w:val="66"/>
        </w:rPr>
        <w:t>；（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4）关于本次研究可能产生的收益及风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险，所有患者及其家属均充分知晓等。排除标准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</w:rPr>
        <w:t>：（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1）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对本研究药物有过敏史者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8"/>
        </w:rPr>
        <w:t>；（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2）同时参与其他研究者；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（3）无法自行或在他人帮助下配合研究开展者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5"/>
          <w:w w:val="70"/>
        </w:rPr>
        <w:t>；（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4）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妊娠期、哺乳期女性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；（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5）合并基础疾病者。</w:t>
      </w:r>
    </w:p>
    <w:p>
      <w:pPr>
        <w:ind w:left="803"/>
        <w:spacing w:before="4" w:line="20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1.2</w:t>
      </w:r>
      <w:r>
        <w:rPr>
          <w:rFonts w:ascii="SimHei" w:hAnsi="SimHei" w:eastAsia="SimHei" w:cs="SimHei"/>
          <w:sz w:val="21"/>
          <w:szCs w:val="21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方法</w:t>
      </w:r>
    </w:p>
    <w:p>
      <w:pPr>
        <w:ind w:left="785" w:right="162" w:firstLine="427"/>
        <w:spacing w:before="11" w:line="20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常规治疗主要包括卧床休息、调整饮食、保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持健康的生活习惯，多饮水及多排尿，维持电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解质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平衡。对照组在此基础上给予左氧氟沙星氯化钠注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射液（南京恒道医药科技股份有限公司，国药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准字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</w:rPr>
        <w:t>H20203495，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</w:rPr>
        <w:t>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</w:rPr>
        <w:t>格：100 mL∶0.5 g）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静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注，100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mL/ 次；0.5 g 替硝唑氯化钠注射液（济民健康管理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股份有限公司， 国药准字 H20023866，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规格：100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mL∶0.5 g）静 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注，100 mL/ 次，2 次 /d，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早 晚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各一次，连续治疗 7 d。试验组将 2.0 g 注射用头孢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曲松钠（海南通用三洋药业有限公司，国药准字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H53021556，规格：1.0 g）融入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100 mL 氯化钠进行静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脉滴注；替硝唑用法用量参考对照组，连续治疗 7 d。</w:t>
      </w:r>
    </w:p>
    <w:p>
      <w:pPr>
        <w:ind w:left="802"/>
        <w:spacing w:before="1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8"/>
        </w:rPr>
        <w:t>1.3</w:t>
      </w:r>
      <w:r>
        <w:rPr>
          <w:rFonts w:ascii="SimHei" w:hAnsi="SimHei" w:eastAsia="SimHei" w:cs="SimHei"/>
          <w:sz w:val="21"/>
          <w:szCs w:val="21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观察指标</w:t>
      </w:r>
    </w:p>
    <w:p>
      <w:pPr>
        <w:ind w:left="786" w:right="153" w:firstLine="301"/>
        <w:spacing w:before="6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（1）临床疗效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8"/>
          <w:position w:val="9"/>
        </w:rPr>
        <w:t>［5］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。两组均治疗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7 d 后，痊愈：白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带异常、腹部疼痛等完全消失，且 B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超检查下未见盆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腔有积液；显效：白带异常、腹部疼痛等症状基本消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失，且 B 超检查下盆腔积液减少三分之二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；有效：白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带异常、腹部疼痛等症状有所减轻，且 B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超检查盆腔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积液改善，减少三分之一；无效：未满足以上 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个标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>准。临床总有效率 =100%- 无效率。（2）症状缓解情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况。观察记录两组患者治疗期间体温恢复正常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时间、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下腹痛缓解时间以及阴道分泌物消失时间。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（3）降钙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素原水平（PCT）、C 反应蛋白（CRP）、白细胞计数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6" w:right="4" w:hanging="117"/>
        <w:spacing w:before="51" w:line="208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（WBC）。两组患者均于治疗前、治疗 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d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 xml:space="preserve"> 后、治疗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d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  <w:w w:val="98"/>
        </w:rPr>
        <w:t>后采集空腹静脉血约 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  <w:w w:val="98"/>
        </w:rPr>
        <w:t>mL，待其凝固后，进行离心（转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速：3 000 r/min，时间：10 min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4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而后得到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>血清，血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清 WBC 水平利用全自动细胞分析仪进行检测、血清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CRP 水平采用免疫比浊法进行检测、血清 PCT 水平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  <w:w w:val="95"/>
        </w:rPr>
        <w:t>采用放射免疫学分析进行检测。（4）不良反应发生率。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两组患者治疗期间发生皮疹、胃肠不适等的情况。</w:t>
      </w:r>
    </w:p>
    <w:p>
      <w:pPr>
        <w:ind w:left="134"/>
        <w:spacing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1.4</w:t>
      </w:r>
      <w:r>
        <w:rPr>
          <w:rFonts w:ascii="SimHei" w:hAnsi="SimHei" w:eastAsia="SimHei" w:cs="SimHei"/>
          <w:sz w:val="21"/>
          <w:szCs w:val="21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统计学方法</w:t>
      </w:r>
    </w:p>
    <w:p>
      <w:pPr>
        <w:pStyle w:val="BodyText"/>
        <w:ind w:left="116" w:firstLine="421"/>
        <w:spacing w:before="20" w:line="208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数据均采用 SPSS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18.0 统计，计量资料（症状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>缓解情况、血清 PCT、CRP、WBC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</w:rPr>
        <w:t xml:space="preserve"> 水平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</w:rPr>
        <w:t>治疗前后、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对照试验组比较采用 </w:t>
      </w:r>
      <w:r>
        <w:rPr>
          <w:sz w:val="21"/>
          <w:szCs w:val="21"/>
          <w:i/>
          <w:iCs/>
          <w:color w:val="231F20"/>
          <w:spacing w:val="-1"/>
        </w:rPr>
        <w:t>t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检验，描述为 </w:t>
      </w:r>
      <w:r>
        <w:rPr>
          <w:sz w:val="21"/>
          <w:szCs w:val="21"/>
        </w:rPr>
        <w:drawing>
          <wp:inline distT="0" distB="0" distL="0" distR="0">
            <wp:extent cx="256726" cy="8850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726" cy="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；计数资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料（临床疗效及皮疹、胃肠不适发生情况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两组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间比较用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 xml:space="preserve"> </w:t>
      </w:r>
      <w:r>
        <w:rPr>
          <w:sz w:val="21"/>
          <w:szCs w:val="21"/>
          <w:i/>
          <w:iCs/>
          <w:color w:val="231F20"/>
          <w:spacing w:val="-6"/>
        </w:rPr>
        <w:t>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6"/>
          <w:position w:val="9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进行检验，描述为例（%）。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&lt;0.05 表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示差异有统计学意义。</w:t>
      </w:r>
    </w:p>
    <w:p>
      <w:pPr>
        <w:ind w:left="120"/>
        <w:spacing w:before="1" w:line="19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31F20"/>
          <w:spacing w:val="-1"/>
        </w:rPr>
        <w:t>2</w:t>
      </w:r>
      <w:r>
        <w:rPr>
          <w:rFonts w:ascii="SimHei" w:hAnsi="SimHei" w:eastAsia="SimHei" w:cs="SimHei"/>
          <w:sz w:val="22"/>
          <w:szCs w:val="22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1"/>
        </w:rPr>
        <w:t>结果</w:t>
      </w:r>
    </w:p>
    <w:p>
      <w:pPr>
        <w:ind w:left="119"/>
        <w:spacing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2.1</w:t>
      </w:r>
      <w:r>
        <w:rPr>
          <w:rFonts w:ascii="SimHei" w:hAnsi="SimHei" w:eastAsia="SimHei" w:cs="SimHei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临床疗效</w:t>
      </w:r>
    </w:p>
    <w:p>
      <w:pPr>
        <w:pStyle w:val="BodyText"/>
        <w:ind w:left="116" w:right="84" w:firstLine="423"/>
        <w:spacing w:before="21" w:line="207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表 1 所示，治疗 7 d 后，两组临床总有效率分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别为 95.00%（试验组）、81.67%（对照组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9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两组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差异有统计学意义（</w:t>
      </w:r>
      <w:r>
        <w:rPr>
          <w:sz w:val="21"/>
          <w:szCs w:val="21"/>
          <w:i/>
          <w:iCs/>
          <w:color w:val="231F20"/>
          <w:spacing w:val="-11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&lt;0.05）。</w:t>
      </w:r>
    </w:p>
    <w:p>
      <w:pPr>
        <w:ind w:left="826"/>
        <w:spacing w:before="1" w:line="184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表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1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两组临床疗效对比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（%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）］</w:t>
      </w:r>
    </w:p>
    <w:tbl>
      <w:tblPr>
        <w:tblStyle w:val="TableNormal"/>
        <w:tblW w:w="4676" w:type="dxa"/>
        <w:tblInd w:w="1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6"/>
        <w:gridCol w:w="375"/>
        <w:gridCol w:w="764"/>
        <w:gridCol w:w="3021"/>
      </w:tblGrid>
      <w:tr>
        <w:trPr>
          <w:trHeight w:val="271" w:hRule="atLeast"/>
        </w:trPr>
        <w:tc>
          <w:tcPr>
            <w:tcW w:w="5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"/>
              <w:spacing w:before="57" w:line="178" w:lineRule="auto"/>
              <w:rPr/>
            </w:pPr>
            <w:r>
              <w:rPr>
                <w:color w:val="231F20"/>
                <w:spacing w:val="-3"/>
                <w:w w:val="96"/>
              </w:rPr>
              <w:t>组别</w:t>
            </w:r>
          </w:p>
        </w:tc>
        <w:tc>
          <w:tcPr>
            <w:tcW w:w="3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9"/>
              <w:spacing w:before="57" w:line="178" w:lineRule="auto"/>
              <w:rPr/>
            </w:pPr>
            <w:r>
              <w:rPr>
                <w:color w:val="231F20"/>
                <w:spacing w:val="-2"/>
                <w:w w:val="95"/>
              </w:rPr>
              <w:t>例数</w:t>
            </w:r>
          </w:p>
        </w:tc>
        <w:tc>
          <w:tcPr>
            <w:tcW w:w="76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9"/>
              <w:spacing w:before="59" w:line="176" w:lineRule="auto"/>
              <w:rPr/>
            </w:pPr>
            <w:r>
              <w:rPr>
                <w:color w:val="231F20"/>
                <w:spacing w:val="-3"/>
                <w:w w:val="96"/>
              </w:rPr>
              <w:t>痊愈</w:t>
            </w:r>
          </w:p>
        </w:tc>
        <w:tc>
          <w:tcPr>
            <w:tcW w:w="302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6"/>
              <w:spacing w:before="57" w:line="178" w:lineRule="auto"/>
              <w:rPr/>
            </w:pPr>
            <w:r>
              <w:rPr>
                <w:color w:val="231F20"/>
                <w:spacing w:val="-8"/>
              </w:rPr>
              <w:t>显效</w:t>
            </w:r>
            <w:r>
              <w:rPr>
                <w:color w:val="231F20"/>
                <w:spacing w:val="3"/>
              </w:rPr>
              <w:t xml:space="preserve">         </w:t>
            </w:r>
            <w:r>
              <w:rPr>
                <w:color w:val="231F20"/>
                <w:spacing w:val="-8"/>
              </w:rPr>
              <w:t>有效          无效          总有效</w:t>
            </w:r>
          </w:p>
        </w:tc>
      </w:tr>
      <w:tr>
        <w:trPr>
          <w:trHeight w:val="273" w:hRule="atLeast"/>
        </w:trPr>
        <w:tc>
          <w:tcPr>
            <w:tcW w:w="5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"/>
              <w:spacing w:before="67" w:line="171" w:lineRule="auto"/>
              <w:rPr/>
            </w:pPr>
            <w:r>
              <w:rPr>
                <w:color w:val="231F20"/>
                <w:spacing w:val="-4"/>
                <w:w w:val="95"/>
              </w:rPr>
              <w:t>对照组</w:t>
            </w:r>
          </w:p>
        </w:tc>
        <w:tc>
          <w:tcPr>
            <w:tcW w:w="3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2"/>
              <w:spacing w:before="61" w:line="176" w:lineRule="auto"/>
              <w:rPr/>
            </w:pPr>
            <w:r>
              <w:rPr>
                <w:color w:val="231F20"/>
                <w:spacing w:val="-13"/>
              </w:rPr>
              <w:t>60</w:t>
            </w:r>
          </w:p>
        </w:tc>
        <w:tc>
          <w:tcPr>
            <w:tcW w:w="7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1" w:line="176" w:lineRule="auto"/>
              <w:jc w:val="right"/>
              <w:rPr/>
            </w:pPr>
            <w:r>
              <w:rPr>
                <w:color w:val="231F20"/>
                <w:spacing w:val="-21"/>
                <w:w w:val="97"/>
              </w:rPr>
              <w:t>10（16.67）</w:t>
            </w:r>
          </w:p>
        </w:tc>
        <w:tc>
          <w:tcPr>
            <w:tcW w:w="30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"/>
              <w:spacing w:before="61" w:line="176" w:lineRule="auto"/>
              <w:rPr/>
            </w:pPr>
            <w:r>
              <w:rPr>
                <w:color w:val="231F20"/>
                <w:spacing w:val="-21"/>
              </w:rPr>
              <w:t>19（31.67）20（33.33）11（18.33）49（81.67）</w:t>
            </w:r>
          </w:p>
        </w:tc>
      </w:tr>
      <w:tr>
        <w:trPr>
          <w:trHeight w:val="286" w:hRule="atLeast"/>
        </w:trPr>
        <w:tc>
          <w:tcPr>
            <w:tcW w:w="5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3"/>
              <w:spacing w:before="76" w:line="174" w:lineRule="auto"/>
              <w:rPr/>
            </w:pPr>
            <w:r>
              <w:rPr>
                <w:color w:val="231F20"/>
                <w:spacing w:val="-2"/>
                <w:w w:val="94"/>
              </w:rPr>
              <w:t>试验组</w:t>
            </w:r>
          </w:p>
        </w:tc>
        <w:tc>
          <w:tcPr>
            <w:tcW w:w="3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3"/>
              <w:spacing w:before="71" w:line="179" w:lineRule="auto"/>
              <w:rPr/>
            </w:pPr>
            <w:r>
              <w:rPr>
                <w:color w:val="231F20"/>
                <w:spacing w:val="-13"/>
              </w:rPr>
              <w:t>60</w:t>
            </w:r>
          </w:p>
        </w:tc>
        <w:tc>
          <w:tcPr>
            <w:tcW w:w="7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71" w:line="179" w:lineRule="auto"/>
              <w:jc w:val="right"/>
              <w:rPr/>
            </w:pPr>
            <w:r>
              <w:rPr>
                <w:color w:val="231F20"/>
                <w:spacing w:val="-17"/>
                <w:w w:val="94"/>
              </w:rPr>
              <w:t>27（45.00）</w:t>
            </w:r>
          </w:p>
        </w:tc>
        <w:tc>
          <w:tcPr>
            <w:tcW w:w="302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"/>
              <w:spacing w:before="51" w:line="196" w:lineRule="auto"/>
              <w:rPr>
                <w:sz w:val="9"/>
                <w:szCs w:val="9"/>
              </w:rPr>
            </w:pPr>
            <w:r>
              <w:rPr>
                <w:color w:val="231F20"/>
                <w:spacing w:val="-19"/>
              </w:rPr>
              <w:t>18（30.00）12（20.00）3（5.00）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9"/>
              </w:rPr>
              <w:t>57</w:t>
            </w:r>
            <w:r>
              <w:rPr>
                <w:color w:val="231F20"/>
                <w:spacing w:val="-20"/>
              </w:rPr>
              <w:t>（95.00）</w:t>
            </w:r>
            <w:r>
              <w:rPr>
                <w:sz w:val="9"/>
                <w:szCs w:val="9"/>
                <w:color w:val="231F20"/>
                <w:position w:val="7"/>
              </w:rPr>
              <w:t>a</w:t>
            </w:r>
          </w:p>
        </w:tc>
      </w:tr>
    </w:tbl>
    <w:p>
      <w:pPr>
        <w:pStyle w:val="BodyText"/>
        <w:ind w:left="440"/>
        <w:spacing w:before="36" w:line="216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  <w:position w:val="2"/>
        </w:rPr>
        <w:t>注：两组比较，</w:t>
      </w:r>
      <w:r>
        <w:rPr>
          <w:rFonts w:ascii="SimSun" w:hAnsi="SimSun" w:eastAsia="SimSun" w:cs="SimSun"/>
          <w:sz w:val="9"/>
          <w:szCs w:val="9"/>
          <w:color w:val="231F20"/>
          <w:spacing w:val="-4"/>
          <w:position w:val="9"/>
        </w:rPr>
        <w:t>a</w:t>
      </w:r>
      <w:r>
        <w:rPr>
          <w:sz w:val="16"/>
          <w:szCs w:val="16"/>
          <w:i/>
          <w:iCs/>
          <w:color w:val="231F20"/>
          <w:spacing w:val="-4"/>
          <w:position w:val="2"/>
        </w:rPr>
        <w:t>χ</w:t>
      </w:r>
      <w:r>
        <w:rPr>
          <w:rFonts w:ascii="SimSun" w:hAnsi="SimSun" w:eastAsia="SimSun" w:cs="SimSun"/>
          <w:sz w:val="9"/>
          <w:szCs w:val="9"/>
          <w:color w:val="231F20"/>
          <w:spacing w:val="-4"/>
          <w:position w:val="9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4"/>
          <w:position w:val="2"/>
        </w:rPr>
        <w:t>=5.18，</w:t>
      </w:r>
      <w:r>
        <w:rPr>
          <w:sz w:val="16"/>
          <w:szCs w:val="16"/>
          <w:i/>
          <w:iCs/>
          <w:color w:val="231F20"/>
          <w:spacing w:val="-4"/>
          <w:position w:val="2"/>
        </w:rPr>
        <w:t>P</w:t>
      </w:r>
      <w:r>
        <w:rPr>
          <w:rFonts w:ascii="SimSun" w:hAnsi="SimSun" w:eastAsia="SimSun" w:cs="SimSun"/>
          <w:sz w:val="16"/>
          <w:szCs w:val="16"/>
          <w:color w:val="231F20"/>
          <w:spacing w:val="-4"/>
          <w:position w:val="2"/>
        </w:rPr>
        <w:t>=0.023。</w:t>
      </w:r>
    </w:p>
    <w:p>
      <w:pPr>
        <w:ind w:left="119"/>
        <w:spacing w:before="56" w:line="20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2.2</w:t>
      </w:r>
      <w:r>
        <w:rPr>
          <w:rFonts w:ascii="SimHei" w:hAnsi="SimHei" w:eastAsia="SimHei" w:cs="SimHei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临床症状缓解时间</w:t>
      </w:r>
    </w:p>
    <w:p>
      <w:pPr>
        <w:pStyle w:val="BodyText"/>
        <w:ind w:left="123" w:right="91" w:firstLine="416"/>
        <w:spacing w:before="18" w:line="21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表 2 所示，试验组患者临床症状缓解（体温恢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复正常、下腹痛缓解、阴道分泌物消失）时间均短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于对照组，差异有统计学意义（</w:t>
      </w:r>
      <w:r>
        <w:rPr>
          <w:sz w:val="21"/>
          <w:szCs w:val="21"/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&lt;0.05）。</w:t>
      </w:r>
    </w:p>
    <w:p>
      <w:pPr>
        <w:ind w:left="655"/>
        <w:spacing w:line="199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表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2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两组临床症状缓解时间对比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（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position w:val="2"/>
        </w:rPr>
        <w:drawing>
          <wp:inline distT="0" distB="0" distL="0" distR="0">
            <wp:extent cx="247428" cy="8613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428" cy="8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）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d</w:t>
      </w:r>
    </w:p>
    <w:tbl>
      <w:tblPr>
        <w:tblStyle w:val="TableNormal"/>
        <w:tblW w:w="4661" w:type="dxa"/>
        <w:tblInd w:w="1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0"/>
        <w:gridCol w:w="571"/>
        <w:gridCol w:w="1156"/>
        <w:gridCol w:w="951"/>
        <w:gridCol w:w="1243"/>
      </w:tblGrid>
      <w:tr>
        <w:trPr>
          <w:trHeight w:val="404" w:hRule="atLeast"/>
        </w:trPr>
        <w:tc>
          <w:tcPr>
            <w:tcW w:w="7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0"/>
              <w:spacing w:before="123" w:line="179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57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9"/>
              <w:spacing w:before="123" w:line="178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15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0"/>
              <w:spacing w:before="21" w:line="179" w:lineRule="auto"/>
              <w:rPr/>
            </w:pPr>
            <w:r>
              <w:rPr>
                <w:color w:val="231F20"/>
                <w:spacing w:val="-1"/>
              </w:rPr>
              <w:t>体温恢复正常</w:t>
            </w:r>
          </w:p>
          <w:p>
            <w:pPr>
              <w:pStyle w:val="TableText"/>
              <w:ind w:left="448"/>
              <w:spacing w:line="167" w:lineRule="exact"/>
              <w:rPr/>
            </w:pPr>
            <w:r>
              <w:rPr>
                <w:color w:val="231F20"/>
                <w:spacing w:val="-3"/>
                <w:position w:val="-1"/>
              </w:rPr>
              <w:t>时间</w:t>
            </w:r>
          </w:p>
        </w:tc>
        <w:tc>
          <w:tcPr>
            <w:tcW w:w="95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6"/>
              <w:spacing w:before="25" w:line="176" w:lineRule="auto"/>
              <w:rPr/>
            </w:pPr>
            <w:r>
              <w:rPr>
                <w:color w:val="231F20"/>
                <w:spacing w:val="-1"/>
              </w:rPr>
              <w:t>下腹痛缓解</w:t>
            </w:r>
          </w:p>
          <w:p>
            <w:pPr>
              <w:pStyle w:val="TableText"/>
              <w:ind w:left="334"/>
              <w:spacing w:line="167" w:lineRule="exact"/>
              <w:rPr/>
            </w:pPr>
            <w:r>
              <w:rPr>
                <w:color w:val="231F20"/>
                <w:spacing w:val="-3"/>
                <w:position w:val="-1"/>
              </w:rPr>
              <w:t>时间</w:t>
            </w:r>
          </w:p>
        </w:tc>
        <w:tc>
          <w:tcPr>
            <w:tcW w:w="124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8"/>
              <w:spacing w:before="23" w:line="177" w:lineRule="auto"/>
              <w:rPr/>
            </w:pPr>
            <w:r>
              <w:rPr>
                <w:color w:val="231F20"/>
                <w:spacing w:val="-2"/>
              </w:rPr>
              <w:t>阴道分泌物消失</w:t>
            </w:r>
          </w:p>
          <w:p>
            <w:pPr>
              <w:pStyle w:val="TableText"/>
              <w:ind w:left="472"/>
              <w:spacing w:line="167" w:lineRule="exact"/>
              <w:rPr/>
            </w:pPr>
            <w:r>
              <w:rPr>
                <w:color w:val="231F20"/>
                <w:spacing w:val="-3"/>
                <w:position w:val="-1"/>
              </w:rPr>
              <w:t>时间</w:t>
            </w:r>
          </w:p>
        </w:tc>
      </w:tr>
      <w:tr>
        <w:trPr>
          <w:trHeight w:val="218" w:hRule="atLeast"/>
        </w:trPr>
        <w:tc>
          <w:tcPr>
            <w:tcW w:w="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0"/>
              <w:spacing w:before="39" w:line="168" w:lineRule="exact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5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/>
              <w:spacing w:before="33" w:line="174" w:lineRule="exact"/>
              <w:rPr/>
            </w:pPr>
            <w:r>
              <w:rPr>
                <w:color w:val="231F20"/>
                <w:spacing w:val="-9"/>
                <w:position w:val="-1"/>
              </w:rPr>
              <w:t>60</w:t>
            </w:r>
          </w:p>
        </w:tc>
        <w:tc>
          <w:tcPr>
            <w:tcW w:w="11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6"/>
              <w:spacing w:before="33" w:line="174" w:lineRule="exact"/>
              <w:rPr/>
            </w:pPr>
            <w:r>
              <w:rPr>
                <w:color w:val="231F20"/>
                <w:spacing w:val="-5"/>
                <w:position w:val="-1"/>
              </w:rPr>
              <w:t>3.14±0.45</w:t>
            </w:r>
          </w:p>
        </w:tc>
        <w:tc>
          <w:tcPr>
            <w:tcW w:w="9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2"/>
              <w:spacing w:before="33" w:line="174" w:lineRule="exact"/>
              <w:rPr/>
            </w:pPr>
            <w:r>
              <w:rPr>
                <w:color w:val="231F20"/>
                <w:spacing w:val="-5"/>
                <w:position w:val="-1"/>
              </w:rPr>
              <w:t>3.35±0.57</w:t>
            </w:r>
          </w:p>
        </w:tc>
        <w:tc>
          <w:tcPr>
            <w:tcW w:w="12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6"/>
              <w:spacing w:before="33" w:line="174" w:lineRule="exact"/>
              <w:rPr/>
            </w:pPr>
            <w:r>
              <w:rPr>
                <w:color w:val="231F20"/>
                <w:spacing w:val="-4"/>
                <w:position w:val="-1"/>
              </w:rPr>
              <w:t>4.88±0.43</w:t>
            </w:r>
          </w:p>
        </w:tc>
      </w:tr>
      <w:tr>
        <w:trPr>
          <w:trHeight w:val="236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129"/>
              <w:spacing w:before="47" w:line="179" w:lineRule="exact"/>
              <w:rPr/>
            </w:pPr>
            <w:r>
              <w:rPr>
                <w:color w:val="231F20"/>
                <w:spacing w:val="-1"/>
                <w:position w:val="1"/>
              </w:rPr>
              <w:t>试验组</w:t>
            </w:r>
          </w:p>
        </w:tc>
        <w:tc>
          <w:tcPr>
            <w:tcW w:w="571" w:type="dxa"/>
            <w:vAlign w:val="top"/>
          </w:tcPr>
          <w:p>
            <w:pPr>
              <w:pStyle w:val="TableText"/>
              <w:ind w:left="220"/>
              <w:spacing w:before="41" w:line="161" w:lineRule="auto"/>
              <w:rPr/>
            </w:pPr>
            <w:r>
              <w:rPr>
                <w:color w:val="231F20"/>
                <w:spacing w:val="-9"/>
              </w:rPr>
              <w:t>60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257"/>
              <w:spacing w:before="41" w:line="161" w:lineRule="auto"/>
              <w:rPr/>
            </w:pPr>
            <w:r>
              <w:rPr>
                <w:color w:val="231F20"/>
                <w:spacing w:val="-6"/>
              </w:rPr>
              <w:t>1.21±0.33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143"/>
              <w:spacing w:before="41" w:line="161" w:lineRule="auto"/>
              <w:rPr/>
            </w:pPr>
            <w:r>
              <w:rPr>
                <w:color w:val="231F20"/>
                <w:spacing w:val="-6"/>
              </w:rPr>
              <w:t>1.43±0.35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68"/>
              <w:spacing w:before="41" w:line="161" w:lineRule="auto"/>
              <w:rPr/>
            </w:pPr>
            <w:r>
              <w:rPr>
                <w:color w:val="231F20"/>
                <w:spacing w:val="-4"/>
              </w:rPr>
              <w:t>2.82±0.38</w:t>
            </w:r>
          </w:p>
        </w:tc>
      </w:tr>
      <w:tr>
        <w:trPr>
          <w:trHeight w:val="217" w:hRule="atLeast"/>
        </w:trPr>
        <w:tc>
          <w:tcPr>
            <w:tcW w:w="740" w:type="dxa"/>
            <w:vAlign w:val="top"/>
          </w:tcPr>
          <w:p>
            <w:pPr>
              <w:ind w:left="352"/>
              <w:spacing w:before="75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571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56" w:type="dxa"/>
            <w:vAlign w:val="top"/>
          </w:tcPr>
          <w:p>
            <w:pPr>
              <w:pStyle w:val="TableText"/>
              <w:ind w:left="423"/>
              <w:spacing w:before="32" w:line="175" w:lineRule="exact"/>
              <w:rPr/>
            </w:pPr>
            <w:r>
              <w:rPr>
                <w:color w:val="231F20"/>
                <w:spacing w:val="-10"/>
                <w:position w:val="-1"/>
              </w:rPr>
              <w:t>26.79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308"/>
              <w:spacing w:before="32" w:line="175" w:lineRule="exact"/>
              <w:rPr/>
            </w:pPr>
            <w:r>
              <w:rPr>
                <w:color w:val="231F20"/>
                <w:spacing w:val="-10"/>
                <w:position w:val="-1"/>
              </w:rPr>
              <w:t>22.24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47"/>
              <w:spacing w:before="32" w:line="175" w:lineRule="exact"/>
              <w:rPr/>
            </w:pPr>
            <w:r>
              <w:rPr>
                <w:color w:val="231F20"/>
                <w:spacing w:val="-10"/>
                <w:position w:val="-1"/>
              </w:rPr>
              <w:t>27.81</w:t>
            </w:r>
          </w:p>
        </w:tc>
      </w:tr>
      <w:tr>
        <w:trPr>
          <w:trHeight w:val="228" w:hRule="atLeast"/>
        </w:trPr>
        <w:tc>
          <w:tcPr>
            <w:tcW w:w="740" w:type="dxa"/>
            <w:vAlign w:val="top"/>
            <w:tcBorders>
              <w:bottom w:val="single" w:color="231F20" w:sz="6" w:space="0"/>
            </w:tcBorders>
          </w:tcPr>
          <w:p>
            <w:pPr>
              <w:ind w:left="316"/>
              <w:spacing w:before="70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571" w:type="dxa"/>
            <w:vAlign w:val="top"/>
            <w:tcBorders>
              <w:bottom w:val="single" w:color="231F20" w:sz="6" w:space="0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5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1"/>
              <w:spacing w:before="42" w:line="175" w:lineRule="exact"/>
              <w:rPr/>
            </w:pPr>
            <w:r>
              <w:rPr>
                <w:color w:val="231F20"/>
                <w:spacing w:val="-14"/>
                <w:position w:val="-1"/>
              </w:rPr>
              <w:t>&lt;0.001</w:t>
            </w:r>
          </w:p>
        </w:tc>
        <w:tc>
          <w:tcPr>
            <w:tcW w:w="9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7"/>
              <w:spacing w:before="42" w:line="175" w:lineRule="exact"/>
              <w:rPr/>
            </w:pPr>
            <w:r>
              <w:rPr>
                <w:color w:val="231F20"/>
                <w:spacing w:val="-14"/>
                <w:position w:val="-1"/>
              </w:rPr>
              <w:t>&lt;0.001</w:t>
            </w:r>
          </w:p>
        </w:tc>
        <w:tc>
          <w:tcPr>
            <w:tcW w:w="124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06"/>
              <w:spacing w:before="42" w:line="175" w:lineRule="exact"/>
              <w:rPr/>
            </w:pPr>
            <w:r>
              <w:rPr>
                <w:color w:val="231F20"/>
                <w:spacing w:val="-14"/>
                <w:position w:val="-1"/>
              </w:rPr>
              <w:t>&lt;0.001</w:t>
            </w:r>
          </w:p>
        </w:tc>
      </w:tr>
    </w:tbl>
    <w:p>
      <w:pPr>
        <w:ind w:left="119"/>
        <w:spacing w:before="49" w:line="20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9"/>
        </w:rPr>
        <w:t>2.3</w:t>
      </w:r>
      <w:r>
        <w:rPr>
          <w:rFonts w:ascii="SimHei" w:hAnsi="SimHei" w:eastAsia="SimHei" w:cs="SimHei"/>
          <w:sz w:val="21"/>
          <w:szCs w:val="21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>血清 </w:t>
      </w:r>
      <w:r>
        <w:rPr>
          <w:rFonts w:ascii="SimSun" w:hAnsi="SimSun" w:eastAsia="SimSun" w:cs="SimSun"/>
          <w:sz w:val="21"/>
          <w:szCs w:val="21"/>
          <w:color w:val="231F20"/>
        </w:rPr>
        <w:t>WBC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CRP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PCT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>水平</w:t>
      </w:r>
    </w:p>
    <w:p>
      <w:pPr>
        <w:ind w:left="539"/>
        <w:spacing w:before="21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表 3 所示，与治疗前相比，治疗 3 d 后、治疗</w:t>
      </w:r>
    </w:p>
    <w:p>
      <w:pPr>
        <w:pStyle w:val="BodyText"/>
        <w:ind w:left="121" w:right="84" w:hanging="3"/>
        <w:spacing w:before="40" w:line="2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7 d 后两组患者血清 WBC、CRP、PCT 水平呈逐渐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降低趋势，其中试验组低于对照组，差异有统计学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意义（</w:t>
      </w:r>
      <w:r>
        <w:rPr>
          <w:sz w:val="21"/>
          <w:szCs w:val="21"/>
          <w:i/>
          <w:iCs/>
          <w:color w:val="231F20"/>
          <w:spacing w:val="-17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&lt;0.05）。</w:t>
      </w:r>
    </w:p>
    <w:p>
      <w:pPr>
        <w:ind w:left="119"/>
        <w:spacing w:before="6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2.4</w:t>
      </w:r>
      <w:r>
        <w:rPr>
          <w:rFonts w:ascii="SimHei" w:hAnsi="SimHei" w:eastAsia="SimHei" w:cs="SimHei"/>
          <w:sz w:val="21"/>
          <w:szCs w:val="21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不良反应发生情况</w:t>
      </w:r>
    </w:p>
    <w:p>
      <w:pPr>
        <w:pStyle w:val="BodyText"/>
        <w:ind w:left="109" w:right="16" w:firstLine="426"/>
        <w:spacing w:before="21" w:line="19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试验组发生皮疹、胃肠不适各 1 例、2 例，不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良反应发生率 5.00%（3/60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对照组发生皮疹、胃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>肠不适各 2 例、3 例，不良反应发生率 8.33%（5/60），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两组不良反应发生率差异无统计学意义(</w:t>
      </w:r>
      <w:r>
        <w:rPr>
          <w:sz w:val="21"/>
          <w:szCs w:val="21"/>
          <w:i/>
          <w:iCs/>
          <w:color w:val="231F20"/>
          <w:spacing w:val="6"/>
        </w:rPr>
        <w:t>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9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=0.13，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i/>
          <w:iCs/>
          <w:color w:val="231F20"/>
          <w:spacing w:val="-22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2"/>
        </w:rPr>
        <w:t>&gt;0.05）。</w:t>
      </w:r>
    </w:p>
    <w:p>
      <w:pPr>
        <w:spacing w:line="199" w:lineRule="auto"/>
        <w:sectPr>
          <w:type w:val="continuous"/>
          <w:pgSz w:w="12076" w:h="16498"/>
          <w:pgMar w:top="1307" w:right="992" w:bottom="547" w:left="407" w:header="976" w:footer="354" w:gutter="0"/>
          <w:cols w:equalWidth="0" w:num="2">
            <w:col w:w="5700" w:space="100"/>
            <w:col w:w="4876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ind w:left="3323"/>
        <w:spacing w:before="292" w:line="199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表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3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两组血清</w:t>
      </w:r>
      <w:r>
        <w:rPr>
          <w:rFonts w:ascii="SimSun" w:hAnsi="SimSun" w:eastAsia="SimSun" w:cs="SimSun"/>
          <w:sz w:val="20"/>
          <w:szCs w:val="20"/>
          <w:color w:val="231F20"/>
        </w:rPr>
        <w:t>WBC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、</w:t>
      </w:r>
      <w:r>
        <w:rPr>
          <w:rFonts w:ascii="SimSun" w:hAnsi="SimSun" w:eastAsia="SimSun" w:cs="SimSun"/>
          <w:sz w:val="20"/>
          <w:szCs w:val="20"/>
          <w:color w:val="231F20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、</w:t>
      </w:r>
      <w:r>
        <w:rPr>
          <w:rFonts w:ascii="SimSun" w:hAnsi="SimSun" w:eastAsia="SimSun" w:cs="SimSun"/>
          <w:sz w:val="20"/>
          <w:szCs w:val="20"/>
          <w:color w:val="231F20"/>
        </w:rPr>
        <w:t>PCT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水平对比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( </w:t>
      </w:r>
      <w:r>
        <w:rPr>
          <w:sz w:val="20"/>
          <w:szCs w:val="20"/>
          <w:position w:val="2"/>
        </w:rPr>
        <w:drawing>
          <wp:inline distT="0" distB="0" distL="0" distR="0">
            <wp:extent cx="247426" cy="861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426" cy="8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)</w:t>
      </w:r>
    </w:p>
    <w:tbl>
      <w:tblPr>
        <w:tblStyle w:val="TableNormal"/>
        <w:tblW w:w="9791" w:type="dxa"/>
        <w:tblInd w:w="6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7"/>
        <w:gridCol w:w="440"/>
        <w:gridCol w:w="881"/>
        <w:gridCol w:w="968"/>
        <w:gridCol w:w="1020"/>
        <w:gridCol w:w="964"/>
        <w:gridCol w:w="966"/>
        <w:gridCol w:w="1062"/>
        <w:gridCol w:w="877"/>
        <w:gridCol w:w="957"/>
        <w:gridCol w:w="1059"/>
      </w:tblGrid>
      <w:tr>
        <w:trPr>
          <w:trHeight w:val="209" w:hRule="atLeast"/>
        </w:trPr>
        <w:tc>
          <w:tcPr>
            <w:tcW w:w="1037" w:type="dxa"/>
            <w:vAlign w:val="top"/>
            <w:gridSpan w:val="2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29"/>
              <w:spacing w:before="142" w:line="178" w:lineRule="auto"/>
              <w:rPr/>
            </w:pPr>
            <w:r>
              <w:rPr>
                <w:color w:val="231F20"/>
                <w:spacing w:val="-1"/>
              </w:rPr>
              <w:t>组别    例数</w:t>
            </w:r>
          </w:p>
        </w:tc>
        <w:tc>
          <w:tcPr>
            <w:tcW w:w="2869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61"/>
              <w:spacing w:before="5" w:line="169" w:lineRule="auto"/>
              <w:rPr/>
            </w:pPr>
            <w:r>
              <w:rPr>
                <w:color w:val="231F20"/>
              </w:rPr>
              <w:t>WBC</w:t>
            </w:r>
            <w:r>
              <w:rPr>
                <w:color w:val="231F20"/>
                <w:spacing w:val="5"/>
              </w:rPr>
              <w:t>/(×10</w:t>
            </w:r>
            <w:r>
              <w:rPr>
                <w:sz w:val="9"/>
                <w:szCs w:val="9"/>
                <w:color w:val="231F20"/>
                <w:spacing w:val="5"/>
                <w:position w:val="7"/>
              </w:rPr>
              <w:t>9</w:t>
            </w:r>
            <w:r>
              <w:rPr>
                <w:color w:val="231F20"/>
                <w:spacing w:val="5"/>
              </w:rPr>
              <w:t>/L）</w:t>
            </w:r>
          </w:p>
        </w:tc>
        <w:tc>
          <w:tcPr>
            <w:tcW w:w="2992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89"/>
              <w:spacing w:before="25" w:line="174" w:lineRule="exact"/>
              <w:rPr/>
            </w:pPr>
            <w:r>
              <w:rPr>
                <w:color w:val="231F20"/>
                <w:spacing w:val="-12"/>
                <w:position w:val="1"/>
              </w:rPr>
              <w:t>CRP/（pg/mL）</w:t>
            </w:r>
          </w:p>
        </w:tc>
        <w:tc>
          <w:tcPr>
            <w:tcW w:w="2893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48"/>
              <w:spacing w:before="25" w:line="174" w:lineRule="exact"/>
              <w:rPr/>
            </w:pPr>
            <w:r>
              <w:rPr>
                <w:color w:val="231F20"/>
                <w:spacing w:val="-12"/>
                <w:position w:val="1"/>
              </w:rPr>
              <w:t>PCT/（ng/mL）</w:t>
            </w:r>
          </w:p>
        </w:tc>
      </w:tr>
      <w:tr>
        <w:trPr>
          <w:trHeight w:val="227" w:hRule="atLeast"/>
        </w:trPr>
        <w:tc>
          <w:tcPr>
            <w:tcW w:w="1037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92"/>
              <w:spacing w:before="42" w:line="174" w:lineRule="exact"/>
              <w:rPr/>
            </w:pPr>
            <w:r>
              <w:rPr>
                <w:color w:val="231F20"/>
                <w:spacing w:val="-2"/>
                <w:position w:val="1"/>
              </w:rPr>
              <w:t>治疗前</w:t>
            </w:r>
          </w:p>
        </w:tc>
        <w:tc>
          <w:tcPr>
            <w:tcW w:w="96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3"/>
              <w:spacing w:before="42" w:line="174" w:lineRule="exact"/>
              <w:rPr/>
            </w:pPr>
            <w:r>
              <w:rPr>
                <w:color w:val="231F20"/>
                <w:spacing w:val="-8"/>
                <w:position w:val="1"/>
              </w:rPr>
              <w:t>治疗 3 d 后</w:t>
            </w:r>
          </w:p>
        </w:tc>
        <w:tc>
          <w:tcPr>
            <w:tcW w:w="102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4"/>
              <w:spacing w:before="42" w:line="174" w:lineRule="exact"/>
              <w:rPr/>
            </w:pPr>
            <w:r>
              <w:rPr>
                <w:color w:val="231F20"/>
                <w:spacing w:val="-8"/>
                <w:position w:val="1"/>
              </w:rPr>
              <w:t>治疗 7 d 后</w:t>
            </w:r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5"/>
              <w:spacing w:before="42" w:line="174" w:lineRule="exact"/>
              <w:rPr/>
            </w:pPr>
            <w:r>
              <w:rPr>
                <w:color w:val="231F20"/>
                <w:spacing w:val="-2"/>
                <w:position w:val="1"/>
              </w:rPr>
              <w:t>治疗前</w:t>
            </w:r>
          </w:p>
        </w:tc>
        <w:tc>
          <w:tcPr>
            <w:tcW w:w="96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7"/>
              <w:spacing w:before="42" w:line="174" w:lineRule="exact"/>
              <w:rPr/>
            </w:pPr>
            <w:r>
              <w:rPr>
                <w:color w:val="231F20"/>
                <w:spacing w:val="-8"/>
                <w:position w:val="1"/>
              </w:rPr>
              <w:t>治疗 3 d 后</w:t>
            </w:r>
          </w:p>
        </w:tc>
        <w:tc>
          <w:tcPr>
            <w:tcW w:w="10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9"/>
              <w:spacing w:before="42" w:line="174" w:lineRule="exact"/>
              <w:rPr/>
            </w:pPr>
            <w:r>
              <w:rPr>
                <w:color w:val="231F20"/>
                <w:spacing w:val="-8"/>
                <w:position w:val="1"/>
              </w:rPr>
              <w:t>治疗 7 d 后</w:t>
            </w:r>
          </w:p>
        </w:tc>
        <w:tc>
          <w:tcPr>
            <w:tcW w:w="87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4"/>
              <w:spacing w:before="42" w:line="174" w:lineRule="exact"/>
              <w:rPr/>
            </w:pPr>
            <w:r>
              <w:rPr>
                <w:color w:val="231F20"/>
                <w:spacing w:val="-2"/>
                <w:position w:val="1"/>
              </w:rPr>
              <w:t>治疗前</w:t>
            </w:r>
          </w:p>
        </w:tc>
        <w:tc>
          <w:tcPr>
            <w:tcW w:w="95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2"/>
              <w:spacing w:before="42" w:line="174" w:lineRule="exact"/>
              <w:rPr/>
            </w:pPr>
            <w:r>
              <w:rPr>
                <w:color w:val="231F20"/>
                <w:spacing w:val="-8"/>
                <w:position w:val="1"/>
              </w:rPr>
              <w:t>治疗 3 d 后</w:t>
            </w:r>
          </w:p>
        </w:tc>
        <w:tc>
          <w:tcPr>
            <w:tcW w:w="10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9"/>
              <w:spacing w:before="42" w:line="174" w:lineRule="exact"/>
              <w:rPr/>
            </w:pPr>
            <w:r>
              <w:rPr>
                <w:color w:val="231F20"/>
                <w:spacing w:val="-8"/>
                <w:position w:val="1"/>
              </w:rPr>
              <w:t>治疗 7 d 后</w:t>
            </w:r>
          </w:p>
        </w:tc>
      </w:tr>
      <w:tr>
        <w:trPr>
          <w:trHeight w:val="213" w:hRule="atLeast"/>
        </w:trPr>
        <w:tc>
          <w:tcPr>
            <w:tcW w:w="5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"/>
              <w:spacing w:before="39" w:line="164" w:lineRule="exact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4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9"/>
              <w:spacing w:before="32" w:line="171" w:lineRule="exact"/>
              <w:rPr/>
            </w:pPr>
            <w:r>
              <w:rPr>
                <w:color w:val="231F20"/>
                <w:spacing w:val="-9"/>
                <w:position w:val="-1"/>
              </w:rPr>
              <w:t>60</w:t>
            </w:r>
          </w:p>
        </w:tc>
        <w:tc>
          <w:tcPr>
            <w:tcW w:w="8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"/>
              <w:spacing w:before="32" w:line="171" w:lineRule="exact"/>
              <w:rPr/>
            </w:pPr>
            <w:r>
              <w:rPr>
                <w:color w:val="231F20"/>
                <w:spacing w:val="-7"/>
                <w:position w:val="-1"/>
              </w:rPr>
              <w:t>17.75±2.27</w:t>
            </w:r>
          </w:p>
        </w:tc>
        <w:tc>
          <w:tcPr>
            <w:tcW w:w="9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13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15.14±3.26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3"/>
                <w:w w:val="120"/>
                <w:position w:val="7"/>
              </w:rPr>
              <w:t>α</w:t>
            </w:r>
          </w:p>
        </w:tc>
        <w:tc>
          <w:tcPr>
            <w:tcW w:w="10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13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13.18±2.74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2"/>
                <w:position w:val="7"/>
              </w:rPr>
              <w:t>αb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"/>
              <w:spacing w:before="32" w:line="171" w:lineRule="exact"/>
              <w:rPr/>
            </w:pPr>
            <w:r>
              <w:rPr>
                <w:color w:val="231F20"/>
                <w:spacing w:val="-6"/>
                <w:position w:val="-1"/>
              </w:rPr>
              <w:t>94.64±10.22</w:t>
            </w:r>
          </w:p>
        </w:tc>
        <w:tc>
          <w:tcPr>
            <w:tcW w:w="9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"/>
              <w:spacing w:before="13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76.45±9.57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4"/>
                <w:w w:val="126"/>
                <w:position w:val="7"/>
              </w:rPr>
              <w:t>α</w:t>
            </w:r>
          </w:p>
        </w:tc>
        <w:tc>
          <w:tcPr>
            <w:tcW w:w="10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"/>
              <w:spacing w:before="13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35.15±5.48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2"/>
                <w:position w:val="7"/>
              </w:rPr>
              <w:t>αb</w:t>
            </w:r>
          </w:p>
        </w:tc>
        <w:tc>
          <w:tcPr>
            <w:tcW w:w="8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"/>
              <w:spacing w:before="32" w:line="171" w:lineRule="exact"/>
              <w:rPr/>
            </w:pPr>
            <w:r>
              <w:rPr>
                <w:color w:val="231F20"/>
                <w:spacing w:val="-4"/>
                <w:position w:val="-1"/>
              </w:rPr>
              <w:t>5.89±1.26</w:t>
            </w:r>
          </w:p>
        </w:tc>
        <w:tc>
          <w:tcPr>
            <w:tcW w:w="9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13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</w:rPr>
              <w:t>3.15±0.78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4"/>
                <w:position w:val="7"/>
              </w:rPr>
              <w:t>α</w:t>
            </w:r>
          </w:p>
        </w:tc>
        <w:tc>
          <w:tcPr>
            <w:tcW w:w="10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3"/>
              <w:spacing w:before="13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1.26±0.36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sz w:val="9"/>
                <w:szCs w:val="9"/>
                <w:color w:val="231F20"/>
                <w:position w:val="7"/>
              </w:rPr>
              <w:t>αb</w:t>
            </w:r>
          </w:p>
        </w:tc>
      </w:tr>
      <w:tr>
        <w:trPr>
          <w:trHeight w:val="240" w:hRule="atLeast"/>
        </w:trPr>
        <w:tc>
          <w:tcPr>
            <w:tcW w:w="597" w:type="dxa"/>
            <w:vAlign w:val="top"/>
          </w:tcPr>
          <w:p>
            <w:pPr>
              <w:pStyle w:val="TableText"/>
              <w:ind w:left="47"/>
              <w:spacing w:before="52" w:line="177" w:lineRule="exact"/>
              <w:rPr/>
            </w:pPr>
            <w:r>
              <w:rPr>
                <w:color w:val="231F20"/>
                <w:spacing w:val="-1"/>
                <w:position w:val="1"/>
              </w:rPr>
              <w:t>试验组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19"/>
              <w:spacing w:before="46" w:line="160" w:lineRule="auto"/>
              <w:rPr/>
            </w:pPr>
            <w:r>
              <w:rPr>
                <w:color w:val="231F20"/>
                <w:spacing w:val="-9"/>
              </w:rPr>
              <w:t>60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48"/>
              <w:spacing w:before="46" w:line="160" w:lineRule="auto"/>
              <w:rPr/>
            </w:pPr>
            <w:r>
              <w:rPr>
                <w:color w:val="231F20"/>
                <w:spacing w:val="-7"/>
              </w:rPr>
              <w:t>17.56±2.34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61"/>
              <w:spacing w:before="26" w:line="178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13.85±3.33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3"/>
                <w:w w:val="120"/>
                <w:position w:val="7"/>
              </w:rPr>
              <w:t>α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86"/>
              <w:spacing w:before="26" w:line="178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9.16±2.55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2"/>
                <w:position w:val="7"/>
              </w:rPr>
              <w:t>αb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8"/>
              <w:spacing w:before="46" w:line="160" w:lineRule="auto"/>
              <w:rPr/>
            </w:pPr>
            <w:r>
              <w:rPr>
                <w:color w:val="231F20"/>
                <w:spacing w:val="-6"/>
              </w:rPr>
              <w:t>93.85±10.28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52"/>
              <w:spacing w:before="26" w:line="178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58.54±6.46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3"/>
                <w:w w:val="125"/>
                <w:position w:val="7"/>
              </w:rPr>
              <w:t>α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64"/>
              <w:spacing w:before="26" w:line="178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18.72±2.27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2"/>
                <w:position w:val="7"/>
              </w:rPr>
              <w:t>αb</w:t>
            </w:r>
          </w:p>
        </w:tc>
        <w:tc>
          <w:tcPr>
            <w:tcW w:w="877" w:type="dxa"/>
            <w:vAlign w:val="top"/>
          </w:tcPr>
          <w:p>
            <w:pPr>
              <w:pStyle w:val="TableText"/>
              <w:ind w:left="86"/>
              <w:spacing w:before="46" w:line="160" w:lineRule="auto"/>
              <w:rPr/>
            </w:pPr>
            <w:r>
              <w:rPr>
                <w:color w:val="231F20"/>
                <w:spacing w:val="-4"/>
              </w:rPr>
              <w:t>5.94±1.23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87"/>
              <w:spacing w:before="26" w:line="178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</w:rPr>
              <w:t>2.41±0.56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4"/>
                <w:position w:val="7"/>
              </w:rPr>
              <w:t>α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89"/>
              <w:spacing w:before="26" w:line="178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0.82±0.24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αb</w:t>
            </w:r>
          </w:p>
        </w:tc>
      </w:tr>
      <w:tr>
        <w:trPr>
          <w:trHeight w:val="217" w:hRule="atLeast"/>
        </w:trPr>
        <w:tc>
          <w:tcPr>
            <w:tcW w:w="597" w:type="dxa"/>
            <w:vAlign w:val="top"/>
          </w:tcPr>
          <w:p>
            <w:pPr>
              <w:ind w:left="270"/>
              <w:spacing w:before="76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440" w:type="dxa"/>
            <w:vAlign w:val="top"/>
          </w:tcPr>
          <w:p>
            <w:pPr>
              <w:spacing w:line="206" w:lineRule="exact"/>
              <w:rPr>
                <w:rFonts w:ascii="Arial"/>
                <w:sz w:val="18"/>
              </w:rPr>
            </w:pPr>
            <w:r/>
          </w:p>
        </w:tc>
        <w:tc>
          <w:tcPr>
            <w:tcW w:w="881" w:type="dxa"/>
            <w:vAlign w:val="top"/>
          </w:tcPr>
          <w:p>
            <w:pPr>
              <w:pStyle w:val="TableText"/>
              <w:ind w:left="292"/>
              <w:spacing w:before="33" w:line="173" w:lineRule="exact"/>
              <w:rPr/>
            </w:pPr>
            <w:r>
              <w:rPr>
                <w:color w:val="231F20"/>
                <w:spacing w:val="-9"/>
                <w:position w:val="-1"/>
              </w:rPr>
              <w:t>0.45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353"/>
              <w:spacing w:before="33" w:line="173" w:lineRule="exact"/>
              <w:rPr/>
            </w:pPr>
            <w:r>
              <w:rPr>
                <w:color w:val="231F20"/>
                <w:spacing w:val="-9"/>
                <w:position w:val="-1"/>
              </w:rPr>
              <w:t>2.14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376"/>
              <w:spacing w:before="33" w:line="173" w:lineRule="exact"/>
              <w:rPr/>
            </w:pPr>
            <w:r>
              <w:rPr>
                <w:color w:val="231F20"/>
                <w:spacing w:val="-9"/>
                <w:position w:val="-1"/>
              </w:rPr>
              <w:t>8.32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345"/>
              <w:spacing w:before="33" w:line="173" w:lineRule="exact"/>
              <w:rPr/>
            </w:pPr>
            <w:r>
              <w:rPr>
                <w:color w:val="231F20"/>
                <w:spacing w:val="-9"/>
                <w:position w:val="-1"/>
              </w:rPr>
              <w:t>0.42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330"/>
              <w:spacing w:before="33" w:line="173" w:lineRule="exact"/>
              <w:rPr/>
            </w:pPr>
            <w:r>
              <w:rPr>
                <w:color w:val="231F20"/>
                <w:spacing w:val="-12"/>
                <w:position w:val="-1"/>
              </w:rPr>
              <w:t>12.02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339"/>
              <w:spacing w:before="33" w:line="173" w:lineRule="exact"/>
              <w:rPr/>
            </w:pPr>
            <w:r>
              <w:rPr>
                <w:color w:val="231F20"/>
                <w:spacing w:val="-10"/>
                <w:position w:val="-1"/>
              </w:rPr>
              <w:t>21.46</w:t>
            </w:r>
          </w:p>
        </w:tc>
        <w:tc>
          <w:tcPr>
            <w:tcW w:w="877" w:type="dxa"/>
            <w:vAlign w:val="top"/>
          </w:tcPr>
          <w:p>
            <w:pPr>
              <w:pStyle w:val="TableText"/>
              <w:ind w:left="304"/>
              <w:spacing w:before="33" w:line="173" w:lineRule="exact"/>
              <w:rPr/>
            </w:pPr>
            <w:r>
              <w:rPr>
                <w:color w:val="231F20"/>
                <w:spacing w:val="-9"/>
                <w:position w:val="-1"/>
              </w:rPr>
              <w:t>0.22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352"/>
              <w:spacing w:before="33" w:line="173" w:lineRule="exact"/>
              <w:rPr/>
            </w:pPr>
            <w:r>
              <w:rPr>
                <w:color w:val="231F20"/>
                <w:spacing w:val="-9"/>
                <w:position w:val="-1"/>
              </w:rPr>
              <w:t>5.97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377"/>
              <w:spacing w:before="33" w:line="173" w:lineRule="exact"/>
              <w:rPr/>
            </w:pPr>
            <w:r>
              <w:rPr>
                <w:color w:val="231F20"/>
                <w:spacing w:val="-9"/>
                <w:position w:val="-1"/>
              </w:rPr>
              <w:t>7.88</w:t>
            </w:r>
          </w:p>
        </w:tc>
      </w:tr>
      <w:tr>
        <w:trPr>
          <w:trHeight w:val="229" w:hRule="atLeast"/>
        </w:trPr>
        <w:tc>
          <w:tcPr>
            <w:tcW w:w="597" w:type="dxa"/>
            <w:vAlign w:val="top"/>
            <w:tcBorders>
              <w:bottom w:val="single" w:color="231F20" w:sz="6" w:space="0"/>
            </w:tcBorders>
          </w:tcPr>
          <w:p>
            <w:pPr>
              <w:ind w:left="235"/>
              <w:spacing w:before="70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440" w:type="dxa"/>
            <w:vAlign w:val="top"/>
            <w:tcBorders>
              <w:bottom w:val="single" w:color="231F20" w:sz="6" w:space="0"/>
            </w:tcBorders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8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3"/>
              <w:spacing w:before="43" w:line="176" w:lineRule="exact"/>
              <w:rPr/>
            </w:pPr>
            <w:r>
              <w:rPr>
                <w:color w:val="231F20"/>
                <w:spacing w:val="-10"/>
                <w:position w:val="-1"/>
              </w:rPr>
              <w:t>0.653</w:t>
            </w:r>
          </w:p>
        </w:tc>
        <w:tc>
          <w:tcPr>
            <w:tcW w:w="9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2"/>
              <w:spacing w:before="43" w:line="176" w:lineRule="exact"/>
              <w:rPr/>
            </w:pPr>
            <w:r>
              <w:rPr>
                <w:color w:val="231F20"/>
                <w:spacing w:val="-10"/>
                <w:position w:val="-1"/>
              </w:rPr>
              <w:t>0.034</w:t>
            </w:r>
          </w:p>
        </w:tc>
        <w:tc>
          <w:tcPr>
            <w:tcW w:w="10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3"/>
              <w:spacing w:before="43" w:line="176" w:lineRule="exact"/>
              <w:rPr/>
            </w:pPr>
            <w:r>
              <w:rPr>
                <w:color w:val="231F20"/>
                <w:spacing w:val="-14"/>
                <w:position w:val="-1"/>
              </w:rPr>
              <w:t>&lt;0.001</w:t>
            </w:r>
          </w:p>
        </w:tc>
        <w:tc>
          <w:tcPr>
            <w:tcW w:w="9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6"/>
              <w:spacing w:before="43" w:line="176" w:lineRule="exact"/>
              <w:rPr/>
            </w:pPr>
            <w:r>
              <w:rPr>
                <w:color w:val="231F20"/>
                <w:spacing w:val="-10"/>
                <w:position w:val="-1"/>
              </w:rPr>
              <w:t>0.674</w:t>
            </w:r>
          </w:p>
        </w:tc>
        <w:tc>
          <w:tcPr>
            <w:tcW w:w="9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6"/>
              <w:spacing w:before="43" w:line="176" w:lineRule="exact"/>
              <w:rPr/>
            </w:pPr>
            <w:r>
              <w:rPr>
                <w:color w:val="231F20"/>
                <w:spacing w:val="-14"/>
                <w:position w:val="-1"/>
              </w:rPr>
              <w:t>&lt;0.001</w:t>
            </w:r>
          </w:p>
        </w:tc>
        <w:tc>
          <w:tcPr>
            <w:tcW w:w="106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8"/>
              <w:spacing w:before="43" w:line="176" w:lineRule="exact"/>
              <w:rPr/>
            </w:pPr>
            <w:r>
              <w:rPr>
                <w:color w:val="231F20"/>
                <w:spacing w:val="-14"/>
                <w:position w:val="-1"/>
              </w:rPr>
              <w:t>&lt;0.001</w:t>
            </w:r>
          </w:p>
        </w:tc>
        <w:tc>
          <w:tcPr>
            <w:tcW w:w="8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4"/>
              <w:spacing w:before="43" w:line="176" w:lineRule="exact"/>
              <w:rPr/>
            </w:pPr>
            <w:r>
              <w:rPr>
                <w:color w:val="231F20"/>
                <w:spacing w:val="-10"/>
                <w:position w:val="-1"/>
              </w:rPr>
              <w:t>0.826</w:t>
            </w:r>
          </w:p>
        </w:tc>
        <w:tc>
          <w:tcPr>
            <w:tcW w:w="9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1"/>
              <w:spacing w:before="43" w:line="176" w:lineRule="exact"/>
              <w:rPr/>
            </w:pPr>
            <w:r>
              <w:rPr>
                <w:color w:val="231F20"/>
                <w:spacing w:val="-14"/>
                <w:position w:val="-1"/>
              </w:rPr>
              <w:t>&lt;0.001</w:t>
            </w:r>
          </w:p>
        </w:tc>
        <w:tc>
          <w:tcPr>
            <w:tcW w:w="10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7"/>
              <w:spacing w:before="43" w:line="176" w:lineRule="exact"/>
              <w:rPr/>
            </w:pPr>
            <w:r>
              <w:rPr>
                <w:color w:val="231F20"/>
                <w:spacing w:val="-14"/>
                <w:position w:val="-1"/>
              </w:rPr>
              <w:t>&lt;0.001</w:t>
            </w:r>
          </w:p>
        </w:tc>
      </w:tr>
    </w:tbl>
    <w:p>
      <w:pPr>
        <w:pStyle w:val="BodyText"/>
        <w:ind w:left="995"/>
        <w:spacing w:before="36" w:line="234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  <w:position w:val="1"/>
        </w:rPr>
        <w:t>注：与治疗前比，</w:t>
      </w:r>
      <w:r>
        <w:rPr>
          <w:rFonts w:ascii="SimSun" w:hAnsi="SimSun" w:eastAsia="SimSun" w:cs="SimSun"/>
          <w:sz w:val="9"/>
          <w:szCs w:val="9"/>
          <w:color w:val="231F20"/>
          <w:spacing w:val="-3"/>
          <w:position w:val="8"/>
        </w:rPr>
        <w:t>α</w:t>
      </w:r>
      <w:r>
        <w:rPr>
          <w:sz w:val="16"/>
          <w:szCs w:val="16"/>
          <w:i/>
          <w:iCs/>
          <w:color w:val="231F20"/>
          <w:spacing w:val="-3"/>
          <w:position w:val="1"/>
        </w:rPr>
        <w:t>P</w:t>
      </w:r>
      <w:r>
        <w:rPr>
          <w:rFonts w:ascii="SimSun" w:hAnsi="SimSun" w:eastAsia="SimSun" w:cs="SimSun"/>
          <w:sz w:val="16"/>
          <w:szCs w:val="16"/>
          <w:color w:val="231F20"/>
          <w:spacing w:val="-3"/>
          <w:position w:val="1"/>
        </w:rPr>
        <w:t>&lt;0.05，与治疗3</w:t>
      </w:r>
      <w:r>
        <w:rPr>
          <w:rFonts w:ascii="SimSun" w:hAnsi="SimSun" w:eastAsia="SimSun" w:cs="SimSun"/>
          <w:sz w:val="16"/>
          <w:szCs w:val="16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  <w:position w:val="1"/>
        </w:rPr>
        <w:t>d后比，</w:t>
      </w:r>
      <w:r>
        <w:rPr>
          <w:rFonts w:ascii="SimSun" w:hAnsi="SimSun" w:eastAsia="SimSun" w:cs="SimSun"/>
          <w:sz w:val="9"/>
          <w:szCs w:val="9"/>
          <w:color w:val="231F20"/>
          <w:spacing w:val="-3"/>
          <w:position w:val="8"/>
        </w:rPr>
        <w:t>b</w:t>
      </w:r>
      <w:r>
        <w:rPr>
          <w:sz w:val="16"/>
          <w:szCs w:val="16"/>
          <w:i/>
          <w:iCs/>
          <w:color w:val="231F20"/>
          <w:spacing w:val="-3"/>
          <w:position w:val="1"/>
        </w:rPr>
        <w:t>P</w:t>
      </w:r>
      <w:r>
        <w:rPr>
          <w:rFonts w:ascii="SimSun" w:hAnsi="SimSun" w:eastAsia="SimSun" w:cs="SimSun"/>
          <w:sz w:val="16"/>
          <w:szCs w:val="16"/>
          <w:color w:val="231F20"/>
          <w:spacing w:val="-3"/>
          <w:position w:val="1"/>
        </w:rPr>
        <w:t>&lt;0.05。</w:t>
      </w:r>
    </w:p>
    <w:p>
      <w:pPr>
        <w:spacing w:line="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5" w:lineRule="auto"/>
        <w:sectPr>
          <w:headerReference w:type="default" r:id="rId6"/>
          <w:footerReference w:type="default" r:id="rId7"/>
          <w:pgSz w:w="12076" w:h="16498"/>
          <w:pgMar w:top="1307" w:right="1121" w:bottom="547" w:left="407" w:header="976" w:footer="354" w:gutter="0"/>
          <w:cols w:equalWidth="0" w:num="1">
            <w:col w:w="1054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676"/>
        <w:spacing w:before="49" w:line="20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31F20"/>
        </w:rPr>
        <w:t>3</w:t>
      </w:r>
      <w:r>
        <w:rPr>
          <w:rFonts w:ascii="SimHei" w:hAnsi="SimHei" w:eastAsia="SimHei" w:cs="SimHei"/>
          <w:sz w:val="22"/>
          <w:szCs w:val="22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31F20"/>
        </w:rPr>
        <w:t>讨论</w:t>
      </w:r>
    </w:p>
    <w:p>
      <w:pPr>
        <w:ind w:left="672" w:right="186" w:firstLine="423"/>
        <w:spacing w:before="5" w:line="20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急性盆腔炎主要由病原体感染所致，包括内源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性和外源性两大类。外界病原体入侵或患者本身外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阴、阴道内存在的病原体大量增殖后，沿宫颈、子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宫、输卵管黏膜上行，或经生殖道创伤处的淋巴管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侵入盆腔结缔组织以及病原体先侵入人体，再经血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液循环感染生殖器和腹腔内邻近器官感染后直接蔓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延到内生殖器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9"/>
        </w:rPr>
        <w:t>［6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6"/>
          <w:position w:val="9"/>
        </w:rPr>
        <w:t>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主要病原体为革兰阴性菌（链球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菌、大肠杆菌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革兰阳性菌（葡萄球菌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厌氧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菌以及淋菌，沙眼衣原体，支原体等。左氧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氟沙星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抑制细菌 DNA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的合成，对部分革兰阳性菌、军团菌、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支原体、衣原体有良好的抑制作用，有报道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7"/>
          <w:position w:val="9"/>
        </w:rPr>
        <w:t>［7］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指出，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左氧氟沙星与替硝唑联合使用虽然能够提高治疗效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果，但复发率较高，不利于远期预后。</w:t>
      </w:r>
    </w:p>
    <w:p>
      <w:pPr>
        <w:ind w:left="670" w:right="186" w:firstLine="425"/>
        <w:spacing w:before="2" w:line="20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头孢曲松钠有抑菌杀菌、预防治疗敏感菌感染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的作用，且在人体内的半衰期较长，因此抗菌效果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好。此外，其对自上而下和由内向外的感染均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有作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用，由于人体没有细胞壁，故而其对人体毒性较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小，而且该药组织穿透力强，可有效提高其在各组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织、体腔、体液中的抗菌浓度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  <w:position w:val="9"/>
        </w:rPr>
        <w:t>［8］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。替硝唑主要用于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厌氧菌生长期，对原虫及厌氧菌有较高活性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，主要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是由于其中硝基被还原成为一种细胞毒，能够对细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菌 DNA 代谢过程产生影响，降低人体内细菌浓度，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抑制各种厌氧菌的感染入侵，可以有效消除体内炎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  <w:position w:val="-1"/>
        </w:rPr>
        <w:t>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  <w:position w:val="9"/>
        </w:rPr>
        <w:t>［9-10］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  <w:position w:val="-1"/>
        </w:rPr>
        <w:t>。本研究结果显示，在临床总有效率方面，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试验组比对照组高，试验组患者体温恢复正常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时间、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下腹痛缓解时间、阴道分泌物消失时间均短于对照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组；对两组不良反应发生率进行比较后可知，差异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无统计学意义。表明头孢曲松钠联合替硝唑可有效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提高急性盆腔炎患者临床疗效，快速恢复患者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体温，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缓解腹痛，以及改善症状，且不额外增加不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良反应。</w:t>
      </w:r>
    </w:p>
    <w:p>
      <w:pPr>
        <w:ind w:left="672" w:right="200" w:firstLine="420"/>
        <w:spacing w:before="10" w:line="19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WBC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是体内的免疫屏障，能够保护人体免受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病原体侵害，在机体防御系统中发挥关键作用。其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水平高低可用于预测、评估累及白细胞系统的疾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病。在急性感染中，白细胞计数呈浓度升高的表现；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CRP 在临床中多用于鉴别、诊断机体感染，其具有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激活补体、免疫调节和吞噬等作用，在临床上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通常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用于感染诊断鉴别，应激状态下、细菌感染性疾病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5" w:right="1" w:firstLine="18"/>
        <w:spacing w:before="61" w:line="20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以及身体内有炎症均可导致 CRP 迅速升高；PCT 是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降钙素前肽物质，多用于提示细菌炎症或真菌感染，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其在人体中的表达升高，提示发生严重细菌性炎症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和真菌性感染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9"/>
        </w:rPr>
        <w:t>［11］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。本研究结果显示治疗 3 d 后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、治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疗 7 d 后试验组患者血清 WBC、CRP、PCT 水平均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低于对照组。表明头孢曲松钠联合替硝唑可有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效减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轻急性盆腔炎患者炎症反应，促进疾病康复，与李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1"/>
        </w:rPr>
        <w:t>友霞等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  <w:position w:val="8"/>
        </w:rPr>
        <w:t>［12］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1"/>
        </w:rPr>
        <w:t>研究结果相符。</w:t>
      </w:r>
    </w:p>
    <w:p>
      <w:pPr>
        <w:ind w:left="87" w:firstLine="417"/>
        <w:spacing w:before="3" w:line="214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综上所述，头孢曲松钠联合替硝唑可有效减轻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急性盆腔炎患者炎症反应，还可缩短其体温恢复正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常以及下腹痛缓解的时间，获得理想的治疗收益，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不增加不良反应，值得临床进一步研究和推广。</w:t>
      </w:r>
    </w:p>
    <w:p>
      <w:pPr>
        <w:ind w:left="91"/>
        <w:spacing w:before="270" w:line="202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2"/>
        </w:rPr>
        <w:t>参考文献</w:t>
      </w:r>
    </w:p>
    <w:p>
      <w:pPr>
        <w:ind w:left="487" w:right="69" w:hanging="487"/>
        <w:spacing w:before="4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［1］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张爱华 , 李淑敏 , 杜丽华 . 丹芍消炎合剂联合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抗生素治疗急性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盆腔炎临床研究 [J]. 陕西中医 ,2019,40(5):623-626.</w:t>
      </w:r>
    </w:p>
    <w:p>
      <w:pPr>
        <w:ind w:left="490" w:right="69" w:hanging="490"/>
        <w:spacing w:before="12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［2］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崔冬梅 . 左氧氟沙星联合替硝唑在盆腔炎治疗中的治疗效果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山西医药杂志 ,2018,47(19):2316-2317.</w:t>
      </w:r>
    </w:p>
    <w:p>
      <w:pPr>
        <w:ind w:left="485" w:right="69" w:hanging="485"/>
        <w:spacing w:before="14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［3］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胡令军 , 张玮 , 刘芳 . 二十五味鬼臼丸联合头孢曲松钠治疗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慢性盆腔炎的临床研究 [J]. 现代药物与临床 ,2018,33(6):1432-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>1435.</w:t>
      </w:r>
    </w:p>
    <w:p>
      <w:pPr>
        <w:ind w:left="484" w:right="69" w:hanging="484"/>
        <w:spacing w:before="1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［4］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中华医学会妇产科学分会感染性疾病协作组 . 盆腔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炎症性疾病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诊治规范 ( 修订版 )[J].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中华妇产科杂志 ,2014,49(6):401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-403.</w:t>
      </w:r>
    </w:p>
    <w:p>
      <w:pPr>
        <w:ind w:left="484" w:right="70" w:hanging="484"/>
        <w:spacing w:before="12" w:line="20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［5］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樊尚荣 , 黎婷 .2015 年美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国疾病控制中心性传播疾病诊断和治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疗指南 ( 续 )——盆腔炎的诊断和治疗指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南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中国全科医学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>2015,18(28):3423-3425.</w:t>
      </w:r>
    </w:p>
    <w:p>
      <w:pPr>
        <w:ind w:left="485" w:right="69" w:hanging="486"/>
        <w:spacing w:before="12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［6］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潘敏敏 . 康妇消炎栓联合阿奇霉素序贯治疗对急性盆腔炎患者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炎症反应的影响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中国妇幼保健 ,2017,32(22):5580-5582.</w:t>
      </w:r>
    </w:p>
    <w:p>
      <w:pPr>
        <w:ind w:left="500" w:right="69" w:hanging="501"/>
        <w:spacing w:before="13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［7］  肖飞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甲硝唑联合左氧氟沙星治疗急性盆腔炎疗效观察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中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国药物与临床 ,2020,20(18):3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109-3110.</w:t>
      </w:r>
    </w:p>
    <w:p>
      <w:pPr>
        <w:ind w:left="487" w:right="70" w:hanging="487"/>
        <w:spacing w:before="14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［8］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陈进芳 , 刘玉珠 , 韩一栩 . 保妇康栓联合头孢曲松钠、甲硝唑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治疗慢性盆腔炎疗效分析[J].中华中医药学刊,2018,36(5):1231-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>1233.</w:t>
      </w:r>
    </w:p>
    <w:p>
      <w:pPr>
        <w:ind w:left="490" w:right="69" w:hanging="491"/>
        <w:spacing w:before="1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［9］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陈莹 , 唐涛 , 郭咸希 . 左奥硝唑与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奥硝唑治疗急性盆腔炎疗效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和经济学评价的回顾性研究 [J]. 药物流行病学杂志 ,202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0,29(2):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124-128.</w:t>
      </w:r>
    </w:p>
    <w:p>
      <w:pPr>
        <w:ind w:left="487" w:right="70" w:hanging="487"/>
        <w:spacing w:before="1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［10］黄美香 , 甘秀华 , 卢惠琼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等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甲硝唑联合头孢他啶治疗急性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盆腔炎的临床效果观察 [J]. 北方药学 ,2021,18(6):65-6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6.</w:t>
      </w:r>
    </w:p>
    <w:p>
      <w:pPr>
        <w:ind w:left="485" w:right="69" w:hanging="486"/>
        <w:spacing w:before="12" w:line="20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［11］王蕾 , 代莉 , 李晓霞 . 剖宫产与自然分娩对产妇产褥感染及血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清 WBC 和 CRP 及 PCT 水平的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影响 [J]. 解放军预防医学杂志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2019,37(12):35-36.</w:t>
      </w:r>
    </w:p>
    <w:p>
      <w:pPr>
        <w:ind w:left="485" w:right="70" w:hanging="485"/>
        <w:spacing w:before="12" w:line="20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［12］李友霞 , 张岩 , 孙玉娟 , 等 . 月经期第二代头孢菌素与甲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硝唑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联用结合非月经期理疗治疗妇科盆腔炎性疾病的临床疗效分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析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中国性科学 ,2019,28(11):8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9-92.</w:t>
      </w:r>
    </w:p>
    <w:p>
      <w:pPr>
        <w:ind w:left="1229"/>
        <w:spacing w:before="12" w:line="16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收稿日期：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2022-09-06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定稿日期：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2022-11-25</w:t>
      </w:r>
    </w:p>
    <w:sectPr>
      <w:type w:val="continuous"/>
      <w:pgSz w:w="12076" w:h="16498"/>
      <w:pgMar w:top="1307" w:right="1121" w:bottom="547" w:left="407" w:header="976" w:footer="354" w:gutter="0"/>
      <w:cols w:equalWidth="0" w:num="2">
        <w:col w:w="5618" w:space="100"/>
        <w:col w:w="483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5"/>
      <w:spacing w:before="29" w:line="189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" style="position:absolute;margin-left:20.4pt;margin-top:797.4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3.8583pt;margin-top:63.6268pt;mso-position-vertical-relative:page;mso-position-horizontal-relative:page;width:490.4pt;height:0.35pt;z-index:251660288;" o:allowincell="f" filled="false" strokecolor="#231F20" strokeweight="0.30pt" coordsize="9807,6" coordorigin="0,0" path="m0,3l9807,3e">
          <v:stroke joinstyle="miter" miterlimit="4"/>
        </v:shape>
      </w:pict>
    </w:r>
    <w:r>
      <w:pict>
        <v:shape id="_x0000_s6" style="position:absolute;margin-left:502.819pt;margin-top:0.480177pt;mso-position-vertical-relative:text;mso-position-horizontal-relative:text;width:24.05pt;height:14.8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3" w:lineRule="auto"/>
                  <w:rPr>
                    <w:rFonts w:ascii="Microsoft YaHei" w:hAnsi="Microsoft YaHei" w:eastAsia="Microsoft YaHei" w:cs="Microsoft YaHei"/>
                    <w:sz w:val="16"/>
                    <w:szCs w:val="16"/>
                  </w:rPr>
                </w:pP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19"/>
                    <w:w w:val="108"/>
                  </w:rPr>
                  <w:t>·75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30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19"/>
                    <w:w w:val="108"/>
                  </w:rPr>
                  <w:t>·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药品评价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Drug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Evaluation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2023,20（1）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9"/>
      <w:spacing w:before="29" w:line="189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_x0000_s10" style="position:absolute;margin-left:59.5276pt;margin-top:63.6268pt;mso-position-vertical-relative:page;mso-position-horizontal-relative:page;width:490.4pt;height:0.35pt;z-index:251662336;" o:allowincell="f" filled="false" strokecolor="#231F20" strokeweight="0.30pt" coordsize="9807,6" coordorigin="0,0" path="m0,3l9807,3e">
          <v:stroke joinstyle="miter" miterlimit="4"/>
        </v:shape>
      </w:pict>
    </w:r>
    <w:r>
      <w:pict>
        <v:shape id="_x0000_s12" style="position:absolute;margin-left:39.4716pt;margin-top:0.480177pt;mso-position-vertical-relative:text;mso-position-horizontal-relative:text;width:24.05pt;height:14.8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3" w:lineRule="auto"/>
                  <w:rPr>
                    <w:rFonts w:ascii="Microsoft YaHei" w:hAnsi="Microsoft YaHei" w:eastAsia="Microsoft YaHei" w:cs="Microsoft YaHei"/>
                    <w:sz w:val="16"/>
                    <w:szCs w:val="16"/>
                  </w:rPr>
                </w:pP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16"/>
                    <w:w w:val="113"/>
                  </w:rPr>
                  <w:t>·76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16"/>
                    <w:w w:val="113"/>
                  </w:rPr>
                  <w:t>·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药品评价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Drug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Evaluation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2023,20（1）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5"/>
      <w:spacing w:before="29" w:line="189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_x0000_s14" style="position:absolute;margin-left:53.8583pt;margin-top:63.6268pt;mso-position-vertical-relative:page;mso-position-horizontal-relative:page;width:490.4pt;height:0.35pt;z-index:251664384;" o:allowincell="f" filled="false" strokecolor="#231F20" strokeweight="0.30pt" coordsize="9807,6" coordorigin="0,0" path="m0,3l9807,3e">
          <v:stroke joinstyle="miter" miterlimit="4"/>
        </v:shape>
      </w:pict>
    </w:r>
    <w:r>
      <w:pict>
        <v:shape id="_x0000_s16" style="position:absolute;margin-left:502.819pt;margin-top:0.480177pt;mso-position-vertical-relative:text;mso-position-horizontal-relative:text;width:24.05pt;height:14.9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5" w:lineRule="auto"/>
                  <w:rPr>
                    <w:rFonts w:ascii="Microsoft YaHei" w:hAnsi="Microsoft YaHei" w:eastAsia="Microsoft YaHei" w:cs="Microsoft YaHei"/>
                    <w:sz w:val="16"/>
                    <w:szCs w:val="16"/>
                  </w:rPr>
                </w:pP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17"/>
                    <w:w w:val="111"/>
                  </w:rPr>
                  <w:t>·77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3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231F20"/>
                    <w:spacing w:val="17"/>
                    <w:w w:val="111"/>
                  </w:rPr>
                  <w:t>·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药品评价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Drug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Evaluation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2023,20（1）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6.png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2023-07-20T16:12:54Z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2025-10-28T21:30:14</vt:filetime>
  </property>
</Properties>
</file>