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45" w:line="204" w:lineRule="auto"/>
        <w:jc w:val="right"/>
        <w:rPr>
          <w:sz w:val="20"/>
          <w:szCs w:val="20"/>
        </w:rPr>
      </w:pPr>
      <w:r>
        <w:rPr>
          <w:sz w:val="20"/>
          <w:szCs w:val="20"/>
          <w:color w:val="AAABAF"/>
          <w:spacing w:val="-7"/>
        </w:rPr>
        <w:t>医药纵</w:t>
      </w:r>
      <w:r>
        <w:rPr>
          <w:sz w:val="20"/>
          <w:szCs w:val="20"/>
          <w:color w:val="AAABAF"/>
          <w:spacing w:val="-3"/>
        </w:rPr>
        <w:t>览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106"/>
        <w:spacing w:before="189" w:line="205" w:lineRule="auto"/>
        <w:outlineLvl w:val="0"/>
        <w:rPr>
          <w:sz w:val="44"/>
          <w:szCs w:val="4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460921</wp:posOffset>
            </wp:positionH>
            <wp:positionV relativeFrom="paragraph">
              <wp:posOffset>-202174</wp:posOffset>
            </wp:positionV>
            <wp:extent cx="6335999" cy="20955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599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color w:val="231F20"/>
          <w:spacing w:val="-1"/>
        </w:rPr>
        <w:t>奥硝唑联合阿奇霉素治疗急性盆腔炎患者的价值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4673"/>
        <w:spacing w:before="82" w:line="180" w:lineRule="auto"/>
        <w:rPr/>
      </w:pPr>
      <w:r>
        <w:rPr>
          <w:color w:val="231F20"/>
          <w:spacing w:val="-2"/>
        </w:rPr>
        <w:t>郑军霞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2"/>
        </w:rPr>
        <w:t>靳粉霞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-2"/>
        </w:rPr>
        <w:t>杜群力</w:t>
      </w:r>
    </w:p>
    <w:p>
      <w:pPr>
        <w:ind w:left="3664"/>
        <w:spacing w:before="72" w:line="23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（甘肃省平凉市中医医院，甘肃 平凉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744000</w:t>
      </w:r>
      <w:r>
        <w:rPr>
          <w:rFonts w:ascii="SimSun" w:hAnsi="SimSun" w:eastAsia="SimSun" w:cs="SimSun"/>
          <w:sz w:val="19"/>
          <w:szCs w:val="19"/>
          <w:color w:val="231F20"/>
        </w:rPr>
        <w:t>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097" w:right="380" w:hanging="1"/>
        <w:spacing w:before="82" w:line="221" w:lineRule="auto"/>
        <w:rPr/>
      </w:pPr>
      <w:r>
        <w:rPr>
          <w:rFonts w:ascii="SimHei" w:hAnsi="SimHei" w:eastAsia="SimHei" w:cs="SimHei"/>
          <w:color w:val="231F20"/>
          <w:spacing w:val="-1"/>
        </w:rPr>
        <w:t>【摘要】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1"/>
        </w:rPr>
        <w:t>目的：分析对妇科急性盆腔炎患者合用奥硝唑及阿奇霉素的治疗价值。方法：选取本院妇科</w:t>
      </w:r>
      <w:r>
        <w:rPr>
          <w:rFonts w:ascii="Times New Roman" w:hAnsi="Times New Roman" w:eastAsia="Times New Roman" w:cs="Times New Roman"/>
          <w:color w:val="231F20"/>
          <w:spacing w:val="-1"/>
        </w:rPr>
        <w:t>2020</w:t>
      </w:r>
      <w:r>
        <w:rPr>
          <w:color w:val="231F20"/>
          <w:spacing w:val="-1"/>
        </w:rPr>
        <w:t>年</w:t>
      </w:r>
      <w:r>
        <w:rPr>
          <w:rFonts w:ascii="Times New Roman" w:hAnsi="Times New Roman" w:eastAsia="Times New Roman" w:cs="Times New Roman"/>
          <w:color w:val="231F20"/>
          <w:spacing w:val="-1"/>
        </w:rPr>
        <w:t>4</w:t>
      </w:r>
      <w:r>
        <w:rPr>
          <w:color w:val="231F20"/>
          <w:spacing w:val="-1"/>
        </w:rPr>
        <w:t>月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至</w:t>
      </w:r>
      <w:r>
        <w:rPr>
          <w:rFonts w:ascii="Times New Roman" w:hAnsi="Times New Roman" w:eastAsia="Times New Roman" w:cs="Times New Roman"/>
          <w:color w:val="231F20"/>
          <w:spacing w:val="3"/>
        </w:rPr>
        <w:t>2021</w:t>
      </w:r>
      <w:r>
        <w:rPr>
          <w:color w:val="231F20"/>
          <w:spacing w:val="3"/>
        </w:rPr>
        <w:t>年</w:t>
      </w: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color w:val="231F20"/>
          <w:spacing w:val="3"/>
        </w:rPr>
        <w:t>月收治的</w:t>
      </w:r>
      <w:r>
        <w:rPr>
          <w:rFonts w:ascii="Times New Roman" w:hAnsi="Times New Roman" w:eastAsia="Times New Roman" w:cs="Times New Roman"/>
          <w:color w:val="231F20"/>
          <w:spacing w:val="3"/>
        </w:rPr>
        <w:t>500</w:t>
      </w:r>
      <w:r>
        <w:rPr>
          <w:color w:val="231F20"/>
          <w:spacing w:val="3"/>
        </w:rPr>
        <w:t>例急性盆腔炎患者为研究对象，依据治疗药物的不同分为对照组和观察组，各</w:t>
      </w:r>
      <w:r>
        <w:rPr>
          <w:rFonts w:ascii="Times New Roman" w:hAnsi="Times New Roman" w:eastAsia="Times New Roman" w:cs="Times New Roman"/>
          <w:color w:val="231F20"/>
          <w:spacing w:val="3"/>
        </w:rPr>
        <w:t>250</w:t>
      </w:r>
      <w:r>
        <w:rPr>
          <w:color w:val="231F20"/>
          <w:spacing w:val="3"/>
        </w:rPr>
        <w:t>例。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对照组行奥硝唑治疗，观察组合用奥硝唑、阿奇霉素治疗。比较两组患者治疗总有效率、疾病复发率、各症状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的消退时间以及药物不良反应发生率。结果：观察组患者治疗总有效率（</w:t>
      </w:r>
      <w:r>
        <w:rPr>
          <w:rFonts w:ascii="Times New Roman" w:hAnsi="Times New Roman" w:eastAsia="Times New Roman" w:cs="Times New Roman"/>
          <w:color w:val="231F20"/>
          <w:spacing w:val="1"/>
        </w:rPr>
        <w:t>98.40%</w:t>
      </w:r>
      <w:r>
        <w:rPr>
          <w:color w:val="231F20"/>
          <w:spacing w:val="1"/>
        </w:rPr>
        <w:t>）高于对照组（</w:t>
      </w:r>
      <w:r>
        <w:rPr>
          <w:rFonts w:ascii="Times New Roman" w:hAnsi="Times New Roman" w:eastAsia="Times New Roman" w:cs="Times New Roman"/>
          <w:color w:val="231F20"/>
          <w:spacing w:val="1"/>
        </w:rPr>
        <w:t>91.20%</w:t>
      </w:r>
      <w:r>
        <w:rPr>
          <w:color w:val="231F20"/>
          <w:spacing w:val="8"/>
        </w:rPr>
        <w:t>），</w:t>
      </w:r>
      <w:r>
        <w:rPr>
          <w:color w:val="231F20"/>
          <w:spacing w:val="1"/>
        </w:rPr>
        <w:t>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间比较，差异具有统计学意义（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＜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</w:rPr>
        <w:t>）；</w:t>
      </w:r>
      <w:r>
        <w:rPr>
          <w:color w:val="231F20"/>
          <w:spacing w:val="1"/>
        </w:rPr>
        <w:t>观察组患者</w:t>
      </w:r>
      <w:r>
        <w:rPr>
          <w:color w:val="231F20"/>
        </w:rPr>
        <w:t>发热、下腹疼痛、阴道分泌物异常等症状消失时间均短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于对照组，组间比较，差异具有统计学意义（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＜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  <w:spacing w:val="-1"/>
        </w:rPr>
        <w:t>）；</w:t>
      </w:r>
      <w:r>
        <w:rPr>
          <w:color w:val="231F20"/>
          <w:spacing w:val="1"/>
        </w:rPr>
        <w:t>观察组患者药</w:t>
      </w:r>
      <w:r>
        <w:rPr>
          <w:color w:val="231F20"/>
        </w:rPr>
        <w:t>物不良反应发生率（</w:t>
      </w:r>
      <w:r>
        <w:rPr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1.20%</w:t>
      </w:r>
      <w:r>
        <w:rPr>
          <w:color w:val="231F20"/>
        </w:rPr>
        <w:t>）与对照组 </w:t>
      </w:r>
      <w:r>
        <w:rPr>
          <w:color w:val="231F20"/>
          <w:spacing w:val="1"/>
        </w:rPr>
        <w:t>（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2.00%</w:t>
      </w:r>
      <w:r>
        <w:rPr>
          <w:color w:val="231F20"/>
          <w:spacing w:val="1"/>
        </w:rPr>
        <w:t>）比较，差异无统计学意义（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＞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  <w:spacing w:val="1"/>
        </w:rPr>
        <w:t>）；随访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color w:val="231F20"/>
          <w:spacing w:val="1"/>
        </w:rPr>
        <w:t>个月内观察组患者盆腔炎复发率（</w:t>
      </w:r>
      <w:r>
        <w:rPr>
          <w:rFonts w:ascii="Times New Roman" w:hAnsi="Times New Roman" w:eastAsia="Times New Roman" w:cs="Times New Roman"/>
          <w:color w:val="231F20"/>
          <w:spacing w:val="1"/>
        </w:rPr>
        <w:t>2.40%</w:t>
      </w:r>
      <w:r>
        <w:rPr>
          <w:color w:val="231F20"/>
          <w:spacing w:val="1"/>
        </w:rPr>
        <w:t>）</w:t>
      </w:r>
      <w:r>
        <w:rPr>
          <w:color w:val="231F20"/>
        </w:rPr>
        <w:t>低于对照组 </w:t>
      </w:r>
      <w:r>
        <w:rPr>
          <w:color w:val="231F20"/>
          <w:spacing w:val="-1"/>
        </w:rPr>
        <w:t>（ </w:t>
      </w:r>
      <w:r>
        <w:rPr>
          <w:rFonts w:ascii="Times New Roman" w:hAnsi="Times New Roman" w:eastAsia="Times New Roman" w:cs="Times New Roman"/>
          <w:color w:val="231F20"/>
          <w:spacing w:val="-1"/>
        </w:rPr>
        <w:t>12.40%</w:t>
      </w:r>
      <w:r>
        <w:rPr>
          <w:color w:val="231F20"/>
          <w:spacing w:val="2"/>
        </w:rPr>
        <w:t>），</w:t>
      </w:r>
      <w:r>
        <w:rPr>
          <w:color w:val="231F20"/>
          <w:spacing w:val="-1"/>
        </w:rPr>
        <w:t>组间比较，差异具有统计学意义（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＜</w:t>
      </w:r>
      <w:r>
        <w:rPr>
          <w:rFonts w:ascii="Times New Roman" w:hAnsi="Times New Roman" w:eastAsia="Times New Roman" w:cs="Times New Roman"/>
          <w:color w:val="231F20"/>
          <w:spacing w:val="-1"/>
        </w:rPr>
        <w:t>0.05</w:t>
      </w:r>
      <w:r>
        <w:rPr>
          <w:color w:val="231F20"/>
          <w:spacing w:val="-1"/>
        </w:rPr>
        <w:t>）。结论：对急性盆腔炎患者合用奥硝唑及阿奇霉素可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获得确切的临床疗效，且有助于加快症状消退、降低复发率</w:t>
      </w:r>
      <w:r>
        <w:rPr>
          <w:color w:val="231F20"/>
          <w:spacing w:val="-1"/>
        </w:rPr>
        <w:t>，且该联合用药方案安全性良好。</w:t>
      </w:r>
    </w:p>
    <w:p>
      <w:pPr>
        <w:pStyle w:val="BodyText"/>
        <w:ind w:left="1097"/>
        <w:spacing w:line="202" w:lineRule="auto"/>
        <w:rPr/>
      </w:pPr>
      <w:r>
        <w:rPr>
          <w:rFonts w:ascii="SimHei" w:hAnsi="SimHei" w:eastAsia="SimHei" w:cs="SimHei"/>
          <w:color w:val="231F20"/>
          <w:spacing w:val="1"/>
        </w:rPr>
        <w:t>【关键词】</w:t>
      </w:r>
      <w:r>
        <w:rPr>
          <w:color w:val="231F20"/>
          <w:spacing w:val="1"/>
        </w:rPr>
        <w:t>阿奇霉素   奥硝唑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1"/>
        </w:rPr>
        <w:t>急性盆腔炎</w:t>
      </w:r>
    </w:p>
    <w:p>
      <w:pPr>
        <w:spacing w:before="13"/>
        <w:rPr/>
      </w:pPr>
      <w:r/>
    </w:p>
    <w:p>
      <w:pPr>
        <w:sectPr>
          <w:footerReference w:type="default" r:id="rId1"/>
          <w:pgSz w:w="12246" w:h="16498"/>
          <w:pgMar w:top="741" w:right="1133" w:bottom="547" w:left="407" w:header="0" w:footer="354" w:gutter="0"/>
          <w:cols w:equalWidth="0" w:num="1">
            <w:col w:w="10705" w:space="0"/>
          </w:cols>
        </w:sectPr>
        <w:rPr/>
      </w:pPr>
    </w:p>
    <w:p>
      <w:pPr>
        <w:pStyle w:val="BodyText"/>
        <w:ind w:left="728" w:right="285" w:firstLine="383"/>
        <w:spacing w:before="78" w:line="222" w:lineRule="auto"/>
        <w:rPr/>
      </w:pPr>
      <w:r>
        <w:rPr>
          <w:color w:val="231F20"/>
          <w:spacing w:val="1"/>
        </w:rPr>
        <w:t>急性盆腔炎发生于女性患者的上生殖系统，是十分常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见的妇科急性感染性疾病，常见的急性盆腔炎类型有急性子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宫内膜炎、急性盆腔腹膜炎、急性输卵管炎以及急性输卵管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卵巢脓肿等。患者的炎性可能局限于单一部位</w:t>
      </w:r>
      <w:r>
        <w:rPr>
          <w:rFonts w:ascii="SimSun" w:hAnsi="SimSun" w:eastAsia="SimSun" w:cs="SimSun"/>
          <w:sz w:val="11"/>
          <w:szCs w:val="11"/>
          <w:color w:val="231F20"/>
          <w:spacing w:val="-6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6"/>
          <w:position w:val="8"/>
        </w:rPr>
        <w:t>1</w:t>
      </w:r>
      <w:r>
        <w:rPr>
          <w:sz w:val="11"/>
          <w:szCs w:val="11"/>
          <w:color w:val="231F20"/>
          <w:spacing w:val="-6"/>
          <w:position w:val="8"/>
        </w:rPr>
        <w:t>-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6"/>
          <w:position w:val="8"/>
        </w:rPr>
        <w:t>3</w:t>
      </w:r>
      <w:r>
        <w:rPr>
          <w:rFonts w:ascii="SimSun" w:hAnsi="SimSun" w:eastAsia="SimSun" w:cs="SimSun"/>
          <w:sz w:val="11"/>
          <w:szCs w:val="11"/>
          <w:color w:val="231F20"/>
          <w:position w:val="8"/>
        </w:rPr>
        <w:t>］</w:t>
      </w:r>
      <w:r>
        <w:rPr>
          <w:color w:val="231F20"/>
        </w:rPr>
        <w:t>，</w:t>
      </w:r>
      <w:r>
        <w:rPr>
          <w:color w:val="231F20"/>
          <w:spacing w:val="-6"/>
        </w:rPr>
        <w:t>也有可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能累及若干个部位，患者的症状有下腹疼痛、阴道分泌物增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多、身体发热等。该疾病在年轻女性中具有更高的发病率，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这主要与该年龄段的女性性活动较为旺盛的情况相关。急性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盆腔炎的发病主要与病原体的感染有关，例如淋病奈瑟菌、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人型支原体、沙眼衣原体、生殖支原体、金黄色葡萄球菌、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大肠埃希菌等</w:t>
      </w:r>
      <w:r>
        <w:rPr>
          <w:rFonts w:ascii="SimSun" w:hAnsi="SimSun" w:eastAsia="SimSun" w:cs="SimSun"/>
          <w:sz w:val="11"/>
          <w:szCs w:val="11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8"/>
        </w:rPr>
        <w:t>4</w:t>
      </w:r>
      <w:r>
        <w:rPr>
          <w:sz w:val="11"/>
          <w:szCs w:val="11"/>
          <w:color w:val="231F20"/>
          <w:spacing w:val="1"/>
          <w:position w:val="8"/>
        </w:rPr>
        <w:t>-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8"/>
        </w:rPr>
        <w:t>6</w:t>
      </w:r>
      <w:r>
        <w:rPr>
          <w:rFonts w:ascii="SimSun" w:hAnsi="SimSun" w:eastAsia="SimSun" w:cs="SimSun"/>
          <w:sz w:val="11"/>
          <w:szCs w:val="11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。急性盆腔炎患者若未能获得及时妥善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的治疗，还可引起不孕、慢性盆腔痛以及输卵管妊娠等不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良事件。炎症的反复发作还将导致局部防御能力下降，进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而转变为慢性盆腔炎，使得治疗难度进一步升高，因此积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极探寻急性盆腔炎的科学用药方案，实现疾病的根治意义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重大。以下将分析对急性盆腔炎患者合用奥硝唑及阿奇霉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素的治疗价值。</w:t>
      </w:r>
    </w:p>
    <w:p>
      <w:pPr>
        <w:ind w:left="741"/>
        <w:spacing w:before="161" w:line="290" w:lineRule="exact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7"/>
          <w:position w:val="1"/>
        </w:rPr>
        <w:t>1</w:t>
      </w:r>
      <w:r>
        <w:rPr>
          <w:rFonts w:ascii="SimSun" w:hAnsi="SimSun" w:eastAsia="SimSun" w:cs="SimSun"/>
          <w:sz w:val="22"/>
          <w:szCs w:val="22"/>
          <w:color w:val="231F20"/>
          <w:spacing w:val="7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7"/>
          <w:position w:val="1"/>
        </w:rPr>
        <w:t>资料与方法</w:t>
      </w:r>
    </w:p>
    <w:p>
      <w:pPr>
        <w:pStyle w:val="BodyText"/>
        <w:ind w:left="1128"/>
        <w:spacing w:before="127" w:line="180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1.1    </w:t>
      </w:r>
      <w:r>
        <w:rPr>
          <w:color w:val="231F20"/>
          <w:spacing w:val="-3"/>
        </w:rPr>
        <w:t>一般资料</w:t>
      </w:r>
    </w:p>
    <w:p>
      <w:pPr>
        <w:pStyle w:val="BodyText"/>
        <w:ind w:left="731" w:right="286" w:firstLine="377"/>
        <w:spacing w:before="56" w:line="221" w:lineRule="auto"/>
        <w:rPr/>
      </w:pPr>
      <w:r>
        <w:rPr>
          <w:color w:val="231F20"/>
          <w:spacing w:val="11"/>
        </w:rPr>
        <w:t>选取本院妇科</w:t>
      </w:r>
      <w:r>
        <w:rPr>
          <w:rFonts w:ascii="Times New Roman" w:hAnsi="Times New Roman" w:eastAsia="Times New Roman" w:cs="Times New Roman"/>
          <w:color w:val="231F20"/>
          <w:spacing w:val="11"/>
        </w:rPr>
        <w:t>2020</w:t>
      </w:r>
      <w:r>
        <w:rPr>
          <w:color w:val="231F20"/>
          <w:spacing w:val="11"/>
        </w:rPr>
        <w:t>年</w:t>
      </w:r>
      <w:r>
        <w:rPr>
          <w:rFonts w:ascii="Times New Roman" w:hAnsi="Times New Roman" w:eastAsia="Times New Roman" w:cs="Times New Roman"/>
          <w:color w:val="231F20"/>
          <w:spacing w:val="11"/>
        </w:rPr>
        <w:t>4</w:t>
      </w:r>
      <w:r>
        <w:rPr>
          <w:color w:val="231F20"/>
          <w:spacing w:val="11"/>
        </w:rPr>
        <w:t>月至</w:t>
      </w:r>
      <w:r>
        <w:rPr>
          <w:rFonts w:ascii="Times New Roman" w:hAnsi="Times New Roman" w:eastAsia="Times New Roman" w:cs="Times New Roman"/>
          <w:color w:val="231F20"/>
          <w:spacing w:val="11"/>
        </w:rPr>
        <w:t>2021</w:t>
      </w:r>
      <w:r>
        <w:rPr>
          <w:color w:val="231F20"/>
          <w:spacing w:val="11"/>
        </w:rPr>
        <w:t>年</w:t>
      </w:r>
      <w:r>
        <w:rPr>
          <w:rFonts w:ascii="Times New Roman" w:hAnsi="Times New Roman" w:eastAsia="Times New Roman" w:cs="Times New Roman"/>
          <w:color w:val="231F20"/>
          <w:spacing w:val="11"/>
        </w:rPr>
        <w:t>3</w:t>
      </w:r>
      <w:r>
        <w:rPr>
          <w:color w:val="231F20"/>
          <w:spacing w:val="11"/>
        </w:rPr>
        <w:t>月收治的</w:t>
      </w:r>
      <w:r>
        <w:rPr>
          <w:rFonts w:ascii="Times New Roman" w:hAnsi="Times New Roman" w:eastAsia="Times New Roman" w:cs="Times New Roman"/>
          <w:color w:val="231F20"/>
          <w:spacing w:val="11"/>
        </w:rPr>
        <w:t>500</w:t>
      </w:r>
      <w:r>
        <w:rPr>
          <w:color w:val="231F20"/>
          <w:spacing w:val="11"/>
        </w:rPr>
        <w:t>例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8"/>
        </w:rPr>
        <w:t>急性盆腔炎患者为研究对象，依据治疗药物的不同分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为对照组和观察组，各</w:t>
      </w:r>
      <w:r>
        <w:rPr>
          <w:rFonts w:ascii="Times New Roman" w:hAnsi="Times New Roman" w:eastAsia="Times New Roman" w:cs="Times New Roman"/>
          <w:color w:val="231F20"/>
          <w:spacing w:val="14"/>
        </w:rPr>
        <w:t>2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50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4"/>
        </w:rPr>
        <w:t>例。观察组：年龄</w:t>
      </w:r>
      <w:r>
        <w:rPr>
          <w:rFonts w:ascii="Times New Roman" w:hAnsi="Times New Roman" w:eastAsia="Times New Roman" w:cs="Times New Roman"/>
          <w:color w:val="231F20"/>
          <w:spacing w:val="14"/>
        </w:rPr>
        <w:t>2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3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～</w:t>
      </w:r>
      <w:r>
        <w:rPr>
          <w:rFonts w:ascii="Times New Roman" w:hAnsi="Times New Roman" w:eastAsia="Times New Roman" w:cs="Times New Roman"/>
          <w:color w:val="231F20"/>
          <w:spacing w:val="14"/>
        </w:rPr>
        <w:t>5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6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2"/>
        </w:rPr>
        <w:t>岁，平均年龄（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35.6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±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1.6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2"/>
        </w:rPr>
        <w:t>）岁；发病时间 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color w:val="231F20"/>
          <w:spacing w:val="2"/>
        </w:rPr>
        <w:t>12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d</w:t>
      </w:r>
      <w:r>
        <w:rPr>
          <w:color w:val="231F20"/>
          <w:spacing w:val="1"/>
        </w:rPr>
        <w:t>，平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14"/>
        <w:spacing w:before="50" w:line="223" w:lineRule="auto"/>
        <w:jc w:val="both"/>
        <w:rPr/>
      </w:pPr>
      <w:r>
        <w:rPr>
          <w:color w:val="231F20"/>
          <w:spacing w:val="4"/>
        </w:rPr>
        <w:t>均发病时间（ </w:t>
      </w:r>
      <w:r>
        <w:rPr>
          <w:rFonts w:ascii="Times New Roman" w:hAnsi="Times New Roman" w:eastAsia="Times New Roman" w:cs="Times New Roman"/>
          <w:color w:val="231F20"/>
          <w:spacing w:val="4"/>
        </w:rPr>
        <w:t>4.5 </w:t>
      </w:r>
      <w:r>
        <w:rPr>
          <w:color w:val="231F20"/>
          <w:spacing w:val="4"/>
        </w:rPr>
        <w:t>±</w:t>
      </w:r>
      <w:r>
        <w:rPr>
          <w:rFonts w:ascii="Times New Roman" w:hAnsi="Times New Roman" w:eastAsia="Times New Roman" w:cs="Times New Roman"/>
          <w:color w:val="231F20"/>
          <w:spacing w:val="4"/>
        </w:rPr>
        <w:t>0.6 </w:t>
      </w:r>
      <w:r>
        <w:rPr>
          <w:color w:val="231F20"/>
          <w:spacing w:val="4"/>
        </w:rPr>
        <w:t>）</w:t>
      </w:r>
      <w:r>
        <w:rPr>
          <w:rFonts w:ascii="Times New Roman" w:hAnsi="Times New Roman" w:eastAsia="Times New Roman" w:cs="Times New Roman"/>
          <w:color w:val="231F20"/>
          <w:spacing w:val="4"/>
        </w:rPr>
        <w:t>d</w:t>
      </w:r>
      <w:r>
        <w:rPr>
          <w:color w:val="231F20"/>
          <w:spacing w:val="4"/>
        </w:rPr>
        <w:t>；体质量</w:t>
      </w:r>
      <w:r>
        <w:rPr>
          <w:rFonts w:ascii="Times New Roman" w:hAnsi="Times New Roman" w:eastAsia="Times New Roman" w:cs="Times New Roman"/>
          <w:color w:val="231F20"/>
          <w:spacing w:val="4"/>
        </w:rPr>
        <w:t>45.3</w:t>
      </w:r>
      <w:r>
        <w:rPr>
          <w:rFonts w:ascii="SimSun" w:hAnsi="SimSun" w:eastAsia="SimSun" w:cs="SimSun"/>
          <w:color w:val="231F20"/>
          <w:spacing w:val="4"/>
        </w:rPr>
        <w:t>～</w:t>
      </w:r>
      <w:r>
        <w:rPr>
          <w:rFonts w:ascii="Times New Roman" w:hAnsi="Times New Roman" w:eastAsia="Times New Roman" w:cs="Times New Roman"/>
          <w:color w:val="231F20"/>
          <w:spacing w:val="4"/>
        </w:rPr>
        <w:t>78.5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4"/>
        </w:rPr>
        <w:t>，平均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体质量（</w:t>
      </w:r>
      <w:r>
        <w:rPr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58.6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±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1.7 </w:t>
      </w:r>
      <w:r>
        <w:rPr>
          <w:color w:val="231F20"/>
          <w:spacing w:val="9"/>
        </w:rPr>
        <w:t>）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9"/>
        </w:rPr>
        <w:t>。对照组：</w:t>
      </w:r>
      <w:r>
        <w:rPr>
          <w:color w:val="231F20"/>
          <w:spacing w:val="8"/>
        </w:rPr>
        <w:t>年龄</w:t>
      </w:r>
      <w:r>
        <w:rPr>
          <w:rFonts w:ascii="Times New Roman" w:hAnsi="Times New Roman" w:eastAsia="Times New Roman" w:cs="Times New Roman"/>
          <w:color w:val="231F20"/>
          <w:spacing w:val="8"/>
        </w:rPr>
        <w:t>21</w:t>
      </w:r>
      <w:r>
        <w:rPr>
          <w:rFonts w:ascii="SimSun" w:hAnsi="SimSun" w:eastAsia="SimSun" w:cs="SimSun"/>
          <w:color w:val="231F20"/>
          <w:spacing w:val="8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57</w:t>
      </w:r>
      <w:r>
        <w:rPr>
          <w:color w:val="231F20"/>
          <w:spacing w:val="8"/>
        </w:rPr>
        <w:t>岁，平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均年龄（</w:t>
      </w:r>
      <w:r>
        <w:rPr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35.8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2"/>
        </w:rPr>
        <w:t>±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1.5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）岁；发病时间 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～</w:t>
      </w:r>
      <w:r>
        <w:rPr>
          <w:rFonts w:ascii="Times New Roman" w:hAnsi="Times New Roman" w:eastAsia="Times New Roman" w:cs="Times New Roman"/>
          <w:color w:val="231F20"/>
          <w:spacing w:val="2"/>
        </w:rPr>
        <w:t>11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d</w:t>
      </w:r>
      <w:r>
        <w:rPr>
          <w:color w:val="231F20"/>
          <w:spacing w:val="2"/>
        </w:rPr>
        <w:t>，平均发病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时间（</w:t>
      </w:r>
      <w:r>
        <w:rPr>
          <w:rFonts w:ascii="Times New Roman" w:hAnsi="Times New Roman" w:eastAsia="Times New Roman" w:cs="Times New Roman"/>
          <w:color w:val="231F20"/>
          <w:spacing w:val="8"/>
        </w:rPr>
        <w:t>4.6</w:t>
      </w:r>
      <w:r>
        <w:rPr>
          <w:color w:val="231F20"/>
          <w:spacing w:val="8"/>
        </w:rPr>
        <w:t>±</w:t>
      </w:r>
      <w:r>
        <w:rPr>
          <w:rFonts w:ascii="Times New Roman" w:hAnsi="Times New Roman" w:eastAsia="Times New Roman" w:cs="Times New Roman"/>
          <w:color w:val="231F20"/>
          <w:spacing w:val="8"/>
        </w:rPr>
        <w:t>0.4 </w:t>
      </w:r>
      <w:r>
        <w:rPr>
          <w:color w:val="231F20"/>
          <w:spacing w:val="8"/>
        </w:rPr>
        <w:t>）</w:t>
      </w:r>
      <w:r>
        <w:rPr>
          <w:rFonts w:ascii="Times New Roman" w:hAnsi="Times New Roman" w:eastAsia="Times New Roman" w:cs="Times New Roman"/>
          <w:color w:val="231F20"/>
          <w:spacing w:val="8"/>
        </w:rPr>
        <w:t>d</w:t>
      </w:r>
      <w:r>
        <w:rPr>
          <w:color w:val="231F20"/>
          <w:spacing w:val="8"/>
        </w:rPr>
        <w:t>；体质量</w:t>
      </w:r>
      <w:r>
        <w:rPr>
          <w:rFonts w:ascii="Times New Roman" w:hAnsi="Times New Roman" w:eastAsia="Times New Roman" w:cs="Times New Roman"/>
          <w:color w:val="231F20"/>
          <w:spacing w:val="8"/>
        </w:rPr>
        <w:t>45.5</w:t>
      </w:r>
      <w:r>
        <w:rPr>
          <w:rFonts w:ascii="SimSun" w:hAnsi="SimSun" w:eastAsia="SimSun" w:cs="SimSun"/>
          <w:color w:val="231F20"/>
          <w:spacing w:val="8"/>
        </w:rPr>
        <w:t>～</w:t>
      </w:r>
      <w:r>
        <w:rPr>
          <w:rFonts w:ascii="Times New Roman" w:hAnsi="Times New Roman" w:eastAsia="Times New Roman" w:cs="Times New Roman"/>
          <w:color w:val="231F20"/>
          <w:spacing w:val="8"/>
        </w:rPr>
        <w:t>78.8</w:t>
      </w:r>
      <w:r>
        <w:rPr>
          <w:rFonts w:ascii="Times New Roman" w:hAnsi="Times New Roman" w:eastAsia="Times New Roman" w:cs="Times New Roman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8"/>
        </w:rPr>
        <w:t>，平均体质量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58.5 </w:t>
      </w:r>
      <w:r>
        <w:rPr>
          <w:color w:val="231F20"/>
          <w:spacing w:val="-2"/>
        </w:rPr>
        <w:t>±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1.8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kg</w:t>
      </w:r>
      <w:r>
        <w:rPr>
          <w:color w:val="231F20"/>
          <w:spacing w:val="-2"/>
        </w:rPr>
        <w:t>。两组一般资料比较，差异无统计学意义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＞</w:t>
      </w:r>
      <w:r>
        <w:rPr>
          <w:rFonts w:ascii="Times New Roman" w:hAnsi="Times New Roman" w:eastAsia="Times New Roman" w:cs="Times New Roman"/>
          <w:color w:val="231F20"/>
          <w:spacing w:val="-3"/>
        </w:rPr>
        <w:t>0.05</w:t>
      </w:r>
      <w:r>
        <w:rPr>
          <w:color w:val="231F20"/>
          <w:spacing w:val="-2"/>
        </w:rPr>
        <w:t>），</w:t>
      </w:r>
      <w:r>
        <w:rPr>
          <w:color w:val="231F20"/>
          <w:spacing w:val="-3"/>
        </w:rPr>
        <w:t>具有可比性。</w:t>
      </w:r>
    </w:p>
    <w:p>
      <w:pPr>
        <w:pStyle w:val="BodyText"/>
        <w:ind w:left="12" w:firstLine="382"/>
        <w:spacing w:before="13" w:line="221" w:lineRule="auto"/>
        <w:jc w:val="both"/>
        <w:rPr/>
      </w:pPr>
      <w:r>
        <w:rPr>
          <w:color w:val="231F20"/>
          <w:spacing w:val="1"/>
        </w:rPr>
        <w:t>纳入标准：①患者符合《妇产科学》中对急性盆腔炎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的诊断标准。②患者具有急性盆腔炎的典型症状表现，如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下腹疼痛、身体发热、腹胀以及寒战等，且通过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1"/>
        </w:rPr>
        <w:t>或</w:t>
      </w:r>
      <w:r>
        <w:rPr>
          <w:rFonts w:ascii="Times New Roman" w:hAnsi="Times New Roman" w:eastAsia="Times New Roman" w:cs="Times New Roman"/>
          <w:color w:val="231F20"/>
          <w:spacing w:val="1"/>
        </w:rPr>
        <w:t>X</w:t>
      </w:r>
      <w:r>
        <w:rPr>
          <w:color w:val="231F20"/>
          <w:spacing w:val="1"/>
        </w:rPr>
        <w:t>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片等影像学检查确诊为急性盆腔炎。③患者的临床资料完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善，可配合完成药物治疗以及随访等工作。④患者对治疗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方案知晓以及签署知情同意书。⑤患者对本次研究中所应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用药物并无禁忌。排除标准：①妊娠期、产褥期或哺乳期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女性患者。②合并重度肝肾等脏器功能障碍者。③合并其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他妇科疾病者。④合并精神疾病等无法配合完成药物治疗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者。⑤慢性盆腔炎患者。</w:t>
      </w:r>
    </w:p>
    <w:p>
      <w:pPr>
        <w:pStyle w:val="BodyText"/>
        <w:ind w:left="410"/>
        <w:spacing w:before="1" w:line="176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1.2</w:t>
      </w:r>
      <w:r>
        <w:rPr>
          <w:rFonts w:ascii="Times New Roman" w:hAnsi="Times New Roman" w:eastAsia="Times New Roman" w:cs="Times New Roman"/>
          <w:color w:val="231F20"/>
        </w:rPr>
        <w:t xml:space="preserve">    </w:t>
      </w:r>
      <w:r>
        <w:rPr>
          <w:color w:val="231F20"/>
          <w:spacing w:val="-5"/>
        </w:rPr>
        <w:t>方法</w:t>
      </w:r>
    </w:p>
    <w:p>
      <w:pPr>
        <w:pStyle w:val="BodyText"/>
        <w:ind w:left="10" w:firstLine="380"/>
        <w:spacing w:before="28" w:line="223" w:lineRule="auto"/>
        <w:rPr/>
      </w:pPr>
      <w:r>
        <w:rPr>
          <w:color w:val="231F20"/>
          <w:spacing w:val="1"/>
        </w:rPr>
        <w:t>对照组给予奥硝唑口服治疗， </w:t>
      </w:r>
      <w:r>
        <w:rPr>
          <w:rFonts w:ascii="Times New Roman" w:hAnsi="Times New Roman" w:eastAsia="Times New Roman" w:cs="Times New Roman"/>
          <w:color w:val="231F20"/>
          <w:spacing w:val="1"/>
        </w:rPr>
        <w:t>0.5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g/</w:t>
      </w:r>
      <w:r>
        <w:rPr>
          <w:color w:val="231F20"/>
          <w:spacing w:val="1"/>
        </w:rPr>
        <w:t>次，</w:t>
      </w:r>
      <w:r>
        <w:rPr>
          <w:rFonts w:ascii="Times New Roman" w:hAnsi="Times New Roman" w:eastAsia="Times New Roman" w:cs="Times New Roman"/>
          <w:color w:val="231F20"/>
          <w:spacing w:val="1"/>
        </w:rPr>
        <w:t>2</w:t>
      </w:r>
      <w:r>
        <w:rPr>
          <w:color w:val="231F20"/>
          <w:spacing w:val="1"/>
        </w:rPr>
        <w:t>次</w:t>
      </w:r>
      <w:r>
        <w:rPr>
          <w:rFonts w:ascii="Times New Roman" w:hAnsi="Times New Roman" w:eastAsia="Times New Roman" w:cs="Times New Roman"/>
          <w:color w:val="231F20"/>
          <w:spacing w:val="1"/>
        </w:rPr>
        <w:t>/d</w:t>
      </w:r>
      <w:r>
        <w:rPr>
          <w:color w:val="231F20"/>
          <w:spacing w:val="1"/>
        </w:rPr>
        <w:t>。观察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组合用奥硝唑、阿奇霉素治疗，前者用法同对照组。阿奇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霉素片口服，</w:t>
      </w:r>
      <w:r>
        <w:rPr>
          <w:rFonts w:ascii="Times New Roman" w:hAnsi="Times New Roman" w:eastAsia="Times New Roman" w:cs="Times New Roman"/>
          <w:color w:val="231F20"/>
          <w:spacing w:val="1"/>
        </w:rPr>
        <w:t>0.25 g/</w:t>
      </w:r>
      <w:r>
        <w:rPr>
          <w:color w:val="231F20"/>
          <w:spacing w:val="1"/>
        </w:rPr>
        <w:t>次，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1"/>
        </w:rPr>
        <w:t>次</w:t>
      </w:r>
      <w:r>
        <w:rPr>
          <w:rFonts w:ascii="Times New Roman" w:hAnsi="Times New Roman" w:eastAsia="Times New Roman" w:cs="Times New Roman"/>
          <w:color w:val="231F20"/>
          <w:spacing w:val="1"/>
        </w:rPr>
        <w:t>/d</w:t>
      </w:r>
      <w:r>
        <w:rPr>
          <w:color w:val="231F20"/>
          <w:spacing w:val="1"/>
        </w:rPr>
        <w:t>。两组患者连续口服</w:t>
      </w:r>
      <w:r>
        <w:rPr>
          <w:rFonts w:ascii="Times New Roman" w:hAnsi="Times New Roman" w:eastAsia="Times New Roman" w:cs="Times New Roman"/>
          <w:color w:val="231F20"/>
          <w:spacing w:val="1"/>
        </w:rPr>
        <w:t>8 d</w:t>
      </w:r>
      <w:r>
        <w:rPr>
          <w:color w:val="231F20"/>
          <w:spacing w:val="1"/>
        </w:rPr>
        <w:t>为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3"/>
        </w:rPr>
        <w:t>个疗程，停药</w:t>
      </w:r>
      <w:r>
        <w:rPr>
          <w:rFonts w:ascii="Times New Roman" w:hAnsi="Times New Roman" w:eastAsia="Times New Roman" w:cs="Times New Roman"/>
          <w:color w:val="231F20"/>
          <w:spacing w:val="3"/>
        </w:rPr>
        <w:t>5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d</w:t>
      </w:r>
      <w:r>
        <w:rPr>
          <w:color w:val="231F20"/>
          <w:spacing w:val="3"/>
        </w:rPr>
        <w:t>后继续下一疗程，两组均</w:t>
      </w:r>
      <w:r>
        <w:rPr>
          <w:color w:val="231F20"/>
          <w:spacing w:val="2"/>
        </w:rPr>
        <w:t>于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个疗程后观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察疗效。</w:t>
      </w:r>
    </w:p>
    <w:p>
      <w:pPr>
        <w:spacing w:line="223" w:lineRule="auto"/>
        <w:sectPr>
          <w:type w:val="continuous"/>
          <w:pgSz w:w="12246" w:h="16498"/>
          <w:pgMar w:top="741" w:right="1133" w:bottom="547" w:left="407" w:header="0" w:footer="354" w:gutter="0"/>
          <w:cols w:equalWidth="0" w:num="2">
            <w:col w:w="5805" w:space="100"/>
            <w:col w:w="4800" w:space="0"/>
          </w:cols>
        </w:sectPr>
        <w:rPr/>
      </w:pPr>
    </w:p>
    <w:p>
      <w:pPr>
        <w:spacing w:before="209" w:line="166" w:lineRule="auto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BCBDC0"/>
        </w:rPr>
        <w:t>RENOWNED</w:t>
      </w:r>
      <w:r>
        <w:rPr>
          <w:rFonts w:ascii="Arial" w:hAnsi="Arial" w:eastAsia="Arial" w:cs="Arial"/>
          <w:sz w:val="20"/>
          <w:szCs w:val="20"/>
          <w:color w:val="BCBDC0"/>
        </w:rPr>
        <w:t xml:space="preserve"> </w:t>
      </w:r>
      <w:r>
        <w:rPr>
          <w:rFonts w:ascii="Arial" w:hAnsi="Arial" w:eastAsia="Arial" w:cs="Arial"/>
          <w:sz w:val="20"/>
          <w:szCs w:val="20"/>
          <w:color w:val="BBBCBF"/>
        </w:rPr>
        <w:t>DOCTOR</w:t>
      </w:r>
      <w:r>
        <w:rPr>
          <w:rFonts w:ascii="Arial" w:hAnsi="Arial" w:eastAsia="Arial" w:cs="Arial"/>
          <w:sz w:val="20"/>
          <w:szCs w:val="20"/>
          <w:color w:val="BBBCBF"/>
          <w:spacing w:val="14"/>
        </w:rPr>
        <w:t xml:space="preserve">  </w:t>
      </w:r>
      <w:r>
        <w:rPr>
          <w:sz w:val="20"/>
          <w:szCs w:val="20"/>
          <w:position w:val="-1"/>
        </w:rPr>
        <w:drawing>
          <wp:inline distT="0" distB="0" distL="0" distR="0">
            <wp:extent cx="198318" cy="10079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18" cy="1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color w:val="BBBCBF"/>
          <w:spacing w:val="32"/>
          <w:w w:val="101"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9004" cy="10079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04" cy="1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color w:val="BBBCBF"/>
          <w:spacing w:val="9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</w:rPr>
        <w:t>177</w:t>
      </w:r>
    </w:p>
    <w:p>
      <w:pPr>
        <w:spacing w:line="166" w:lineRule="auto"/>
        <w:sectPr>
          <w:type w:val="continuous"/>
          <w:pgSz w:w="12246" w:h="16498"/>
          <w:pgMar w:top="741" w:right="1133" w:bottom="547" w:left="407" w:header="0" w:footer="354" w:gutter="0"/>
          <w:cols w:equalWidth="0" w:num="1">
            <w:col w:w="10705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746"/>
        <w:spacing w:before="45" w:line="204" w:lineRule="auto"/>
        <w:rPr>
          <w:sz w:val="20"/>
          <w:szCs w:val="20"/>
        </w:rPr>
      </w:pPr>
      <w:r>
        <w:rPr>
          <w:sz w:val="20"/>
          <w:szCs w:val="20"/>
          <w:color w:val="AAABAF"/>
          <w:spacing w:val="-4"/>
        </w:rPr>
        <w:t>医药纵览</w:t>
      </w:r>
    </w:p>
    <w:p>
      <w:pPr>
        <w:spacing w:before="63"/>
        <w:rPr/>
      </w:pPr>
      <w:r/>
    </w:p>
    <w:p>
      <w:pPr>
        <w:sectPr>
          <w:footerReference w:type="default" r:id="rId5"/>
          <w:pgSz w:w="12246" w:h="16498"/>
          <w:pgMar w:top="741" w:right="1126" w:bottom="820" w:left="407" w:header="0" w:footer="354" w:gutter="0"/>
          <w:cols w:equalWidth="0" w:num="1">
            <w:col w:w="10712" w:space="0"/>
          </w:cols>
        </w:sectPr>
        <w:rPr/>
      </w:pPr>
    </w:p>
    <w:p>
      <w:pPr>
        <w:pStyle w:val="BodyText"/>
        <w:ind w:left="1128"/>
        <w:spacing w:before="36" w:line="180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1.3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  </w:t>
      </w:r>
      <w:r>
        <w:rPr>
          <w:color w:val="231F20"/>
          <w:spacing w:val="-4"/>
        </w:rPr>
        <w:t>观察指标</w:t>
      </w:r>
    </w:p>
    <w:p>
      <w:pPr>
        <w:pStyle w:val="BodyText"/>
        <w:ind w:left="728" w:right="287" w:firstLine="403"/>
        <w:spacing w:before="53" w:line="221" w:lineRule="auto"/>
        <w:rPr/>
      </w:pPr>
      <w:r>
        <w:rPr>
          <w:color w:val="231F20"/>
        </w:rPr>
        <w:t>比较两组患者治疗效果。痊愈：寒战、阴道分泌物增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多、身体发热以及下腹疼痛等症状、体征均彻底消失，复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查超声以及各项妇科检查结果均为正常状态；显效：症状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体征大部分消失，妇科检查结果以及</w:t>
      </w:r>
      <w:r>
        <w:rPr>
          <w:rFonts w:ascii="Times New Roman" w:hAnsi="Times New Roman" w:eastAsia="Times New Roman" w:cs="Times New Roman"/>
          <w:color w:val="231F20"/>
          <w:spacing w:val="4"/>
        </w:rPr>
        <w:t>B</w:t>
      </w:r>
      <w:r>
        <w:rPr>
          <w:color w:val="231F20"/>
          <w:spacing w:val="4"/>
        </w:rPr>
        <w:t>超复查结果均获得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明显改善，特别是盆腔积液的减少量达到或超过</w:t>
      </w:r>
      <w:r>
        <w:rPr>
          <w:rFonts w:ascii="Times New Roman" w:hAnsi="Times New Roman" w:eastAsia="Times New Roman" w:cs="Times New Roman"/>
          <w:color w:val="231F20"/>
          <w:spacing w:val="2"/>
        </w:rPr>
        <w:t>70%</w:t>
      </w:r>
      <w:r>
        <w:rPr>
          <w:color w:val="231F20"/>
          <w:spacing w:val="2"/>
        </w:rPr>
        <w:t>；有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效：症状、体征和各项妇科检查结果均有所好转，同时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复查超声可见盆腔积液减少量达到或超过</w:t>
      </w:r>
      <w:r>
        <w:rPr>
          <w:rFonts w:ascii="Times New Roman" w:hAnsi="Times New Roman" w:eastAsia="Times New Roman" w:cs="Times New Roman"/>
          <w:color w:val="231F20"/>
          <w:spacing w:val="2"/>
        </w:rPr>
        <w:t>30%</w:t>
      </w:r>
      <w:r>
        <w:rPr>
          <w:color w:val="231F20"/>
          <w:spacing w:val="2"/>
        </w:rPr>
        <w:t>；无效：症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状、体征以及超声检查、妇科复检结果等未能改善。总有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效率</w:t>
      </w:r>
      <w:r>
        <w:rPr>
          <w:color w:val="231F20"/>
          <w:spacing w:val="3"/>
        </w:rPr>
        <w:t>＝（</w:t>
      </w:r>
      <w:r>
        <w:rPr>
          <w:color w:val="231F20"/>
          <w:spacing w:val="6"/>
        </w:rPr>
        <w:t>痊愈</w:t>
      </w:r>
      <w:r>
        <w:rPr>
          <w:rFonts w:ascii="SimSun" w:hAnsi="SimSun" w:eastAsia="SimSun" w:cs="SimSun"/>
          <w:color w:val="231F20"/>
          <w:spacing w:val="6"/>
        </w:rPr>
        <w:t>＋</w:t>
      </w:r>
      <w:r>
        <w:rPr>
          <w:color w:val="231F20"/>
          <w:spacing w:val="6"/>
        </w:rPr>
        <w:t>显效</w:t>
      </w:r>
      <w:r>
        <w:rPr>
          <w:rFonts w:ascii="SimSun" w:hAnsi="SimSun" w:eastAsia="SimSun" w:cs="SimSun"/>
          <w:color w:val="231F20"/>
          <w:spacing w:val="6"/>
        </w:rPr>
        <w:t>＋</w:t>
      </w:r>
      <w:r>
        <w:rPr>
          <w:color w:val="231F20"/>
          <w:spacing w:val="6"/>
        </w:rPr>
        <w:t>有效）例数</w:t>
      </w:r>
      <w:r>
        <w:rPr>
          <w:rFonts w:ascii="Times New Roman" w:hAnsi="Times New Roman" w:eastAsia="Times New Roman" w:cs="Times New Roman"/>
          <w:color w:val="231F20"/>
          <w:spacing w:val="6"/>
        </w:rPr>
        <w:t>/</w:t>
      </w:r>
      <w:r>
        <w:rPr>
          <w:color w:val="231F20"/>
          <w:spacing w:val="6"/>
        </w:rPr>
        <w:t>总例数×</w:t>
      </w:r>
      <w:r>
        <w:rPr>
          <w:rFonts w:ascii="Times New Roman" w:hAnsi="Times New Roman" w:eastAsia="Times New Roman" w:cs="Times New Roman"/>
          <w:color w:val="231F20"/>
          <w:spacing w:val="6"/>
        </w:rPr>
        <w:t>100</w:t>
      </w:r>
      <w:r>
        <w:rPr>
          <w:rFonts w:ascii="Times New Roman" w:hAnsi="Times New Roman" w:eastAsia="Times New Roman" w:cs="Times New Roman"/>
          <w:color w:val="231F20"/>
          <w:spacing w:val="5"/>
        </w:rPr>
        <w:t>%</w:t>
      </w:r>
      <w:r>
        <w:rPr>
          <w:color w:val="231F20"/>
          <w:spacing w:val="5"/>
        </w:rPr>
        <w:t>。记录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两组患者退热时间、下腹疼痛消失时间、阴道分泌物恢复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正常时间。记录两组患者出现的不良反应，如头痛、腹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泻、恶心、呕吐、皮疹等。两组均随访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个月，统计患者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盆腔炎的复发率。</w:t>
      </w:r>
    </w:p>
    <w:p>
      <w:pPr>
        <w:pStyle w:val="BodyText"/>
        <w:ind w:left="1128"/>
        <w:spacing w:before="1" w:line="178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1.4    </w:t>
      </w:r>
      <w:r>
        <w:rPr>
          <w:color w:val="231F20"/>
          <w:spacing w:val="-2"/>
        </w:rPr>
        <w:t>统计学方法</w:t>
      </w:r>
    </w:p>
    <w:p>
      <w:pPr>
        <w:pStyle w:val="BodyText"/>
        <w:ind w:left="730" w:right="288" w:firstLine="379"/>
        <w:spacing w:before="55" w:line="218" w:lineRule="auto"/>
        <w:rPr/>
      </w:pPr>
      <w:r>
        <w:pict>
          <v:shape id="_x0000_s2" style="position:absolute;margin-left:55.6348pt;margin-top:19.5091pt;mso-position-vertical-relative:text;mso-position-horizontal-relative:text;width:4.3pt;height:0.5pt;z-index:-251657216;" filled="false" strokecolor="#231F20" strokeweight="0.46pt" coordsize="86,10" coordorigin="0,0" path="m0,4l85,4e">
            <v:stroke joinstyle="miter" miterlimit="10"/>
          </v:shape>
        </w:pict>
      </w:r>
      <w:r>
        <w:rPr>
          <w:color w:val="231F20"/>
          <w:spacing w:val="5"/>
        </w:rPr>
        <w:t>采用</w:t>
      </w:r>
      <w:r>
        <w:rPr>
          <w:rFonts w:ascii="Times New Roman" w:hAnsi="Times New Roman" w:eastAsia="Times New Roman" w:cs="Times New Roman"/>
          <w:color w:val="231F20"/>
        </w:rPr>
        <w:t>SPSS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19.0</w:t>
      </w:r>
      <w:r>
        <w:rPr>
          <w:color w:val="231F20"/>
          <w:spacing w:val="5"/>
        </w:rPr>
        <w:t>统计学软件进行数据分析，计量资料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以（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 xml:space="preserve"> </w:t>
      </w:r>
      <w:r>
        <w:rPr>
          <w:color w:val="231F20"/>
          <w:spacing w:val="-2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s</w:t>
      </w:r>
      <w:r>
        <w:rPr>
          <w:color w:val="231F20"/>
          <w:spacing w:val="-2"/>
        </w:rPr>
        <w:t>）表示，采用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t</w:t>
      </w:r>
      <w:r>
        <w:rPr>
          <w:rFonts w:ascii="Times New Roman" w:hAnsi="Times New Roman" w:eastAsia="Times New Roman" w:cs="Times New Roman"/>
          <w:i/>
          <w:iCs/>
          <w:color w:val="231F20"/>
          <w:spacing w:val="-23"/>
        </w:rPr>
        <w:t xml:space="preserve"> </w:t>
      </w:r>
      <w:r>
        <w:rPr>
          <w:color w:val="231F20"/>
          <w:spacing w:val="-2"/>
        </w:rPr>
        <w:t>检验；计数资料以率（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%</w:t>
      </w:r>
      <w:r>
        <w:rPr>
          <w:color w:val="231F20"/>
          <w:spacing w:val="-2"/>
        </w:rPr>
        <w:t>）表示，</w:t>
      </w:r>
      <w:r>
        <w:rPr>
          <w:color w:val="231F20"/>
        </w:rPr>
        <w:t xml:space="preserve"> </w:t>
      </w:r>
      <w:r>
        <w:rPr>
          <w:color w:val="231F20"/>
        </w:rPr>
        <w:t>采用</w:t>
      </w:r>
      <w:r>
        <w:rPr>
          <w:rFonts w:ascii="Times New Roman" w:hAnsi="Times New Roman" w:eastAsia="Times New Roman" w:cs="Times New Roman"/>
          <w:i/>
          <w:iCs/>
          <w:color w:val="231F20"/>
        </w:rPr>
        <w:t>χ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2</w:t>
      </w:r>
      <w:r>
        <w:rPr>
          <w:color w:val="231F20"/>
        </w:rPr>
        <w:t>检验。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color w:val="231F20"/>
        </w:rPr>
        <w:t>＜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</w:rPr>
        <w:t>为差异具有统计学意义。</w:t>
      </w:r>
    </w:p>
    <w:p>
      <w:pPr>
        <w:ind w:left="732"/>
        <w:spacing w:before="196" w:line="290" w:lineRule="exact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2</w:t>
      </w:r>
      <w:r>
        <w:rPr>
          <w:rFonts w:ascii="SimSun" w:hAnsi="SimSun" w:eastAsia="SimSun" w:cs="SimSun"/>
          <w:sz w:val="22"/>
          <w:szCs w:val="22"/>
          <w:color w:val="231F20"/>
          <w:spacing w:val="3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结果</w:t>
      </w:r>
    </w:p>
    <w:p>
      <w:pPr>
        <w:pStyle w:val="BodyText"/>
        <w:ind w:left="1109"/>
        <w:spacing w:before="127" w:line="18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2.1    </w:t>
      </w:r>
      <w:r>
        <w:rPr>
          <w:color w:val="231F20"/>
          <w:spacing w:val="-1"/>
        </w:rPr>
        <w:t>两组患者临床疗效比较</w:t>
      </w:r>
    </w:p>
    <w:p>
      <w:pPr>
        <w:pStyle w:val="BodyText"/>
        <w:ind w:left="730" w:right="287" w:firstLine="382"/>
        <w:spacing w:before="56" w:line="230" w:lineRule="auto"/>
        <w:rPr/>
      </w:pPr>
      <w:r>
        <w:rPr>
          <w:color w:val="231F20"/>
          <w:spacing w:val="1"/>
        </w:rPr>
        <w:t>观察组患者治疗总有效率高于对照组，组间比较，差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＜</w:t>
      </w:r>
      <w:r>
        <w:rPr>
          <w:rFonts w:ascii="Times New Roman" w:hAnsi="Times New Roman" w:eastAsia="Times New Roman" w:cs="Times New Roman"/>
          <w:color w:val="231F20"/>
          <w:spacing w:val="-1"/>
        </w:rPr>
        <w:t>0.05</w:t>
      </w:r>
      <w:r>
        <w:rPr>
          <w:color w:val="231F20"/>
          <w:spacing w:val="6"/>
        </w:rPr>
        <w:t>），</w:t>
      </w:r>
      <w:r>
        <w:rPr>
          <w:color w:val="231F20"/>
          <w:spacing w:val="-1"/>
        </w:rPr>
        <w:t>见表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color w:val="231F20"/>
          <w:spacing w:val="-1"/>
        </w:rPr>
        <w:t>。</w:t>
      </w:r>
    </w:p>
    <w:p>
      <w:pPr>
        <w:ind w:left="1691"/>
        <w:spacing w:before="80" w:line="24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表1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两组患者临床疗效比较［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n 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（%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>）］</w:t>
      </w:r>
    </w:p>
    <w:p>
      <w:pPr>
        <w:spacing w:line="14" w:lineRule="exact"/>
        <w:rPr/>
      </w:pPr>
      <w:r/>
    </w:p>
    <w:tbl>
      <w:tblPr>
        <w:tblStyle w:val="TableNormal"/>
        <w:tblW w:w="4791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383"/>
        <w:gridCol w:w="738"/>
        <w:gridCol w:w="782"/>
        <w:gridCol w:w="786"/>
        <w:gridCol w:w="714"/>
        <w:gridCol w:w="849"/>
      </w:tblGrid>
      <w:tr>
        <w:trPr>
          <w:trHeight w:val="304" w:hRule="atLeast"/>
        </w:trPr>
        <w:tc>
          <w:tcPr>
            <w:tcW w:w="53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32"/>
              <w:spacing w:before="82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383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137"/>
              <w:spacing w:before="134" w:line="9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738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10"/>
              <w:spacing w:before="84" w:line="179" w:lineRule="auto"/>
              <w:rPr/>
            </w:pPr>
            <w:r>
              <w:rPr>
                <w:color w:val="231F20"/>
                <w:spacing w:val="-1"/>
              </w:rPr>
              <w:t>痊愈</w:t>
            </w:r>
          </w:p>
        </w:tc>
        <w:tc>
          <w:tcPr>
            <w:tcW w:w="782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54"/>
              <w:spacing w:before="82" w:line="178" w:lineRule="auto"/>
              <w:rPr/>
            </w:pPr>
            <w:r>
              <w:rPr>
                <w:color w:val="231F20"/>
                <w:spacing w:val="-1"/>
              </w:rPr>
              <w:t>显效</w:t>
            </w:r>
          </w:p>
        </w:tc>
        <w:tc>
          <w:tcPr>
            <w:tcW w:w="786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55"/>
              <w:spacing w:before="82" w:line="178" w:lineRule="auto"/>
              <w:rPr/>
            </w:pPr>
            <w:r>
              <w:rPr>
                <w:color w:val="231F20"/>
                <w:spacing w:val="-1"/>
              </w:rPr>
              <w:t>有效</w:t>
            </w:r>
          </w:p>
        </w:tc>
        <w:tc>
          <w:tcPr>
            <w:tcW w:w="714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23"/>
              <w:spacing w:before="82" w:line="178" w:lineRule="auto"/>
              <w:rPr/>
            </w:pP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84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57"/>
              <w:spacing w:before="81" w:line="180" w:lineRule="auto"/>
              <w:rPr/>
            </w:pPr>
            <w:r>
              <w:rPr>
                <w:color w:val="231F20"/>
                <w:spacing w:val="-2"/>
              </w:rPr>
              <w:t>总有效率</w:t>
            </w:r>
          </w:p>
        </w:tc>
      </w:tr>
      <w:tr>
        <w:trPr>
          <w:trHeight w:val="527" w:hRule="atLeast"/>
        </w:trPr>
        <w:tc>
          <w:tcPr>
            <w:tcW w:w="5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194" w:line="174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383" w:type="dxa"/>
            <w:vAlign w:val="top"/>
            <w:tcBorders>
              <w:top w:val="single" w:color="231F20" w:sz="2" w:space="0"/>
            </w:tcBorders>
          </w:tcPr>
          <w:p>
            <w:pPr>
              <w:ind w:left="67"/>
              <w:spacing w:before="214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250</w:t>
            </w:r>
          </w:p>
        </w:tc>
        <w:tc>
          <w:tcPr>
            <w:tcW w:w="738" w:type="dxa"/>
            <w:vAlign w:val="top"/>
            <w:tcBorders>
              <w:top w:val="single" w:color="231F20" w:sz="2" w:space="0"/>
            </w:tcBorders>
          </w:tcPr>
          <w:p>
            <w:pPr>
              <w:ind w:left="283"/>
              <w:spacing w:before="109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36</w:t>
            </w:r>
          </w:p>
          <w:p>
            <w:pPr>
              <w:pStyle w:val="TableText"/>
              <w:ind w:left="44"/>
              <w:spacing w:before="58" w:line="201" w:lineRule="auto"/>
              <w:rPr/>
            </w:pPr>
            <w:r>
              <w:rPr>
                <w:color w:val="231F20"/>
                <w:spacing w:val="-5"/>
              </w:rPr>
              <w:t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14.40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782" w:type="dxa"/>
            <w:vAlign w:val="top"/>
            <w:tcBorders>
              <w:top w:val="single" w:color="231F20" w:sz="2" w:space="0"/>
            </w:tcBorders>
          </w:tcPr>
          <w:p>
            <w:pPr>
              <w:ind w:left="303"/>
              <w:spacing w:before="109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</w:rPr>
              <w:t>153</w:t>
            </w:r>
          </w:p>
          <w:p>
            <w:pPr>
              <w:pStyle w:val="TableText"/>
              <w:ind w:left="88"/>
              <w:spacing w:before="58" w:line="201" w:lineRule="auto"/>
              <w:rPr/>
            </w:pPr>
            <w:r>
              <w:rPr>
                <w:color w:val="231F20"/>
                <w:spacing w:val="-4"/>
              </w:rPr>
              <w:t>（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61.20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786" w:type="dxa"/>
            <w:vAlign w:val="top"/>
            <w:tcBorders>
              <w:top w:val="single" w:color="231F20" w:sz="2" w:space="0"/>
            </w:tcBorders>
          </w:tcPr>
          <w:p>
            <w:pPr>
              <w:ind w:left="328"/>
              <w:spacing w:before="109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39</w:t>
            </w:r>
          </w:p>
          <w:p>
            <w:pPr>
              <w:pStyle w:val="TableText"/>
              <w:ind w:left="88"/>
              <w:spacing w:before="58" w:line="201" w:lineRule="auto"/>
              <w:rPr/>
            </w:pPr>
            <w:r>
              <w:rPr>
                <w:color w:val="231F20"/>
                <w:spacing w:val="-5"/>
              </w:rPr>
              <w:t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15.60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714" w:type="dxa"/>
            <w:vAlign w:val="top"/>
            <w:tcBorders>
              <w:top w:val="single" w:color="231F20" w:sz="2" w:space="0"/>
            </w:tcBorders>
          </w:tcPr>
          <w:p>
            <w:pPr>
              <w:ind w:left="294"/>
              <w:spacing w:before="109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22</w:t>
            </w:r>
          </w:p>
          <w:p>
            <w:pPr>
              <w:pStyle w:val="TableText"/>
              <w:ind w:left="93"/>
              <w:spacing w:before="58" w:line="201" w:lineRule="auto"/>
              <w:rPr/>
            </w:pPr>
            <w:r>
              <w:rPr>
                <w:color w:val="231F20"/>
                <w:spacing w:val="-5"/>
              </w:rPr>
              <w:t>（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8.80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849" w:type="dxa"/>
            <w:vAlign w:val="top"/>
            <w:tcBorders>
              <w:top w:val="single" w:color="231F20" w:sz="2" w:space="0"/>
            </w:tcBorders>
          </w:tcPr>
          <w:p>
            <w:pPr>
              <w:ind w:left="328"/>
              <w:spacing w:before="109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228</w:t>
            </w:r>
          </w:p>
          <w:p>
            <w:pPr>
              <w:pStyle w:val="TableText"/>
              <w:ind w:left="126"/>
              <w:spacing w:before="58" w:line="201" w:lineRule="auto"/>
              <w:rPr/>
            </w:pPr>
            <w:r>
              <w:rPr>
                <w:color w:val="231F20"/>
                <w:spacing w:val="-4"/>
              </w:rPr>
              <w:t>（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91.20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）</w:t>
            </w:r>
          </w:p>
        </w:tc>
      </w:tr>
      <w:tr>
        <w:trPr>
          <w:trHeight w:val="508" w:hRule="atLeast"/>
        </w:trPr>
        <w:tc>
          <w:tcPr>
            <w:tcW w:w="5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183" w:line="18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383" w:type="dxa"/>
            <w:vAlign w:val="top"/>
            <w:tcBorders>
              <w:bottom w:val="single" w:color="231F20" w:sz="4" w:space="0"/>
            </w:tcBorders>
          </w:tcPr>
          <w:p>
            <w:pPr>
              <w:ind w:left="67"/>
              <w:spacing w:before="207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250</w:t>
            </w:r>
          </w:p>
        </w:tc>
        <w:tc>
          <w:tcPr>
            <w:tcW w:w="738" w:type="dxa"/>
            <w:vAlign w:val="top"/>
            <w:tcBorders>
              <w:bottom w:val="single" w:color="231F20" w:sz="4" w:space="0"/>
            </w:tcBorders>
          </w:tcPr>
          <w:p>
            <w:pPr>
              <w:ind w:left="283"/>
              <w:spacing w:before="102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95</w:t>
            </w:r>
          </w:p>
          <w:p>
            <w:pPr>
              <w:pStyle w:val="TableText"/>
              <w:ind w:left="44"/>
              <w:spacing w:before="58" w:line="201" w:lineRule="auto"/>
              <w:rPr/>
            </w:pPr>
            <w:r>
              <w:rPr>
                <w:color w:val="231F20"/>
                <w:spacing w:val="-4"/>
              </w:rPr>
              <w:t>（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38.00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782" w:type="dxa"/>
            <w:vAlign w:val="top"/>
            <w:tcBorders>
              <w:bottom w:val="single" w:color="231F20" w:sz="4" w:space="0"/>
            </w:tcBorders>
          </w:tcPr>
          <w:p>
            <w:pPr>
              <w:ind w:left="303"/>
              <w:spacing w:before="102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</w:rPr>
              <w:t>135</w:t>
            </w:r>
          </w:p>
          <w:p>
            <w:pPr>
              <w:pStyle w:val="TableText"/>
              <w:ind w:left="88"/>
              <w:spacing w:before="58" w:line="201" w:lineRule="auto"/>
              <w:rPr/>
            </w:pPr>
            <w:r>
              <w:rPr>
                <w:color w:val="231F20"/>
                <w:spacing w:val="-4"/>
              </w:rPr>
              <w:t>（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54.00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786" w:type="dxa"/>
            <w:vAlign w:val="top"/>
            <w:tcBorders>
              <w:bottom w:val="single" w:color="231F20" w:sz="4" w:space="0"/>
            </w:tcBorders>
          </w:tcPr>
          <w:p>
            <w:pPr>
              <w:ind w:left="338"/>
              <w:spacing w:before="102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5"/>
              </w:rPr>
              <w:t>16</w:t>
            </w:r>
          </w:p>
          <w:p>
            <w:pPr>
              <w:pStyle w:val="TableText"/>
              <w:ind w:left="123"/>
              <w:spacing w:before="58" w:line="201" w:lineRule="auto"/>
              <w:rPr/>
            </w:pPr>
            <w:r>
              <w:rPr>
                <w:color w:val="231F20"/>
                <w:spacing w:val="-5"/>
              </w:rPr>
              <w:t>（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6.40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714" w:type="dxa"/>
            <w:vAlign w:val="top"/>
            <w:tcBorders>
              <w:bottom w:val="single" w:color="231F20" w:sz="4" w:space="0"/>
            </w:tcBorders>
          </w:tcPr>
          <w:p>
            <w:pPr>
              <w:ind w:left="328"/>
              <w:spacing w:before="102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4</w:t>
            </w:r>
          </w:p>
          <w:p>
            <w:pPr>
              <w:pStyle w:val="TableText"/>
              <w:ind w:left="93"/>
              <w:spacing w:before="58" w:line="201" w:lineRule="auto"/>
              <w:rPr/>
            </w:pPr>
            <w:r>
              <w:rPr>
                <w:color w:val="231F20"/>
                <w:spacing w:val="-6"/>
              </w:rPr>
              <w:t>（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1.60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849" w:type="dxa"/>
            <w:vAlign w:val="top"/>
            <w:tcBorders>
              <w:bottom w:val="single" w:color="231F20" w:sz="4" w:space="0"/>
            </w:tcBorders>
          </w:tcPr>
          <w:p>
            <w:pPr>
              <w:ind w:left="327"/>
              <w:spacing w:before="102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246</w:t>
            </w:r>
          </w:p>
          <w:p>
            <w:pPr>
              <w:pStyle w:val="TableText"/>
              <w:ind w:left="85"/>
              <w:spacing w:before="41" w:line="218" w:lineRule="auto"/>
              <w:rPr>
                <w:sz w:val="8"/>
                <w:szCs w:val="8"/>
              </w:rPr>
            </w:pPr>
            <w:r>
              <w:rPr>
                <w:color w:val="231F20"/>
                <w:spacing w:val="-7"/>
              </w:rPr>
              <w:t>（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98.40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）</w:t>
            </w:r>
            <w:r>
              <w:rPr>
                <w:sz w:val="8"/>
                <w:szCs w:val="8"/>
                <w:color w:val="231F20"/>
                <w:position w:val="6"/>
              </w:rPr>
              <w:t>①</w:t>
            </w:r>
          </w:p>
        </w:tc>
      </w:tr>
      <w:tr>
        <w:trPr>
          <w:trHeight w:val="2002" w:hRule="atLeast"/>
        </w:trPr>
        <w:tc>
          <w:tcPr>
            <w:tcW w:w="4791" w:type="dxa"/>
            <w:vAlign w:val="top"/>
            <w:gridSpan w:val="7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38" w:line="200" w:lineRule="auto"/>
              <w:rPr/>
            </w:pPr>
            <w:r>
              <w:pict>
                <v:shape id="_x0000_s4" style="position:absolute;margin-left:-75.1182pt;margin-top:89.8957pt;mso-position-vertical-relative:top-margin-area;mso-position-horizontal-relative:right-margin-area;width:3.6pt;height:0.4pt;z-index:-251656192;" filled="false" strokecolor="#231F20" strokeweight="0.39pt" coordsize="71,8" coordorigin="0,0" path="m0,3l71,3e">
                  <v:stroke joinstyle="miter" miterlimit="10"/>
                </v:shape>
              </w:pict>
            </w:r>
            <w:r>
              <w:rPr>
                <w:color w:val="231F20"/>
                <w:spacing w:val="-1"/>
              </w:rPr>
              <w:t>注：与对照组比较，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①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"/>
              </w:rPr>
              <w:t>P</w:t>
            </w:r>
            <w:r>
              <w:rPr>
                <w:color w:val="231F20"/>
                <w:spacing w:val="-1"/>
              </w:rPr>
              <w:t>＜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0.05</w:t>
            </w:r>
            <w:r>
              <w:rPr>
                <w:color w:val="231F20"/>
                <w:spacing w:val="-1"/>
              </w:rPr>
              <w:t>。</w:t>
            </w:r>
          </w:p>
          <w:p>
            <w:pPr>
              <w:pStyle w:val="TableText"/>
              <w:ind w:left="383"/>
              <w:spacing w:before="241" w:line="177" w:lineRule="auto"/>
              <w:rPr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2.2    </w:t>
            </w:r>
            <w:r>
              <w:rPr>
                <w:sz w:val="19"/>
                <w:szCs w:val="19"/>
                <w:color w:val="231F20"/>
                <w:spacing w:val="-1"/>
              </w:rPr>
              <w:t>两组患者症状消失时间比较</w:t>
            </w:r>
          </w:p>
          <w:p>
            <w:pPr>
              <w:pStyle w:val="TableText"/>
              <w:ind w:firstLine="394"/>
              <w:spacing w:before="53" w:line="23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1"/>
              </w:rPr>
              <w:t>观察组患者发热、下腹疼痛、阴道分泌物异常等症状</w:t>
            </w:r>
            <w:r>
              <w:rPr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"/>
              </w:rPr>
              <w:t>消失时间均短于对照组，组间比较，差异具有统计学意义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3"/>
              </w:rPr>
              <w:t>（</w:t>
            </w:r>
            <w:r>
              <w:rPr>
                <w:sz w:val="19"/>
                <w:szCs w:val="19"/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i/>
                <w:iCs/>
                <w:color w:val="231F20"/>
                <w:spacing w:val="-3"/>
              </w:rPr>
              <w:t>P</w:t>
            </w:r>
            <w:r>
              <w:rPr>
                <w:sz w:val="19"/>
                <w:szCs w:val="19"/>
                <w:color w:val="231F20"/>
                <w:spacing w:val="-3"/>
              </w:rPr>
              <w:t>＜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0.05</w:t>
            </w:r>
            <w:r>
              <w:rPr>
                <w:sz w:val="19"/>
                <w:szCs w:val="19"/>
                <w:color w:val="231F20"/>
                <w:spacing w:val="3"/>
              </w:rPr>
              <w:t>），</w:t>
            </w:r>
            <w:r>
              <w:rPr>
                <w:sz w:val="19"/>
                <w:szCs w:val="19"/>
                <w:color w:val="231F20"/>
                <w:spacing w:val="-3"/>
              </w:rPr>
              <w:t>见表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2</w:t>
            </w:r>
            <w:r>
              <w:rPr>
                <w:sz w:val="19"/>
                <w:szCs w:val="19"/>
                <w:color w:val="231F20"/>
                <w:spacing w:val="-3"/>
              </w:rPr>
              <w:t>。</w:t>
            </w:r>
          </w:p>
          <w:p>
            <w:pPr>
              <w:ind w:left="805"/>
              <w:spacing w:before="62" w:line="233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-3"/>
              </w:rPr>
              <w:t>表2</w:t>
            </w: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-3"/>
              </w:rPr>
              <w:t xml:space="preserve">  </w:t>
            </w: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-3"/>
              </w:rPr>
              <w:t>两组患者症状消失时间比较（</w:t>
            </w: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3"/>
              </w:rPr>
              <w:t>x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3"/>
              </w:rPr>
              <w:t xml:space="preserve"> </w:t>
            </w: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-3"/>
              </w:rPr>
              <w:t>±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3"/>
              </w:rPr>
              <w:t>s</w:t>
            </w:r>
            <w:r>
              <w:rPr>
                <w:rFonts w:ascii="SimHei" w:hAnsi="SimHei" w:eastAsia="SimHei" w:cs="SimHei"/>
                <w:sz w:val="16"/>
                <w:szCs w:val="16"/>
                <w:color w:val="231F20"/>
                <w:spacing w:val="-3"/>
              </w:rPr>
              <w:t>，d）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32"/>
              <w:spacing w:before="85" w:line="179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383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ind w:left="137"/>
              <w:spacing w:before="138" w:line="92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1520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472"/>
              <w:spacing w:before="83" w:line="206" w:lineRule="auto"/>
              <w:rPr/>
            </w:pPr>
            <w:r>
              <w:rPr>
                <w:color w:val="231F20"/>
                <w:spacing w:val="-1"/>
              </w:rPr>
              <w:t>发热</w:t>
            </w:r>
          </w:p>
        </w:tc>
        <w:tc>
          <w:tcPr>
            <w:tcW w:w="786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15"/>
              <w:spacing w:before="86" w:line="177" w:lineRule="auto"/>
              <w:rPr/>
            </w:pPr>
            <w:r>
              <w:rPr>
                <w:color w:val="231F20"/>
                <w:spacing w:val="-1"/>
              </w:rPr>
              <w:t>下腹疼痛</w:t>
            </w:r>
          </w:p>
        </w:tc>
        <w:tc>
          <w:tcPr>
            <w:tcW w:w="1563" w:type="dxa"/>
            <w:vAlign w:val="top"/>
            <w:gridSpan w:val="2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434"/>
              <w:spacing w:before="86" w:line="179" w:lineRule="auto"/>
              <w:rPr/>
            </w:pPr>
            <w:r>
              <w:rPr>
                <w:color w:val="231F20"/>
                <w:spacing w:val="-2"/>
              </w:rPr>
              <w:t>阴道分泌物异常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97" w:line="174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383" w:type="dxa"/>
            <w:vAlign w:val="top"/>
            <w:tcBorders>
              <w:top w:val="single" w:color="231F20" w:sz="2" w:space="0"/>
            </w:tcBorders>
          </w:tcPr>
          <w:p>
            <w:pPr>
              <w:ind w:left="67"/>
              <w:spacing w:before="116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250</w:t>
            </w:r>
          </w:p>
        </w:tc>
        <w:tc>
          <w:tcPr>
            <w:tcW w:w="1520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299"/>
              <w:spacing w:before="116" w:line="15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3.26 </w:t>
            </w:r>
            <w:r>
              <w:rPr>
                <w:color w:val="231F20"/>
                <w:spacing w:val="-1"/>
              </w:rPr>
              <w:t>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0.37</w:t>
            </w:r>
          </w:p>
        </w:tc>
        <w:tc>
          <w:tcPr>
            <w:tcW w:w="7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"/>
              <w:spacing w:before="116" w:line="15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4.56 </w:t>
            </w:r>
            <w:r>
              <w:rPr>
                <w:color w:val="231F20"/>
                <w:spacing w:val="-1"/>
              </w:rPr>
              <w:t>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0.35</w:t>
            </w:r>
          </w:p>
        </w:tc>
        <w:tc>
          <w:tcPr>
            <w:tcW w:w="1563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604"/>
              <w:spacing w:before="116" w:line="15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8.89 </w:t>
            </w:r>
            <w:r>
              <w:rPr>
                <w:color w:val="231F20"/>
                <w:spacing w:val="-2"/>
              </w:rPr>
              <w:t>±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1.16</w:t>
            </w:r>
          </w:p>
        </w:tc>
      </w:tr>
      <w:tr>
        <w:trPr>
          <w:trHeight w:val="326" w:hRule="atLeast"/>
        </w:trPr>
        <w:tc>
          <w:tcPr>
            <w:tcW w:w="5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108" w:line="18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383" w:type="dxa"/>
            <w:vAlign w:val="top"/>
            <w:tcBorders>
              <w:bottom w:val="single" w:color="231F20" w:sz="4" w:space="0"/>
            </w:tcBorders>
          </w:tcPr>
          <w:p>
            <w:pPr>
              <w:ind w:left="67"/>
              <w:spacing w:before="132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250</w:t>
            </w:r>
          </w:p>
        </w:tc>
        <w:tc>
          <w:tcPr>
            <w:tcW w:w="1520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255"/>
              <w:spacing w:before="88" w:line="202" w:lineRule="auto"/>
              <w:rPr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2.05 </w:t>
            </w:r>
            <w:r>
              <w:rPr>
                <w:color w:val="231F20"/>
                <w:spacing w:val="-1"/>
              </w:rPr>
              <w:t>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0.30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①</w:t>
            </w:r>
          </w:p>
        </w:tc>
        <w:tc>
          <w:tcPr>
            <w:tcW w:w="7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"/>
              <w:spacing w:before="88" w:line="202" w:lineRule="auto"/>
              <w:rPr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2.89 </w:t>
            </w:r>
            <w:r>
              <w:rPr>
                <w:color w:val="231F20"/>
                <w:spacing w:val="-1"/>
              </w:rPr>
              <w:t>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0.23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①</w:t>
            </w:r>
          </w:p>
        </w:tc>
        <w:tc>
          <w:tcPr>
            <w:tcW w:w="1563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561"/>
              <w:spacing w:before="88" w:line="202" w:lineRule="auto"/>
              <w:rPr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5.89 </w:t>
            </w:r>
            <w:r>
              <w:rPr>
                <w:color w:val="231F20"/>
                <w:spacing w:val="-1"/>
              </w:rPr>
              <w:t>±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0.36</w:t>
            </w:r>
            <w:r>
              <w:rPr>
                <w:sz w:val="8"/>
                <w:szCs w:val="8"/>
                <w:color w:val="231F20"/>
                <w:spacing w:val="-1"/>
                <w:position w:val="6"/>
              </w:rPr>
              <w:t>①</w:t>
            </w:r>
          </w:p>
        </w:tc>
      </w:tr>
    </w:tbl>
    <w:p>
      <w:pPr>
        <w:pStyle w:val="BodyText"/>
        <w:ind w:left="731"/>
        <w:spacing w:before="39" w:line="156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注：与对照组比较，</w:t>
      </w:r>
      <w:r>
        <w:rPr>
          <w:sz w:val="8"/>
          <w:szCs w:val="8"/>
          <w:color w:val="231F20"/>
          <w:spacing w:val="-1"/>
          <w:position w:val="6"/>
        </w:rPr>
        <w:t>①</w:t>
      </w:r>
      <w:r>
        <w:rPr>
          <w:rFonts w:ascii="Times New Roman" w:hAnsi="Times New Roman" w:eastAsia="Times New Roman" w:cs="Times New Roman"/>
          <w:sz w:val="14"/>
          <w:szCs w:val="14"/>
          <w:i/>
          <w:iCs/>
          <w:color w:val="231F20"/>
          <w:spacing w:val="-1"/>
        </w:rPr>
        <w:t>P</w:t>
      </w:r>
      <w:r>
        <w:rPr>
          <w:sz w:val="14"/>
          <w:szCs w:val="14"/>
          <w:color w:val="231F20"/>
          <w:spacing w:val="-1"/>
        </w:rPr>
        <w:t>＜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1"/>
        </w:rPr>
        <w:t>0.05</w:t>
      </w:r>
      <w:r>
        <w:rPr>
          <w:sz w:val="14"/>
          <w:szCs w:val="14"/>
          <w:color w:val="231F20"/>
          <w:spacing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7" w:firstLine="375"/>
        <w:spacing w:before="34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2.3    </w:t>
      </w:r>
      <w:r>
        <w:rPr>
          <w:color w:val="231F20"/>
          <w:spacing w:val="3"/>
        </w:rPr>
        <w:t>两组患者不良反应发生率与随访</w:t>
      </w: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color w:val="231F20"/>
          <w:spacing w:val="3"/>
        </w:rPr>
        <w:t>个月内盆</w:t>
      </w:r>
      <w:r>
        <w:rPr>
          <w:color w:val="231F20"/>
          <w:spacing w:val="2"/>
        </w:rPr>
        <w:t>腔炎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复发率比较</w:t>
      </w:r>
    </w:p>
    <w:p>
      <w:pPr>
        <w:pStyle w:val="BodyText"/>
        <w:ind w:firstLine="395"/>
        <w:spacing w:line="225" w:lineRule="auto"/>
        <w:jc w:val="both"/>
        <w:rPr/>
      </w:pPr>
      <w:r>
        <w:rPr>
          <w:color w:val="231F20"/>
          <w:spacing w:val="7"/>
        </w:rPr>
        <w:t>观察组患者药物不良反应发生率为</w:t>
      </w:r>
      <w:r>
        <w:rPr>
          <w:rFonts w:ascii="Times New Roman" w:hAnsi="Times New Roman" w:eastAsia="Times New Roman" w:cs="Times New Roman"/>
          <w:color w:val="231F20"/>
          <w:spacing w:val="7"/>
        </w:rPr>
        <w:t>1.20%</w:t>
      </w:r>
      <w:r>
        <w:rPr>
          <w:color w:val="231F20"/>
          <w:spacing w:val="7"/>
        </w:rPr>
        <w:t>（ </w:t>
      </w:r>
      <w:r>
        <w:rPr>
          <w:rFonts w:ascii="Times New Roman" w:hAnsi="Times New Roman" w:eastAsia="Times New Roman" w:cs="Times New Roman"/>
          <w:color w:val="231F20"/>
          <w:spacing w:val="7"/>
        </w:rPr>
        <w:t>3/250</w:t>
      </w:r>
      <w:r>
        <w:rPr>
          <w:color w:val="231F20"/>
          <w:spacing w:val="7"/>
        </w:rPr>
        <w:t>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与对照组</w:t>
      </w:r>
      <w:r>
        <w:rPr>
          <w:rFonts w:ascii="SimSun" w:hAnsi="SimSun" w:eastAsia="SimSun" w:cs="SimSun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color w:val="231F20"/>
          <w:spacing w:val="5"/>
        </w:rPr>
        <w:t>2.00%</w:t>
      </w:r>
      <w:r>
        <w:rPr>
          <w:color w:val="231F20"/>
          <w:spacing w:val="5"/>
        </w:rPr>
        <w:t>（ </w:t>
      </w:r>
      <w:r>
        <w:rPr>
          <w:rFonts w:ascii="Times New Roman" w:hAnsi="Times New Roman" w:eastAsia="Times New Roman" w:cs="Times New Roman"/>
          <w:color w:val="231F20"/>
          <w:spacing w:val="5"/>
        </w:rPr>
        <w:t>5/250</w:t>
      </w:r>
      <w:r>
        <w:rPr>
          <w:color w:val="231F20"/>
          <w:spacing w:val="11"/>
        </w:rPr>
        <w:t>）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］</w:t>
      </w:r>
      <w:r>
        <w:rPr>
          <w:color w:val="231F20"/>
          <w:spacing w:val="5"/>
        </w:rPr>
        <w:t>比较，差异无统计学意义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（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7"/>
        </w:rPr>
        <w:t>P</w:t>
      </w:r>
      <w:r>
        <w:rPr>
          <w:color w:val="231F20"/>
          <w:spacing w:val="7"/>
        </w:rPr>
        <w:t>＞</w:t>
      </w:r>
      <w:r>
        <w:rPr>
          <w:rFonts w:ascii="Times New Roman" w:hAnsi="Times New Roman" w:eastAsia="Times New Roman" w:cs="Times New Roman"/>
          <w:color w:val="231F20"/>
          <w:spacing w:val="7"/>
        </w:rPr>
        <w:t>0.05 </w:t>
      </w:r>
      <w:r>
        <w:rPr>
          <w:color w:val="231F20"/>
          <w:spacing w:val="-3"/>
        </w:rPr>
        <w:t>）；</w:t>
      </w:r>
      <w:r>
        <w:rPr>
          <w:color w:val="231F20"/>
          <w:spacing w:val="7"/>
        </w:rPr>
        <w:t>随访</w:t>
      </w:r>
      <w:r>
        <w:rPr>
          <w:rFonts w:ascii="Times New Roman" w:hAnsi="Times New Roman" w:eastAsia="Times New Roman" w:cs="Times New Roman"/>
          <w:color w:val="231F20"/>
          <w:spacing w:val="7"/>
        </w:rPr>
        <w:t>3</w:t>
      </w:r>
      <w:r>
        <w:rPr>
          <w:color w:val="231F20"/>
          <w:spacing w:val="7"/>
        </w:rPr>
        <w:t>个月内观察组患者盆腔炎复发率为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2.40%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6/250</w:t>
      </w:r>
      <w:r>
        <w:rPr>
          <w:color w:val="231F20"/>
          <w:spacing w:val="2"/>
        </w:rPr>
        <w:t>）低于对照组</w:t>
      </w:r>
      <w:r>
        <w:rPr>
          <w:rFonts w:ascii="SimSun" w:hAnsi="SimSun" w:eastAsia="SimSun" w:cs="SimSun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color w:val="231F20"/>
          <w:spacing w:val="2"/>
        </w:rPr>
        <w:t>12.40%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31/250</w:t>
      </w:r>
      <w:r>
        <w:rPr>
          <w:color w:val="231F20"/>
          <w:spacing w:val="-5"/>
        </w:rPr>
        <w:t>）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］</w:t>
      </w:r>
      <w:r>
        <w:rPr>
          <w:color w:val="231F20"/>
          <w:spacing w:val="-5"/>
        </w:rPr>
        <w:t>，</w:t>
      </w:r>
      <w:r>
        <w:rPr>
          <w:color w:val="231F20"/>
          <w:spacing w:val="2"/>
        </w:rPr>
        <w:t>组间</w:t>
      </w:r>
      <w:r>
        <w:rPr>
          <w:color w:val="231F20"/>
        </w:rPr>
        <w:t xml:space="preserve"> </w:t>
      </w:r>
      <w:r>
        <w:rPr>
          <w:color w:val="231F20"/>
        </w:rPr>
        <w:t>比较，差异具有统计学意义（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color w:val="231F20"/>
        </w:rPr>
        <w:t>＜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color w:val="231F20"/>
        </w:rPr>
        <w:t>）</w:t>
      </w:r>
    </w:p>
    <w:p>
      <w:pPr>
        <w:ind w:left="13"/>
        <w:spacing w:before="184" w:line="291" w:lineRule="exact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3</w:t>
      </w:r>
      <w:r>
        <w:rPr>
          <w:rFonts w:ascii="SimSun" w:hAnsi="SimSun" w:eastAsia="SimSun" w:cs="SimSun"/>
          <w:sz w:val="22"/>
          <w:szCs w:val="22"/>
          <w:color w:val="231F20"/>
          <w:spacing w:val="3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讨论</w:t>
      </w:r>
    </w:p>
    <w:p>
      <w:pPr>
        <w:pStyle w:val="BodyText"/>
        <w:ind w:left="11" w:right="6" w:firstLine="380"/>
        <w:spacing w:before="125" w:line="221" w:lineRule="auto"/>
        <w:jc w:val="both"/>
        <w:rPr/>
      </w:pPr>
      <w:r>
        <w:rPr>
          <w:color w:val="231F20"/>
          <w:spacing w:val="1"/>
        </w:rPr>
        <w:t>本研究结果显示，观察组采用联合用药方案，其治疗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总有效率较对照组大幅提升，同时随访中疾病复发率低于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对照组，各主要的症状消失时间较对照组明显缩短，而两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组的药物不良反应发生率均比较低。表明奥硝唑与阿奇霉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素联合可有效提升妇科急性盆腔炎患者的治疗</w:t>
      </w:r>
      <w:r>
        <w:rPr>
          <w:color w:val="231F20"/>
          <w:spacing w:val="-2"/>
        </w:rPr>
        <w:t>价值。</w:t>
      </w:r>
    </w:p>
    <w:p>
      <w:pPr>
        <w:pStyle w:val="BodyText"/>
        <w:ind w:left="13" w:right="6" w:firstLine="377"/>
        <w:spacing w:before="1" w:line="228" w:lineRule="auto"/>
        <w:jc w:val="both"/>
        <w:rPr/>
      </w:pPr>
      <w:r>
        <w:rPr>
          <w:color w:val="231F20"/>
          <w:spacing w:val="1"/>
        </w:rPr>
        <w:t>综上所述，对急性盆腔炎患者合用奥硝唑及阿奇霉素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可获得确切的临床疗效，且有助于加快症状消退、降低复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发率，且该联合用药方案安全性良好。</w:t>
      </w:r>
    </w:p>
    <w:p>
      <w:pPr>
        <w:spacing w:before="261" w:line="24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【参考文献】</w:t>
      </w:r>
    </w:p>
    <w:p>
      <w:pPr>
        <w:pStyle w:val="BodyText"/>
        <w:ind w:left="549" w:right="9" w:hanging="533"/>
        <w:spacing w:before="80" w:line="258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1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万春燕</w:t>
      </w:r>
      <w:r>
        <w:rPr>
          <w:rFonts w:ascii="FangSong" w:hAnsi="FangSong" w:eastAsia="FangSong" w:cs="FangSong"/>
          <w:sz w:val="17"/>
          <w:szCs w:val="17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．阿奇霉素联合奥硝唑应用于急性盆腔炎临床治疗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中的效果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特别健康，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121</w:t>
      </w:r>
      <w:r>
        <w:rPr>
          <w:sz w:val="17"/>
          <w:szCs w:val="17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122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ind w:left="536" w:right="7" w:hanging="520"/>
        <w:spacing w:before="49" w:line="284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2</w:t>
      </w:r>
      <w:r>
        <w:rPr>
          <w:rFonts w:ascii="SimSun" w:hAnsi="SimSun" w:eastAsia="SimSun" w:cs="SimSun"/>
          <w:sz w:val="17"/>
          <w:szCs w:val="17"/>
          <w:color w:val="231F20"/>
          <w:spacing w:val="11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1"/>
        </w:rPr>
        <w:t>秦杏格</w:t>
      </w:r>
      <w:r>
        <w:rPr>
          <w:rFonts w:ascii="FangSong" w:hAnsi="FangSong" w:eastAsia="FangSong" w:cs="FangSong"/>
          <w:sz w:val="17"/>
          <w:szCs w:val="17"/>
          <w:color w:val="231F20"/>
          <w:spacing w:val="-2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1"/>
        </w:rPr>
        <w:t>．奥硝唑联合阿奇霉素对盆腔炎的治疗效果影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响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医药界，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25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0018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ind w:left="530" w:right="7" w:hanging="514"/>
        <w:spacing w:before="77" w:line="283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3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宋东玲．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96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例盆腔炎患者应用头孢</w:t>
      </w:r>
      <w:r>
        <w:rPr>
          <w:rFonts w:ascii="FangSong" w:hAnsi="FangSong" w:eastAsia="FangSong" w:cs="FangSong"/>
          <w:sz w:val="17"/>
          <w:szCs w:val="17"/>
          <w:color w:val="231F20"/>
        </w:rPr>
        <w:t>地尼与奥硝唑治疗的疗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效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．中国保健营养，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30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363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．</w:t>
      </w:r>
    </w:p>
    <w:p>
      <w:pPr>
        <w:pStyle w:val="BodyText"/>
        <w:ind w:left="520" w:right="8" w:hanging="504"/>
        <w:spacing w:before="78" w:line="280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>张欢欢</w:t>
      </w:r>
      <w:r>
        <w:rPr>
          <w:rFonts w:ascii="FangSong" w:hAnsi="FangSong" w:eastAsia="FangSong" w:cs="FangSong"/>
          <w:sz w:val="17"/>
          <w:szCs w:val="17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>．阿奇霉素联合康妇消炎栓对支原体感染性盆腔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3"/>
        </w:rPr>
        <w:t>炎患者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3"/>
        </w:rPr>
        <w:t>淋巴细胞亚群的影响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9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3"/>
        </w:rPr>
        <w:t>内蒙古医学杂志，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52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574</w:t>
      </w:r>
      <w:r>
        <w:rPr>
          <w:sz w:val="17"/>
          <w:szCs w:val="17"/>
          <w:color w:val="231F20"/>
          <w:spacing w:val="-2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576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537" w:right="6" w:hanging="521"/>
        <w:spacing w:before="44" w:line="26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5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卢鑫</w:t>
      </w:r>
      <w:r>
        <w:rPr>
          <w:rFonts w:ascii="FangSong" w:hAnsi="FangSong" w:eastAsia="FangSong" w:cs="FangSong"/>
          <w:sz w:val="17"/>
          <w:szCs w:val="17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．阿奇霉素联合甲硝唑治疗慢性盆腔炎患者的临床研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究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临床医药文献电子杂志，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7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14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5</w:t>
      </w:r>
      <w:r>
        <w:rPr>
          <w:sz w:val="17"/>
          <w:szCs w:val="17"/>
          <w:color w:val="231F20"/>
        </w:rPr>
        <w:t>-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146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．</w:t>
      </w:r>
    </w:p>
    <w:p>
      <w:pPr>
        <w:ind w:left="533" w:right="7" w:hanging="516"/>
        <w:spacing w:before="101" w:line="28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6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>凌舒莹</w:t>
      </w:r>
      <w:r>
        <w:rPr>
          <w:rFonts w:ascii="FangSong" w:hAnsi="FangSong" w:eastAsia="FangSong" w:cs="FangSong"/>
          <w:sz w:val="17"/>
          <w:szCs w:val="17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5"/>
        </w:rPr>
        <w:t>．阿奇霉素联合盆腔炎制剂治疗支原体属感染性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盆腔炎的疗效观察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11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1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母婴世界，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25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33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1"/>
        </w:rPr>
        <w:t>）：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136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．</w:t>
      </w:r>
    </w:p>
    <w:sectPr>
      <w:type w:val="continuous"/>
      <w:pgSz w:w="12246" w:h="16498"/>
      <w:pgMar w:top="741" w:right="1126" w:bottom="820" w:left="407" w:header="0" w:footer="354" w:gutter="0"/>
      <w:cols w:equalWidth="0" w:num="2">
        <w:col w:w="5806" w:space="100"/>
        <w:col w:w="48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5"/>
      <w:spacing w:after="32" w:line="239" w:lineRule="exact"/>
      <w:rPr>
        <w:sz w:val="18"/>
        <w:szCs w:val="18"/>
      </w:rPr>
    </w:pPr>
    <w:r>
      <w:rPr>
        <w:rFonts w:ascii="Arial" w:hAnsi="Arial" w:eastAsia="Arial" w:cs="Arial"/>
        <w:sz w:val="18"/>
        <w:szCs w:val="18"/>
        <w:color w:val="231F20"/>
        <w:spacing w:val="-7"/>
        <w:position w:val="-1"/>
      </w:rPr>
      <w:t>178</w:t>
    </w:r>
    <w:r>
      <w:rPr>
        <w:rFonts w:ascii="Arial" w:hAnsi="Arial" w:eastAsia="Arial" w:cs="Arial"/>
        <w:sz w:val="18"/>
        <w:szCs w:val="18"/>
        <w:color w:val="231F20"/>
        <w:spacing w:val="8"/>
        <w:position w:val="-1"/>
      </w:rPr>
      <w:t xml:space="preserve">   </w:t>
    </w:r>
    <w:r>
      <w:rPr>
        <w:sz w:val="18"/>
        <w:szCs w:val="18"/>
        <w:position w:val="-1"/>
      </w:rPr>
      <w:drawing>
        <wp:inline distT="0" distB="0" distL="0" distR="0">
          <wp:extent cx="262962" cy="100824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62962" cy="100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8"/>
        <w:szCs w:val="18"/>
        <w:color w:val="231F20"/>
        <w:spacing w:val="19"/>
        <w:position w:val="-1"/>
      </w:rPr>
      <w:t xml:space="preserve">  </w:t>
    </w:r>
    <w:r>
      <w:rPr>
        <w:sz w:val="18"/>
        <w:szCs w:val="18"/>
        <w:position w:val="-1"/>
      </w:rPr>
      <w:drawing>
        <wp:inline distT="0" distB="0" distL="0" distR="0">
          <wp:extent cx="1355338" cy="101193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355338" cy="1011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2023-03-27T09:01:17Z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2025-10-28T21:30:07</vt:filetime>
  </property>
</Properties>
</file>