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88" w:lineRule="auto"/>
        <w:rPr>
          <w:rFonts w:ascii="Arial"/>
          <w:sz w:val="21"/>
        </w:rPr>
      </w:pPr>
      <w:r>
        <w:pict>
          <v:shape id="_x0000_s6" style="position:absolute;margin-left:25.7385pt;margin-top:-1.76373pt;mso-position-vertical-relative:text;mso-position-horizontal-relative:text;width:501.75pt;height:0.35pt;z-index:251658240;" filled="false" strokecolor="#231F20" strokeweight="0.33pt" coordsize="10035,6" coordorigin="0,0" path="m10034,3l0,3e">
            <v:stroke joinstyle="miter" miterlimit="4"/>
          </v:shape>
        </w:pict>
      </w:r>
      <w:r/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9" w:lineRule="auto"/>
        <w:rPr>
          <w:rFonts w:ascii="Arial"/>
          <w:sz w:val="21"/>
        </w:rPr>
      </w:pPr>
      <w:r/>
    </w:p>
    <w:p>
      <w:pPr>
        <w:pStyle w:val="BodyText"/>
        <w:ind w:left="1934"/>
        <w:spacing w:before="117" w:line="212" w:lineRule="auto"/>
        <w:outlineLvl w:val="0"/>
        <w:rPr>
          <w:sz w:val="36"/>
          <w:szCs w:val="36"/>
        </w:rPr>
      </w:pPr>
      <w:r>
        <w:rPr>
          <w:sz w:val="36"/>
          <w:szCs w:val="36"/>
          <w:color w:val="231F20"/>
          <w:spacing w:val="-1"/>
        </w:rPr>
        <w:t>妇炎消胶囊联合西药治疗急性盆腔炎的效果及</w:t>
      </w:r>
    </w:p>
    <w:p>
      <w:pPr>
        <w:pStyle w:val="BodyText"/>
        <w:ind w:left="3914"/>
        <w:spacing w:before="112" w:line="207" w:lineRule="auto"/>
        <w:outlineLvl w:val="0"/>
        <w:rPr>
          <w:sz w:val="36"/>
          <w:szCs w:val="36"/>
        </w:rPr>
      </w:pPr>
      <w:r>
        <w:rPr>
          <w:sz w:val="36"/>
          <w:szCs w:val="36"/>
          <w:color w:val="231F20"/>
          <w:spacing w:val="-1"/>
        </w:rPr>
        <w:t>对炎症和症状的影响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ind w:left="5238"/>
        <w:spacing w:before="86" w:line="164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林雪云</w:t>
      </w:r>
    </w:p>
    <w:p>
      <w:pPr>
        <w:ind w:left="3549"/>
        <w:spacing w:before="49" w:line="193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（福建省罗源县妇幼保健院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·福建福州   3506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00）</w:t>
      </w:r>
    </w:p>
    <w:p>
      <w:pPr>
        <w:ind w:left="1081" w:right="561" w:firstLine="371"/>
        <w:spacing w:before="260" w:line="187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5"/>
        </w:rPr>
        <w:t>摘   要    目的：探讨对急性盆腔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>炎患者采取妇炎消胶囊与西药联合治疗的效果。方法：选择我院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>2022 年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4"/>
        </w:rPr>
        <w:t>11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4"/>
        </w:rPr>
        <w:t>月～ 2023 年 11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4"/>
        </w:rPr>
        <w:t>月收治的 94 例急性盆腔炎患者，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4"/>
        </w:rPr>
        <w:t>根据随机数字表法分为观察组（48 例）和对照组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5"/>
        </w:rPr>
        <w:t>（46 例）。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5"/>
        </w:rPr>
        <w:t>两组均采取常规西药治疗，观察组在此基础上联合妇炎消胶囊治疗。比较两组疗效、中医证候积分、炎症指标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>及不良反应。结果：治疗总有效率比较观察组高于对照组（P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>＜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>0.05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）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；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>治疗后两组中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>医证候积分降低且观察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9"/>
        </w:rPr>
        <w:t>组更低（P ＜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9"/>
        </w:rPr>
        <w:t>0.05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）；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9"/>
        </w:rPr>
        <w:t>治疗后两组 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IL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9"/>
        </w:rPr>
        <w:t>-6、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TNF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9"/>
        </w:rPr>
        <w:t>-α、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IL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9"/>
        </w:rPr>
        <w:t>-1β 水平降低且观察组更低（P ＜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9"/>
        </w:rPr>
        <w:t>0.05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）；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9"/>
        </w:rPr>
        <w:t>观察组不良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>反应总发生率与对照组比较差异小（P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>＞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>0.05）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>。结论：在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>对急性盆腔炎的治疗中，妇炎消胶囊联合西药能够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>减轻炎性反应，改善临床症状，控制病情进展，且不良反应少，疗效好且安全可靠，值得临床推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广。</w:t>
      </w:r>
    </w:p>
    <w:p>
      <w:pPr>
        <w:ind w:left="1453"/>
        <w:spacing w:line="203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4"/>
        </w:rPr>
        <w:t>关键词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6"/>
          <w:w w:val="101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4"/>
        </w:rPr>
        <w:t>急性盆腔炎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2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4"/>
        </w:rPr>
        <w:t>西药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9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4"/>
        </w:rPr>
        <w:t>妇炎消胶囊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1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4"/>
        </w:rPr>
        <w:t>炎症</w:t>
      </w:r>
    </w:p>
    <w:p>
      <w:pPr>
        <w:spacing w:before="230"/>
        <w:rPr/>
      </w:pPr>
      <w:r/>
    </w:p>
    <w:p>
      <w:pPr>
        <w:sectPr>
          <w:headerReference w:type="default" r:id="rId1"/>
          <w:pgSz w:w="11906" w:h="16158"/>
          <w:pgMar w:top="1307" w:right="871" w:bottom="0" w:left="424" w:header="937" w:footer="0" w:gutter="0"/>
          <w:cols w:equalWidth="0" w:num="1">
            <w:col w:w="10610" w:space="0"/>
          </w:cols>
        </w:sectPr>
        <w:rPr/>
      </w:pPr>
    </w:p>
    <w:p>
      <w:pPr>
        <w:pStyle w:val="BodyText"/>
        <w:ind w:left="517" w:right="207" w:firstLine="375"/>
        <w:spacing w:before="35" w:line="244" w:lineRule="auto"/>
        <w:rPr/>
      </w:pPr>
      <w:r>
        <w:rPr>
          <w:color w:val="231F20"/>
          <w:spacing w:val="5"/>
        </w:rPr>
        <w:t>急性盆腔炎妇科常见病之一，其类型和病因复杂，主要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是细菌感染引起，支原体、病毒、衣原体等也可导致疾病发  </w:t>
      </w:r>
      <w:r>
        <w:rPr>
          <w:color w:val="231F20"/>
          <w:spacing w:val="-1"/>
        </w:rPr>
        <w:t>生</w:t>
      </w:r>
      <w:r>
        <w:rPr>
          <w:color w:val="231F20"/>
          <w:spacing w:val="-23"/>
        </w:rPr>
        <w:t xml:space="preserve"> </w:t>
      </w:r>
      <w:r>
        <w:rPr>
          <w:sz w:val="10"/>
          <w:szCs w:val="10"/>
          <w:color w:val="231F20"/>
          <w:spacing w:val="-1"/>
          <w:position w:val="8"/>
        </w:rPr>
        <w:t>[1]</w:t>
      </w:r>
      <w:r>
        <w:rPr>
          <w:sz w:val="10"/>
          <w:szCs w:val="10"/>
          <w:color w:val="231F20"/>
          <w:spacing w:val="-26"/>
          <w:position w:val="8"/>
        </w:rPr>
        <w:t xml:space="preserve"> </w:t>
      </w:r>
      <w:r>
        <w:rPr>
          <w:color w:val="231F20"/>
          <w:spacing w:val="-1"/>
        </w:rPr>
        <w:t>。有研究表明，急性盆腔炎的发病率约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"/>
        </w:rPr>
        <w:t>2%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1"/>
        </w:rPr>
        <w:t>～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"/>
        </w:rPr>
        <w:t>12%，</w:t>
      </w:r>
      <w:r>
        <w:rPr>
          <w:color w:val="231F20"/>
          <w:spacing w:val="-2"/>
        </w:rPr>
        <w:t>患者</w:t>
      </w:r>
      <w:r>
        <w:rPr>
          <w:color w:val="231F20"/>
        </w:rPr>
        <w:t xml:space="preserve">  </w:t>
      </w:r>
      <w:r>
        <w:rPr>
          <w:color w:val="231F20"/>
          <w:spacing w:val="-2"/>
        </w:rPr>
        <w:t>通常具有盆腔积液、腹痛、发热、畏寒、白带</w:t>
      </w:r>
      <w:r>
        <w:rPr>
          <w:color w:val="231F20"/>
          <w:spacing w:val="-3"/>
        </w:rPr>
        <w:t>异常等症状</w:t>
      </w:r>
      <w:r>
        <w:rPr>
          <w:color w:val="231F20"/>
          <w:spacing w:val="-27"/>
        </w:rPr>
        <w:t xml:space="preserve"> </w:t>
      </w:r>
      <w:r>
        <w:rPr>
          <w:sz w:val="10"/>
          <w:szCs w:val="10"/>
          <w:color w:val="231F20"/>
          <w:spacing w:val="-3"/>
          <w:position w:val="8"/>
        </w:rPr>
        <w:t>[2]</w:t>
      </w:r>
      <w:r>
        <w:rPr>
          <w:sz w:val="10"/>
          <w:szCs w:val="10"/>
          <w:color w:val="231F20"/>
          <w:spacing w:val="-25"/>
          <w:position w:val="8"/>
        </w:rPr>
        <w:t xml:space="preserve"> </w:t>
      </w:r>
      <w:r>
        <w:rPr>
          <w:color w:val="231F20"/>
          <w:spacing w:val="-3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急性盆腔炎发病急，病情进展迅速，若患者未能得到及时治疗，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6"/>
        </w:rPr>
        <w:t>可发展为慢性盆腔炎，难以治愈，发作反复，引发慢性盆腔痛、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7"/>
        </w:rPr>
        <w:t>不孕等，甚至诱发败血症、感染性休克，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-7"/>
        </w:rPr>
        <w:t>对患者造成严重伤害。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临床对急性盆腔炎缺乏治疗规范，多采用经验性广谱抗感染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5"/>
        </w:rPr>
        <w:t>治疗，覆盖可能引发疾病的病原体，进而达到控制病情的效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3"/>
        </w:rPr>
        <w:t>果</w:t>
      </w:r>
      <w:r>
        <w:rPr>
          <w:color w:val="231F20"/>
          <w:spacing w:val="-23"/>
        </w:rPr>
        <w:t xml:space="preserve"> </w:t>
      </w:r>
      <w:r>
        <w:rPr>
          <w:sz w:val="10"/>
          <w:szCs w:val="10"/>
          <w:color w:val="231F20"/>
          <w:spacing w:val="3"/>
          <w:position w:val="8"/>
        </w:rPr>
        <w:t>[3]</w:t>
      </w:r>
      <w:r>
        <w:rPr>
          <w:sz w:val="10"/>
          <w:szCs w:val="10"/>
          <w:color w:val="231F20"/>
          <w:spacing w:val="-26"/>
          <w:position w:val="8"/>
        </w:rPr>
        <w:t xml:space="preserve"> </w:t>
      </w:r>
      <w:r>
        <w:rPr>
          <w:color w:val="231F20"/>
          <w:spacing w:val="3"/>
        </w:rPr>
        <w:t>。因导致急性盆腔炎的致病菌多，加上</w:t>
      </w:r>
      <w:r>
        <w:rPr>
          <w:color w:val="231F20"/>
          <w:spacing w:val="2"/>
        </w:rPr>
        <w:t>抗生素滥用，敏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感性降低，使得疗效并不理想。中医在对急性盆腔炎的治疗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5"/>
        </w:rPr>
        <w:t>中有明显优势，在减轻病情、减少复发、预防后遗症等方面  </w:t>
      </w:r>
      <w:r>
        <w:rPr>
          <w:color w:val="231F20"/>
          <w:spacing w:val="5"/>
        </w:rPr>
        <w:t>取得了良好的效果。其中妇炎消胶囊为苗族经典药方，主治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妇女生殖系统炎症、痛经带下，但在对急性盆腔炎</w:t>
      </w:r>
      <w:r>
        <w:rPr>
          <w:color w:val="231F20"/>
          <w:spacing w:val="4"/>
        </w:rPr>
        <w:t>的治疗中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报道较少。为了寻找更佳的治疗方案，本研究对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"/>
        </w:rPr>
        <w:t>48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1"/>
        </w:rPr>
        <w:t>例急性盆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腔炎患者采取妇炎消胶囊联合西药治疗。内容如下：</w:t>
      </w:r>
    </w:p>
    <w:p>
      <w:pPr>
        <w:ind w:left="529"/>
        <w:spacing w:before="1" w:line="190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6"/>
        </w:rPr>
        <w:t>1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1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6"/>
        </w:rPr>
        <w:t>资料与方法</w:t>
      </w:r>
    </w:p>
    <w:p>
      <w:pPr>
        <w:ind w:left="526"/>
        <w:spacing w:before="1" w:line="185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9"/>
        </w:rPr>
        <w:t>1.1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0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9"/>
        </w:rPr>
        <w:t>一般资料</w:t>
      </w:r>
    </w:p>
    <w:p>
      <w:pPr>
        <w:pStyle w:val="BodyText"/>
        <w:ind w:left="517" w:right="270" w:firstLine="368"/>
        <w:spacing w:before="5" w:line="244" w:lineRule="auto"/>
        <w:rPr/>
      </w:pPr>
      <w:r>
        <w:rPr>
          <w:color w:val="231F20"/>
          <w:spacing w:val="-3"/>
        </w:rPr>
        <w:t>选择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3"/>
        </w:rPr>
        <w:t>2022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3"/>
        </w:rPr>
        <w:t>年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3"/>
        </w:rPr>
        <w:t>11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3"/>
        </w:rPr>
        <w:t>月～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3"/>
        </w:rPr>
        <w:t>2023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3"/>
        </w:rPr>
        <w:t>年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3"/>
        </w:rPr>
        <w:t>11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3"/>
        </w:rPr>
        <w:t>月我院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3"/>
        </w:rPr>
        <w:t>94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3"/>
        </w:rPr>
        <w:t>例</w:t>
      </w:r>
      <w:r>
        <w:rPr>
          <w:color w:val="231F20"/>
          <w:spacing w:val="-4"/>
        </w:rPr>
        <w:t>急性盆腔炎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患者，以随机数字表法分组。观察组年龄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3"/>
        </w:rPr>
        <w:t>27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2"/>
        </w:rPr>
        <w:t>～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2"/>
        </w:rPr>
        <w:t>63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2"/>
        </w:rPr>
        <w:t>岁，平均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（41.52±7.33）岁；病程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1"/>
        </w:rPr>
        <w:t>1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1"/>
        </w:rPr>
        <w:t>～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1"/>
        </w:rPr>
        <w:t>6d，平均（2.57±0.42）d；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疾病类型：附件炎 18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1"/>
        </w:rPr>
        <w:t>例，盆腔结缔组织炎 14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1"/>
        </w:rPr>
        <w:t>例，盆腔腹膜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炎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3"/>
        </w:rPr>
        <w:t>16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3"/>
        </w:rPr>
        <w:t>例。对照组年龄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3"/>
        </w:rPr>
        <w:t>30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3"/>
        </w:rPr>
        <w:t>～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3"/>
        </w:rPr>
        <w:t>63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3"/>
        </w:rPr>
        <w:t>岁，平均（39.72±7.28）岁；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病程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"/>
        </w:rPr>
        <w:t>1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1"/>
        </w:rPr>
        <w:t>～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1"/>
        </w:rPr>
        <w:t>7d，平均病程（3.01±0.49）d。疾病类型：</w:t>
      </w:r>
      <w:r>
        <w:rPr>
          <w:color w:val="231F20"/>
          <w:spacing w:val="-2"/>
        </w:rPr>
        <w:t>附件炎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17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1"/>
        </w:rPr>
        <w:t>例，盆腔结缔组织炎 15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1"/>
        </w:rPr>
        <w:t>例，盆腔腹膜炎 14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1"/>
        </w:rPr>
        <w:t>例。两组基本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资料对比（P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4"/>
        </w:rPr>
        <w:t>＞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4"/>
        </w:rPr>
        <w:t>0.05）。患者及其家属</w:t>
      </w:r>
      <w:r>
        <w:rPr>
          <w:color w:val="231F20"/>
          <w:spacing w:val="3"/>
        </w:rPr>
        <w:t>均知晓本研究，并签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署同意书。本研究获得医院伦理委员会许可。</w:t>
      </w:r>
    </w:p>
    <w:p>
      <w:pPr>
        <w:pStyle w:val="BodyText"/>
        <w:ind w:left="518" w:right="193" w:firstLine="369"/>
        <w:spacing w:before="1" w:line="243" w:lineRule="auto"/>
        <w:jc w:val="both"/>
        <w:rPr/>
      </w:pPr>
      <w:r>
        <w:rPr>
          <w:color w:val="231F20"/>
          <w:spacing w:val="-5"/>
        </w:rPr>
        <w:t>纳入标准（1）中医符合《盆腔炎症性疾病诊治规范 (2019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4"/>
        </w:rPr>
        <w:t>修订版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4"/>
        </w:rPr>
        <w:t>)》</w:t>
      </w:r>
      <w:r>
        <w:rPr>
          <w:sz w:val="10"/>
          <w:szCs w:val="10"/>
          <w:color w:val="231F20"/>
          <w:spacing w:val="-4"/>
          <w:position w:val="8"/>
        </w:rPr>
        <w:t>[4] </w:t>
      </w:r>
      <w:r>
        <w:rPr>
          <w:color w:val="231F20"/>
          <w:spacing w:val="-4"/>
        </w:rPr>
        <w:t>诊断标准，主症包括带下量多，腰骶疼痛，腹痛。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次症包括舌红，苔黄，脉滑数，经期延长。有主症及 1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3"/>
        </w:rPr>
        <w:t>项次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症即可确诊</w:t>
      </w:r>
      <w:r>
        <w:rPr>
          <w:color w:val="231F20"/>
          <w:spacing w:val="-7"/>
        </w:rPr>
        <w:t>；（</w:t>
      </w:r>
      <w:r>
        <w:rPr>
          <w:color w:val="231F20"/>
          <w:spacing w:val="2"/>
        </w:rPr>
        <w:t>2）西医诊断符合《妇产科学 (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2"/>
        </w:rPr>
        <w:t>第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2"/>
        </w:rPr>
        <w:t>5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2"/>
        </w:rPr>
        <w:t>版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2"/>
        </w:rPr>
        <w:t>)》</w:t>
      </w:r>
      <w:r>
        <w:rPr>
          <w:sz w:val="10"/>
          <w:szCs w:val="10"/>
          <w:color w:val="231F20"/>
          <w:spacing w:val="2"/>
          <w:position w:val="8"/>
        </w:rPr>
        <w:t>[5]</w:t>
      </w:r>
      <w:r>
        <w:rPr>
          <w:sz w:val="10"/>
          <w:szCs w:val="10"/>
          <w:color w:val="231F20"/>
          <w:position w:val="8"/>
        </w:rPr>
        <w:t xml:space="preserve">  </w:t>
      </w:r>
      <w:r>
        <w:rPr>
          <w:color w:val="231F20"/>
          <w:spacing w:val="-3"/>
        </w:rPr>
        <w:t>中的诊断标准</w:t>
      </w:r>
      <w:r>
        <w:rPr>
          <w:color w:val="231F20"/>
          <w:spacing w:val="-15"/>
        </w:rPr>
        <w:t>；（</w:t>
      </w:r>
      <w:r>
        <w:rPr>
          <w:color w:val="231F20"/>
          <w:spacing w:val="-3"/>
        </w:rPr>
        <w:t>3）经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-3"/>
        </w:rPr>
        <w:t>B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-3"/>
        </w:rPr>
        <w:t>超、理化检查、临床症</w:t>
      </w:r>
      <w:r>
        <w:rPr>
          <w:color w:val="231F20"/>
          <w:spacing w:val="-4"/>
        </w:rPr>
        <w:t>状确诊</w:t>
      </w:r>
      <w:r>
        <w:rPr>
          <w:color w:val="231F20"/>
          <w:spacing w:val="-15"/>
        </w:rPr>
        <w:t>；（</w:t>
      </w:r>
      <w:r>
        <w:rPr>
          <w:color w:val="231F20"/>
          <w:spacing w:val="-4"/>
        </w:rPr>
        <w:t>4）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临床资料完整。</w:t>
      </w:r>
    </w:p>
    <w:p>
      <w:pPr>
        <w:pStyle w:val="BodyText"/>
        <w:ind w:left="886"/>
        <w:spacing w:before="7" w:line="220" w:lineRule="auto"/>
        <w:rPr/>
      </w:pPr>
      <w:r>
        <w:rPr>
          <w:color w:val="231F20"/>
          <w:spacing w:val="-4"/>
        </w:rPr>
        <w:t>排除标准（1）合并泌尿系统感染者</w:t>
      </w:r>
      <w:r>
        <w:rPr>
          <w:color w:val="231F20"/>
          <w:spacing w:val="-28"/>
        </w:rPr>
        <w:t>；（</w:t>
      </w:r>
      <w:r>
        <w:rPr>
          <w:color w:val="231F20"/>
          <w:spacing w:val="-4"/>
        </w:rPr>
        <w:t>2）过敏体质患者；</w:t>
      </w:r>
    </w:p>
    <w:p>
      <w:pPr>
        <w:pStyle w:val="BodyText"/>
        <w:ind w:left="433"/>
        <w:spacing w:before="24" w:line="185" w:lineRule="auto"/>
        <w:rPr/>
      </w:pPr>
      <w:r>
        <w:rPr>
          <w:color w:val="231F20"/>
        </w:rPr>
        <w:t>（3）妊娠期或哺乳期妇女</w:t>
      </w:r>
      <w:r>
        <w:rPr>
          <w:color w:val="231F20"/>
          <w:spacing w:val="-28"/>
        </w:rPr>
        <w:t>；（</w:t>
      </w:r>
      <w:r>
        <w:rPr>
          <w:color w:val="231F20"/>
        </w:rPr>
        <w:t>4）伴有子宫内膜异位症者</w:t>
      </w:r>
      <w:r>
        <w:rPr>
          <w:color w:val="231F20"/>
          <w:spacing w:val="-28"/>
        </w:rPr>
        <w:t>；（</w:t>
      </w:r>
      <w:r>
        <w:rPr>
          <w:color w:val="231F20"/>
        </w:rPr>
        <w:t>5）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 w:right="63" w:firstLine="1"/>
        <w:spacing w:before="34" w:line="244" w:lineRule="auto"/>
        <w:rPr/>
      </w:pPr>
      <w:r>
        <w:rPr>
          <w:color w:val="231F20"/>
          <w:spacing w:val="8"/>
        </w:rPr>
        <w:t>慢性盆腔炎患者</w:t>
      </w:r>
      <w:r>
        <w:rPr>
          <w:color w:val="231F20"/>
          <w:spacing w:val="-10"/>
        </w:rPr>
        <w:t>；（</w:t>
      </w:r>
      <w:r>
        <w:rPr>
          <w:color w:val="231F20"/>
          <w:spacing w:val="8"/>
        </w:rPr>
        <w:t>6）糖尿病肾病患者</w:t>
      </w:r>
      <w:r>
        <w:rPr>
          <w:color w:val="231F20"/>
          <w:spacing w:val="-10"/>
        </w:rPr>
        <w:t>；（</w:t>
      </w:r>
      <w:r>
        <w:rPr>
          <w:color w:val="231F20"/>
          <w:spacing w:val="8"/>
        </w:rPr>
        <w:t>7）血液系</w:t>
      </w:r>
      <w:r>
        <w:rPr>
          <w:color w:val="231F20"/>
          <w:spacing w:val="7"/>
        </w:rPr>
        <w:t>统疾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8"/>
        </w:rPr>
        <w:t>病者。</w:t>
      </w:r>
    </w:p>
    <w:p>
      <w:pPr>
        <w:ind w:left="12"/>
        <w:spacing w:before="1" w:line="185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1.2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0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方法</w:t>
      </w:r>
    </w:p>
    <w:p>
      <w:pPr>
        <w:pStyle w:val="BodyText"/>
        <w:ind w:left="17"/>
        <w:spacing w:before="1" w:line="220" w:lineRule="auto"/>
        <w:rPr/>
      </w:pPr>
      <w:r>
        <w:rPr>
          <w:color w:val="231F20"/>
          <w:spacing w:val="-2"/>
        </w:rPr>
        <w:t>1.2.1  对照组方法</w:t>
      </w:r>
    </w:p>
    <w:p>
      <w:pPr>
        <w:pStyle w:val="BodyText"/>
        <w:ind w:firstLine="371"/>
        <w:spacing w:before="20" w:line="245" w:lineRule="auto"/>
        <w:rPr/>
      </w:pPr>
      <w:r>
        <w:rPr>
          <w:color w:val="231F20"/>
          <w:spacing w:val="22"/>
        </w:rPr>
        <w:t>对照组患者接受西药治疗：使用左氧氟沙星注射液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1"/>
        </w:rPr>
        <w:t>（山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1"/>
        </w:rPr>
        <w:t>东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-1"/>
        </w:rPr>
        <w:t>华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-1"/>
        </w:rPr>
        <w:t>鲁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-1"/>
        </w:rPr>
        <w:t>制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-1"/>
        </w:rPr>
        <w:t>药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-1"/>
        </w:rPr>
        <w:t>有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1"/>
        </w:rPr>
        <w:t>限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1"/>
        </w:rPr>
        <w:t>公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1"/>
        </w:rPr>
        <w:t>司；H20233788；20ml：0.5g（按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C18H20FN3O4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1"/>
        </w:rPr>
        <w:t>计</w:t>
      </w:r>
      <w:r>
        <w:rPr>
          <w:color w:val="231F20"/>
          <w:spacing w:val="8"/>
        </w:rPr>
        <w:t>）），</w:t>
      </w:r>
      <w:r>
        <w:rPr>
          <w:color w:val="231F20"/>
          <w:spacing w:val="-1"/>
        </w:rPr>
        <w:t>静脉滴注，0.3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1"/>
        </w:rPr>
        <w:t>～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1"/>
        </w:rPr>
        <w:t>0.6g/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1"/>
        </w:rPr>
        <w:t>次，1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1"/>
        </w:rPr>
        <w:t>次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1"/>
        </w:rPr>
        <w:t>/d。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奥硝唑注射液（生产厂家：石家庄四药有限公司；国药准字：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H20233107；规格：3mL：0.5g</w:t>
      </w:r>
      <w:r>
        <w:rPr>
          <w:color w:val="231F20"/>
          <w:spacing w:val="-21"/>
        </w:rPr>
        <w:t>），</w:t>
      </w:r>
      <w:r>
        <w:rPr>
          <w:color w:val="231F20"/>
          <w:spacing w:val="-2"/>
        </w:rPr>
        <w:t>静脉滴</w:t>
      </w:r>
      <w:r>
        <w:rPr>
          <w:color w:val="231F20"/>
          <w:spacing w:val="-3"/>
        </w:rPr>
        <w:t>注，1g/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3"/>
        </w:rPr>
        <w:t>次，1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3"/>
        </w:rPr>
        <w:t>次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3"/>
        </w:rPr>
        <w:t>/d。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治疗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6"/>
        </w:rPr>
        <w:t>2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6"/>
        </w:rPr>
        <w:t>周。</w:t>
      </w:r>
    </w:p>
    <w:p>
      <w:pPr>
        <w:pStyle w:val="BodyText"/>
        <w:ind w:left="17"/>
        <w:spacing w:before="1" w:line="219" w:lineRule="auto"/>
        <w:rPr/>
      </w:pPr>
      <w:r>
        <w:rPr>
          <w:color w:val="231F20"/>
          <w:spacing w:val="-2"/>
        </w:rPr>
        <w:t>1.2.2  观察组方法</w:t>
      </w:r>
    </w:p>
    <w:p>
      <w:pPr>
        <w:pStyle w:val="BodyText"/>
        <w:ind w:left="3" w:right="63" w:firstLine="369"/>
        <w:spacing w:before="22" w:line="245" w:lineRule="auto"/>
        <w:jc w:val="both"/>
        <w:rPr/>
      </w:pPr>
      <w:r>
        <w:rPr>
          <w:color w:val="231F20"/>
          <w:spacing w:val="13"/>
        </w:rPr>
        <w:t>观察组患者在常规西药治疗基础上联合妇炎消胶囊治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12"/>
        </w:rPr>
        <w:t>疗：使用妇炎消胶囊（贵州益佰女子大药厂有限责任公司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2"/>
        </w:rPr>
        <w:t>产；Z20025333；0.45g）。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2"/>
        </w:rPr>
        <w:t>口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1"/>
        </w:rPr>
        <w:t>服，3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1"/>
        </w:rPr>
        <w:t>粒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1"/>
        </w:rPr>
        <w:t>/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"/>
        </w:rPr>
        <w:t>次，3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"/>
        </w:rPr>
        <w:t>次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1"/>
        </w:rPr>
        <w:t>/d。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1"/>
        </w:rPr>
        <w:t>治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疗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6"/>
        </w:rPr>
        <w:t>2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6"/>
        </w:rPr>
        <w:t>周。</w:t>
      </w:r>
    </w:p>
    <w:p>
      <w:pPr>
        <w:pStyle w:val="BodyText"/>
        <w:ind w:left="17"/>
        <w:spacing w:line="220" w:lineRule="auto"/>
        <w:rPr/>
      </w:pPr>
      <w:r>
        <w:rPr>
          <w:color w:val="231F20"/>
          <w:spacing w:val="-2"/>
        </w:rPr>
        <w:t>1.2.3  疗效标准</w:t>
      </w:r>
    </w:p>
    <w:p>
      <w:pPr>
        <w:pStyle w:val="BodyText"/>
        <w:ind w:left="2" w:right="63" w:firstLine="369"/>
        <w:spacing w:before="1" w:line="249" w:lineRule="auto"/>
        <w:rPr/>
      </w:pPr>
      <w:r>
        <w:rPr>
          <w:color w:val="231F20"/>
          <w:spacing w:val="4"/>
        </w:rPr>
        <w:t>观察并比较两组治疗效果</w:t>
      </w:r>
      <w:r>
        <w:rPr>
          <w:color w:val="231F20"/>
          <w:spacing w:val="-14"/>
        </w:rPr>
        <w:t xml:space="preserve"> </w:t>
      </w:r>
      <w:r>
        <w:rPr>
          <w:sz w:val="10"/>
          <w:szCs w:val="10"/>
          <w:color w:val="231F20"/>
          <w:spacing w:val="4"/>
          <w:position w:val="8"/>
        </w:rPr>
        <w:t>[6]</w:t>
      </w:r>
      <w:r>
        <w:rPr>
          <w:sz w:val="10"/>
          <w:szCs w:val="10"/>
          <w:color w:val="231F20"/>
          <w:spacing w:val="-28"/>
          <w:position w:val="8"/>
        </w:rPr>
        <w:t xml:space="preserve"> </w:t>
      </w:r>
      <w:r>
        <w:rPr>
          <w:color w:val="231F20"/>
          <w:spacing w:val="4"/>
        </w:rPr>
        <w:t>：将症状恢复，B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4"/>
        </w:rPr>
        <w:t>超检查盆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腔炎症阴影消失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13"/>
        </w:rPr>
        <w:t>，中医证候积分下降≥ 70%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3"/>
        </w:rPr>
        <w:t>表示显效</w:t>
      </w:r>
      <w:r>
        <w:rPr>
          <w:color w:val="231F20"/>
          <w:spacing w:val="-49"/>
        </w:rPr>
        <w:t xml:space="preserve"> </w:t>
      </w:r>
      <w:r>
        <w:rPr>
          <w:color w:val="231F20"/>
          <w:spacing w:val="13"/>
        </w:rPr>
        <w:t>；</w:t>
      </w:r>
      <w:r>
        <w:rPr>
          <w:color w:val="231F20"/>
        </w:rPr>
        <w:t xml:space="preserve"> </w:t>
      </w:r>
      <w:r>
        <w:rPr>
          <w:color w:val="231F20"/>
          <w:spacing w:val="17"/>
        </w:rPr>
        <w:t>将症状改善</w:t>
      </w:r>
      <w:r>
        <w:rPr>
          <w:color w:val="231F20"/>
          <w:spacing w:val="-50"/>
        </w:rPr>
        <w:t xml:space="preserve"> </w:t>
      </w:r>
      <w:r>
        <w:rPr>
          <w:color w:val="231F20"/>
          <w:spacing w:val="17"/>
        </w:rPr>
        <w:t>，B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7"/>
        </w:rPr>
        <w:t>超检查炎症阴影减少＞ 50</w:t>
      </w:r>
      <w:r>
        <w:rPr>
          <w:color w:val="231F20"/>
          <w:spacing w:val="16"/>
        </w:rPr>
        <w:t>%</w:t>
      </w:r>
      <w:r>
        <w:rPr>
          <w:color w:val="231F20"/>
          <w:spacing w:val="-51"/>
        </w:rPr>
        <w:t xml:space="preserve"> </w:t>
      </w:r>
      <w:r>
        <w:rPr>
          <w:color w:val="231F20"/>
          <w:spacing w:val="16"/>
        </w:rPr>
        <w:t>，中医证候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积分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2"/>
        </w:rPr>
        <w:t>降低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2"/>
        </w:rPr>
        <w:t>≥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2"/>
        </w:rPr>
        <w:t>30%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2"/>
        </w:rPr>
        <w:t>表示有效；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2"/>
        </w:rPr>
        <w:t>将症状无改善或持续性加重表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示无效。</w:t>
      </w:r>
    </w:p>
    <w:p>
      <w:pPr>
        <w:ind w:left="12"/>
        <w:spacing w:before="1" w:line="168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8"/>
        </w:rPr>
        <w:t>1.3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9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8"/>
        </w:rPr>
        <w:t>观察指标</w:t>
      </w:r>
    </w:p>
    <w:p>
      <w:pPr>
        <w:pStyle w:val="BodyText"/>
        <w:ind w:left="6" w:right="14" w:firstLine="371"/>
        <w:spacing w:before="2" w:line="243" w:lineRule="auto"/>
        <w:rPr/>
      </w:pPr>
      <w:r>
        <w:rPr>
          <w:color w:val="231F20"/>
          <w:spacing w:val="-3"/>
        </w:rPr>
        <w:t>（1）中医证候积分 </w:t>
      </w:r>
      <w:r>
        <w:rPr>
          <w:sz w:val="10"/>
          <w:szCs w:val="10"/>
          <w:color w:val="231F20"/>
          <w:spacing w:val="-3"/>
          <w:position w:val="8"/>
        </w:rPr>
        <w:t>[7]</w:t>
      </w:r>
      <w:r>
        <w:rPr>
          <w:sz w:val="10"/>
          <w:szCs w:val="10"/>
          <w:color w:val="231F20"/>
          <w:spacing w:val="-12"/>
          <w:position w:val="8"/>
        </w:rPr>
        <w:t xml:space="preserve"> </w:t>
      </w:r>
      <w:r>
        <w:rPr>
          <w:color w:val="231F20"/>
          <w:spacing w:val="-3"/>
        </w:rPr>
        <w:t>：观察两组治疗前后的腰骶疼痛、</w:t>
      </w:r>
      <w:r>
        <w:rPr>
          <w:color w:val="231F20"/>
        </w:rPr>
        <w:t xml:space="preserve">  </w:t>
      </w:r>
      <w:r>
        <w:rPr>
          <w:color w:val="231F20"/>
          <w:spacing w:val="-9"/>
        </w:rPr>
        <w:t>带下量多、腹痛等中医证候积分情况，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-9"/>
        </w:rPr>
        <w:t>各单项分为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9"/>
        </w:rPr>
        <w:t>0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9"/>
        </w:rPr>
        <w:t>～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9"/>
        </w:rPr>
        <w:t>10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9"/>
        </w:rPr>
        <w:t>分，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分数越高表示病情越严重。</w:t>
      </w:r>
    </w:p>
    <w:p>
      <w:pPr>
        <w:pStyle w:val="BodyText"/>
        <w:ind w:left="4" w:right="63" w:firstLine="373"/>
        <w:spacing w:before="27" w:line="239" w:lineRule="auto"/>
        <w:rPr/>
      </w:pPr>
      <w:r>
        <w:rPr>
          <w:color w:val="231F20"/>
          <w:spacing w:val="1"/>
        </w:rPr>
        <w:t>（2）炎症指标：分别于治疗前、后清晨空腹下采集肘静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4"/>
        </w:rPr>
        <w:t>脉血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4"/>
        </w:rPr>
        <w:t>3</w:t>
      </w:r>
      <w:r>
        <w:rPr>
          <w:color w:val="231F20"/>
        </w:rPr>
        <w:t>mL</w:t>
      </w:r>
      <w:r>
        <w:rPr>
          <w:color w:val="231F20"/>
          <w:spacing w:val="4"/>
        </w:rPr>
        <w:t>，离心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4"/>
        </w:rPr>
        <w:t>2500r/</w:t>
      </w:r>
      <w:r>
        <w:rPr>
          <w:color w:val="231F20"/>
        </w:rPr>
        <w:t>min</w:t>
      </w:r>
      <w:r>
        <w:rPr>
          <w:color w:val="231F20"/>
          <w:spacing w:val="4"/>
        </w:rPr>
        <w:t>，10</w:t>
      </w:r>
      <w:r>
        <w:rPr>
          <w:color w:val="231F20"/>
        </w:rPr>
        <w:t>min</w:t>
      </w:r>
      <w:r>
        <w:rPr>
          <w:color w:val="231F20"/>
          <w:spacing w:val="4"/>
        </w:rPr>
        <w:t>，取上清液。炎症指标包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括白介素-6（IL-6）、肿瘤坏死因子-α（TNF-α)、白</w:t>
      </w:r>
      <w:r>
        <w:rPr>
          <w:color w:val="231F20"/>
          <w:spacing w:val="-7"/>
        </w:rPr>
        <w:t>介素-1β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（</w:t>
      </w:r>
      <w:r>
        <w:rPr>
          <w:color w:val="231F20"/>
        </w:rPr>
        <w:t>IL</w:t>
      </w:r>
      <w:r>
        <w:rPr>
          <w:color w:val="231F20"/>
          <w:spacing w:val="7"/>
        </w:rPr>
        <w:t>-1β)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7"/>
        </w:rPr>
        <w:t>,采用酶联免疫吸附法测定，使用深圳晶美生物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公司生产的试剂盒。</w:t>
      </w:r>
    </w:p>
    <w:p>
      <w:pPr>
        <w:pStyle w:val="BodyText"/>
        <w:ind w:left="4" w:right="70" w:firstLine="373"/>
        <w:spacing w:before="25" w:line="232" w:lineRule="auto"/>
        <w:rPr/>
      </w:pPr>
      <w:r>
        <w:rPr>
          <w:color w:val="231F20"/>
          <w:spacing w:val="1"/>
        </w:rPr>
        <w:t>（3）不良反应：记录两组皮疹、肝功能异常、胃肠道反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6"/>
        </w:rPr>
        <w:t>应等情况。</w:t>
      </w:r>
    </w:p>
    <w:p>
      <w:pPr>
        <w:ind w:left="12"/>
        <w:spacing w:before="23" w:line="186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8"/>
        </w:rPr>
        <w:t>1.4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2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8"/>
        </w:rPr>
        <w:t>统计学方法</w:t>
      </w:r>
    </w:p>
    <w:p>
      <w:pPr>
        <w:pStyle w:val="BodyText"/>
        <w:ind w:left="6" w:right="14" w:firstLine="386"/>
        <w:spacing w:before="1" w:line="214" w:lineRule="auto"/>
        <w:rPr/>
      </w:pPr>
      <w:r>
        <w:rPr>
          <w:color w:val="231F20"/>
          <w:spacing w:val="-2"/>
        </w:rPr>
        <w:t>以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2"/>
        </w:rPr>
        <w:t>SPSS21.0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2"/>
        </w:rPr>
        <w:t>统计软件分析，计量资料采用(</w:t>
      </w:r>
      <w:r>
        <w:rPr>
          <w:color w:val="231F20"/>
          <w:spacing w:val="-58"/>
        </w:rPr>
        <w:t xml:space="preserve"> </w:t>
      </w:r>
      <w:r>
        <w:rPr>
          <w:position w:val="-2"/>
        </w:rPr>
        <w:drawing>
          <wp:inline distT="0" distB="0" distL="0" distR="0">
            <wp:extent cx="53608" cy="114300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608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31F20"/>
          <w:spacing w:val="-2"/>
        </w:rPr>
        <w:t>±s）表示，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组间比较采用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4"/>
        </w:rPr>
        <w:t>t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4"/>
        </w:rPr>
        <w:t>检验，计数资料采用相对数表示，组间比较</w:t>
      </w:r>
    </w:p>
    <w:p>
      <w:pPr>
        <w:spacing w:line="214" w:lineRule="auto"/>
        <w:sectPr>
          <w:type w:val="continuous"/>
          <w:pgSz w:w="11906" w:h="16158"/>
          <w:pgMar w:top="1307" w:right="871" w:bottom="0" w:left="424" w:header="937" w:footer="0" w:gutter="0"/>
          <w:cols w:equalWidth="0" w:num="2">
            <w:col w:w="5616" w:space="100"/>
            <w:col w:w="4895" w:space="0"/>
          </w:cols>
        </w:sectPr>
        <w:rPr/>
      </w:pPr>
    </w:p>
    <w:p>
      <w:pPr>
        <w:spacing w:line="160" w:lineRule="exact"/>
        <w:rPr/>
      </w:pPr>
      <w:r>
        <w:pict>
          <v:shape id="_x0000_s12" style="position:absolute;margin-left:46.7716pt;margin-top:63.4465pt;mso-position-vertical-relative:page;mso-position-horizontal-relative:page;width:501.75pt;height:0.35pt;z-index:251659264;" o:allowincell="f" filled="false" strokecolor="#231F20" strokeweight="0.33pt" coordsize="10035,6" coordorigin="0,0" path="m0,3l10034,3e">
            <v:stroke joinstyle="miter" miterlimit="4"/>
          </v:shape>
        </w:pict>
      </w:r>
      <w:r/>
    </w:p>
    <w:p>
      <w:pPr>
        <w:spacing w:line="160" w:lineRule="exact"/>
        <w:sectPr>
          <w:headerReference w:type="default" r:id="rId3"/>
          <w:pgSz w:w="11906" w:h="16158"/>
          <w:pgMar w:top="1307" w:right="755" w:bottom="0" w:left="424" w:header="937" w:footer="0" w:gutter="0"/>
          <w:cols w:equalWidth="0" w:num="1">
            <w:col w:w="10727" w:space="0"/>
          </w:cols>
        </w:sectPr>
        <w:rPr/>
      </w:pPr>
    </w:p>
    <w:p>
      <w:pPr>
        <w:pStyle w:val="BodyText"/>
        <w:ind w:left="517"/>
        <w:spacing w:before="40" w:line="242" w:lineRule="auto"/>
        <w:rPr/>
      </w:pPr>
      <w:r>
        <w:rPr>
          <w:color w:val="231F20"/>
          <w:spacing w:val="-3"/>
        </w:rPr>
        <w:t>采用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3"/>
        </w:rPr>
        <w:t>x</w:t>
      </w:r>
      <w:r>
        <w:rPr>
          <w:sz w:val="10"/>
          <w:szCs w:val="10"/>
          <w:color w:val="231F20"/>
          <w:spacing w:val="-3"/>
          <w:position w:val="8"/>
        </w:rPr>
        <w:t>2 </w:t>
      </w:r>
      <w:r>
        <w:rPr>
          <w:color w:val="231F20"/>
          <w:spacing w:val="-3"/>
        </w:rPr>
        <w:t>检验，P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3"/>
        </w:rPr>
        <w:t>＜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3"/>
        </w:rPr>
        <w:t>0.05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3"/>
        </w:rPr>
        <w:t>为差异有统</w:t>
      </w:r>
      <w:r>
        <w:rPr>
          <w:color w:val="231F20"/>
          <w:spacing w:val="-4"/>
        </w:rPr>
        <w:t>计学意义。</w:t>
      </w:r>
    </w:p>
    <w:p>
      <w:pPr>
        <w:ind w:left="516"/>
        <w:spacing w:before="16" w:line="191" w:lineRule="auto"/>
        <w:outlineLvl w:val="1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6"/>
        </w:rPr>
        <w:t>2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0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6"/>
        </w:rPr>
        <w:t>结果</w:t>
      </w:r>
    </w:p>
    <w:p>
      <w:pPr>
        <w:ind w:left="517"/>
        <w:spacing w:before="1" w:line="185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7"/>
        </w:rPr>
        <w:t>2.1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5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7"/>
        </w:rPr>
        <w:t>两组疗效比较</w:t>
      </w:r>
    </w:p>
    <w:p>
      <w:pPr>
        <w:pStyle w:val="BodyText"/>
        <w:ind w:left="886"/>
        <w:spacing w:line="219" w:lineRule="auto"/>
        <w:rPr/>
      </w:pPr>
      <w:r>
        <w:rPr>
          <w:color w:val="231F20"/>
          <w:spacing w:val="-2"/>
        </w:rPr>
        <w:t>观察组治疗总有效率高于对照组（P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2"/>
        </w:rPr>
        <w:t>＜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2"/>
        </w:rPr>
        <w:t>0.05）。见表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2"/>
        </w:rPr>
        <w:t>1。</w:t>
      </w:r>
    </w:p>
    <w:p>
      <w:pPr>
        <w:pStyle w:val="BodyText"/>
        <w:ind w:left="1813"/>
        <w:spacing w:before="24" w:line="220" w:lineRule="auto"/>
        <w:outlineLvl w:val="2"/>
        <w:rPr>
          <w:sz w:val="16"/>
          <w:szCs w:val="16"/>
        </w:rPr>
      </w:pPr>
      <w:r>
        <w:rPr>
          <w:sz w:val="16"/>
          <w:szCs w:val="16"/>
          <w:color w:val="231F20"/>
          <w:spacing w:val="-4"/>
        </w:rPr>
        <w:t>表</w:t>
      </w:r>
      <w:r>
        <w:rPr>
          <w:sz w:val="16"/>
          <w:szCs w:val="16"/>
          <w:color w:val="231F20"/>
          <w:spacing w:val="-6"/>
        </w:rPr>
        <w:t xml:space="preserve"> </w:t>
      </w:r>
      <w:r>
        <w:rPr>
          <w:sz w:val="16"/>
          <w:szCs w:val="16"/>
          <w:color w:val="231F20"/>
          <w:spacing w:val="-4"/>
        </w:rPr>
        <w:t>1  两组治疗效果比较 [n(%)]</w:t>
      </w:r>
    </w:p>
    <w:p>
      <w:pPr>
        <w:spacing w:line="26" w:lineRule="exact"/>
        <w:rPr/>
      </w:pPr>
      <w:r/>
    </w:p>
    <w:tbl>
      <w:tblPr>
        <w:tblStyle w:val="TableNormal"/>
        <w:tblW w:w="4833" w:type="dxa"/>
        <w:tblInd w:w="51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46"/>
        <w:gridCol w:w="822"/>
        <w:gridCol w:w="848"/>
        <w:gridCol w:w="810"/>
        <w:gridCol w:w="1607"/>
      </w:tblGrid>
      <w:tr>
        <w:trPr>
          <w:trHeight w:val="276" w:hRule="atLeast"/>
        </w:trPr>
        <w:tc>
          <w:tcPr>
            <w:tcW w:w="746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250"/>
              <w:spacing w:before="57" w:line="220" w:lineRule="auto"/>
              <w:rPr/>
            </w:pPr>
            <w:r>
              <w:rPr>
                <w:color w:val="231F20"/>
                <w:spacing w:val="-3"/>
              </w:rPr>
              <w:t>分组</w:t>
            </w:r>
          </w:p>
        </w:tc>
        <w:tc>
          <w:tcPr>
            <w:tcW w:w="822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right="6"/>
              <w:spacing w:before="56" w:line="220" w:lineRule="auto"/>
              <w:jc w:val="right"/>
              <w:rPr/>
            </w:pPr>
            <w:r>
              <w:rPr>
                <w:color w:val="231F20"/>
                <w:spacing w:val="-3"/>
              </w:rPr>
              <w:t>例数（n）</w:t>
            </w:r>
          </w:p>
        </w:tc>
        <w:tc>
          <w:tcPr>
            <w:tcW w:w="848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295"/>
              <w:spacing w:before="57" w:line="220" w:lineRule="auto"/>
              <w:rPr/>
            </w:pPr>
            <w:r>
              <w:rPr>
                <w:color w:val="231F20"/>
                <w:spacing w:val="-3"/>
              </w:rPr>
              <w:t>显效</w:t>
            </w:r>
          </w:p>
        </w:tc>
        <w:tc>
          <w:tcPr>
            <w:tcW w:w="810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250"/>
              <w:spacing w:before="57" w:line="220" w:lineRule="auto"/>
              <w:rPr/>
            </w:pPr>
            <w:r>
              <w:rPr>
                <w:color w:val="231F20"/>
                <w:spacing w:val="-2"/>
              </w:rPr>
              <w:t>有效</w:t>
            </w:r>
          </w:p>
        </w:tc>
        <w:tc>
          <w:tcPr>
            <w:tcW w:w="1607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246"/>
              <w:spacing w:before="56" w:line="220" w:lineRule="auto"/>
              <w:rPr/>
            </w:pPr>
            <w:r>
              <w:rPr>
                <w:color w:val="231F20"/>
                <w:spacing w:val="-3"/>
              </w:rPr>
              <w:t>无效</w:t>
            </w:r>
            <w:r>
              <w:rPr>
                <w:color w:val="231F20"/>
                <w:spacing w:val="4"/>
              </w:rPr>
              <w:t xml:space="preserve">    </w:t>
            </w:r>
            <w:r>
              <w:rPr>
                <w:color w:val="231F20"/>
                <w:spacing w:val="-3"/>
              </w:rPr>
              <w:t>总有效率</w:t>
            </w:r>
          </w:p>
        </w:tc>
      </w:tr>
      <w:tr>
        <w:trPr>
          <w:trHeight w:val="276" w:hRule="atLeast"/>
        </w:trPr>
        <w:tc>
          <w:tcPr>
            <w:tcW w:w="74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68"/>
              <w:spacing w:before="58" w:line="220" w:lineRule="auto"/>
              <w:rPr/>
            </w:pPr>
            <w:r>
              <w:rPr>
                <w:color w:val="231F20"/>
                <w:spacing w:val="-2"/>
              </w:rPr>
              <w:t>观察组</w:t>
            </w:r>
          </w:p>
        </w:tc>
        <w:tc>
          <w:tcPr>
            <w:tcW w:w="82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87"/>
              <w:spacing w:before="58" w:line="239" w:lineRule="auto"/>
              <w:rPr/>
            </w:pPr>
            <w:r>
              <w:rPr>
                <w:color w:val="231F20"/>
                <w:spacing w:val="-2"/>
              </w:rPr>
              <w:t>48</w:t>
            </w:r>
          </w:p>
        </w:tc>
        <w:tc>
          <w:tcPr>
            <w:tcW w:w="84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spacing w:before="59" w:line="232" w:lineRule="auto"/>
              <w:jc w:val="right"/>
              <w:rPr/>
            </w:pPr>
            <w:r>
              <w:rPr>
                <w:color w:val="231F20"/>
                <w:spacing w:val="-14"/>
              </w:rPr>
              <w:t>19（39.58）</w:t>
            </w:r>
          </w:p>
        </w:tc>
        <w:tc>
          <w:tcPr>
            <w:tcW w:w="81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spacing w:before="59" w:line="232" w:lineRule="auto"/>
              <w:jc w:val="right"/>
              <w:rPr/>
            </w:pPr>
            <w:r>
              <w:rPr>
                <w:color w:val="231F20"/>
                <w:spacing w:val="-12"/>
              </w:rPr>
              <w:t>26（54.17）</w:t>
            </w:r>
          </w:p>
        </w:tc>
        <w:tc>
          <w:tcPr>
            <w:tcW w:w="160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spacing w:before="59" w:line="232" w:lineRule="auto"/>
              <w:jc w:val="right"/>
              <w:rPr/>
            </w:pPr>
            <w:r>
              <w:rPr>
                <w:color w:val="231F20"/>
                <w:spacing w:val="-8"/>
              </w:rPr>
              <w:t>3（6.25） 45（93.75）</w:t>
            </w:r>
          </w:p>
        </w:tc>
      </w:tr>
      <w:tr>
        <w:trPr>
          <w:trHeight w:val="276" w:hRule="atLeast"/>
        </w:trPr>
        <w:tc>
          <w:tcPr>
            <w:tcW w:w="746" w:type="dxa"/>
            <w:vAlign w:val="top"/>
          </w:tcPr>
          <w:p>
            <w:pPr>
              <w:pStyle w:val="TableText"/>
              <w:ind w:left="168"/>
              <w:spacing w:before="66" w:line="221" w:lineRule="auto"/>
              <w:rPr/>
            </w:pPr>
            <w:r>
              <w:rPr>
                <w:color w:val="231F20"/>
                <w:spacing w:val="-2"/>
              </w:rPr>
              <w:t>对照组</w:t>
            </w:r>
          </w:p>
        </w:tc>
        <w:tc>
          <w:tcPr>
            <w:tcW w:w="822" w:type="dxa"/>
            <w:vAlign w:val="top"/>
          </w:tcPr>
          <w:p>
            <w:pPr>
              <w:pStyle w:val="TableText"/>
              <w:ind w:left="387"/>
              <w:spacing w:before="66" w:line="230" w:lineRule="auto"/>
              <w:rPr/>
            </w:pPr>
            <w:r>
              <w:rPr>
                <w:color w:val="231F20"/>
                <w:spacing w:val="-2"/>
              </w:rPr>
              <w:t>46</w:t>
            </w:r>
          </w:p>
        </w:tc>
        <w:tc>
          <w:tcPr>
            <w:tcW w:w="848" w:type="dxa"/>
            <w:vAlign w:val="top"/>
          </w:tcPr>
          <w:p>
            <w:pPr>
              <w:pStyle w:val="TableText"/>
              <w:spacing w:before="66" w:line="230" w:lineRule="auto"/>
              <w:jc w:val="right"/>
              <w:rPr/>
            </w:pPr>
            <w:r>
              <w:rPr>
                <w:color w:val="231F20"/>
                <w:spacing w:val="-14"/>
              </w:rPr>
              <w:t>14（30.43）</w:t>
            </w:r>
          </w:p>
        </w:tc>
        <w:tc>
          <w:tcPr>
            <w:tcW w:w="810" w:type="dxa"/>
            <w:vAlign w:val="top"/>
          </w:tcPr>
          <w:p>
            <w:pPr>
              <w:pStyle w:val="TableText"/>
              <w:spacing w:before="66" w:line="230" w:lineRule="auto"/>
              <w:jc w:val="right"/>
              <w:rPr/>
            </w:pPr>
            <w:r>
              <w:rPr>
                <w:color w:val="231F20"/>
                <w:spacing w:val="-12"/>
              </w:rPr>
              <w:t>20（43.48）</w:t>
            </w:r>
          </w:p>
        </w:tc>
        <w:tc>
          <w:tcPr>
            <w:tcW w:w="1607" w:type="dxa"/>
            <w:vAlign w:val="top"/>
          </w:tcPr>
          <w:p>
            <w:pPr>
              <w:pStyle w:val="TableText"/>
              <w:spacing w:before="66" w:line="230" w:lineRule="auto"/>
              <w:jc w:val="right"/>
              <w:rPr/>
            </w:pPr>
            <w:r>
              <w:rPr>
                <w:color w:val="231F20"/>
                <w:spacing w:val="-11"/>
              </w:rPr>
              <w:t>12（26.09）34（73.91）</w:t>
            </w:r>
          </w:p>
        </w:tc>
      </w:tr>
      <w:tr>
        <w:trPr>
          <w:trHeight w:val="289" w:hRule="atLeast"/>
        </w:trPr>
        <w:tc>
          <w:tcPr>
            <w:tcW w:w="746" w:type="dxa"/>
            <w:vAlign w:val="top"/>
          </w:tcPr>
          <w:p>
            <w:pPr>
              <w:pStyle w:val="TableText"/>
              <w:ind w:left="345"/>
              <w:spacing w:before="54" w:line="225" w:lineRule="exact"/>
              <w:rPr>
                <w:sz w:val="9"/>
                <w:szCs w:val="9"/>
              </w:rPr>
            </w:pPr>
            <w:r>
              <w:rPr>
                <w:color w:val="231F20"/>
                <w:spacing w:val="-2"/>
                <w:position w:val="1"/>
              </w:rPr>
              <w:t>x</w:t>
            </w:r>
            <w:r>
              <w:rPr>
                <w:sz w:val="9"/>
                <w:szCs w:val="9"/>
                <w:color w:val="231F20"/>
                <w:spacing w:val="-2"/>
                <w:position w:val="7"/>
              </w:rPr>
              <w:t>2</w:t>
            </w:r>
          </w:p>
        </w:tc>
        <w:tc>
          <w:tcPr>
            <w:tcW w:w="82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1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07" w:type="dxa"/>
            <w:vAlign w:val="top"/>
          </w:tcPr>
          <w:p>
            <w:pPr>
              <w:pStyle w:val="TableText"/>
              <w:ind w:left="1011"/>
              <w:spacing w:before="74" w:line="236" w:lineRule="auto"/>
              <w:rPr/>
            </w:pPr>
            <w:r>
              <w:rPr>
                <w:color w:val="231F20"/>
                <w:spacing w:val="-2"/>
              </w:rPr>
              <w:t>6.892</w:t>
            </w:r>
          </w:p>
        </w:tc>
      </w:tr>
      <w:tr>
        <w:trPr>
          <w:trHeight w:val="285" w:hRule="atLeast"/>
        </w:trPr>
        <w:tc>
          <w:tcPr>
            <w:tcW w:w="746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66"/>
              <w:spacing w:before="94" w:line="182" w:lineRule="auto"/>
              <w:rPr/>
            </w:pPr>
            <w:r>
              <w:rPr>
                <w:color w:val="231F20"/>
              </w:rPr>
              <w:t>P</w:t>
            </w:r>
          </w:p>
        </w:tc>
        <w:tc>
          <w:tcPr>
            <w:tcW w:w="822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8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10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07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011"/>
              <w:spacing w:before="68" w:line="238" w:lineRule="auto"/>
              <w:rPr/>
            </w:pPr>
            <w:r>
              <w:rPr>
                <w:color w:val="231F20"/>
                <w:spacing w:val="-2"/>
              </w:rPr>
              <w:t>0.009</w:t>
            </w:r>
          </w:p>
        </w:tc>
      </w:tr>
    </w:tbl>
    <w:p>
      <w:pPr>
        <w:ind w:left="517"/>
        <w:spacing w:before="56" w:line="186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5"/>
        </w:rPr>
        <w:t>2.2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5"/>
          <w:w w:val="101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5"/>
        </w:rPr>
        <w:t>两组中医证候积分比较</w:t>
      </w:r>
    </w:p>
    <w:p>
      <w:pPr>
        <w:pStyle w:val="BodyText"/>
        <w:ind w:left="519" w:right="287" w:firstLine="372"/>
        <w:spacing w:before="1" w:line="244" w:lineRule="auto"/>
        <w:rPr/>
      </w:pPr>
      <w:r>
        <w:rPr>
          <w:color w:val="231F20"/>
          <w:spacing w:val="2"/>
        </w:rPr>
        <w:t>治疗前两组中医证候积分差异小（P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2"/>
        </w:rPr>
        <w:t>＞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2"/>
        </w:rPr>
        <w:t>0.05</w:t>
      </w:r>
      <w:r>
        <w:rPr>
          <w:color w:val="231F20"/>
          <w:spacing w:val="17"/>
        </w:rPr>
        <w:t>）；</w:t>
      </w:r>
      <w:r>
        <w:rPr>
          <w:color w:val="231F20"/>
          <w:spacing w:val="2"/>
        </w:rPr>
        <w:t>治疗后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两组中医证候积分降低且观察组更低（P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2"/>
        </w:rPr>
        <w:t>＜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2"/>
        </w:rPr>
        <w:t>0.05）。见表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2"/>
        </w:rPr>
        <w:t>2。</w:t>
      </w:r>
    </w:p>
    <w:p>
      <w:pPr>
        <w:pStyle w:val="BodyText"/>
        <w:ind w:left="1433"/>
        <w:spacing w:line="215" w:lineRule="auto"/>
        <w:outlineLvl w:val="2"/>
        <w:rPr>
          <w:sz w:val="16"/>
          <w:szCs w:val="16"/>
        </w:rPr>
      </w:pPr>
      <w:r>
        <w:rPr>
          <w:sz w:val="16"/>
          <w:szCs w:val="16"/>
          <w:color w:val="231F20"/>
          <w:spacing w:val="1"/>
        </w:rPr>
        <w:t>表</w:t>
      </w:r>
      <w:r>
        <w:rPr>
          <w:sz w:val="16"/>
          <w:szCs w:val="16"/>
          <w:color w:val="231F20"/>
          <w:spacing w:val="-19"/>
        </w:rPr>
        <w:t xml:space="preserve"> </w:t>
      </w:r>
      <w:r>
        <w:rPr>
          <w:sz w:val="16"/>
          <w:szCs w:val="16"/>
          <w:color w:val="231F20"/>
          <w:spacing w:val="1"/>
        </w:rPr>
        <w:t>2  两组中医证候积分比较(</w:t>
      </w:r>
      <w:r>
        <w:rPr>
          <w:sz w:val="16"/>
          <w:szCs w:val="16"/>
          <w:color w:val="231F20"/>
          <w:spacing w:val="-51"/>
        </w:rPr>
        <w:t xml:space="preserve"> </w:t>
      </w:r>
      <w:r>
        <w:rPr>
          <w:sz w:val="16"/>
          <w:szCs w:val="16"/>
          <w:position w:val="-2"/>
        </w:rPr>
        <w:drawing>
          <wp:inline distT="0" distB="0" distL="0" distR="0">
            <wp:extent cx="47650" cy="101600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5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  <w:szCs w:val="16"/>
          <w:color w:val="231F20"/>
          <w:spacing w:val="1"/>
        </w:rPr>
        <w:t>±s，分）</w:t>
      </w:r>
    </w:p>
    <w:p>
      <w:pPr>
        <w:spacing w:line="30" w:lineRule="exact"/>
        <w:rPr/>
      </w:pPr>
      <w:r/>
    </w:p>
    <w:tbl>
      <w:tblPr>
        <w:tblStyle w:val="TableNormal"/>
        <w:tblW w:w="4832" w:type="dxa"/>
        <w:tblInd w:w="51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44"/>
        <w:gridCol w:w="564"/>
        <w:gridCol w:w="604"/>
        <w:gridCol w:w="603"/>
        <w:gridCol w:w="605"/>
        <w:gridCol w:w="605"/>
        <w:gridCol w:w="603"/>
        <w:gridCol w:w="604"/>
      </w:tblGrid>
      <w:tr>
        <w:trPr>
          <w:trHeight w:val="277" w:hRule="atLeast"/>
        </w:trPr>
        <w:tc>
          <w:tcPr>
            <w:tcW w:w="644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pStyle w:val="TableText"/>
              <w:ind w:left="150"/>
              <w:spacing w:before="198" w:line="220" w:lineRule="auto"/>
              <w:rPr/>
            </w:pPr>
            <w:r>
              <w:rPr>
                <w:color w:val="231F20"/>
                <w:spacing w:val="-3"/>
              </w:rPr>
              <w:t>分组</w:t>
            </w:r>
          </w:p>
        </w:tc>
        <w:tc>
          <w:tcPr>
            <w:tcW w:w="564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pStyle w:val="TableText"/>
              <w:ind w:left="108"/>
              <w:spacing w:before="82" w:line="220" w:lineRule="auto"/>
              <w:rPr/>
            </w:pPr>
            <w:r>
              <w:rPr>
                <w:color w:val="231F20"/>
                <w:spacing w:val="-2"/>
              </w:rPr>
              <w:t>例数</w:t>
            </w:r>
          </w:p>
          <w:p>
            <w:pPr>
              <w:pStyle w:val="TableText"/>
              <w:ind w:left="72"/>
              <w:spacing w:before="39" w:line="232" w:lineRule="auto"/>
              <w:rPr/>
            </w:pPr>
            <w:r>
              <w:rPr>
                <w:color w:val="231F20"/>
                <w:spacing w:val="-5"/>
              </w:rPr>
              <w:t>（n）</w:t>
            </w:r>
          </w:p>
        </w:tc>
        <w:tc>
          <w:tcPr>
            <w:tcW w:w="1207" w:type="dxa"/>
            <w:vAlign w:val="top"/>
            <w:gridSpan w:val="2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289"/>
              <w:spacing w:before="57" w:line="220" w:lineRule="auto"/>
              <w:rPr/>
            </w:pPr>
            <w:r>
              <w:rPr>
                <w:color w:val="231F20"/>
                <w:spacing w:val="-2"/>
              </w:rPr>
              <w:t>腰骶疼痛</w:t>
            </w:r>
          </w:p>
        </w:tc>
        <w:tc>
          <w:tcPr>
            <w:tcW w:w="1210" w:type="dxa"/>
            <w:vAlign w:val="top"/>
            <w:gridSpan w:val="2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296"/>
              <w:spacing w:before="56" w:line="220" w:lineRule="auto"/>
              <w:rPr/>
            </w:pPr>
            <w:r>
              <w:rPr>
                <w:color w:val="231F20"/>
                <w:spacing w:val="-2"/>
              </w:rPr>
              <w:t>带下量多</w:t>
            </w:r>
          </w:p>
        </w:tc>
        <w:tc>
          <w:tcPr>
            <w:tcW w:w="1207" w:type="dxa"/>
            <w:vAlign w:val="top"/>
            <w:gridSpan w:val="2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450"/>
              <w:spacing w:before="56" w:line="220" w:lineRule="auto"/>
              <w:rPr/>
            </w:pPr>
            <w:r>
              <w:rPr>
                <w:color w:val="231F20"/>
                <w:spacing w:val="-2"/>
              </w:rPr>
              <w:t>腹痛</w:t>
            </w:r>
          </w:p>
        </w:tc>
      </w:tr>
      <w:tr>
        <w:trPr>
          <w:trHeight w:val="277" w:hRule="atLeast"/>
        </w:trPr>
        <w:tc>
          <w:tcPr>
            <w:tcW w:w="644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64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04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72"/>
              <w:spacing w:before="58" w:line="220" w:lineRule="auto"/>
              <w:rPr/>
            </w:pPr>
            <w:r>
              <w:rPr>
                <w:color w:val="231F20"/>
                <w:spacing w:val="-3"/>
              </w:rPr>
              <w:t>治疗前</w:t>
            </w:r>
          </w:p>
        </w:tc>
        <w:tc>
          <w:tcPr>
            <w:tcW w:w="603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72"/>
              <w:spacing w:before="58" w:line="220" w:lineRule="auto"/>
              <w:rPr/>
            </w:pPr>
            <w:r>
              <w:rPr>
                <w:color w:val="231F20"/>
                <w:spacing w:val="-3"/>
              </w:rPr>
              <w:t>治疗后</w:t>
            </w:r>
          </w:p>
        </w:tc>
        <w:tc>
          <w:tcPr>
            <w:tcW w:w="605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73"/>
              <w:spacing w:before="58" w:line="220" w:lineRule="auto"/>
              <w:rPr/>
            </w:pPr>
            <w:r>
              <w:rPr>
                <w:color w:val="231F20"/>
                <w:spacing w:val="-3"/>
              </w:rPr>
              <w:t>治疗前</w:t>
            </w:r>
          </w:p>
        </w:tc>
        <w:tc>
          <w:tcPr>
            <w:tcW w:w="605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72"/>
              <w:spacing w:before="58" w:line="220" w:lineRule="auto"/>
              <w:rPr/>
            </w:pPr>
            <w:r>
              <w:rPr>
                <w:color w:val="231F20"/>
                <w:spacing w:val="-3"/>
              </w:rPr>
              <w:t>治疗后</w:t>
            </w:r>
          </w:p>
        </w:tc>
        <w:tc>
          <w:tcPr>
            <w:tcW w:w="603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71"/>
              <w:spacing w:before="58" w:line="220" w:lineRule="auto"/>
              <w:rPr/>
            </w:pPr>
            <w:r>
              <w:rPr>
                <w:color w:val="231F20"/>
                <w:spacing w:val="-3"/>
              </w:rPr>
              <w:t>治疗前</w:t>
            </w:r>
          </w:p>
        </w:tc>
        <w:tc>
          <w:tcPr>
            <w:tcW w:w="604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73"/>
              <w:spacing w:before="58" w:line="220" w:lineRule="auto"/>
              <w:rPr/>
            </w:pPr>
            <w:r>
              <w:rPr>
                <w:color w:val="231F20"/>
                <w:spacing w:val="-3"/>
              </w:rPr>
              <w:t>治疗后</w:t>
            </w:r>
          </w:p>
        </w:tc>
      </w:tr>
      <w:tr>
        <w:trPr>
          <w:trHeight w:val="437" w:hRule="atLeast"/>
        </w:trPr>
        <w:tc>
          <w:tcPr>
            <w:tcW w:w="64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8"/>
              <w:spacing w:before="141" w:line="220" w:lineRule="auto"/>
              <w:rPr/>
            </w:pPr>
            <w:r>
              <w:rPr>
                <w:color w:val="231F20"/>
                <w:spacing w:val="-2"/>
              </w:rPr>
              <w:t>观察组</w:t>
            </w:r>
          </w:p>
        </w:tc>
        <w:tc>
          <w:tcPr>
            <w:tcW w:w="56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87"/>
              <w:spacing w:before="141"/>
              <w:rPr/>
            </w:pPr>
            <w:r>
              <w:rPr>
                <w:color w:val="231F20"/>
                <w:spacing w:val="-2"/>
              </w:rPr>
              <w:t>48</w:t>
            </w:r>
          </w:p>
        </w:tc>
        <w:tc>
          <w:tcPr>
            <w:tcW w:w="60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7"/>
              <w:spacing w:before="26" w:line="235" w:lineRule="auto"/>
              <w:rPr/>
            </w:pPr>
            <w:r>
              <w:rPr>
                <w:color w:val="231F20"/>
                <w:spacing w:val="-1"/>
              </w:rPr>
              <w:t>4.82±</w:t>
            </w:r>
          </w:p>
          <w:p>
            <w:pPr>
              <w:pStyle w:val="TableText"/>
              <w:ind w:left="149"/>
              <w:spacing w:before="26" w:line="196" w:lineRule="auto"/>
              <w:rPr/>
            </w:pPr>
            <w:r>
              <w:rPr>
                <w:color w:val="231F20"/>
                <w:spacing w:val="-2"/>
              </w:rPr>
              <w:t>0.90</w:t>
            </w:r>
          </w:p>
        </w:tc>
        <w:tc>
          <w:tcPr>
            <w:tcW w:w="60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80"/>
              <w:spacing w:before="26" w:line="235" w:lineRule="auto"/>
              <w:rPr/>
            </w:pPr>
            <w:r>
              <w:rPr>
                <w:color w:val="231F20"/>
                <w:spacing w:val="-3"/>
              </w:rPr>
              <w:t>1.38±</w:t>
            </w:r>
          </w:p>
          <w:p>
            <w:pPr>
              <w:pStyle w:val="TableText"/>
              <w:ind w:left="126"/>
              <w:spacing w:before="6" w:line="219" w:lineRule="auto"/>
              <w:rPr>
                <w:sz w:val="9"/>
                <w:szCs w:val="9"/>
              </w:rPr>
            </w:pPr>
            <w:r>
              <w:rPr>
                <w:color w:val="231F20"/>
                <w:spacing w:val="-2"/>
              </w:rPr>
              <w:t>0.27</w:t>
            </w:r>
            <w:r>
              <w:rPr>
                <w:sz w:val="9"/>
                <w:szCs w:val="9"/>
                <w:color w:val="231F20"/>
                <w:spacing w:val="-2"/>
                <w:position w:val="7"/>
              </w:rPr>
              <w:t>*</w:t>
            </w:r>
          </w:p>
        </w:tc>
        <w:tc>
          <w:tcPr>
            <w:tcW w:w="60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9"/>
              <w:spacing w:before="26" w:line="235" w:lineRule="auto"/>
              <w:rPr/>
            </w:pPr>
            <w:r>
              <w:rPr>
                <w:color w:val="231F20"/>
                <w:spacing w:val="-1"/>
              </w:rPr>
              <w:t>4.74±</w:t>
            </w:r>
          </w:p>
          <w:p>
            <w:pPr>
              <w:pStyle w:val="TableText"/>
              <w:ind w:left="151"/>
              <w:spacing w:before="26" w:line="196" w:lineRule="auto"/>
              <w:rPr/>
            </w:pPr>
            <w:r>
              <w:rPr>
                <w:color w:val="231F20"/>
                <w:spacing w:val="-2"/>
              </w:rPr>
              <w:t>0.69</w:t>
            </w:r>
          </w:p>
        </w:tc>
        <w:tc>
          <w:tcPr>
            <w:tcW w:w="60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70"/>
              <w:spacing w:before="26" w:line="235" w:lineRule="auto"/>
              <w:rPr/>
            </w:pPr>
            <w:r>
              <w:rPr>
                <w:color w:val="231F20"/>
                <w:spacing w:val="-1"/>
              </w:rPr>
              <w:t>0.92±</w:t>
            </w:r>
          </w:p>
          <w:p>
            <w:pPr>
              <w:pStyle w:val="TableText"/>
              <w:ind w:left="126"/>
              <w:spacing w:before="6" w:line="219" w:lineRule="auto"/>
              <w:rPr>
                <w:sz w:val="9"/>
                <w:szCs w:val="9"/>
              </w:rPr>
            </w:pPr>
            <w:r>
              <w:rPr>
                <w:color w:val="231F20"/>
                <w:spacing w:val="-2"/>
              </w:rPr>
              <w:t>0.17</w:t>
            </w:r>
            <w:r>
              <w:rPr>
                <w:sz w:val="9"/>
                <w:szCs w:val="9"/>
                <w:color w:val="231F20"/>
                <w:spacing w:val="-2"/>
                <w:position w:val="7"/>
              </w:rPr>
              <w:t>*</w:t>
            </w:r>
          </w:p>
        </w:tc>
        <w:tc>
          <w:tcPr>
            <w:tcW w:w="60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71"/>
              <w:spacing w:before="26" w:line="235" w:lineRule="auto"/>
              <w:rPr/>
            </w:pPr>
            <w:r>
              <w:rPr>
                <w:color w:val="231F20"/>
                <w:spacing w:val="-1"/>
              </w:rPr>
              <w:t>5.71±</w:t>
            </w:r>
          </w:p>
          <w:p>
            <w:pPr>
              <w:pStyle w:val="TableText"/>
              <w:ind w:left="149"/>
              <w:spacing w:before="26" w:line="196" w:lineRule="auto"/>
              <w:rPr/>
            </w:pPr>
            <w:r>
              <w:rPr>
                <w:color w:val="231F20"/>
                <w:spacing w:val="-2"/>
              </w:rPr>
              <w:t>0.68</w:t>
            </w:r>
          </w:p>
        </w:tc>
        <w:tc>
          <w:tcPr>
            <w:tcW w:w="60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81"/>
              <w:spacing w:before="26" w:line="235" w:lineRule="auto"/>
              <w:rPr/>
            </w:pPr>
            <w:r>
              <w:rPr>
                <w:color w:val="231F20"/>
                <w:spacing w:val="-3"/>
              </w:rPr>
              <w:t>1.35±</w:t>
            </w:r>
          </w:p>
          <w:p>
            <w:pPr>
              <w:pStyle w:val="TableText"/>
              <w:ind w:left="127"/>
              <w:spacing w:before="6" w:line="219" w:lineRule="auto"/>
              <w:rPr>
                <w:sz w:val="9"/>
                <w:szCs w:val="9"/>
              </w:rPr>
            </w:pPr>
            <w:r>
              <w:rPr>
                <w:color w:val="231F20"/>
                <w:spacing w:val="-2"/>
              </w:rPr>
              <w:t>0.33</w:t>
            </w:r>
            <w:r>
              <w:rPr>
                <w:sz w:val="9"/>
                <w:szCs w:val="9"/>
                <w:color w:val="231F20"/>
                <w:spacing w:val="-2"/>
                <w:position w:val="7"/>
              </w:rPr>
              <w:t>*</w:t>
            </w:r>
          </w:p>
        </w:tc>
      </w:tr>
      <w:tr>
        <w:trPr>
          <w:trHeight w:val="465" w:hRule="atLeast"/>
        </w:trPr>
        <w:tc>
          <w:tcPr>
            <w:tcW w:w="644" w:type="dxa"/>
            <w:vAlign w:val="top"/>
          </w:tcPr>
          <w:p>
            <w:pPr>
              <w:pStyle w:val="TableText"/>
              <w:ind w:left="67"/>
              <w:spacing w:before="151" w:line="221" w:lineRule="auto"/>
              <w:rPr/>
            </w:pPr>
            <w:r>
              <w:rPr>
                <w:color w:val="231F20"/>
                <w:spacing w:val="-2"/>
              </w:rPr>
              <w:t>对照组</w:t>
            </w:r>
          </w:p>
        </w:tc>
        <w:tc>
          <w:tcPr>
            <w:tcW w:w="564" w:type="dxa"/>
            <w:vAlign w:val="top"/>
          </w:tcPr>
          <w:p>
            <w:pPr>
              <w:pStyle w:val="TableText"/>
              <w:ind w:left="187"/>
              <w:spacing w:before="151"/>
              <w:rPr/>
            </w:pPr>
            <w:r>
              <w:rPr>
                <w:color w:val="231F20"/>
                <w:spacing w:val="-2"/>
              </w:rPr>
              <w:t>46</w:t>
            </w:r>
          </w:p>
        </w:tc>
        <w:tc>
          <w:tcPr>
            <w:tcW w:w="604" w:type="dxa"/>
            <w:vAlign w:val="top"/>
          </w:tcPr>
          <w:p>
            <w:pPr>
              <w:pStyle w:val="TableText"/>
              <w:ind w:left="67"/>
              <w:spacing w:before="36" w:line="235" w:lineRule="auto"/>
              <w:rPr/>
            </w:pPr>
            <w:r>
              <w:rPr>
                <w:color w:val="231F20"/>
                <w:spacing w:val="-1"/>
              </w:rPr>
              <w:t>4.78±</w:t>
            </w:r>
          </w:p>
          <w:p>
            <w:pPr>
              <w:pStyle w:val="TableText"/>
              <w:ind w:left="149"/>
              <w:spacing w:before="26" w:line="217" w:lineRule="auto"/>
              <w:rPr/>
            </w:pPr>
            <w:r>
              <w:rPr>
                <w:color w:val="231F20"/>
                <w:spacing w:val="-2"/>
              </w:rPr>
              <w:t>0.84</w:t>
            </w:r>
          </w:p>
        </w:tc>
        <w:tc>
          <w:tcPr>
            <w:tcW w:w="603" w:type="dxa"/>
            <w:vAlign w:val="top"/>
          </w:tcPr>
          <w:p>
            <w:pPr>
              <w:pStyle w:val="TableText"/>
              <w:ind w:left="70"/>
              <w:spacing w:before="36" w:line="235" w:lineRule="auto"/>
              <w:rPr/>
            </w:pPr>
            <w:r>
              <w:rPr>
                <w:color w:val="231F20"/>
                <w:spacing w:val="-1"/>
              </w:rPr>
              <w:t>2.07±</w:t>
            </w:r>
          </w:p>
          <w:p>
            <w:pPr>
              <w:pStyle w:val="TableText"/>
              <w:ind w:left="126"/>
              <w:spacing w:before="6"/>
              <w:rPr>
                <w:sz w:val="9"/>
                <w:szCs w:val="9"/>
              </w:rPr>
            </w:pPr>
            <w:r>
              <w:rPr>
                <w:color w:val="231F20"/>
                <w:spacing w:val="-2"/>
              </w:rPr>
              <w:t>0.34</w:t>
            </w:r>
            <w:r>
              <w:rPr>
                <w:sz w:val="9"/>
                <w:szCs w:val="9"/>
                <w:color w:val="231F20"/>
                <w:spacing w:val="-2"/>
                <w:position w:val="7"/>
              </w:rPr>
              <w:t>*</w:t>
            </w:r>
          </w:p>
        </w:tc>
        <w:tc>
          <w:tcPr>
            <w:tcW w:w="605" w:type="dxa"/>
            <w:vAlign w:val="top"/>
          </w:tcPr>
          <w:p>
            <w:pPr>
              <w:pStyle w:val="TableText"/>
              <w:ind w:left="69"/>
              <w:spacing w:before="36" w:line="235" w:lineRule="auto"/>
              <w:rPr/>
            </w:pPr>
            <w:r>
              <w:rPr>
                <w:color w:val="231F20"/>
                <w:spacing w:val="-1"/>
              </w:rPr>
              <w:t>4.71±</w:t>
            </w:r>
          </w:p>
          <w:p>
            <w:pPr>
              <w:pStyle w:val="TableText"/>
              <w:ind w:left="151"/>
              <w:spacing w:before="26" w:line="217" w:lineRule="auto"/>
              <w:rPr/>
            </w:pPr>
            <w:r>
              <w:rPr>
                <w:color w:val="231F20"/>
                <w:spacing w:val="-2"/>
              </w:rPr>
              <w:t>0.64</w:t>
            </w:r>
          </w:p>
        </w:tc>
        <w:tc>
          <w:tcPr>
            <w:tcW w:w="605" w:type="dxa"/>
            <w:vAlign w:val="top"/>
          </w:tcPr>
          <w:p>
            <w:pPr>
              <w:pStyle w:val="TableText"/>
              <w:ind w:left="80"/>
              <w:spacing w:before="36" w:line="235" w:lineRule="auto"/>
              <w:rPr/>
            </w:pPr>
            <w:r>
              <w:rPr>
                <w:color w:val="231F20"/>
                <w:spacing w:val="-4"/>
              </w:rPr>
              <w:t>1.44±</w:t>
            </w:r>
          </w:p>
          <w:p>
            <w:pPr>
              <w:pStyle w:val="TableText"/>
              <w:ind w:left="126"/>
              <w:spacing w:before="6"/>
              <w:rPr>
                <w:sz w:val="9"/>
                <w:szCs w:val="9"/>
              </w:rPr>
            </w:pPr>
            <w:r>
              <w:rPr>
                <w:color w:val="231F20"/>
                <w:spacing w:val="-2"/>
              </w:rPr>
              <w:t>0.31</w:t>
            </w:r>
            <w:r>
              <w:rPr>
                <w:sz w:val="9"/>
                <w:szCs w:val="9"/>
                <w:color w:val="231F20"/>
                <w:spacing w:val="-2"/>
                <w:position w:val="7"/>
              </w:rPr>
              <w:t>*</w:t>
            </w:r>
          </w:p>
        </w:tc>
        <w:tc>
          <w:tcPr>
            <w:tcW w:w="603" w:type="dxa"/>
            <w:vAlign w:val="top"/>
          </w:tcPr>
          <w:p>
            <w:pPr>
              <w:pStyle w:val="TableText"/>
              <w:ind w:left="71"/>
              <w:spacing w:before="36" w:line="235" w:lineRule="auto"/>
              <w:rPr/>
            </w:pPr>
            <w:r>
              <w:rPr>
                <w:color w:val="231F20"/>
                <w:spacing w:val="-1"/>
              </w:rPr>
              <w:t>5.75±</w:t>
            </w:r>
          </w:p>
          <w:p>
            <w:pPr>
              <w:pStyle w:val="TableText"/>
              <w:ind w:left="149"/>
              <w:spacing w:before="26" w:line="217" w:lineRule="auto"/>
              <w:rPr/>
            </w:pPr>
            <w:r>
              <w:rPr>
                <w:color w:val="231F20"/>
                <w:spacing w:val="-2"/>
              </w:rPr>
              <w:t>0.71</w:t>
            </w:r>
          </w:p>
        </w:tc>
        <w:tc>
          <w:tcPr>
            <w:tcW w:w="604" w:type="dxa"/>
            <w:vAlign w:val="top"/>
          </w:tcPr>
          <w:p>
            <w:pPr>
              <w:pStyle w:val="TableText"/>
              <w:ind w:left="71"/>
              <w:spacing w:before="36" w:line="235" w:lineRule="auto"/>
              <w:rPr/>
            </w:pPr>
            <w:r>
              <w:rPr>
                <w:color w:val="231F20"/>
                <w:spacing w:val="-1"/>
              </w:rPr>
              <w:t>2.28±</w:t>
            </w:r>
          </w:p>
          <w:p>
            <w:pPr>
              <w:pStyle w:val="TableText"/>
              <w:ind w:left="127"/>
              <w:spacing w:before="6"/>
              <w:rPr>
                <w:sz w:val="9"/>
                <w:szCs w:val="9"/>
              </w:rPr>
            </w:pPr>
            <w:r>
              <w:rPr>
                <w:color w:val="231F20"/>
                <w:spacing w:val="-2"/>
              </w:rPr>
              <w:t>0.47</w:t>
            </w:r>
            <w:r>
              <w:rPr>
                <w:sz w:val="9"/>
                <w:szCs w:val="9"/>
                <w:color w:val="231F20"/>
                <w:spacing w:val="-2"/>
                <w:position w:val="7"/>
              </w:rPr>
              <w:t>*</w:t>
            </w:r>
          </w:p>
        </w:tc>
      </w:tr>
      <w:tr>
        <w:trPr>
          <w:trHeight w:val="266" w:hRule="atLeast"/>
        </w:trPr>
        <w:tc>
          <w:tcPr>
            <w:tcW w:w="644" w:type="dxa"/>
            <w:vAlign w:val="top"/>
          </w:tcPr>
          <w:p>
            <w:pPr>
              <w:pStyle w:val="TableText"/>
              <w:ind w:left="272"/>
              <w:spacing w:before="52" w:line="235" w:lineRule="auto"/>
              <w:rPr/>
            </w:pPr>
            <w:r>
              <w:rPr>
                <w:color w:val="231F20"/>
              </w:rPr>
              <w:t>t</w:t>
            </w:r>
          </w:p>
        </w:tc>
        <w:tc>
          <w:tcPr>
            <w:tcW w:w="56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04" w:type="dxa"/>
            <w:vAlign w:val="top"/>
          </w:tcPr>
          <w:p>
            <w:pPr>
              <w:pStyle w:val="TableText"/>
              <w:ind w:left="109"/>
              <w:spacing w:before="52" w:line="235" w:lineRule="auto"/>
              <w:rPr/>
            </w:pPr>
            <w:r>
              <w:rPr>
                <w:color w:val="231F20"/>
                <w:spacing w:val="-2"/>
              </w:rPr>
              <w:t>0.223</w:t>
            </w:r>
          </w:p>
        </w:tc>
        <w:tc>
          <w:tcPr>
            <w:tcW w:w="603" w:type="dxa"/>
            <w:vAlign w:val="top"/>
          </w:tcPr>
          <w:p>
            <w:pPr>
              <w:pStyle w:val="TableText"/>
              <w:ind w:left="80"/>
              <w:spacing w:before="52" w:line="235" w:lineRule="auto"/>
              <w:rPr/>
            </w:pPr>
            <w:r>
              <w:rPr>
                <w:color w:val="231F20"/>
                <w:spacing w:val="-3"/>
              </w:rPr>
              <w:t>10.920</w:t>
            </w:r>
          </w:p>
        </w:tc>
        <w:tc>
          <w:tcPr>
            <w:tcW w:w="605" w:type="dxa"/>
            <w:vAlign w:val="top"/>
          </w:tcPr>
          <w:p>
            <w:pPr>
              <w:pStyle w:val="TableText"/>
              <w:ind w:left="111"/>
              <w:spacing w:before="52" w:line="235" w:lineRule="auto"/>
              <w:rPr/>
            </w:pPr>
            <w:r>
              <w:rPr>
                <w:color w:val="231F20"/>
                <w:spacing w:val="-2"/>
              </w:rPr>
              <w:t>0.218</w:t>
            </w:r>
          </w:p>
        </w:tc>
        <w:tc>
          <w:tcPr>
            <w:tcW w:w="605" w:type="dxa"/>
            <w:vAlign w:val="top"/>
          </w:tcPr>
          <w:p>
            <w:pPr>
              <w:pStyle w:val="TableText"/>
              <w:ind w:left="80"/>
              <w:spacing w:before="52" w:line="235" w:lineRule="auto"/>
              <w:rPr/>
            </w:pPr>
            <w:r>
              <w:rPr>
                <w:color w:val="231F20"/>
                <w:spacing w:val="-3"/>
              </w:rPr>
              <w:t>10.140</w:t>
            </w:r>
          </w:p>
        </w:tc>
        <w:tc>
          <w:tcPr>
            <w:tcW w:w="603" w:type="dxa"/>
            <w:vAlign w:val="top"/>
          </w:tcPr>
          <w:p>
            <w:pPr>
              <w:pStyle w:val="TableText"/>
              <w:ind w:left="109"/>
              <w:spacing w:before="52" w:line="235" w:lineRule="auto"/>
              <w:rPr/>
            </w:pPr>
            <w:r>
              <w:rPr>
                <w:color w:val="231F20"/>
                <w:spacing w:val="-2"/>
              </w:rPr>
              <w:t>0.279</w:t>
            </w:r>
          </w:p>
        </w:tc>
        <w:tc>
          <w:tcPr>
            <w:tcW w:w="604" w:type="dxa"/>
            <w:vAlign w:val="top"/>
          </w:tcPr>
          <w:p>
            <w:pPr>
              <w:pStyle w:val="TableText"/>
              <w:ind w:left="81"/>
              <w:spacing w:before="52" w:line="235" w:lineRule="auto"/>
              <w:rPr/>
            </w:pPr>
            <w:r>
              <w:rPr>
                <w:color w:val="231F20"/>
                <w:spacing w:val="-3"/>
              </w:rPr>
              <w:t>11.141</w:t>
            </w:r>
          </w:p>
        </w:tc>
      </w:tr>
      <w:tr>
        <w:trPr>
          <w:trHeight w:val="286" w:hRule="atLeast"/>
        </w:trPr>
        <w:tc>
          <w:tcPr>
            <w:tcW w:w="644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65"/>
              <w:spacing w:before="95" w:line="182" w:lineRule="auto"/>
              <w:rPr/>
            </w:pPr>
            <w:r>
              <w:rPr>
                <w:color w:val="231F20"/>
              </w:rPr>
              <w:t>P</w:t>
            </w:r>
          </w:p>
        </w:tc>
        <w:tc>
          <w:tcPr>
            <w:tcW w:w="564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04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09"/>
              <w:spacing w:before="69" w:line="238" w:lineRule="auto"/>
              <w:rPr/>
            </w:pPr>
            <w:r>
              <w:rPr>
                <w:color w:val="231F20"/>
                <w:spacing w:val="-2"/>
              </w:rPr>
              <w:t>0.824</w:t>
            </w:r>
          </w:p>
        </w:tc>
        <w:tc>
          <w:tcPr>
            <w:tcW w:w="603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09"/>
              <w:spacing w:before="69" w:line="238" w:lineRule="auto"/>
              <w:rPr/>
            </w:pPr>
            <w:r>
              <w:rPr>
                <w:color w:val="231F20"/>
                <w:spacing w:val="-2"/>
              </w:rPr>
              <w:t>0.000</w:t>
            </w:r>
          </w:p>
        </w:tc>
        <w:tc>
          <w:tcPr>
            <w:tcW w:w="605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11"/>
              <w:spacing w:before="69" w:line="238" w:lineRule="auto"/>
              <w:rPr/>
            </w:pPr>
            <w:r>
              <w:rPr>
                <w:color w:val="231F20"/>
                <w:spacing w:val="-2"/>
              </w:rPr>
              <w:t>0.828</w:t>
            </w:r>
          </w:p>
        </w:tc>
        <w:tc>
          <w:tcPr>
            <w:tcW w:w="605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10"/>
              <w:spacing w:before="69" w:line="238" w:lineRule="auto"/>
              <w:rPr/>
            </w:pPr>
            <w:r>
              <w:rPr>
                <w:color w:val="231F20"/>
                <w:spacing w:val="-2"/>
              </w:rPr>
              <w:t>0.000</w:t>
            </w:r>
          </w:p>
        </w:tc>
        <w:tc>
          <w:tcPr>
            <w:tcW w:w="603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09"/>
              <w:spacing w:before="69" w:line="238" w:lineRule="auto"/>
              <w:rPr/>
            </w:pPr>
            <w:r>
              <w:rPr>
                <w:color w:val="231F20"/>
                <w:spacing w:val="-2"/>
              </w:rPr>
              <w:t>0.781</w:t>
            </w:r>
          </w:p>
        </w:tc>
        <w:tc>
          <w:tcPr>
            <w:tcW w:w="604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10"/>
              <w:spacing w:before="69" w:line="238" w:lineRule="auto"/>
              <w:rPr/>
            </w:pPr>
            <w:r>
              <w:rPr>
                <w:color w:val="231F20"/>
                <w:spacing w:val="-2"/>
              </w:rPr>
              <w:t>0.000</w:t>
            </w:r>
          </w:p>
        </w:tc>
      </w:tr>
    </w:tbl>
    <w:p>
      <w:pPr>
        <w:pStyle w:val="BodyText"/>
        <w:ind w:left="517"/>
        <w:spacing w:before="37" w:line="210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-2"/>
          <w:position w:val="1"/>
        </w:rPr>
        <w:t>注：与治疗前比较，</w:t>
      </w:r>
      <w:r>
        <w:rPr>
          <w:sz w:val="9"/>
          <w:szCs w:val="9"/>
          <w:color w:val="231F20"/>
          <w:spacing w:val="-2"/>
          <w:position w:val="8"/>
        </w:rPr>
        <w:t>*</w:t>
      </w:r>
      <w:r>
        <w:rPr>
          <w:sz w:val="16"/>
          <w:szCs w:val="16"/>
          <w:color w:val="231F20"/>
          <w:spacing w:val="-2"/>
          <w:position w:val="1"/>
        </w:rPr>
        <w:t>P</w:t>
      </w:r>
      <w:r>
        <w:rPr>
          <w:sz w:val="16"/>
          <w:szCs w:val="16"/>
          <w:color w:val="231F20"/>
          <w:spacing w:val="-22"/>
          <w:position w:val="1"/>
        </w:rPr>
        <w:t xml:space="preserve"> </w:t>
      </w:r>
      <w:r>
        <w:rPr>
          <w:sz w:val="16"/>
          <w:szCs w:val="16"/>
          <w:color w:val="231F20"/>
          <w:spacing w:val="-2"/>
          <w:position w:val="1"/>
        </w:rPr>
        <w:t>＜</w:t>
      </w:r>
      <w:r>
        <w:rPr>
          <w:sz w:val="16"/>
          <w:szCs w:val="16"/>
          <w:color w:val="231F20"/>
          <w:spacing w:val="-32"/>
          <w:position w:val="1"/>
        </w:rPr>
        <w:t xml:space="preserve"> </w:t>
      </w:r>
      <w:r>
        <w:rPr>
          <w:sz w:val="16"/>
          <w:szCs w:val="16"/>
          <w:color w:val="231F20"/>
          <w:spacing w:val="-2"/>
          <w:position w:val="1"/>
        </w:rPr>
        <w:t>0.05</w:t>
      </w:r>
    </w:p>
    <w:p>
      <w:pPr>
        <w:ind w:left="517"/>
        <w:spacing w:before="47" w:line="186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5"/>
        </w:rPr>
        <w:t>2.3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5"/>
          <w:w w:val="101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5"/>
        </w:rPr>
        <w:t>两组炎症指标水平比较</w:t>
      </w:r>
    </w:p>
    <w:p>
      <w:pPr>
        <w:pStyle w:val="BodyText"/>
        <w:ind w:left="521" w:right="280" w:firstLine="369"/>
        <w:spacing w:before="2" w:line="244" w:lineRule="auto"/>
        <w:rPr/>
      </w:pPr>
      <w:r>
        <w:rPr>
          <w:color w:val="231F20"/>
          <w:spacing w:val="2"/>
        </w:rPr>
        <w:t>治疗前两组炎症指标差异小（P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2"/>
        </w:rPr>
        <w:t>＞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2"/>
        </w:rPr>
        <w:t>0.05</w:t>
      </w:r>
      <w:r>
        <w:rPr>
          <w:color w:val="231F20"/>
          <w:spacing w:val="21"/>
        </w:rPr>
        <w:t>）；</w:t>
      </w:r>
      <w:r>
        <w:rPr>
          <w:color w:val="231F20"/>
          <w:spacing w:val="2"/>
        </w:rPr>
        <w:t>治疗后两组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IL-6、TNF-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5"/>
        </w:rPr>
        <w:t>α、IL-1β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5"/>
        </w:rPr>
        <w:t>水平降低且观察组更低（P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5"/>
        </w:rPr>
        <w:t>＜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5"/>
        </w:rPr>
        <w:t>0.05）。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见表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6"/>
        </w:rPr>
        <w:t>3。</w:t>
      </w:r>
    </w:p>
    <w:p>
      <w:pPr>
        <w:pStyle w:val="BodyText"/>
        <w:ind w:left="1033"/>
        <w:spacing w:line="213" w:lineRule="auto"/>
        <w:outlineLvl w:val="2"/>
        <w:rPr>
          <w:sz w:val="16"/>
          <w:szCs w:val="16"/>
        </w:rPr>
      </w:pPr>
      <w:r>
        <w:rPr>
          <w:sz w:val="16"/>
          <w:szCs w:val="16"/>
          <w:color w:val="231F20"/>
          <w:spacing w:val="1"/>
        </w:rPr>
        <w:t>表</w:t>
      </w:r>
      <w:r>
        <w:rPr>
          <w:sz w:val="16"/>
          <w:szCs w:val="16"/>
          <w:color w:val="231F20"/>
          <w:spacing w:val="-21"/>
        </w:rPr>
        <w:t xml:space="preserve"> </w:t>
      </w:r>
      <w:r>
        <w:rPr>
          <w:sz w:val="16"/>
          <w:szCs w:val="16"/>
          <w:color w:val="231F20"/>
          <w:spacing w:val="1"/>
        </w:rPr>
        <w:t>3  两组治疗前后炎症指标水平比较(</w:t>
      </w:r>
      <w:r>
        <w:rPr>
          <w:sz w:val="16"/>
          <w:szCs w:val="16"/>
          <w:color w:val="231F20"/>
          <w:spacing w:val="-52"/>
        </w:rPr>
        <w:t xml:space="preserve"> </w:t>
      </w:r>
      <w:r>
        <w:rPr>
          <w:sz w:val="16"/>
          <w:szCs w:val="16"/>
          <w:position w:val="-2"/>
        </w:rPr>
        <w:drawing>
          <wp:inline distT="0" distB="0" distL="0" distR="0">
            <wp:extent cx="47650" cy="101600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5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  <w:szCs w:val="16"/>
          <w:color w:val="231F20"/>
          <w:spacing w:val="1"/>
        </w:rPr>
        <w:t>±s，</w:t>
      </w:r>
      <w:r>
        <w:rPr>
          <w:sz w:val="16"/>
          <w:szCs w:val="16"/>
          <w:color w:val="231F20"/>
        </w:rPr>
        <w:t>ng</w:t>
      </w:r>
      <w:r>
        <w:rPr>
          <w:sz w:val="16"/>
          <w:szCs w:val="16"/>
          <w:color w:val="231F20"/>
          <w:spacing w:val="1"/>
        </w:rPr>
        <w:t>/L）</w:t>
      </w:r>
    </w:p>
    <w:p>
      <w:pPr>
        <w:spacing w:line="32" w:lineRule="exact"/>
        <w:rPr/>
      </w:pPr>
      <w:r/>
    </w:p>
    <w:tbl>
      <w:tblPr>
        <w:tblStyle w:val="TableNormal"/>
        <w:tblW w:w="4818" w:type="dxa"/>
        <w:tblInd w:w="51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93"/>
        <w:gridCol w:w="484"/>
        <w:gridCol w:w="615"/>
        <w:gridCol w:w="622"/>
        <w:gridCol w:w="625"/>
        <w:gridCol w:w="624"/>
        <w:gridCol w:w="623"/>
        <w:gridCol w:w="632"/>
      </w:tblGrid>
      <w:tr>
        <w:trPr>
          <w:trHeight w:val="277" w:hRule="atLeast"/>
        </w:trPr>
        <w:tc>
          <w:tcPr>
            <w:tcW w:w="593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pStyle w:val="TableText"/>
              <w:ind w:left="131"/>
              <w:spacing w:before="198" w:line="220" w:lineRule="auto"/>
              <w:rPr/>
            </w:pPr>
            <w:r>
              <w:rPr>
                <w:color w:val="231F20"/>
                <w:spacing w:val="-3"/>
              </w:rPr>
              <w:t>分组</w:t>
            </w:r>
          </w:p>
        </w:tc>
        <w:tc>
          <w:tcPr>
            <w:tcW w:w="484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pStyle w:val="TableText"/>
              <w:ind w:left="75"/>
              <w:spacing w:before="82" w:line="220" w:lineRule="auto"/>
              <w:rPr/>
            </w:pPr>
            <w:r>
              <w:rPr>
                <w:color w:val="231F20"/>
                <w:spacing w:val="-2"/>
              </w:rPr>
              <w:t>例数</w:t>
            </w:r>
          </w:p>
          <w:p>
            <w:pPr>
              <w:pStyle w:val="TableText"/>
              <w:ind w:left="39"/>
              <w:spacing w:before="39" w:line="232" w:lineRule="auto"/>
              <w:rPr/>
            </w:pPr>
            <w:r>
              <w:rPr>
                <w:color w:val="231F20"/>
                <w:spacing w:val="-5"/>
              </w:rPr>
              <w:t>（n）</w:t>
            </w:r>
          </w:p>
        </w:tc>
        <w:tc>
          <w:tcPr>
            <w:tcW w:w="1237" w:type="dxa"/>
            <w:vAlign w:val="top"/>
            <w:gridSpan w:val="2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478"/>
              <w:spacing w:before="56"/>
              <w:rPr/>
            </w:pPr>
            <w:r>
              <w:rPr>
                <w:color w:val="231F20"/>
                <w:spacing w:val="-4"/>
              </w:rPr>
              <w:t>IL-6</w:t>
            </w:r>
          </w:p>
        </w:tc>
        <w:tc>
          <w:tcPr>
            <w:tcW w:w="1249" w:type="dxa"/>
            <w:vAlign w:val="top"/>
            <w:gridSpan w:val="2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398"/>
              <w:spacing w:before="56" w:line="241" w:lineRule="auto"/>
              <w:rPr/>
            </w:pPr>
            <w:r>
              <w:rPr>
                <w:color w:val="231F20"/>
                <w:spacing w:val="-1"/>
              </w:rPr>
              <w:t>TNF-</w:t>
            </w:r>
            <w:r>
              <w:rPr>
                <w:color w:val="231F20"/>
                <w:spacing w:val="-39"/>
              </w:rPr>
              <w:t xml:space="preserve"> </w:t>
            </w:r>
            <w:r>
              <w:rPr>
                <w:color w:val="231F20"/>
                <w:spacing w:val="-1"/>
              </w:rPr>
              <w:t>α</w:t>
            </w:r>
          </w:p>
        </w:tc>
        <w:tc>
          <w:tcPr>
            <w:tcW w:w="1255" w:type="dxa"/>
            <w:vAlign w:val="top"/>
            <w:gridSpan w:val="2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407"/>
              <w:spacing w:before="56" w:line="233" w:lineRule="auto"/>
              <w:rPr/>
            </w:pPr>
            <w:r>
              <w:rPr>
                <w:color w:val="231F20"/>
                <w:spacing w:val="-4"/>
              </w:rPr>
              <w:t>IL-1β</w:t>
            </w:r>
          </w:p>
        </w:tc>
      </w:tr>
      <w:tr>
        <w:trPr>
          <w:trHeight w:val="277" w:hRule="atLeast"/>
        </w:trPr>
        <w:tc>
          <w:tcPr>
            <w:tcW w:w="593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4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15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82"/>
              <w:spacing w:before="58" w:line="220" w:lineRule="auto"/>
              <w:rPr/>
            </w:pPr>
            <w:r>
              <w:rPr>
                <w:color w:val="231F20"/>
                <w:spacing w:val="-3"/>
              </w:rPr>
              <w:t>治疗前</w:t>
            </w:r>
          </w:p>
        </w:tc>
        <w:tc>
          <w:tcPr>
            <w:tcW w:w="622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90"/>
              <w:spacing w:before="58" w:line="220" w:lineRule="auto"/>
              <w:rPr/>
            </w:pPr>
            <w:r>
              <w:rPr>
                <w:color w:val="231F20"/>
                <w:spacing w:val="-3"/>
              </w:rPr>
              <w:t>治疗后</w:t>
            </w:r>
          </w:p>
        </w:tc>
        <w:tc>
          <w:tcPr>
            <w:tcW w:w="625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92"/>
              <w:spacing w:before="58" w:line="220" w:lineRule="auto"/>
              <w:rPr/>
            </w:pPr>
            <w:r>
              <w:rPr>
                <w:color w:val="231F20"/>
                <w:spacing w:val="-3"/>
              </w:rPr>
              <w:t>治疗前</w:t>
            </w:r>
          </w:p>
        </w:tc>
        <w:tc>
          <w:tcPr>
            <w:tcW w:w="624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90"/>
              <w:spacing w:before="58" w:line="220" w:lineRule="auto"/>
              <w:rPr/>
            </w:pPr>
            <w:r>
              <w:rPr>
                <w:color w:val="231F20"/>
                <w:spacing w:val="-3"/>
              </w:rPr>
              <w:t>治疗后</w:t>
            </w:r>
          </w:p>
        </w:tc>
        <w:tc>
          <w:tcPr>
            <w:tcW w:w="623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90"/>
              <w:spacing w:before="58" w:line="220" w:lineRule="auto"/>
              <w:rPr/>
            </w:pPr>
            <w:r>
              <w:rPr>
                <w:color w:val="231F20"/>
                <w:spacing w:val="-3"/>
              </w:rPr>
              <w:t>治疗前</w:t>
            </w:r>
          </w:p>
        </w:tc>
        <w:tc>
          <w:tcPr>
            <w:tcW w:w="632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91"/>
              <w:spacing w:before="58" w:line="220" w:lineRule="auto"/>
              <w:rPr/>
            </w:pPr>
            <w:r>
              <w:rPr>
                <w:color w:val="231F20"/>
                <w:spacing w:val="-3"/>
              </w:rPr>
              <w:t>治疗后</w:t>
            </w:r>
          </w:p>
        </w:tc>
      </w:tr>
      <w:tr>
        <w:trPr>
          <w:trHeight w:val="437" w:hRule="atLeast"/>
        </w:trPr>
        <w:tc>
          <w:tcPr>
            <w:tcW w:w="59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9"/>
              <w:spacing w:before="141" w:line="220" w:lineRule="auto"/>
              <w:rPr/>
            </w:pPr>
            <w:r>
              <w:rPr>
                <w:color w:val="231F20"/>
                <w:spacing w:val="-2"/>
              </w:rPr>
              <w:t>观察组</w:t>
            </w:r>
          </w:p>
        </w:tc>
        <w:tc>
          <w:tcPr>
            <w:tcW w:w="48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54"/>
              <w:spacing w:before="141"/>
              <w:rPr/>
            </w:pPr>
            <w:r>
              <w:rPr>
                <w:color w:val="231F20"/>
                <w:spacing w:val="-2"/>
              </w:rPr>
              <w:t>48</w:t>
            </w:r>
          </w:p>
        </w:tc>
        <w:tc>
          <w:tcPr>
            <w:tcW w:w="61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7"/>
              <w:spacing w:before="26" w:line="235" w:lineRule="auto"/>
              <w:rPr/>
            </w:pPr>
            <w:r>
              <w:rPr>
                <w:color w:val="231F20"/>
                <w:spacing w:val="-1"/>
              </w:rPr>
              <w:t>46.21±</w:t>
            </w:r>
          </w:p>
          <w:p>
            <w:pPr>
              <w:pStyle w:val="TableText"/>
              <w:ind w:left="161"/>
              <w:spacing w:before="26" w:line="196" w:lineRule="auto"/>
              <w:rPr/>
            </w:pPr>
            <w:r>
              <w:rPr>
                <w:color w:val="231F20"/>
                <w:spacing w:val="-2"/>
              </w:rPr>
              <w:t>5.18</w:t>
            </w:r>
          </w:p>
        </w:tc>
        <w:tc>
          <w:tcPr>
            <w:tcW w:w="62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8"/>
              <w:spacing w:before="26" w:line="235" w:lineRule="auto"/>
              <w:rPr/>
            </w:pPr>
            <w:r>
              <w:rPr>
                <w:color w:val="231F20"/>
                <w:spacing w:val="-1"/>
              </w:rPr>
              <w:t>23.34±</w:t>
            </w:r>
          </w:p>
          <w:p>
            <w:pPr>
              <w:pStyle w:val="TableText"/>
              <w:ind w:left="146"/>
              <w:spacing w:before="6" w:line="219" w:lineRule="auto"/>
              <w:rPr>
                <w:sz w:val="9"/>
                <w:szCs w:val="9"/>
              </w:rPr>
            </w:pPr>
            <w:r>
              <w:rPr>
                <w:color w:val="231F20"/>
                <w:spacing w:val="-2"/>
              </w:rPr>
              <w:t>3.23</w:t>
            </w:r>
            <w:r>
              <w:rPr>
                <w:sz w:val="9"/>
                <w:szCs w:val="9"/>
                <w:color w:val="231F20"/>
                <w:spacing w:val="-2"/>
                <w:position w:val="7"/>
              </w:rPr>
              <w:t>*</w:t>
            </w:r>
          </w:p>
        </w:tc>
        <w:tc>
          <w:tcPr>
            <w:tcW w:w="62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7"/>
              <w:spacing w:before="26" w:line="235" w:lineRule="auto"/>
              <w:rPr/>
            </w:pPr>
            <w:r>
              <w:rPr>
                <w:color w:val="231F20"/>
                <w:spacing w:val="-1"/>
              </w:rPr>
              <w:t>40.58±</w:t>
            </w:r>
          </w:p>
          <w:p>
            <w:pPr>
              <w:pStyle w:val="TableText"/>
              <w:ind w:left="167"/>
              <w:spacing w:before="26" w:line="196" w:lineRule="auto"/>
              <w:rPr/>
            </w:pPr>
            <w:r>
              <w:rPr>
                <w:color w:val="231F20"/>
                <w:spacing w:val="-2"/>
              </w:rPr>
              <w:t>4.71</w:t>
            </w:r>
          </w:p>
        </w:tc>
        <w:tc>
          <w:tcPr>
            <w:tcW w:w="62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8"/>
              <w:spacing w:before="26" w:line="235" w:lineRule="auto"/>
              <w:rPr/>
            </w:pPr>
            <w:r>
              <w:rPr>
                <w:color w:val="231F20"/>
                <w:spacing w:val="-3"/>
              </w:rPr>
              <w:t>18.23±</w:t>
            </w:r>
          </w:p>
          <w:p>
            <w:pPr>
              <w:pStyle w:val="TableText"/>
              <w:ind w:left="145"/>
              <w:spacing w:before="6" w:line="219" w:lineRule="auto"/>
              <w:rPr>
                <w:sz w:val="9"/>
                <w:szCs w:val="9"/>
              </w:rPr>
            </w:pPr>
            <w:r>
              <w:rPr>
                <w:color w:val="231F20"/>
                <w:spacing w:val="-2"/>
              </w:rPr>
              <w:t>2.37</w:t>
            </w:r>
            <w:r>
              <w:rPr>
                <w:sz w:val="9"/>
                <w:szCs w:val="9"/>
                <w:color w:val="231F20"/>
                <w:spacing w:val="-2"/>
                <w:position w:val="7"/>
              </w:rPr>
              <w:t>*</w:t>
            </w:r>
          </w:p>
        </w:tc>
        <w:tc>
          <w:tcPr>
            <w:tcW w:w="62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9"/>
              <w:spacing w:before="26" w:line="235" w:lineRule="auto"/>
              <w:rPr/>
            </w:pPr>
            <w:r>
              <w:rPr>
                <w:color w:val="231F20"/>
                <w:spacing w:val="-2"/>
              </w:rPr>
              <w:t>30.88±</w:t>
            </w:r>
          </w:p>
          <w:p>
            <w:pPr>
              <w:pStyle w:val="TableText"/>
              <w:ind w:left="169"/>
              <w:spacing w:before="26" w:line="196" w:lineRule="auto"/>
              <w:rPr/>
            </w:pPr>
            <w:r>
              <w:rPr>
                <w:color w:val="231F20"/>
                <w:spacing w:val="-2"/>
              </w:rPr>
              <w:t>3.53</w:t>
            </w:r>
          </w:p>
        </w:tc>
        <w:tc>
          <w:tcPr>
            <w:tcW w:w="63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9"/>
              <w:spacing w:before="26" w:line="235" w:lineRule="auto"/>
              <w:rPr/>
            </w:pPr>
            <w:r>
              <w:rPr>
                <w:color w:val="231F20"/>
                <w:spacing w:val="-3"/>
              </w:rPr>
              <w:t>16.96±</w:t>
            </w:r>
          </w:p>
          <w:p>
            <w:pPr>
              <w:pStyle w:val="TableText"/>
              <w:ind w:left="145"/>
              <w:spacing w:before="6" w:line="219" w:lineRule="auto"/>
              <w:rPr>
                <w:sz w:val="9"/>
                <w:szCs w:val="9"/>
              </w:rPr>
            </w:pPr>
            <w:r>
              <w:rPr>
                <w:color w:val="231F20"/>
                <w:spacing w:val="-2"/>
              </w:rPr>
              <w:t>2.23</w:t>
            </w:r>
            <w:r>
              <w:rPr>
                <w:sz w:val="9"/>
                <w:szCs w:val="9"/>
                <w:color w:val="231F20"/>
                <w:spacing w:val="-2"/>
                <w:position w:val="7"/>
              </w:rPr>
              <w:t>*</w:t>
            </w:r>
          </w:p>
        </w:tc>
      </w:tr>
      <w:tr>
        <w:trPr>
          <w:trHeight w:val="465" w:hRule="atLeast"/>
        </w:trPr>
        <w:tc>
          <w:tcPr>
            <w:tcW w:w="593" w:type="dxa"/>
            <w:vAlign w:val="top"/>
          </w:tcPr>
          <w:p>
            <w:pPr>
              <w:pStyle w:val="TableText"/>
              <w:ind w:left="49"/>
              <w:spacing w:before="151" w:line="221" w:lineRule="auto"/>
              <w:rPr/>
            </w:pPr>
            <w:r>
              <w:rPr>
                <w:color w:val="231F20"/>
                <w:spacing w:val="-2"/>
              </w:rPr>
              <w:t>对照组</w:t>
            </w:r>
          </w:p>
        </w:tc>
        <w:tc>
          <w:tcPr>
            <w:tcW w:w="484" w:type="dxa"/>
            <w:vAlign w:val="top"/>
          </w:tcPr>
          <w:p>
            <w:pPr>
              <w:pStyle w:val="TableText"/>
              <w:ind w:left="154"/>
              <w:spacing w:before="151"/>
              <w:rPr/>
            </w:pPr>
            <w:r>
              <w:rPr>
                <w:color w:val="231F20"/>
                <w:spacing w:val="-2"/>
              </w:rPr>
              <w:t>46</w:t>
            </w:r>
          </w:p>
        </w:tc>
        <w:tc>
          <w:tcPr>
            <w:tcW w:w="615" w:type="dxa"/>
            <w:vAlign w:val="top"/>
          </w:tcPr>
          <w:p>
            <w:pPr>
              <w:pStyle w:val="TableText"/>
              <w:ind w:left="37"/>
              <w:spacing w:before="36" w:line="235" w:lineRule="auto"/>
              <w:rPr/>
            </w:pPr>
            <w:r>
              <w:rPr>
                <w:color w:val="231F20"/>
                <w:spacing w:val="-1"/>
              </w:rPr>
              <w:t>45.82±</w:t>
            </w:r>
          </w:p>
          <w:p>
            <w:pPr>
              <w:pStyle w:val="TableText"/>
              <w:ind w:left="161"/>
              <w:spacing w:before="26" w:line="217" w:lineRule="auto"/>
              <w:rPr/>
            </w:pPr>
            <w:r>
              <w:rPr>
                <w:color w:val="231F20"/>
                <w:spacing w:val="-2"/>
              </w:rPr>
              <w:t>5.22</w:t>
            </w:r>
          </w:p>
        </w:tc>
        <w:tc>
          <w:tcPr>
            <w:tcW w:w="622" w:type="dxa"/>
            <w:vAlign w:val="top"/>
          </w:tcPr>
          <w:p>
            <w:pPr>
              <w:pStyle w:val="TableText"/>
              <w:ind w:left="50"/>
              <w:spacing w:before="36" w:line="235" w:lineRule="auto"/>
              <w:rPr/>
            </w:pPr>
            <w:r>
              <w:rPr>
                <w:color w:val="231F20"/>
                <w:spacing w:val="-1"/>
              </w:rPr>
              <w:t>30.14±</w:t>
            </w:r>
          </w:p>
          <w:p>
            <w:pPr>
              <w:pStyle w:val="TableText"/>
              <w:ind w:left="146"/>
              <w:spacing w:before="6"/>
              <w:rPr>
                <w:sz w:val="9"/>
                <w:szCs w:val="9"/>
              </w:rPr>
            </w:pPr>
            <w:r>
              <w:rPr>
                <w:color w:val="231F20"/>
                <w:spacing w:val="-2"/>
              </w:rPr>
              <w:t>3.81</w:t>
            </w:r>
            <w:r>
              <w:rPr>
                <w:sz w:val="9"/>
                <w:szCs w:val="9"/>
                <w:color w:val="231F20"/>
                <w:spacing w:val="-2"/>
                <w:position w:val="7"/>
              </w:rPr>
              <w:t>*</w:t>
            </w:r>
          </w:p>
        </w:tc>
        <w:tc>
          <w:tcPr>
            <w:tcW w:w="625" w:type="dxa"/>
            <w:vAlign w:val="top"/>
          </w:tcPr>
          <w:p>
            <w:pPr>
              <w:pStyle w:val="TableText"/>
              <w:ind w:left="51"/>
              <w:spacing w:before="36" w:line="235" w:lineRule="auto"/>
              <w:rPr/>
            </w:pPr>
            <w:r>
              <w:rPr>
                <w:color w:val="231F20"/>
                <w:spacing w:val="-2"/>
              </w:rPr>
              <w:t>39.92±</w:t>
            </w:r>
          </w:p>
          <w:p>
            <w:pPr>
              <w:pStyle w:val="TableText"/>
              <w:ind w:left="167"/>
              <w:spacing w:before="26" w:line="217" w:lineRule="auto"/>
              <w:rPr/>
            </w:pPr>
            <w:r>
              <w:rPr>
                <w:color w:val="231F20"/>
                <w:spacing w:val="-2"/>
              </w:rPr>
              <w:t>4.16</w:t>
            </w:r>
          </w:p>
        </w:tc>
        <w:tc>
          <w:tcPr>
            <w:tcW w:w="624" w:type="dxa"/>
            <w:vAlign w:val="top"/>
          </w:tcPr>
          <w:p>
            <w:pPr>
              <w:pStyle w:val="TableText"/>
              <w:ind w:left="49"/>
              <w:spacing w:before="36" w:line="235" w:lineRule="auto"/>
              <w:rPr/>
            </w:pPr>
            <w:r>
              <w:rPr>
                <w:color w:val="231F20"/>
                <w:spacing w:val="-2"/>
              </w:rPr>
              <w:t>22.46±</w:t>
            </w:r>
          </w:p>
          <w:p>
            <w:pPr>
              <w:pStyle w:val="TableText"/>
              <w:ind w:left="145"/>
              <w:spacing w:before="6"/>
              <w:rPr>
                <w:sz w:val="9"/>
                <w:szCs w:val="9"/>
              </w:rPr>
            </w:pPr>
            <w:r>
              <w:rPr>
                <w:color w:val="231F20"/>
                <w:spacing w:val="-2"/>
              </w:rPr>
              <w:t>2.70</w:t>
            </w:r>
            <w:r>
              <w:rPr>
                <w:sz w:val="9"/>
                <w:szCs w:val="9"/>
                <w:color w:val="231F20"/>
                <w:spacing w:val="-2"/>
                <w:position w:val="7"/>
              </w:rPr>
              <w:t>*</w:t>
            </w:r>
          </w:p>
        </w:tc>
        <w:tc>
          <w:tcPr>
            <w:tcW w:w="623" w:type="dxa"/>
            <w:vAlign w:val="top"/>
          </w:tcPr>
          <w:p>
            <w:pPr>
              <w:pStyle w:val="TableText"/>
              <w:ind w:left="49"/>
              <w:spacing w:before="36" w:line="235" w:lineRule="auto"/>
              <w:rPr/>
            </w:pPr>
            <w:r>
              <w:rPr>
                <w:color w:val="231F20"/>
                <w:spacing w:val="-1"/>
              </w:rPr>
              <w:t>30.02±</w:t>
            </w:r>
          </w:p>
          <w:p>
            <w:pPr>
              <w:pStyle w:val="TableText"/>
              <w:ind w:left="169"/>
              <w:spacing w:before="26" w:line="217" w:lineRule="auto"/>
              <w:rPr/>
            </w:pPr>
            <w:r>
              <w:rPr>
                <w:color w:val="231F20"/>
                <w:spacing w:val="-2"/>
              </w:rPr>
              <w:t>3.11</w:t>
            </w:r>
          </w:p>
        </w:tc>
        <w:tc>
          <w:tcPr>
            <w:tcW w:w="632" w:type="dxa"/>
            <w:vAlign w:val="top"/>
          </w:tcPr>
          <w:p>
            <w:pPr>
              <w:pStyle w:val="TableText"/>
              <w:ind w:left="49"/>
              <w:spacing w:before="36" w:line="235" w:lineRule="auto"/>
              <w:rPr/>
            </w:pPr>
            <w:r>
              <w:rPr>
                <w:color w:val="231F20"/>
                <w:spacing w:val="-2"/>
              </w:rPr>
              <w:t>20.45±</w:t>
            </w:r>
          </w:p>
          <w:p>
            <w:pPr>
              <w:pStyle w:val="TableText"/>
              <w:ind w:left="145"/>
              <w:spacing w:before="6"/>
              <w:rPr>
                <w:sz w:val="9"/>
                <w:szCs w:val="9"/>
              </w:rPr>
            </w:pPr>
            <w:r>
              <w:rPr>
                <w:color w:val="231F20"/>
                <w:spacing w:val="-2"/>
              </w:rPr>
              <w:t>2.64</w:t>
            </w:r>
            <w:r>
              <w:rPr>
                <w:sz w:val="9"/>
                <w:szCs w:val="9"/>
                <w:color w:val="231F20"/>
                <w:spacing w:val="-2"/>
                <w:position w:val="7"/>
              </w:rPr>
              <w:t>*</w:t>
            </w:r>
          </w:p>
        </w:tc>
      </w:tr>
      <w:tr>
        <w:trPr>
          <w:trHeight w:val="266" w:hRule="atLeast"/>
        </w:trPr>
        <w:tc>
          <w:tcPr>
            <w:tcW w:w="593" w:type="dxa"/>
            <w:vAlign w:val="top"/>
          </w:tcPr>
          <w:p>
            <w:pPr>
              <w:pStyle w:val="TableText"/>
              <w:ind w:left="253"/>
              <w:spacing w:before="52" w:line="235" w:lineRule="auto"/>
              <w:rPr/>
            </w:pPr>
            <w:r>
              <w:rPr>
                <w:color w:val="231F20"/>
              </w:rPr>
              <w:t>t</w:t>
            </w:r>
          </w:p>
        </w:tc>
        <w:tc>
          <w:tcPr>
            <w:tcW w:w="4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15" w:type="dxa"/>
            <w:vAlign w:val="top"/>
          </w:tcPr>
          <w:p>
            <w:pPr>
              <w:pStyle w:val="TableText"/>
              <w:ind w:left="119"/>
              <w:spacing w:before="52" w:line="235" w:lineRule="auto"/>
              <w:rPr/>
            </w:pPr>
            <w:r>
              <w:rPr>
                <w:color w:val="231F20"/>
                <w:spacing w:val="-2"/>
              </w:rPr>
              <w:t>0.364</w:t>
            </w:r>
          </w:p>
        </w:tc>
        <w:tc>
          <w:tcPr>
            <w:tcW w:w="622" w:type="dxa"/>
            <w:vAlign w:val="top"/>
          </w:tcPr>
          <w:p>
            <w:pPr>
              <w:pStyle w:val="TableText"/>
              <w:ind w:left="127"/>
              <w:spacing w:before="52" w:line="235" w:lineRule="auto"/>
              <w:rPr/>
            </w:pPr>
            <w:r>
              <w:rPr>
                <w:color w:val="231F20"/>
                <w:spacing w:val="-2"/>
              </w:rPr>
              <w:t>9.348</w:t>
            </w:r>
          </w:p>
        </w:tc>
        <w:tc>
          <w:tcPr>
            <w:tcW w:w="625" w:type="dxa"/>
            <w:vAlign w:val="top"/>
          </w:tcPr>
          <w:p>
            <w:pPr>
              <w:pStyle w:val="TableText"/>
              <w:ind w:left="129"/>
              <w:spacing w:before="52" w:line="235" w:lineRule="auto"/>
              <w:rPr/>
            </w:pPr>
            <w:r>
              <w:rPr>
                <w:color w:val="231F20"/>
                <w:spacing w:val="-2"/>
              </w:rPr>
              <w:t>0.719</w:t>
            </w:r>
          </w:p>
        </w:tc>
        <w:tc>
          <w:tcPr>
            <w:tcW w:w="624" w:type="dxa"/>
            <w:vAlign w:val="top"/>
          </w:tcPr>
          <w:p>
            <w:pPr>
              <w:pStyle w:val="TableText"/>
              <w:ind w:left="127"/>
              <w:spacing w:before="52" w:line="235" w:lineRule="auto"/>
              <w:rPr/>
            </w:pPr>
            <w:r>
              <w:rPr>
                <w:color w:val="231F20"/>
                <w:spacing w:val="-2"/>
              </w:rPr>
              <w:t>8.082</w:t>
            </w:r>
          </w:p>
        </w:tc>
        <w:tc>
          <w:tcPr>
            <w:tcW w:w="623" w:type="dxa"/>
            <w:vAlign w:val="top"/>
          </w:tcPr>
          <w:p>
            <w:pPr>
              <w:pStyle w:val="TableText"/>
              <w:ind w:left="138"/>
              <w:spacing w:before="52" w:line="235" w:lineRule="auto"/>
              <w:rPr/>
            </w:pPr>
            <w:r>
              <w:rPr>
                <w:color w:val="231F20"/>
                <w:spacing w:val="-3"/>
              </w:rPr>
              <w:t>1.251</w:t>
            </w:r>
          </w:p>
        </w:tc>
        <w:tc>
          <w:tcPr>
            <w:tcW w:w="632" w:type="dxa"/>
            <w:vAlign w:val="top"/>
          </w:tcPr>
          <w:p>
            <w:pPr>
              <w:pStyle w:val="TableText"/>
              <w:ind w:left="128"/>
              <w:spacing w:before="52" w:line="235" w:lineRule="auto"/>
              <w:rPr/>
            </w:pPr>
            <w:r>
              <w:rPr>
                <w:color w:val="231F20"/>
                <w:spacing w:val="-2"/>
              </w:rPr>
              <w:t>6.935</w:t>
            </w:r>
          </w:p>
        </w:tc>
      </w:tr>
      <w:tr>
        <w:trPr>
          <w:trHeight w:val="286" w:hRule="atLeast"/>
        </w:trPr>
        <w:tc>
          <w:tcPr>
            <w:tcW w:w="593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47"/>
              <w:spacing w:before="95" w:line="182" w:lineRule="auto"/>
              <w:rPr/>
            </w:pPr>
            <w:r>
              <w:rPr>
                <w:color w:val="231F20"/>
              </w:rPr>
              <w:t>P</w:t>
            </w:r>
          </w:p>
        </w:tc>
        <w:tc>
          <w:tcPr>
            <w:tcW w:w="484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15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19"/>
              <w:spacing w:before="69" w:line="238" w:lineRule="auto"/>
              <w:rPr/>
            </w:pPr>
            <w:r>
              <w:rPr>
                <w:color w:val="231F20"/>
                <w:spacing w:val="-2"/>
              </w:rPr>
              <w:t>0.717</w:t>
            </w:r>
          </w:p>
        </w:tc>
        <w:tc>
          <w:tcPr>
            <w:tcW w:w="622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28"/>
              <w:spacing w:before="69" w:line="238" w:lineRule="auto"/>
              <w:rPr/>
            </w:pPr>
            <w:r>
              <w:rPr>
                <w:color w:val="231F20"/>
                <w:spacing w:val="-2"/>
              </w:rPr>
              <w:t>0.000</w:t>
            </w:r>
          </w:p>
        </w:tc>
        <w:tc>
          <w:tcPr>
            <w:tcW w:w="625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29"/>
              <w:spacing w:before="69" w:line="238" w:lineRule="auto"/>
              <w:rPr/>
            </w:pPr>
            <w:r>
              <w:rPr>
                <w:color w:val="231F20"/>
                <w:spacing w:val="-2"/>
              </w:rPr>
              <w:t>0.474</w:t>
            </w:r>
          </w:p>
        </w:tc>
        <w:tc>
          <w:tcPr>
            <w:tcW w:w="624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28"/>
              <w:spacing w:before="69" w:line="238" w:lineRule="auto"/>
              <w:rPr/>
            </w:pPr>
            <w:r>
              <w:rPr>
                <w:color w:val="231F20"/>
                <w:spacing w:val="-2"/>
              </w:rPr>
              <w:t>0.000</w:t>
            </w:r>
          </w:p>
        </w:tc>
        <w:tc>
          <w:tcPr>
            <w:tcW w:w="623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27"/>
              <w:spacing w:before="69" w:line="238" w:lineRule="auto"/>
              <w:rPr/>
            </w:pPr>
            <w:r>
              <w:rPr>
                <w:color w:val="231F20"/>
                <w:spacing w:val="-2"/>
              </w:rPr>
              <w:t>0.214</w:t>
            </w:r>
          </w:p>
        </w:tc>
        <w:tc>
          <w:tcPr>
            <w:tcW w:w="632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28"/>
              <w:spacing w:before="69" w:line="238" w:lineRule="auto"/>
              <w:rPr/>
            </w:pPr>
            <w:r>
              <w:rPr>
                <w:color w:val="231F20"/>
                <w:spacing w:val="-2"/>
              </w:rPr>
              <w:t>0.000</w:t>
            </w:r>
          </w:p>
        </w:tc>
      </w:tr>
    </w:tbl>
    <w:p>
      <w:pPr>
        <w:pStyle w:val="BodyText"/>
        <w:ind w:left="517"/>
        <w:spacing w:before="36" w:line="211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-2"/>
          <w:position w:val="1"/>
        </w:rPr>
        <w:t>注：与治疗前比较，</w:t>
      </w:r>
      <w:r>
        <w:rPr>
          <w:sz w:val="9"/>
          <w:szCs w:val="9"/>
          <w:color w:val="231F20"/>
          <w:spacing w:val="-2"/>
          <w:position w:val="8"/>
        </w:rPr>
        <w:t>*</w:t>
      </w:r>
      <w:r>
        <w:rPr>
          <w:sz w:val="16"/>
          <w:szCs w:val="16"/>
          <w:color w:val="231F20"/>
          <w:spacing w:val="-2"/>
          <w:position w:val="1"/>
        </w:rPr>
        <w:t>P</w:t>
      </w:r>
      <w:r>
        <w:rPr>
          <w:sz w:val="16"/>
          <w:szCs w:val="16"/>
          <w:color w:val="231F20"/>
          <w:spacing w:val="-22"/>
          <w:position w:val="1"/>
        </w:rPr>
        <w:t xml:space="preserve"> </w:t>
      </w:r>
      <w:r>
        <w:rPr>
          <w:sz w:val="16"/>
          <w:szCs w:val="16"/>
          <w:color w:val="231F20"/>
          <w:spacing w:val="-2"/>
          <w:position w:val="1"/>
        </w:rPr>
        <w:t>＜</w:t>
      </w:r>
      <w:r>
        <w:rPr>
          <w:sz w:val="16"/>
          <w:szCs w:val="16"/>
          <w:color w:val="231F20"/>
          <w:spacing w:val="-32"/>
          <w:position w:val="1"/>
        </w:rPr>
        <w:t xml:space="preserve"> </w:t>
      </w:r>
      <w:r>
        <w:rPr>
          <w:sz w:val="16"/>
          <w:szCs w:val="16"/>
          <w:color w:val="231F20"/>
          <w:spacing w:val="-2"/>
          <w:position w:val="1"/>
        </w:rPr>
        <w:t>0.05</w:t>
      </w:r>
    </w:p>
    <w:p>
      <w:pPr>
        <w:ind w:left="517"/>
        <w:spacing w:before="47" w:line="186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6"/>
        </w:rPr>
        <w:t>2.4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6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6"/>
        </w:rPr>
        <w:t>两组不良反应比较</w:t>
      </w:r>
    </w:p>
    <w:p>
      <w:pPr>
        <w:pStyle w:val="BodyText"/>
        <w:ind w:left="887"/>
        <w:spacing w:line="219" w:lineRule="auto"/>
        <w:rPr/>
      </w:pPr>
      <w:r>
        <w:rPr>
          <w:color w:val="231F20"/>
          <w:spacing w:val="-5"/>
        </w:rPr>
        <w:t>两组不良反应总发生率比较差异小（P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5"/>
        </w:rPr>
        <w:t>＞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-5"/>
        </w:rPr>
        <w:t>0.05）。见表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-5"/>
        </w:rPr>
        <w:t>4。</w:t>
      </w:r>
    </w:p>
    <w:p>
      <w:pPr>
        <w:pStyle w:val="BodyText"/>
        <w:ind w:left="1573"/>
        <w:spacing w:before="24" w:line="220" w:lineRule="auto"/>
        <w:outlineLvl w:val="2"/>
        <w:rPr>
          <w:sz w:val="16"/>
          <w:szCs w:val="16"/>
        </w:rPr>
      </w:pPr>
      <w:r>
        <w:rPr>
          <w:sz w:val="16"/>
          <w:szCs w:val="16"/>
          <w:color w:val="231F20"/>
          <w:spacing w:val="-2"/>
        </w:rPr>
        <w:t>表</w:t>
      </w:r>
      <w:r>
        <w:rPr>
          <w:sz w:val="16"/>
          <w:szCs w:val="16"/>
          <w:color w:val="231F20"/>
          <w:spacing w:val="-34"/>
        </w:rPr>
        <w:t xml:space="preserve"> </w:t>
      </w:r>
      <w:r>
        <w:rPr>
          <w:sz w:val="16"/>
          <w:szCs w:val="16"/>
          <w:color w:val="231F20"/>
          <w:spacing w:val="-2"/>
        </w:rPr>
        <w:t>4  两组不良反应发生率比较 [n</w:t>
      </w:r>
      <w:r>
        <w:rPr>
          <w:sz w:val="16"/>
          <w:szCs w:val="16"/>
          <w:color w:val="231F20"/>
          <w:spacing w:val="-3"/>
        </w:rPr>
        <w:t>(%)]</w:t>
      </w:r>
    </w:p>
    <w:p>
      <w:pPr>
        <w:spacing w:line="27" w:lineRule="exact"/>
        <w:rPr/>
      </w:pPr>
      <w:r/>
    </w:p>
    <w:tbl>
      <w:tblPr>
        <w:tblStyle w:val="TableNormal"/>
        <w:tblW w:w="4842" w:type="dxa"/>
        <w:tblInd w:w="50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02"/>
        <w:gridCol w:w="707"/>
        <w:gridCol w:w="777"/>
        <w:gridCol w:w="997"/>
        <w:gridCol w:w="933"/>
        <w:gridCol w:w="826"/>
      </w:tblGrid>
      <w:tr>
        <w:trPr>
          <w:trHeight w:val="291" w:hRule="atLeast"/>
        </w:trPr>
        <w:tc>
          <w:tcPr>
            <w:tcW w:w="602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59"/>
              <w:spacing w:before="64" w:line="220" w:lineRule="auto"/>
              <w:rPr/>
            </w:pPr>
            <w:r>
              <w:rPr>
                <w:color w:val="231F20"/>
                <w:spacing w:val="-3"/>
              </w:rPr>
              <w:t>分组</w:t>
            </w:r>
          </w:p>
        </w:tc>
        <w:tc>
          <w:tcPr>
            <w:tcW w:w="707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spacing w:before="63" w:line="220" w:lineRule="auto"/>
              <w:jc w:val="right"/>
              <w:rPr/>
            </w:pPr>
            <w:r>
              <w:rPr>
                <w:color w:val="231F20"/>
                <w:spacing w:val="-14"/>
              </w:rPr>
              <w:t>例数（n）</w:t>
            </w:r>
          </w:p>
        </w:tc>
        <w:tc>
          <w:tcPr>
            <w:tcW w:w="777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246"/>
              <w:spacing w:before="64" w:line="220" w:lineRule="auto"/>
              <w:rPr/>
            </w:pPr>
            <w:r>
              <w:rPr>
                <w:color w:val="231F20"/>
                <w:spacing w:val="-3"/>
              </w:rPr>
              <w:t>皮疹</w:t>
            </w:r>
          </w:p>
        </w:tc>
        <w:tc>
          <w:tcPr>
            <w:tcW w:w="997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12"/>
              <w:spacing w:before="63" w:line="220" w:lineRule="auto"/>
              <w:rPr/>
            </w:pPr>
            <w:r>
              <w:rPr>
                <w:color w:val="231F20"/>
                <w:spacing w:val="-2"/>
              </w:rPr>
              <w:t>肝功能异常</w:t>
            </w:r>
          </w:p>
        </w:tc>
        <w:tc>
          <w:tcPr>
            <w:tcW w:w="933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02"/>
              <w:spacing w:before="63" w:line="219" w:lineRule="auto"/>
              <w:rPr/>
            </w:pPr>
            <w:r>
              <w:rPr>
                <w:color w:val="231F20"/>
                <w:spacing w:val="-5"/>
              </w:rPr>
              <w:t>胃肠道反应</w:t>
            </w:r>
          </w:p>
        </w:tc>
        <w:tc>
          <w:tcPr>
            <w:tcW w:w="826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14"/>
              <w:spacing w:before="63" w:line="220" w:lineRule="auto"/>
              <w:rPr/>
            </w:pPr>
            <w:r>
              <w:rPr>
                <w:color w:val="231F20"/>
                <w:spacing w:val="-2"/>
              </w:rPr>
              <w:t>总发生率</w:t>
            </w:r>
          </w:p>
        </w:tc>
      </w:tr>
      <w:tr>
        <w:trPr>
          <w:trHeight w:val="290" w:hRule="atLeast"/>
        </w:trPr>
        <w:tc>
          <w:tcPr>
            <w:tcW w:w="60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78"/>
              <w:spacing w:before="65" w:line="220" w:lineRule="auto"/>
              <w:rPr/>
            </w:pPr>
            <w:r>
              <w:rPr>
                <w:color w:val="231F20"/>
                <w:spacing w:val="-2"/>
              </w:rPr>
              <w:t>观察组</w:t>
            </w:r>
          </w:p>
        </w:tc>
        <w:tc>
          <w:tcPr>
            <w:tcW w:w="70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87"/>
              <w:spacing w:before="65"/>
              <w:rPr/>
            </w:pPr>
            <w:r>
              <w:rPr>
                <w:color w:val="231F20"/>
                <w:spacing w:val="-2"/>
              </w:rPr>
              <w:t>48</w:t>
            </w:r>
          </w:p>
        </w:tc>
        <w:tc>
          <w:tcPr>
            <w:tcW w:w="77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5"/>
              <w:spacing w:before="65" w:line="232" w:lineRule="auto"/>
              <w:rPr/>
            </w:pPr>
            <w:r>
              <w:rPr>
                <w:color w:val="231F20"/>
                <w:spacing w:val="-3"/>
              </w:rPr>
              <w:t>1（2.05）</w:t>
            </w:r>
          </w:p>
        </w:tc>
        <w:tc>
          <w:tcPr>
            <w:tcW w:w="99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52"/>
              <w:spacing w:before="65" w:line="232" w:lineRule="auto"/>
              <w:rPr/>
            </w:pPr>
            <w:r>
              <w:rPr>
                <w:color w:val="231F20"/>
                <w:spacing w:val="-2"/>
              </w:rPr>
              <w:t>0（0.00）</w:t>
            </w:r>
          </w:p>
        </w:tc>
        <w:tc>
          <w:tcPr>
            <w:tcW w:w="93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21"/>
              <w:spacing w:before="65" w:line="232" w:lineRule="auto"/>
              <w:rPr/>
            </w:pPr>
            <w:r>
              <w:rPr>
                <w:color w:val="231F20"/>
                <w:spacing w:val="-2"/>
              </w:rPr>
              <w:t>3（6.25）</w:t>
            </w:r>
          </w:p>
        </w:tc>
        <w:tc>
          <w:tcPr>
            <w:tcW w:w="82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9"/>
              <w:spacing w:before="65" w:line="232" w:lineRule="auto"/>
              <w:rPr/>
            </w:pPr>
            <w:r>
              <w:rPr>
                <w:color w:val="231F20"/>
                <w:spacing w:val="-1"/>
              </w:rPr>
              <w:t>4（8.33）</w:t>
            </w:r>
          </w:p>
        </w:tc>
      </w:tr>
      <w:tr>
        <w:trPr>
          <w:trHeight w:val="290" w:hRule="atLeast"/>
        </w:trPr>
        <w:tc>
          <w:tcPr>
            <w:tcW w:w="602" w:type="dxa"/>
            <w:vAlign w:val="top"/>
          </w:tcPr>
          <w:p>
            <w:pPr>
              <w:pStyle w:val="TableText"/>
              <w:ind w:left="77"/>
              <w:spacing w:before="73" w:line="221" w:lineRule="auto"/>
              <w:rPr/>
            </w:pPr>
            <w:r>
              <w:rPr>
                <w:color w:val="231F20"/>
                <w:spacing w:val="-2"/>
              </w:rPr>
              <w:t>对照组</w:t>
            </w:r>
          </w:p>
        </w:tc>
        <w:tc>
          <w:tcPr>
            <w:tcW w:w="707" w:type="dxa"/>
            <w:vAlign w:val="top"/>
          </w:tcPr>
          <w:p>
            <w:pPr>
              <w:pStyle w:val="TableText"/>
              <w:ind w:left="287"/>
              <w:spacing w:before="72" w:line="239" w:lineRule="auto"/>
              <w:rPr/>
            </w:pPr>
            <w:r>
              <w:rPr>
                <w:color w:val="231F20"/>
                <w:spacing w:val="-2"/>
              </w:rPr>
              <w:t>46</w:t>
            </w:r>
          </w:p>
        </w:tc>
        <w:tc>
          <w:tcPr>
            <w:tcW w:w="777" w:type="dxa"/>
            <w:vAlign w:val="top"/>
          </w:tcPr>
          <w:p>
            <w:pPr>
              <w:pStyle w:val="TableText"/>
              <w:ind w:left="45"/>
              <w:spacing w:before="72" w:line="232" w:lineRule="auto"/>
              <w:rPr/>
            </w:pPr>
            <w:r>
              <w:rPr>
                <w:color w:val="231F20"/>
                <w:spacing w:val="-2"/>
              </w:rPr>
              <w:t>0（0.00）</w:t>
            </w:r>
          </w:p>
        </w:tc>
        <w:tc>
          <w:tcPr>
            <w:tcW w:w="997" w:type="dxa"/>
            <w:vAlign w:val="top"/>
          </w:tcPr>
          <w:p>
            <w:pPr>
              <w:pStyle w:val="TableText"/>
              <w:ind w:left="163"/>
              <w:spacing w:before="72" w:line="232" w:lineRule="auto"/>
              <w:rPr/>
            </w:pPr>
            <w:r>
              <w:rPr>
                <w:color w:val="231F20"/>
                <w:spacing w:val="-3"/>
              </w:rPr>
              <w:t>1（2.17）</w:t>
            </w:r>
          </w:p>
        </w:tc>
        <w:tc>
          <w:tcPr>
            <w:tcW w:w="933" w:type="dxa"/>
            <w:vAlign w:val="top"/>
          </w:tcPr>
          <w:p>
            <w:pPr>
              <w:pStyle w:val="TableText"/>
              <w:ind w:left="120"/>
              <w:spacing w:before="72" w:line="232" w:lineRule="auto"/>
              <w:rPr/>
            </w:pPr>
            <w:r>
              <w:rPr>
                <w:color w:val="231F20"/>
                <w:spacing w:val="-2"/>
              </w:rPr>
              <w:t>2（4.35）</w:t>
            </w:r>
          </w:p>
        </w:tc>
        <w:tc>
          <w:tcPr>
            <w:tcW w:w="826" w:type="dxa"/>
            <w:vAlign w:val="top"/>
          </w:tcPr>
          <w:p>
            <w:pPr>
              <w:pStyle w:val="TableText"/>
              <w:ind w:left="73"/>
              <w:spacing w:before="72" w:line="232" w:lineRule="auto"/>
              <w:rPr/>
            </w:pPr>
            <w:r>
              <w:rPr>
                <w:color w:val="231F20"/>
                <w:spacing w:val="-2"/>
              </w:rPr>
              <w:t>3（6.52）</w:t>
            </w:r>
          </w:p>
        </w:tc>
      </w:tr>
      <w:tr>
        <w:trPr>
          <w:trHeight w:val="303" w:hRule="atLeast"/>
        </w:trPr>
        <w:tc>
          <w:tcPr>
            <w:tcW w:w="602" w:type="dxa"/>
            <w:vAlign w:val="top"/>
          </w:tcPr>
          <w:p>
            <w:pPr>
              <w:pStyle w:val="TableText"/>
              <w:ind w:left="254"/>
              <w:spacing w:before="60" w:line="229" w:lineRule="exact"/>
              <w:rPr>
                <w:sz w:val="9"/>
                <w:szCs w:val="9"/>
              </w:rPr>
            </w:pPr>
            <w:r>
              <w:rPr>
                <w:color w:val="231F20"/>
                <w:spacing w:val="-2"/>
                <w:position w:val="1"/>
              </w:rPr>
              <w:t>x</w:t>
            </w:r>
            <w:r>
              <w:rPr>
                <w:sz w:val="9"/>
                <w:szCs w:val="9"/>
                <w:color w:val="231F20"/>
                <w:spacing w:val="-2"/>
                <w:position w:val="7"/>
              </w:rPr>
              <w:t>2</w:t>
            </w:r>
          </w:p>
        </w:tc>
        <w:tc>
          <w:tcPr>
            <w:tcW w:w="70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7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9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3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26" w:type="dxa"/>
            <w:vAlign w:val="top"/>
          </w:tcPr>
          <w:p>
            <w:pPr>
              <w:pStyle w:val="TableText"/>
              <w:ind w:left="231"/>
              <w:spacing w:before="80" w:line="239" w:lineRule="auto"/>
              <w:rPr/>
            </w:pPr>
            <w:r>
              <w:rPr>
                <w:color w:val="231F20"/>
                <w:spacing w:val="-2"/>
              </w:rPr>
              <w:t>0.112</w:t>
            </w:r>
          </w:p>
        </w:tc>
      </w:tr>
      <w:tr>
        <w:trPr>
          <w:trHeight w:val="299" w:hRule="atLeast"/>
        </w:trPr>
        <w:tc>
          <w:tcPr>
            <w:tcW w:w="602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75"/>
              <w:spacing w:before="101" w:line="182" w:lineRule="auto"/>
              <w:rPr/>
            </w:pPr>
            <w:r>
              <w:rPr>
                <w:color w:val="231F20"/>
              </w:rPr>
              <w:t>P</w:t>
            </w:r>
          </w:p>
        </w:tc>
        <w:tc>
          <w:tcPr>
            <w:tcW w:w="707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77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97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33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26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31"/>
              <w:spacing w:before="75" w:line="239" w:lineRule="auto"/>
              <w:rPr/>
            </w:pPr>
            <w:r>
              <w:rPr>
                <w:color w:val="231F20"/>
                <w:spacing w:val="-2"/>
              </w:rPr>
              <w:t>0.738</w:t>
            </w:r>
          </w:p>
        </w:tc>
      </w:tr>
    </w:tbl>
    <w:p>
      <w:pPr>
        <w:ind w:left="517"/>
        <w:spacing w:before="48" w:line="192" w:lineRule="auto"/>
        <w:outlineLvl w:val="1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5"/>
        </w:rPr>
        <w:t>3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8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5"/>
        </w:rPr>
        <w:t>讨论</w:t>
      </w:r>
    </w:p>
    <w:p>
      <w:pPr>
        <w:pStyle w:val="BodyText"/>
        <w:ind w:left="517" w:right="210" w:firstLine="374"/>
        <w:spacing w:line="237" w:lineRule="auto"/>
        <w:tabs>
          <w:tab w:val="left" w:pos="5407"/>
        </w:tabs>
        <w:jc w:val="both"/>
        <w:rPr/>
      </w:pPr>
      <w:r>
        <w:rPr>
          <w:color w:val="231F20"/>
          <w:spacing w:val="5"/>
        </w:rPr>
        <w:t>急性盆腔炎是常见妇科急腹症，病程长，复发率高，且</w:t>
      </w:r>
      <w:r>
        <w:rPr>
          <w:color w:val="231F20"/>
        </w:rPr>
        <w:t xml:space="preserve">  </w:t>
      </w:r>
      <w:r>
        <w:rPr>
          <w:color w:val="231F20"/>
          <w:spacing w:val="-12"/>
        </w:rPr>
        <w:t>有抗感染特征，患者临床以发热、腰骶疼痛、下腹痛、月经增加、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5"/>
        </w:rPr>
        <w:t>白带异常为表现。研究表明，急性盆腔炎的诱发可能与病原</w:t>
      </w:r>
      <w:r>
        <w:rPr>
          <w:color w:val="231F20"/>
        </w:rPr>
        <w:t xml:space="preserve">  </w:t>
      </w:r>
      <w:r>
        <w:rPr>
          <w:color w:val="231F20"/>
          <w:spacing w:val="-2"/>
        </w:rPr>
        <w:t>体感染、体内菌群失调、免疫功能下降等有关 </w:t>
      </w:r>
      <w:r>
        <w:rPr>
          <w:sz w:val="10"/>
          <w:szCs w:val="10"/>
          <w:color w:val="231F20"/>
          <w:spacing w:val="-2"/>
          <w:position w:val="8"/>
        </w:rPr>
        <w:t>[8-9]</w:t>
      </w:r>
      <w:r>
        <w:rPr>
          <w:color w:val="231F20"/>
          <w:spacing w:val="-2"/>
        </w:rPr>
        <w:t>。近年来，</w:t>
      </w:r>
      <w:r>
        <w:rPr/>
        <w:tab/>
      </w:r>
      <w:r>
        <w:rPr>
          <w:color w:val="231F20"/>
        </w:rPr>
        <w:t xml:space="preserve"> </w:t>
      </w:r>
      <w:r>
        <w:rPr>
          <w:color w:val="231F20"/>
          <w:spacing w:val="5"/>
        </w:rPr>
        <w:t>由于人工流产的增加，急性盆腔炎的诱发风险随之增加，且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2"/>
        </w:rPr>
        <w:t>呈现年轻化趋势，30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2"/>
        </w:rPr>
        <w:t>岁以下女性约占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2"/>
        </w:rPr>
        <w:t>14</w:t>
      </w:r>
      <w:r>
        <w:rPr>
          <w:color w:val="231F20"/>
          <w:spacing w:val="1"/>
        </w:rPr>
        <w:t>%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1"/>
        </w:rPr>
        <w:t>左右，危害女性健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康</w:t>
      </w:r>
      <w:r>
        <w:rPr>
          <w:color w:val="231F20"/>
          <w:spacing w:val="-23"/>
        </w:rPr>
        <w:t xml:space="preserve"> </w:t>
      </w:r>
      <w:r>
        <w:rPr>
          <w:sz w:val="10"/>
          <w:szCs w:val="10"/>
          <w:color w:val="231F20"/>
          <w:spacing w:val="2"/>
          <w:position w:val="8"/>
        </w:rPr>
        <w:t>[10-11]</w:t>
      </w:r>
      <w:r>
        <w:rPr>
          <w:sz w:val="10"/>
          <w:szCs w:val="10"/>
          <w:color w:val="231F20"/>
          <w:spacing w:val="-26"/>
          <w:position w:val="8"/>
        </w:rPr>
        <w:t xml:space="preserve"> </w:t>
      </w:r>
      <w:r>
        <w:rPr>
          <w:color w:val="231F20"/>
          <w:spacing w:val="2"/>
        </w:rPr>
        <w:t>。尤其是未能得到彻底治疗的患者</w:t>
      </w:r>
      <w:r>
        <w:rPr>
          <w:color w:val="231F20"/>
          <w:spacing w:val="1"/>
        </w:rPr>
        <w:t>，诱发后遗症的风</w:t>
      </w:r>
      <w:r>
        <w:rPr>
          <w:color w:val="231F20"/>
        </w:rPr>
        <w:t xml:space="preserve">  </w:t>
      </w:r>
      <w:r>
        <w:rPr>
          <w:color w:val="231F20"/>
          <w:spacing w:val="-2"/>
        </w:rPr>
        <w:t>险较高，随着病情迁延可发展为慢性盆腔炎，引起盆腔粘连、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88" w:firstLine="4"/>
        <w:spacing w:before="60" w:line="245" w:lineRule="auto"/>
        <w:jc w:val="both"/>
        <w:rPr/>
      </w:pPr>
      <w:r>
        <w:rPr>
          <w:color w:val="231F20"/>
          <w:spacing w:val="5"/>
        </w:rPr>
        <w:t>月经紊乱等，严重可导致不孕。鉴于此，需要对急性盆腔炎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患者实施及时有效的治疗措施，以控制病情进展，改善临床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8"/>
        </w:rPr>
        <w:t>症状。</w:t>
      </w:r>
    </w:p>
    <w:p>
      <w:pPr>
        <w:pStyle w:val="BodyText"/>
        <w:ind w:left="1" w:firstLine="377"/>
        <w:spacing w:before="3" w:line="244" w:lineRule="auto"/>
        <w:rPr/>
      </w:pPr>
      <w:r>
        <w:rPr>
          <w:color w:val="231F20"/>
          <w:spacing w:val="5"/>
        </w:rPr>
        <w:t>临床对急性盆腔炎多采取抗生素治疗，左氧氟沙星与奥</w:t>
      </w:r>
      <w:r>
        <w:rPr>
          <w:color w:val="231F20"/>
          <w:spacing w:val="2"/>
        </w:rPr>
        <w:t xml:space="preserve">   </w:t>
      </w:r>
      <w:r>
        <w:rPr>
          <w:color w:val="231F20"/>
          <w:spacing w:val="5"/>
        </w:rPr>
        <w:t>硝唑是常见选择，虽能在一定程度上控制病情，但仍具</w:t>
      </w:r>
      <w:r>
        <w:rPr>
          <w:color w:val="231F20"/>
          <w:spacing w:val="4"/>
        </w:rPr>
        <w:t>有局</w:t>
      </w:r>
      <w:r>
        <w:rPr>
          <w:color w:val="231F20"/>
        </w:rPr>
        <w:t xml:space="preserve">   </w:t>
      </w:r>
      <w:r>
        <w:rPr>
          <w:color w:val="231F20"/>
          <w:spacing w:val="5"/>
        </w:rPr>
        <w:t>限性。由于急性盆腔炎病原体多是衣原体、淋病奈瑟菌、厌</w:t>
      </w:r>
      <w:r>
        <w:rPr>
          <w:color w:val="231F20"/>
          <w:spacing w:val="2"/>
        </w:rPr>
        <w:t xml:space="preserve">   </w:t>
      </w:r>
      <w:r>
        <w:rPr>
          <w:color w:val="231F20"/>
          <w:spacing w:val="5"/>
        </w:rPr>
        <w:t>氧菌、需氧菌的混合感染，单纯西医治疗难以在短时间内控</w:t>
      </w:r>
      <w:r>
        <w:rPr>
          <w:color w:val="231F20"/>
          <w:spacing w:val="2"/>
        </w:rPr>
        <w:t xml:space="preserve">   </w:t>
      </w:r>
      <w:r>
        <w:rPr>
          <w:color w:val="231F20"/>
          <w:spacing w:val="1"/>
        </w:rPr>
        <w:t>制症状，且可引起毒副作用，使得效果并不理想 </w:t>
      </w:r>
      <w:r>
        <w:rPr>
          <w:sz w:val="10"/>
          <w:szCs w:val="10"/>
          <w:color w:val="231F20"/>
          <w:spacing w:val="1"/>
          <w:position w:val="8"/>
        </w:rPr>
        <w:t>[12-13</w:t>
      </w:r>
      <w:r>
        <w:rPr>
          <w:sz w:val="10"/>
          <w:szCs w:val="10"/>
          <w:color w:val="231F20"/>
          <w:position w:val="8"/>
        </w:rPr>
        <w:t>]</w:t>
      </w:r>
      <w:r>
        <w:rPr>
          <w:sz w:val="10"/>
          <w:szCs w:val="10"/>
          <w:color w:val="231F20"/>
          <w:spacing w:val="-25"/>
          <w:position w:val="8"/>
        </w:rPr>
        <w:t xml:space="preserve"> </w:t>
      </w:r>
      <w:r>
        <w:rPr>
          <w:color w:val="231F20"/>
        </w:rPr>
        <w:t>。中医   </w:t>
      </w:r>
      <w:r>
        <w:rPr>
          <w:color w:val="231F20"/>
          <w:spacing w:val="-1"/>
        </w:rPr>
        <w:t>学认为急性盆腔炎属“妇人腹痛”、“带下病</w:t>
      </w:r>
      <w:r>
        <w:rPr>
          <w:color w:val="231F20"/>
          <w:spacing w:val="-2"/>
        </w:rPr>
        <w:t>”、“热入血室”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范畴，为本虚标实症，本虚表现为素体虚弱，标实</w:t>
      </w:r>
      <w:r>
        <w:rPr>
          <w:color w:val="231F20"/>
          <w:spacing w:val="-5"/>
        </w:rPr>
        <w:t>为湿邪侵入。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分析其病机，主要是因产后、经期、宫腔手术、流产等因素，</w:t>
      </w:r>
    </w:p>
    <w:p>
      <w:pPr>
        <w:pStyle w:val="BodyText"/>
        <w:ind w:right="116" w:firstLine="5"/>
        <w:spacing w:before="18" w:line="244" w:lineRule="auto"/>
        <w:rPr/>
      </w:pPr>
      <w:r>
        <w:rPr>
          <w:color w:val="231F20"/>
          <w:spacing w:val="-1"/>
        </w:rPr>
        <w:t>导致伤气耗血，致气血亏虚，进而引起湿邪内浸</w:t>
      </w:r>
      <w:r>
        <w:rPr>
          <w:color w:val="231F20"/>
          <w:spacing w:val="-2"/>
        </w:rPr>
        <w:t>，郁积日久，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气血凝滞，营卫失和</w:t>
      </w:r>
      <w:r>
        <w:rPr>
          <w:color w:val="231F20"/>
          <w:spacing w:val="-36"/>
        </w:rPr>
        <w:t xml:space="preserve"> </w:t>
      </w:r>
      <w:r>
        <w:rPr>
          <w:sz w:val="10"/>
          <w:szCs w:val="10"/>
          <w:color w:val="231F20"/>
          <w:spacing w:val="-7"/>
          <w:position w:val="8"/>
        </w:rPr>
        <w:t>[14]</w:t>
      </w:r>
      <w:r>
        <w:rPr>
          <w:color w:val="231F20"/>
          <w:spacing w:val="-7"/>
        </w:rPr>
        <w:t>。湿热下注，血行不畅</w:t>
      </w:r>
      <w:r>
        <w:rPr>
          <w:color w:val="231F20"/>
          <w:spacing w:val="-8"/>
        </w:rPr>
        <w:t>，日久血瘀成块，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导致腹痛。因此，</w:t>
      </w:r>
      <w:r>
        <w:rPr>
          <w:color w:val="231F20"/>
          <w:spacing w:val="55"/>
        </w:rPr>
        <w:t xml:space="preserve"> </w:t>
      </w:r>
      <w:r>
        <w:rPr>
          <w:color w:val="231F20"/>
          <w:spacing w:val="-8"/>
        </w:rPr>
        <w:t>中医治疗建议以清热活血、痛经活</w:t>
      </w:r>
      <w:r>
        <w:rPr>
          <w:color w:val="231F20"/>
          <w:spacing w:val="-9"/>
        </w:rPr>
        <w:t>络为主，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而妇炎消胶囊确有清热解毒、行气化瘀的效果，可用于对急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5"/>
        </w:rPr>
        <w:t>性盆腔炎的治疗。本研究显示，治疗后观察组中医证候积分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4"/>
        </w:rPr>
        <w:t>低于对照组二治疗总有效率高于对照组（P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4"/>
        </w:rPr>
        <w:t>＜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4"/>
        </w:rPr>
        <w:t>0</w:t>
      </w:r>
      <w:r>
        <w:rPr>
          <w:color w:val="231F20"/>
          <w:spacing w:val="3"/>
        </w:rPr>
        <w:t>.05）。提示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妇炎消胶囊联合西药治疗确实能够提升治疗效果，减轻临床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6"/>
        </w:rPr>
        <w:t>症状。妇炎消胶囊中有苍术、败酱草、牡丹皮、酢浆草、乌药、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5"/>
        </w:rPr>
        <w:t>大黄、天花粉等成分。其中苍术祛风散寒，燥湿健脾；败酱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5"/>
        </w:rPr>
        <w:t>草祛瘀止痛，清热解毒；牡丹皮活血化瘀，清热凉血；酢浆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草凉血散瘀，清热利湿；有研究显示，酢浆草抗菌作用显著，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7"/>
        </w:rPr>
        <w:t>可抑制多种细菌</w:t>
      </w:r>
      <w:r>
        <w:rPr>
          <w:color w:val="231F20"/>
          <w:spacing w:val="-39"/>
        </w:rPr>
        <w:t xml:space="preserve"> </w:t>
      </w:r>
      <w:r>
        <w:rPr>
          <w:sz w:val="10"/>
          <w:szCs w:val="10"/>
          <w:color w:val="231F20"/>
          <w:spacing w:val="-7"/>
          <w:position w:val="8"/>
        </w:rPr>
        <w:t>[15]</w:t>
      </w:r>
      <w:r>
        <w:rPr>
          <w:color w:val="231F20"/>
          <w:spacing w:val="-7"/>
        </w:rPr>
        <w:t>。乌药温肾散寒，行气止痛；大黄</w:t>
      </w:r>
      <w:r>
        <w:rPr>
          <w:color w:val="231F20"/>
          <w:spacing w:val="-8"/>
        </w:rPr>
        <w:t>凉血止血，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活血化瘀；天花粉消肿排脓，清热泻火。诸药合用，共奏清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5"/>
        </w:rPr>
        <w:t>热解毒、行气化瘀、除湿止带之效。通过与左氧氟沙星、奥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6"/>
        </w:rPr>
        <w:t>硝唑联合使用，可以进一步强化抗菌效果，显著改善腰骶疼痛、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腹痛等临床症状。本研究显示，治疗后两组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IL-6、TNF-</w:t>
      </w:r>
      <w:r>
        <w:rPr>
          <w:color w:val="231F20"/>
          <w:spacing w:val="-43"/>
        </w:rPr>
        <w:t xml:space="preserve"> </w:t>
      </w:r>
      <w:r>
        <w:rPr>
          <w:color w:val="231F20"/>
        </w:rPr>
        <w:t>α、  </w:t>
      </w:r>
      <w:r>
        <w:rPr>
          <w:color w:val="231F20"/>
        </w:rPr>
        <w:t>IL</w:t>
      </w:r>
      <w:r>
        <w:rPr>
          <w:color w:val="231F20"/>
          <w:spacing w:val="2"/>
        </w:rPr>
        <w:t>-1β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2"/>
        </w:rPr>
        <w:t>水平降低且观察组更低（P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2"/>
        </w:rPr>
        <w:t>＜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2"/>
        </w:rPr>
        <w:t>0.0</w:t>
      </w:r>
      <w:r>
        <w:rPr>
          <w:color w:val="231F20"/>
          <w:spacing w:val="1"/>
        </w:rPr>
        <w:t>5）。提示妇炎消胶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囊联合西药治疗的抗炎效果优于单纯采取西药治疗，这与童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1"/>
        </w:rPr>
        <w:t>蓉等</w:t>
      </w:r>
      <w:r>
        <w:rPr>
          <w:color w:val="231F20"/>
          <w:spacing w:val="-14"/>
        </w:rPr>
        <w:t xml:space="preserve"> </w:t>
      </w:r>
      <w:r>
        <w:rPr>
          <w:sz w:val="10"/>
          <w:szCs w:val="10"/>
          <w:color w:val="231F20"/>
          <w:spacing w:val="-1"/>
          <w:position w:val="8"/>
        </w:rPr>
        <w:t>[16]</w:t>
      </w:r>
      <w:r>
        <w:rPr>
          <w:sz w:val="10"/>
          <w:szCs w:val="10"/>
          <w:color w:val="231F20"/>
          <w:spacing w:val="17"/>
          <w:w w:val="101"/>
          <w:position w:val="8"/>
        </w:rPr>
        <w:t xml:space="preserve"> </w:t>
      </w:r>
      <w:r>
        <w:rPr>
          <w:color w:val="231F20"/>
          <w:spacing w:val="-1"/>
        </w:rPr>
        <w:t>的研究结果一致。在急性盆腔炎的发生、发展中，炎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症反应发挥了重要作用。由于病原微生物入侵，产生大量内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1"/>
        </w:rPr>
        <w:t>毒素，导致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IL</w:t>
      </w:r>
      <w:r>
        <w:rPr>
          <w:color w:val="231F20"/>
          <w:spacing w:val="1"/>
        </w:rPr>
        <w:t>-6、</w:t>
      </w:r>
      <w:r>
        <w:rPr>
          <w:color w:val="231F20"/>
        </w:rPr>
        <w:t>TNF</w:t>
      </w:r>
      <w:r>
        <w:rPr>
          <w:color w:val="231F20"/>
          <w:spacing w:val="1"/>
        </w:rPr>
        <w:t>-α、</w:t>
      </w:r>
      <w:r>
        <w:rPr>
          <w:color w:val="231F20"/>
        </w:rPr>
        <w:t>IL</w:t>
      </w:r>
      <w:r>
        <w:rPr>
          <w:color w:val="231F20"/>
          <w:spacing w:val="1"/>
        </w:rPr>
        <w:t>-1β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1"/>
        </w:rPr>
        <w:t>等炎症细胞因子的大量释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放，进而加重病情。通过对炎症指标的检测，有助于病情的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6"/>
        </w:rPr>
        <w:t>判断与治疗效果的评估。在妇炎消胶囊的组成成分中，败酱草、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2"/>
        </w:rPr>
        <w:t>酢浆草具有较强的抗菌、抗炎作用，不会产</w:t>
      </w:r>
      <w:r>
        <w:rPr>
          <w:color w:val="231F20"/>
          <w:spacing w:val="1"/>
        </w:rPr>
        <w:t>生耐药</w:t>
      </w:r>
      <w:r>
        <w:rPr>
          <w:color w:val="231F20"/>
          <w:spacing w:val="-16"/>
        </w:rPr>
        <w:t xml:space="preserve"> </w:t>
      </w:r>
      <w:r>
        <w:rPr>
          <w:sz w:val="10"/>
          <w:szCs w:val="10"/>
          <w:color w:val="231F20"/>
          <w:spacing w:val="1"/>
          <w:position w:val="8"/>
        </w:rPr>
        <w:t>[17-18]</w:t>
      </w:r>
      <w:r>
        <w:rPr>
          <w:sz w:val="10"/>
          <w:szCs w:val="10"/>
          <w:color w:val="231F20"/>
          <w:spacing w:val="-26"/>
          <w:position w:val="8"/>
        </w:rPr>
        <w:t xml:space="preserve"> </w:t>
      </w:r>
      <w:r>
        <w:rPr>
          <w:color w:val="231F20"/>
          <w:spacing w:val="1"/>
        </w:rPr>
        <w:t>。此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外，牡丹皮对炎性反应渗出也有显著的抑制作用。相较于单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5"/>
        </w:rPr>
        <w:t>纯采取西药治疗，联合治疗能够更佳的抑制炎症，可能是妇</w:t>
      </w:r>
      <w:r>
        <w:rPr>
          <w:color w:val="231F20"/>
        </w:rPr>
        <w:t xml:space="preserve">  </w:t>
      </w:r>
      <w:r>
        <w:rPr>
          <w:color w:val="231F20"/>
          <w:spacing w:val="-6"/>
        </w:rPr>
        <w:t>炎消胶囊可以与左氧氟沙星、奥硝唑产生协同效应，增强药效，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5"/>
        </w:rPr>
        <w:t>抑制炎症反应，进而控制病情进展，改善病情。本研究结果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3"/>
        </w:rPr>
        <w:t>还显示，两组不良反应发生率无差异（P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3"/>
        </w:rPr>
        <w:t>＞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3"/>
        </w:rPr>
        <w:t>0.05）。这表明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相较于单纯采取西药治疗，通过与妇炎消胶囊联合治疗的方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5"/>
        </w:rPr>
        <w:t>式并不会增加不良反应，在提升疗效的同时能够保证用药的</w:t>
      </w:r>
      <w:r>
        <w:rPr>
          <w:color w:val="231F20"/>
        </w:rPr>
        <w:t xml:space="preserve">  </w:t>
      </w:r>
      <w:r>
        <w:rPr>
          <w:color w:val="231F20"/>
          <w:spacing w:val="-6"/>
        </w:rPr>
        <w:t>安全性，可以更好地控制病情。但本研究也具有一定的局限性，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5"/>
        </w:rPr>
        <w:t>纳入实验的病例较少，随访时间短，在今后研究中则需要扩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5"/>
        </w:rPr>
        <w:t>大样本量，延长随访时间，进一步验证妇炎消胶囊联合西药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3"/>
        </w:rPr>
        <w:t>治疗是否优于单纯采取西药治疗。</w:t>
      </w:r>
    </w:p>
    <w:p>
      <w:pPr>
        <w:pStyle w:val="BodyText"/>
        <w:ind w:right="188" w:firstLine="371"/>
        <w:spacing w:line="242" w:lineRule="auto"/>
        <w:jc w:val="both"/>
        <w:rPr/>
      </w:pPr>
      <w:r>
        <w:rPr>
          <w:color w:val="231F20"/>
          <w:spacing w:val="5"/>
        </w:rPr>
        <w:t>综上所述，在对急性盆腔炎的治疗中，妇炎消胶囊联合 </w:t>
      </w:r>
      <w:r>
        <w:rPr>
          <w:color w:val="231F20"/>
          <w:spacing w:val="5"/>
        </w:rPr>
        <w:t>西药疗效确切，能够减轻炎性反应，促进临床症状恢复且不 </w:t>
      </w:r>
      <w:r>
        <w:rPr>
          <w:color w:val="231F20"/>
          <w:spacing w:val="-3"/>
        </w:rPr>
        <w:t>会增加不良反应，值得临床推广。</w:t>
      </w:r>
    </w:p>
    <w:p>
      <w:pPr>
        <w:ind w:left="2096"/>
        <w:spacing w:line="202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2"/>
        </w:rPr>
        <w:t>参考文献</w:t>
      </w:r>
    </w:p>
    <w:p>
      <w:pPr>
        <w:pStyle w:val="BodyText"/>
        <w:ind w:left="410" w:right="179" w:hanging="386"/>
        <w:spacing w:before="13" w:line="256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14"/>
        </w:rPr>
        <w:t>[1]  周莉娜</w:t>
      </w:r>
      <w:r>
        <w:rPr>
          <w:sz w:val="16"/>
          <w:szCs w:val="16"/>
          <w:color w:val="231F20"/>
          <w:spacing w:val="-15"/>
        </w:rPr>
        <w:t xml:space="preserve"> </w:t>
      </w:r>
      <w:r>
        <w:rPr>
          <w:sz w:val="16"/>
          <w:szCs w:val="16"/>
          <w:color w:val="231F20"/>
          <w:spacing w:val="14"/>
        </w:rPr>
        <w:t>,</w:t>
      </w:r>
      <w:r>
        <w:rPr>
          <w:sz w:val="16"/>
          <w:szCs w:val="16"/>
          <w:color w:val="231F20"/>
          <w:spacing w:val="-24"/>
        </w:rPr>
        <w:t xml:space="preserve"> </w:t>
      </w:r>
      <w:r>
        <w:rPr>
          <w:sz w:val="16"/>
          <w:szCs w:val="16"/>
          <w:color w:val="231F20"/>
          <w:spacing w:val="14"/>
        </w:rPr>
        <w:t>王华勇</w:t>
      </w:r>
      <w:r>
        <w:rPr>
          <w:sz w:val="16"/>
          <w:szCs w:val="16"/>
          <w:color w:val="231F20"/>
          <w:spacing w:val="-23"/>
        </w:rPr>
        <w:t xml:space="preserve"> </w:t>
      </w:r>
      <w:r>
        <w:rPr>
          <w:sz w:val="16"/>
          <w:szCs w:val="16"/>
          <w:color w:val="231F20"/>
          <w:spacing w:val="14"/>
        </w:rPr>
        <w:t>,</w:t>
      </w:r>
      <w:r>
        <w:rPr>
          <w:sz w:val="16"/>
          <w:szCs w:val="16"/>
          <w:color w:val="231F20"/>
          <w:spacing w:val="-25"/>
        </w:rPr>
        <w:t xml:space="preserve"> </w:t>
      </w:r>
      <w:r>
        <w:rPr>
          <w:sz w:val="16"/>
          <w:szCs w:val="16"/>
          <w:color w:val="231F20"/>
          <w:spacing w:val="14"/>
        </w:rPr>
        <w:t>李新平</w:t>
      </w:r>
      <w:r>
        <w:rPr>
          <w:sz w:val="16"/>
          <w:szCs w:val="16"/>
          <w:color w:val="231F20"/>
          <w:spacing w:val="-23"/>
        </w:rPr>
        <w:t xml:space="preserve"> </w:t>
      </w:r>
      <w:r>
        <w:rPr>
          <w:sz w:val="16"/>
          <w:szCs w:val="16"/>
          <w:color w:val="231F20"/>
          <w:spacing w:val="14"/>
        </w:rPr>
        <w:t>,</w:t>
      </w:r>
      <w:r>
        <w:rPr>
          <w:sz w:val="16"/>
          <w:szCs w:val="16"/>
          <w:color w:val="231F20"/>
          <w:spacing w:val="-24"/>
        </w:rPr>
        <w:t xml:space="preserve"> </w:t>
      </w:r>
      <w:r>
        <w:rPr>
          <w:sz w:val="16"/>
          <w:szCs w:val="16"/>
          <w:color w:val="231F20"/>
          <w:spacing w:val="14"/>
        </w:rPr>
        <w:t>等</w:t>
      </w:r>
      <w:r>
        <w:rPr>
          <w:sz w:val="16"/>
          <w:szCs w:val="16"/>
          <w:color w:val="231F20"/>
          <w:spacing w:val="-21"/>
        </w:rPr>
        <w:t xml:space="preserve"> </w:t>
      </w:r>
      <w:r>
        <w:rPr>
          <w:sz w:val="16"/>
          <w:szCs w:val="16"/>
          <w:color w:val="231F20"/>
          <w:spacing w:val="14"/>
        </w:rPr>
        <w:t>.</w:t>
      </w:r>
      <w:r>
        <w:rPr>
          <w:sz w:val="16"/>
          <w:szCs w:val="16"/>
          <w:color w:val="231F20"/>
          <w:spacing w:val="-10"/>
        </w:rPr>
        <w:t xml:space="preserve"> </w:t>
      </w:r>
      <w:r>
        <w:rPr>
          <w:sz w:val="16"/>
          <w:szCs w:val="16"/>
          <w:color w:val="231F20"/>
          <w:spacing w:val="14"/>
        </w:rPr>
        <w:t>中药汤剂联合西药治疗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16"/>
        </w:rPr>
        <w:t>急性盆腔炎效果及对炎症因子表达的影响 [J]</w:t>
      </w:r>
      <w:r>
        <w:rPr>
          <w:sz w:val="16"/>
          <w:szCs w:val="16"/>
          <w:color w:val="231F20"/>
          <w:spacing w:val="15"/>
        </w:rPr>
        <w:t>.</w:t>
      </w:r>
      <w:r>
        <w:rPr>
          <w:sz w:val="16"/>
          <w:szCs w:val="16"/>
          <w:color w:val="231F20"/>
          <w:spacing w:val="-13"/>
        </w:rPr>
        <w:t xml:space="preserve"> </w:t>
      </w:r>
      <w:r>
        <w:rPr>
          <w:sz w:val="16"/>
          <w:szCs w:val="16"/>
          <w:color w:val="231F20"/>
          <w:spacing w:val="15"/>
        </w:rPr>
        <w:t>中国性科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"/>
        </w:rPr>
        <w:t>学</w:t>
      </w:r>
      <w:r>
        <w:rPr>
          <w:sz w:val="16"/>
          <w:szCs w:val="16"/>
          <w:color w:val="231F20"/>
          <w:spacing w:val="-19"/>
        </w:rPr>
        <w:t xml:space="preserve"> </w:t>
      </w:r>
      <w:r>
        <w:rPr>
          <w:sz w:val="16"/>
          <w:szCs w:val="16"/>
          <w:color w:val="231F20"/>
          <w:spacing w:val="-1"/>
        </w:rPr>
        <w:t>,2020,29(6):102-104.</w:t>
      </w:r>
    </w:p>
    <w:p>
      <w:pPr>
        <w:pStyle w:val="BodyText"/>
        <w:ind w:left="410" w:right="178" w:hanging="386"/>
        <w:spacing w:before="50" w:line="263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2"/>
        </w:rPr>
        <w:t>[2]  吴帅</w:t>
      </w:r>
      <w:r>
        <w:rPr>
          <w:sz w:val="16"/>
          <w:szCs w:val="16"/>
          <w:color w:val="231F20"/>
          <w:spacing w:val="-28"/>
        </w:rPr>
        <w:t xml:space="preserve"> </w:t>
      </w:r>
      <w:r>
        <w:rPr>
          <w:sz w:val="16"/>
          <w:szCs w:val="16"/>
          <w:color w:val="231F20"/>
          <w:spacing w:val="2"/>
        </w:rPr>
        <w:t>.</w:t>
      </w:r>
      <w:r>
        <w:rPr>
          <w:sz w:val="16"/>
          <w:szCs w:val="16"/>
          <w:color w:val="231F20"/>
          <w:spacing w:val="-30"/>
        </w:rPr>
        <w:t xml:space="preserve"> </w:t>
      </w:r>
      <w:r>
        <w:rPr>
          <w:sz w:val="16"/>
          <w:szCs w:val="16"/>
          <w:color w:val="231F20"/>
          <w:spacing w:val="2"/>
        </w:rPr>
        <w:t>头孢西丁钠联合米诺环素治疗急性盆腔炎临床</w:t>
      </w:r>
      <w:r>
        <w:rPr>
          <w:sz w:val="16"/>
          <w:szCs w:val="16"/>
          <w:color w:val="231F20"/>
          <w:spacing w:val="1"/>
        </w:rPr>
        <w:t>效果及对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2"/>
        </w:rPr>
        <w:t>炎症因子水平影响 [J].</w:t>
      </w:r>
      <w:r>
        <w:rPr>
          <w:sz w:val="16"/>
          <w:szCs w:val="16"/>
          <w:color w:val="231F20"/>
          <w:spacing w:val="-24"/>
        </w:rPr>
        <w:t xml:space="preserve"> </w:t>
      </w:r>
      <w:r>
        <w:rPr>
          <w:sz w:val="16"/>
          <w:szCs w:val="16"/>
          <w:color w:val="231F20"/>
          <w:spacing w:val="-2"/>
        </w:rPr>
        <w:t>中国计划生育学杂志</w:t>
      </w:r>
      <w:r>
        <w:rPr>
          <w:sz w:val="16"/>
          <w:szCs w:val="16"/>
          <w:color w:val="231F20"/>
          <w:spacing w:val="-36"/>
        </w:rPr>
        <w:t xml:space="preserve"> </w:t>
      </w:r>
      <w:r>
        <w:rPr>
          <w:sz w:val="16"/>
          <w:szCs w:val="16"/>
          <w:color w:val="231F20"/>
          <w:spacing w:val="-2"/>
        </w:rPr>
        <w:t>,2023,</w:t>
      </w:r>
      <w:r>
        <w:rPr>
          <w:sz w:val="16"/>
          <w:szCs w:val="16"/>
          <w:color w:val="231F20"/>
          <w:spacing w:val="-3"/>
        </w:rPr>
        <w:t>31(2):297-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2"/>
        </w:rPr>
        <w:t>301.</w:t>
      </w:r>
    </w:p>
    <w:p>
      <w:pPr>
        <w:pStyle w:val="BodyText"/>
        <w:ind w:left="412" w:right="181" w:hanging="388"/>
        <w:spacing w:before="31" w:line="235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1"/>
        </w:rPr>
        <w:t>[3]  彭琼琳</w:t>
      </w:r>
      <w:r>
        <w:rPr>
          <w:sz w:val="16"/>
          <w:szCs w:val="16"/>
          <w:color w:val="231F20"/>
          <w:spacing w:val="-30"/>
        </w:rPr>
        <w:t xml:space="preserve"> </w:t>
      </w:r>
      <w:r>
        <w:rPr>
          <w:sz w:val="16"/>
          <w:szCs w:val="16"/>
          <w:color w:val="231F20"/>
          <w:spacing w:val="1"/>
        </w:rPr>
        <w:t>,</w:t>
      </w:r>
      <w:r>
        <w:rPr>
          <w:sz w:val="16"/>
          <w:szCs w:val="16"/>
          <w:color w:val="231F20"/>
          <w:spacing w:val="-33"/>
        </w:rPr>
        <w:t xml:space="preserve"> </w:t>
      </w:r>
      <w:r>
        <w:rPr>
          <w:sz w:val="16"/>
          <w:szCs w:val="16"/>
          <w:color w:val="231F20"/>
          <w:spacing w:val="1"/>
        </w:rPr>
        <w:t>黄敏</w:t>
      </w:r>
      <w:r>
        <w:rPr>
          <w:sz w:val="16"/>
          <w:szCs w:val="16"/>
          <w:color w:val="231F20"/>
          <w:spacing w:val="-30"/>
        </w:rPr>
        <w:t xml:space="preserve"> </w:t>
      </w:r>
      <w:r>
        <w:rPr>
          <w:sz w:val="16"/>
          <w:szCs w:val="16"/>
          <w:color w:val="231F20"/>
          <w:spacing w:val="1"/>
        </w:rPr>
        <w:t>,</w:t>
      </w:r>
      <w:r>
        <w:rPr>
          <w:sz w:val="16"/>
          <w:szCs w:val="16"/>
          <w:color w:val="231F20"/>
          <w:spacing w:val="-32"/>
        </w:rPr>
        <w:t xml:space="preserve"> </w:t>
      </w:r>
      <w:r>
        <w:rPr>
          <w:sz w:val="16"/>
          <w:szCs w:val="16"/>
          <w:color w:val="231F20"/>
          <w:spacing w:val="1"/>
        </w:rPr>
        <w:t>孙敏</w:t>
      </w:r>
      <w:r>
        <w:rPr>
          <w:sz w:val="16"/>
          <w:szCs w:val="16"/>
          <w:color w:val="231F20"/>
          <w:spacing w:val="-28"/>
        </w:rPr>
        <w:t xml:space="preserve"> </w:t>
      </w:r>
      <w:r>
        <w:rPr>
          <w:sz w:val="16"/>
          <w:szCs w:val="16"/>
          <w:color w:val="231F20"/>
          <w:spacing w:val="1"/>
        </w:rPr>
        <w:t>.</w:t>
      </w:r>
      <w:r>
        <w:rPr>
          <w:sz w:val="16"/>
          <w:szCs w:val="16"/>
          <w:color w:val="231F20"/>
          <w:spacing w:val="-30"/>
        </w:rPr>
        <w:t xml:space="preserve"> </w:t>
      </w:r>
      <w:r>
        <w:rPr>
          <w:sz w:val="16"/>
          <w:szCs w:val="16"/>
          <w:color w:val="231F20"/>
          <w:spacing w:val="1"/>
        </w:rPr>
        <w:t>五味消毒饮联合</w:t>
      </w:r>
      <w:r>
        <w:rPr>
          <w:sz w:val="16"/>
          <w:szCs w:val="16"/>
          <w:color w:val="231F20"/>
        </w:rPr>
        <w:t>针灸冲任二脉诸穴治疗 </w:t>
      </w:r>
      <w:r>
        <w:rPr>
          <w:sz w:val="16"/>
          <w:szCs w:val="16"/>
          <w:color w:val="231F20"/>
          <w:spacing w:val="-2"/>
        </w:rPr>
        <w:t>急性盆腔炎临床观察 [J].</w:t>
      </w:r>
      <w:r>
        <w:rPr>
          <w:sz w:val="16"/>
          <w:szCs w:val="16"/>
          <w:color w:val="231F20"/>
          <w:spacing w:val="-17"/>
        </w:rPr>
        <w:t xml:space="preserve"> </w:t>
      </w:r>
      <w:r>
        <w:rPr>
          <w:sz w:val="16"/>
          <w:szCs w:val="16"/>
          <w:color w:val="231F20"/>
          <w:spacing w:val="-2"/>
        </w:rPr>
        <w:t>西部中医药</w:t>
      </w:r>
      <w:r>
        <w:rPr>
          <w:sz w:val="16"/>
          <w:szCs w:val="16"/>
          <w:color w:val="231F20"/>
          <w:spacing w:val="-31"/>
        </w:rPr>
        <w:t xml:space="preserve"> </w:t>
      </w:r>
      <w:r>
        <w:rPr>
          <w:sz w:val="16"/>
          <w:szCs w:val="16"/>
          <w:color w:val="231F20"/>
          <w:spacing w:val="-2"/>
        </w:rPr>
        <w:t>,2023,36(4):93-96.</w:t>
      </w:r>
    </w:p>
    <w:p>
      <w:pPr>
        <w:spacing w:line="235" w:lineRule="auto"/>
        <w:sectPr>
          <w:type w:val="continuous"/>
          <w:pgSz w:w="11906" w:h="16158"/>
          <w:pgMar w:top="1307" w:right="755" w:bottom="0" w:left="424" w:header="937" w:footer="0" w:gutter="0"/>
          <w:cols w:equalWidth="0" w:num="2">
            <w:col w:w="5620" w:space="100"/>
            <w:col w:w="5007" w:space="0"/>
          </w:cols>
        </w:sectPr>
        <w:rPr>
          <w:sz w:val="16"/>
          <w:szCs w:val="16"/>
        </w:rPr>
      </w:pPr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pStyle w:val="BodyText"/>
        <w:ind w:left="958"/>
        <w:spacing w:before="117" w:line="212" w:lineRule="auto"/>
        <w:rPr>
          <w:sz w:val="36"/>
          <w:szCs w:val="36"/>
        </w:rPr>
      </w:pPr>
      <w:r>
        <w:rPr>
          <w:sz w:val="36"/>
          <w:szCs w:val="36"/>
          <w:color w:val="231F20"/>
          <w:spacing w:val="-8"/>
        </w:rPr>
        <w:t>幽门螺杆菌感染、代谢异常与代谢相关脂肪性肝病的相关性</w:t>
      </w:r>
    </w:p>
    <w:p>
      <w:pPr>
        <w:pStyle w:val="BodyText"/>
        <w:ind w:left="4389"/>
        <w:spacing w:before="317" w:line="21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刘雅萍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何剑锋 </w:t>
      </w:r>
      <w:r>
        <w:rPr>
          <w:sz w:val="11"/>
          <w:szCs w:val="11"/>
          <w:color w:val="231F20"/>
          <w:spacing w:val="-3"/>
          <w:position w:val="9"/>
        </w:rPr>
        <w:t>*</w:t>
      </w:r>
      <w:r>
        <w:rPr>
          <w:sz w:val="11"/>
          <w:szCs w:val="11"/>
          <w:color w:val="231F20"/>
          <w:spacing w:val="14"/>
          <w:w w:val="101"/>
          <w:position w:val="9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俞烜华</w:t>
      </w:r>
    </w:p>
    <w:p>
      <w:pPr>
        <w:ind w:left="3369"/>
        <w:spacing w:before="16" w:line="193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（福建中医药大学附属人民医院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·福建福州   3500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04）</w:t>
      </w:r>
    </w:p>
    <w:p>
      <w:pPr>
        <w:ind w:left="1079" w:right="600" w:firstLine="373"/>
        <w:spacing w:before="259" w:line="187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5"/>
        </w:rPr>
        <w:t>摘   要    目的：探讨幽门螺杆菌感染（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Hp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5"/>
        </w:rPr>
        <w:t>）、代谢异常与代谢相关脂肪性肝病（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MAFLD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5"/>
        </w:rPr>
        <w:t>）的相关性。方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"/>
        </w:rPr>
        <w:t>法：选取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"/>
        </w:rPr>
        <w:t>2022 年 5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"/>
        </w:rPr>
        <w:t>月 -2023 年 6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"/>
        </w:rPr>
        <w:t>月福建中医药大学附属人民医院消化科收治的 240 例住院患者，根据检查结果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5"/>
        </w:rPr>
        <w:t>分为 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MAFLD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5"/>
        </w:rPr>
        <w:t xml:space="preserve"> 组和非 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MAFLD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5"/>
        </w:rPr>
        <w:t xml:space="preserve"> 组，比较分析两组 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Hp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5"/>
        </w:rPr>
        <w:t xml:space="preserve"> 感染率及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>代谢相关实验室及临床指标差异；同时采用多因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素 Logistic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回归分析 MAFLD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"/>
        </w:rPr>
        <w:t xml:space="preserve"> 的危险因素。结果：MAFLD 组男性、高血压病、糖尿病病史、Hp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"/>
        </w:rPr>
        <w:t>阳性率、BMI、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8"/>
        </w:rPr>
        <w:t>ALT、TG、TC、LDL-C、尿酸水平高于非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8"/>
        </w:rPr>
        <w:t>MAFLD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8"/>
        </w:rPr>
        <w:t>组，HDL-C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8"/>
        </w:rPr>
        <w:t>水平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9"/>
        </w:rPr>
        <w:t>低于非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9"/>
        </w:rPr>
        <w:t>MAFLD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9"/>
        </w:rPr>
        <w:t>组，差异有统计学意义（P ＜0.05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7"/>
          <w:w w:val="86"/>
        </w:rPr>
        <w:t>）；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4"/>
        </w:rPr>
        <w:t>多因素 Logistic 回归分析显示，BMI、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5"/>
        </w:rPr>
        <w:t>TG、Hp 感染是 MAFLD 的相关因子（P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5"/>
        </w:rPr>
        <w:t>＜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5"/>
        </w:rPr>
        <w:t>0.05）。结论：MAFLD 与肥胖、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"/>
        </w:rPr>
        <w:t>TG 水平升高、Hp 感染有关；Hp 感染与 MAFLD 具有较强的关联性，Hp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"/>
        </w:rPr>
        <w:t>以多种方式促成 MAFLD 的发展，应积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4"/>
        </w:rPr>
        <w:t>极根除 Hp 防止发生 MAFLD。</w:t>
      </w:r>
    </w:p>
    <w:p>
      <w:pPr>
        <w:ind w:left="1453"/>
        <w:spacing w:line="203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关键词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8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幽门螺杆菌   代谢相关脂肪性肝病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8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代谢异常</w:t>
      </w:r>
    </w:p>
    <w:p>
      <w:pPr>
        <w:spacing w:before="7"/>
        <w:rPr/>
      </w:pPr>
      <w:r/>
    </w:p>
    <w:p>
      <w:pPr>
        <w:spacing w:before="6"/>
        <w:rPr/>
      </w:pPr>
      <w:r/>
    </w:p>
    <w:p>
      <w:pPr>
        <w:sectPr>
          <w:headerReference w:type="default" r:id="rId6"/>
          <w:pgSz w:w="11906" w:h="16158"/>
          <w:pgMar w:top="1307" w:right="885" w:bottom="0" w:left="424" w:header="937" w:footer="0" w:gutter="0"/>
          <w:cols w:equalWidth="0" w:num="1">
            <w:col w:w="10596" w:space="0"/>
          </w:cols>
        </w:sectPr>
        <w:rPr/>
      </w:pPr>
    </w:p>
    <w:p>
      <w:pPr>
        <w:pStyle w:val="BodyText"/>
        <w:ind w:left="512" w:right="274" w:firstLine="373"/>
        <w:spacing w:before="31" w:line="245" w:lineRule="auto"/>
        <w:jc w:val="both"/>
        <w:rPr/>
      </w:pPr>
      <w:r>
        <w:rPr>
          <w:color w:val="231F20"/>
          <w:spacing w:val="-2"/>
        </w:rPr>
        <w:t>代 谢 相 关 脂 肪 性 肝 病（metabolic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-2"/>
        </w:rPr>
        <w:t>dysfun</w:t>
      </w:r>
      <w:r>
        <w:rPr>
          <w:color w:val="231F20"/>
          <w:spacing w:val="-3"/>
        </w:rPr>
        <w:t>ction-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associated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1"/>
        </w:rPr>
        <w:t>steatotic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1"/>
        </w:rPr>
        <w:t>liver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"/>
        </w:rPr>
        <w:t>disease，MAFLD）被认</w:t>
      </w:r>
      <w:r>
        <w:rPr>
          <w:color w:val="231F20"/>
          <w:spacing w:val="-2"/>
        </w:rPr>
        <w:t>为是代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谢综合征的主要肝脏表现，</w:t>
      </w:r>
      <w:r>
        <w:rPr>
          <w:color w:val="231F20"/>
        </w:rPr>
        <w:t>MAFLD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8"/>
        </w:rPr>
        <w:t>包括从具有传统良性临床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过程的单纯脂肪变性到以炎症、纤维化和肝硬化为特征的代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4"/>
        </w:rPr>
        <w:t>谢相关脂肪性肝炎（</w:t>
      </w:r>
      <w:r>
        <w:rPr>
          <w:color w:val="231F20"/>
        </w:rPr>
        <w:t>MASH</w:t>
      </w:r>
      <w:r>
        <w:rPr>
          <w:color w:val="231F20"/>
          <w:spacing w:val="4"/>
        </w:rPr>
        <w:t>）。</w:t>
      </w:r>
      <w:r>
        <w:rPr>
          <w:color w:val="231F20"/>
        </w:rPr>
        <w:t>MASH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4"/>
        </w:rPr>
        <w:t>可发展为失代偿性肝脏疾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病、肝衰竭，给患者和社会造成沉重的经济负</w:t>
      </w:r>
      <w:r>
        <w:rPr>
          <w:color w:val="231F20"/>
          <w:spacing w:val="5"/>
        </w:rPr>
        <w:t>担。因此，寻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找</w:t>
      </w:r>
      <w:r>
        <w:rPr>
          <w:color w:val="231F20"/>
          <w:spacing w:val="-34"/>
        </w:rPr>
        <w:t xml:space="preserve"> </w:t>
      </w:r>
      <w:r>
        <w:rPr>
          <w:color w:val="231F20"/>
        </w:rPr>
        <w:t>MAFLD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5"/>
        </w:rPr>
        <w:t>的危险因素越来越成为全球的热点问题。国内研究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指出，高血压、高血糖、高脂血症、高尿酸、胰岛素抵抗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4"/>
        </w:rPr>
        <w:t>(insulin</w:t>
      </w:r>
      <w:r>
        <w:rPr>
          <w:color w:val="231F20"/>
        </w:rPr>
        <w:t xml:space="preserve"> </w:t>
      </w:r>
      <w:r>
        <w:rPr>
          <w:color w:val="231F20"/>
        </w:rPr>
        <w:t>resistance，IR)</w:t>
      </w:r>
      <w:r>
        <w:rPr>
          <w:color w:val="231F20"/>
          <w:spacing w:val="-35"/>
        </w:rPr>
        <w:t xml:space="preserve"> </w:t>
      </w:r>
      <w:r>
        <w:rPr>
          <w:color w:val="231F20"/>
        </w:rPr>
        <w:t>等代谢异常为</w:t>
      </w:r>
      <w:r>
        <w:rPr>
          <w:color w:val="231F20"/>
          <w:spacing w:val="-43"/>
        </w:rPr>
        <w:t xml:space="preserve"> </w:t>
      </w:r>
      <w:r>
        <w:rPr>
          <w:color w:val="231F20"/>
        </w:rPr>
        <w:t>MAFLD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的</w:t>
      </w:r>
      <w:r>
        <w:rPr>
          <w:color w:val="231F20"/>
          <w:spacing w:val="-1"/>
        </w:rPr>
        <w:t>危险因素</w:t>
      </w:r>
      <w:r>
        <w:rPr>
          <w:color w:val="231F20"/>
          <w:spacing w:val="-23"/>
        </w:rPr>
        <w:t xml:space="preserve"> </w:t>
      </w:r>
      <w:r>
        <w:rPr>
          <w:sz w:val="10"/>
          <w:szCs w:val="10"/>
          <w:color w:val="231F20"/>
          <w:spacing w:val="-1"/>
          <w:position w:val="8"/>
        </w:rPr>
        <w:t>[1-2]</w:t>
      </w:r>
      <w:r>
        <w:rPr>
          <w:sz w:val="10"/>
          <w:szCs w:val="10"/>
          <w:color w:val="231F20"/>
          <w:spacing w:val="-26"/>
          <w:position w:val="8"/>
        </w:rPr>
        <w:t xml:space="preserve"> </w:t>
      </w:r>
      <w:r>
        <w:rPr>
          <w:color w:val="231F20"/>
          <w:spacing w:val="-1"/>
        </w:rPr>
        <w:t>。本文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通过回顾性研究收集临床病例，分析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MAFLD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4"/>
        </w:rPr>
        <w:t>的危险因素，为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MAFLD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3"/>
        </w:rPr>
        <w:t>的防治提供较为客观的依据和参考。</w:t>
      </w:r>
    </w:p>
    <w:p>
      <w:pPr>
        <w:pStyle w:val="BodyText"/>
        <w:ind w:left="517" w:right="275" w:firstLine="376"/>
        <w:spacing w:before="1" w:line="239" w:lineRule="auto"/>
        <w:jc w:val="both"/>
        <w:rPr/>
      </w:pPr>
      <w:r>
        <w:rPr>
          <w:color w:val="231F20"/>
        </w:rPr>
        <w:t>幽门螺杆菌（Helicobacter</w:t>
      </w:r>
      <w:r>
        <w:rPr>
          <w:color w:val="231F20"/>
          <w:spacing w:val="39"/>
        </w:rPr>
        <w:t xml:space="preserve"> </w:t>
      </w:r>
      <w:r>
        <w:rPr>
          <w:color w:val="231F20"/>
        </w:rPr>
        <w:t>pylori，Hp）已被证明是胃 </w:t>
      </w:r>
      <w:r>
        <w:rPr>
          <w:color w:val="231F20"/>
          <w:spacing w:val="1"/>
        </w:rPr>
        <w:t>肠道疾病的重要病原体。</w:t>
      </w:r>
      <w:r>
        <w:rPr>
          <w:color w:val="231F20"/>
        </w:rPr>
        <w:t>Hp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1"/>
        </w:rPr>
        <w:t>感染了世界上约一半的人口</w:t>
      </w:r>
      <w:r>
        <w:rPr>
          <w:color w:val="231F20"/>
          <w:spacing w:val="-23"/>
        </w:rPr>
        <w:t xml:space="preserve"> </w:t>
      </w:r>
      <w:r>
        <w:rPr>
          <w:sz w:val="10"/>
          <w:szCs w:val="10"/>
          <w:color w:val="231F20"/>
          <w:spacing w:val="1"/>
          <w:position w:val="8"/>
        </w:rPr>
        <w:t>[3]</w:t>
      </w:r>
      <w:r>
        <w:rPr>
          <w:sz w:val="10"/>
          <w:szCs w:val="10"/>
          <w:color w:val="231F20"/>
          <w:spacing w:val="-28"/>
          <w:position w:val="8"/>
        </w:rPr>
        <w:t xml:space="preserve"> </w:t>
      </w:r>
      <w:r>
        <w:rPr>
          <w:color w:val="231F20"/>
          <w:spacing w:val="1"/>
        </w:rPr>
        <w:t>，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已成为主要公共卫生问题之一。最新研究表明，</w:t>
      </w:r>
      <w:r>
        <w:rPr>
          <w:color w:val="231F20"/>
        </w:rPr>
        <w:t>Hp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3"/>
        </w:rPr>
        <w:t>感染也可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50" w:firstLine="7"/>
        <w:spacing w:before="37" w:line="243" w:lineRule="auto"/>
        <w:rPr/>
      </w:pPr>
      <w:r>
        <w:rPr>
          <w:color w:val="231F20"/>
          <w:spacing w:val="7"/>
        </w:rPr>
        <w:t>能决定或影响各种胃外疾病的发展，如</w:t>
      </w:r>
      <w:r>
        <w:rPr>
          <w:color w:val="231F20"/>
          <w:spacing w:val="-25"/>
        </w:rPr>
        <w:t xml:space="preserve"> </w:t>
      </w:r>
      <w:r>
        <w:rPr>
          <w:color w:val="231F20"/>
        </w:rPr>
        <w:t>MAFLD</w:t>
      </w:r>
      <w:r>
        <w:rPr>
          <w:color w:val="231F20"/>
          <w:spacing w:val="7"/>
        </w:rPr>
        <w:t>、</w:t>
      </w:r>
      <w:r>
        <w:rPr>
          <w:color w:val="231F20"/>
        </w:rPr>
        <w:t>IR</w:t>
      </w:r>
      <w:r>
        <w:rPr>
          <w:color w:val="231F20"/>
          <w:spacing w:val="7"/>
        </w:rPr>
        <w:t>、代谢综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合征、糖尿病、心血管病等 </w:t>
      </w:r>
      <w:r>
        <w:rPr>
          <w:sz w:val="10"/>
          <w:szCs w:val="10"/>
          <w:color w:val="231F20"/>
          <w:spacing w:val="-1"/>
          <w:position w:val="8"/>
        </w:rPr>
        <w:t>[4]</w:t>
      </w:r>
      <w:r>
        <w:rPr>
          <w:sz w:val="10"/>
          <w:szCs w:val="10"/>
          <w:color w:val="231F20"/>
          <w:spacing w:val="-15"/>
          <w:position w:val="8"/>
        </w:rPr>
        <w:t xml:space="preserve"> </w:t>
      </w:r>
      <w:r>
        <w:rPr>
          <w:color w:val="231F20"/>
          <w:spacing w:val="-1"/>
        </w:rPr>
        <w:t>。Hp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1"/>
        </w:rPr>
        <w:t>感染可能促进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-1"/>
        </w:rPr>
        <w:t>MAFLD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"/>
        </w:rPr>
        <w:t>的发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展，抗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1"/>
        </w:rPr>
        <w:t>Hp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1"/>
        </w:rPr>
        <w:t>治疗有望成为临床上逆转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-1"/>
        </w:rPr>
        <w:t>MAFLD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1"/>
        </w:rPr>
        <w:t>病情</w:t>
      </w:r>
      <w:r>
        <w:rPr>
          <w:color w:val="231F20"/>
          <w:spacing w:val="-2"/>
        </w:rPr>
        <w:t>的新靶点</w:t>
      </w:r>
      <w:r>
        <w:rPr>
          <w:color w:val="231F20"/>
          <w:spacing w:val="-23"/>
        </w:rPr>
        <w:t xml:space="preserve"> </w:t>
      </w:r>
      <w:r>
        <w:rPr>
          <w:sz w:val="10"/>
          <w:szCs w:val="10"/>
          <w:color w:val="231F20"/>
          <w:spacing w:val="-2"/>
          <w:position w:val="8"/>
        </w:rPr>
        <w:t>[5]</w:t>
      </w:r>
      <w:r>
        <w:rPr>
          <w:sz w:val="10"/>
          <w:szCs w:val="10"/>
          <w:color w:val="231F20"/>
          <w:spacing w:val="-26"/>
          <w:position w:val="8"/>
        </w:rPr>
        <w:t xml:space="preserve"> </w:t>
      </w:r>
      <w:r>
        <w:rPr>
          <w:color w:val="231F20"/>
          <w:spacing w:val="-2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然而，这两者之间的关系仍存在一定的争议。为明确</w:t>
      </w:r>
      <w:r>
        <w:rPr>
          <w:color w:val="231F20"/>
          <w:spacing w:val="-25"/>
        </w:rPr>
        <w:t xml:space="preserve"> </w:t>
      </w:r>
      <w:r>
        <w:rPr>
          <w:color w:val="231F20"/>
        </w:rPr>
        <w:t>Hp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1"/>
        </w:rPr>
        <w:t>感染</w:t>
      </w:r>
      <w:r>
        <w:rPr>
          <w:color w:val="231F20"/>
        </w:rPr>
        <w:t xml:space="preserve"> </w:t>
      </w:r>
      <w:r>
        <w:rPr>
          <w:color w:val="231F20"/>
        </w:rPr>
        <w:t>与</w:t>
      </w:r>
      <w:r>
        <w:rPr>
          <w:color w:val="231F20"/>
          <w:spacing w:val="-43"/>
        </w:rPr>
        <w:t xml:space="preserve"> </w:t>
      </w:r>
      <w:r>
        <w:rPr>
          <w:color w:val="231F20"/>
        </w:rPr>
        <w:t>MAFLD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的关系，从而为根除</w:t>
      </w:r>
      <w:r>
        <w:rPr>
          <w:color w:val="231F20"/>
          <w:spacing w:val="-32"/>
        </w:rPr>
        <w:t xml:space="preserve"> </w:t>
      </w:r>
      <w:r>
        <w:rPr>
          <w:color w:val="231F20"/>
        </w:rPr>
        <w:t>Hp</w:t>
      </w:r>
      <w:r>
        <w:rPr>
          <w:color w:val="231F20"/>
          <w:spacing w:val="-33"/>
        </w:rPr>
        <w:t xml:space="preserve"> </w:t>
      </w:r>
      <w:r>
        <w:rPr>
          <w:color w:val="231F20"/>
        </w:rPr>
        <w:t>治疗提供依据，基于</w:t>
      </w:r>
      <w:r>
        <w:rPr>
          <w:color w:val="231F20"/>
          <w:spacing w:val="-1"/>
        </w:rPr>
        <w:t>此，本</w:t>
      </w:r>
      <w:r>
        <w:rPr>
          <w:color w:val="231F20"/>
        </w:rPr>
        <w:t xml:space="preserve"> </w:t>
      </w:r>
      <w:r>
        <w:rPr>
          <w:color w:val="231F20"/>
        </w:rPr>
        <w:t>研究还探索了</w:t>
      </w:r>
      <w:r>
        <w:rPr>
          <w:color w:val="231F20"/>
          <w:spacing w:val="-32"/>
        </w:rPr>
        <w:t xml:space="preserve"> </w:t>
      </w:r>
      <w:r>
        <w:rPr>
          <w:color w:val="231F20"/>
        </w:rPr>
        <w:t>Hp</w:t>
      </w:r>
      <w:r>
        <w:rPr>
          <w:color w:val="231F20"/>
          <w:spacing w:val="-36"/>
        </w:rPr>
        <w:t xml:space="preserve"> </w:t>
      </w:r>
      <w:r>
        <w:rPr>
          <w:color w:val="231F20"/>
        </w:rPr>
        <w:t>感染与</w:t>
      </w:r>
      <w:r>
        <w:rPr>
          <w:color w:val="231F20"/>
          <w:spacing w:val="-43"/>
        </w:rPr>
        <w:t xml:space="preserve"> </w:t>
      </w:r>
      <w:r>
        <w:rPr>
          <w:color w:val="231F20"/>
        </w:rPr>
        <w:t>MAFLD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的关系，以期为临床治疗提供 </w:t>
      </w:r>
      <w:r>
        <w:rPr>
          <w:color w:val="231F20"/>
          <w:spacing w:val="-4"/>
        </w:rPr>
        <w:t>参考，现报告如下。</w:t>
      </w:r>
    </w:p>
    <w:p>
      <w:pPr>
        <w:ind w:left="10"/>
        <w:spacing w:before="2" w:line="190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6"/>
        </w:rPr>
        <w:t>1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1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6"/>
        </w:rPr>
        <w:t>资料与方法</w:t>
      </w:r>
    </w:p>
    <w:p>
      <w:pPr>
        <w:ind w:left="8"/>
        <w:spacing w:before="1" w:line="185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9"/>
        </w:rPr>
        <w:t>1.1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0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9"/>
        </w:rPr>
        <w:t>一般资料</w:t>
      </w:r>
    </w:p>
    <w:p>
      <w:pPr>
        <w:pStyle w:val="BodyText"/>
        <w:ind w:firstLine="367"/>
        <w:spacing w:before="2" w:line="244" w:lineRule="auto"/>
        <w:rPr/>
      </w:pPr>
      <w:r>
        <w:rPr>
          <w:color w:val="231F20"/>
          <w:spacing w:val="6"/>
        </w:rPr>
        <w:t>选取2022年5月-2023年6月我院消化科住院患者240例，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2"/>
        </w:rPr>
        <w:t>其中男性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2"/>
        </w:rPr>
        <w:t>154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2"/>
        </w:rPr>
        <w:t>例，女性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2"/>
        </w:rPr>
        <w:t>86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2"/>
        </w:rPr>
        <w:t>例。纳入标准：未曾</w:t>
      </w:r>
      <w:r>
        <w:rPr>
          <w:color w:val="231F20"/>
          <w:spacing w:val="-3"/>
        </w:rPr>
        <w:t>根除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3"/>
        </w:rPr>
        <w:t>Hp，住院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期间行生化全套、腹部彩超及 13C-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2"/>
        </w:rPr>
        <w:t>尿素呼气实验检测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-2"/>
        </w:rPr>
        <w:t>Hp，且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具有完整数据。排除标准：①近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3"/>
        </w:rPr>
        <w:t>1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3"/>
        </w:rPr>
        <w:t>月使用过抗生素、铋</w:t>
      </w:r>
      <w:r>
        <w:rPr>
          <w:color w:val="231F20"/>
          <w:spacing w:val="2"/>
        </w:rPr>
        <w:t>剂、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质子泵抑制剂、H2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2"/>
        </w:rPr>
        <w:t>受体拮抗剂；②近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2"/>
        </w:rPr>
        <w:t>3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2"/>
        </w:rPr>
        <w:t>月使用</w:t>
      </w:r>
      <w:r>
        <w:rPr>
          <w:color w:val="231F20"/>
          <w:spacing w:val="1"/>
        </w:rPr>
        <w:t>过调脂、降尿</w:t>
      </w:r>
    </w:p>
    <w:p>
      <w:pPr>
        <w:spacing w:line="244" w:lineRule="auto"/>
        <w:sectPr>
          <w:type w:val="continuous"/>
          <w:pgSz w:w="11906" w:h="16158"/>
          <w:pgMar w:top="1307" w:right="885" w:bottom="0" w:left="424" w:header="937" w:footer="0" w:gutter="0"/>
          <w:cols w:equalWidth="0" w:num="2">
            <w:col w:w="5621" w:space="100"/>
            <w:col w:w="4876" w:space="0"/>
          </w:cols>
        </w:sectPr>
        <w:rPr/>
      </w:pPr>
    </w:p>
    <w:p>
      <w:pPr>
        <w:rPr>
          <w:rFonts w:ascii="Arial"/>
          <w:sz w:val="21"/>
        </w:rPr>
      </w:pPr>
      <w:r>
        <w:pict>
          <v:shape id="_x0000_s18" style="position:absolute;margin-left:25.7385pt;margin-top:-432.089pt;mso-position-vertical-relative:text;mso-position-horizontal-relative:text;width:501.75pt;height:0.35pt;z-index:251661312;" filled="false" strokecolor="#231F20" strokeweight="0.33pt" coordsize="10035,6" coordorigin="0,0" path="m10034,3l0,3e">
            <v:stroke joinstyle="miter" miterlimit="4"/>
          </v:shape>
        </w:pict>
      </w:r>
      <w:r/>
    </w:p>
    <w:p>
      <w:pPr>
        <w:ind w:firstLine="506"/>
        <w:spacing w:before="1" w:line="40" w:lineRule="exact"/>
        <w:rPr/>
      </w:pPr>
      <w:r>
        <w:rPr/>
        <w:pict>
          <v:shape id="_x0000_s20" style="mso-position-vertical-relative:line;mso-position-horizontal-relative:char;width:502.3pt;height:2pt;" filled="false" strokecolor="#231F20" strokeweight="0.53pt" coordsize="10045,40" coordorigin="0,0" path="m5,19c25,0,65,0,84,19c104,39,144,39,164,19c184,0,224,0,244,19c264,39,303,39,323,19c343,0,383,0,403,19c423,39,463,39,483,19c503,0,542,0,562,19c582,39,622,39,642,19c662,0,702,0,722,19c741,39,781,39,801,19c821,0,861,0,881,19c901,39,941,39,960,19c980,0,1020,0,1040,19c1060,39,1100,39,1120,19c1140,0,1179,0,1199,19c1219,39,1259,39,1279,19c1299,0,1339,0,1359,19c1379,39,1418,39,1438,19c1458,0,1498,0,1518,19c1538,39,1578,39,1598,19c1618,0,1657,0,1677,19c1697,39,1737,39,1757,19c1777,0,1817,0,1837,19c1856,39,1896,39,1916,19c1936,0,1976,0,1996,19c2016,39,2056,39,2075,19c2095,0,2135,0,2155,19c2175,39,2215,39,2235,19c2255,0,2294,0,2314,19c2334,39,2374,39,2394,19c2414,0,2454,0,2474,19c2494,39,2533,39,2553,19c2573,0,2613,0,2633,19c2653,39,2693,39,2713,19c2732,0,2772,0,2792,19c2812,39,2852,39,2872,19c2892,0,2932,0,2951,19c2971,39,3011,39,3031,19c3051,0,3091,0,3111,19c3131,39,3171,39,3190,19c3210,0,3250,0,3270,19c3290,39,3330,39,3350,19c3370,0,3409,0,3429,19c3449,39,3489,39,3509,19c3529,0,3569,0,3589,19c3609,39,3648,39,3668,19c3688,0,3728,0,3748,19c3768,39,3808,39,3828,19c3847,0,3887,0,3907,19c3927,39,3967,39,3987,19c4007,0,4047,0,4066,19c4086,39,4126,39,4146,19c4166,0,4206,0,4226,19c4246,39,4285,39,4305,19c4325,0,4365,0,4385,19c4405,39,4445,39,4465,19c4485,0,4524,0,4544,19c4564,39,4604,39,4624,19c4644,0,4684,0,4704,19c4723,39,4763,39,4783,19c4803,0,4843,0,4863,19c4883,39,4923,39,4942,19c4962,0,5002,0,5022,19c5042,39,5082,39,5102,19c5122,0,5161,0,5181,19c5201,39,5241,39,5261,19c5281,0,5321,0,5341,19c5361,39,5400,39,5420,19c5440,0,5480,0,5500,19c5520,39,5560,39,5580,19c5600,0,5639,0,5659,19c5679,39,5719,39,5739,19c5759,0,5799,0,5819,19c5838,39,5878,39,5898,19c5918,0,5958,0,5978,19c5998,39,6038,39,6057,19c6077,0,6117,0,6137,19c6157,39,6197,39,6217,19c6237,0,6276,0,6296,19c6316,39,6356,39,6376,19c6396,0,6436,0,6456,19c6476,39,6515,39,6535,19c6555,0,6595,0,6615,19c6635,39,6675,39,6695,19c6714,0,6754,0,6774,19c6794,39,6834,39,6854,19c6874,0,6914,0,6933,19c6953,39,6993,39,7013,19c7033,0,7073,0,7093,19c7113,39,7152,39,7172,19c7192,0,7232,0,7252,19c7272,39,7312,39,7332,19c7352,0,7391,0,7411,19c7431,39,7471,39,7491,19c7511,0,7551,0,7571,19c7591,39,7630,39,7650,19c7670,0,7710,0,7730,19c7750,39,7790,39,7810,19c7829,0,7869,0,7889,19c7909,39,7949,39,7969,19c7989,0,8029,0,8048,19c8068,39,8108,39,8128,19c8148,0,8188,0,8208,19c8228,39,8267,39,8287,19c8307,0,8347,0,8367,19c8387,39,8427,39,8447,19c8467,0,8506,0,8526,19c8546,39,8586,39,8606,19c8626,0,8666,0,8686,19c8705,39,8745,39,8765,19c8785,0,8825,0,8845,19c8865,39,8905,39,8924,19c8944,0,8984,0,9004,19c9024,39,9064,39,9084,19c9104,0,9143,0,9163,19c9183,39,9223,39,9243,19c9263,0,9303,0,9323,19c9343,39,9382,39,9402,19c9422,0,9462,0,9482,19c9502,39,9542,39,9562,19c9582,0,9621,0,9641,19c9661,39,9701,39,9721,19c9741,0,9781,0,9801,19c9820,39,9860,39,9880,19c9900,0,9940,0,9960,19c9980,39,10020,39,10039,19e">
            <v:stroke joinstyle="miter" miterlimit="4"/>
          </v:shape>
        </w:pict>
      </w:r>
    </w:p>
    <w:p>
      <w:pPr>
        <w:spacing w:before="46"/>
        <w:rPr/>
      </w:pPr>
      <w:r/>
    </w:p>
    <w:p>
      <w:pPr>
        <w:sectPr>
          <w:type w:val="continuous"/>
          <w:pgSz w:w="11906" w:h="16158"/>
          <w:pgMar w:top="1307" w:right="885" w:bottom="0" w:left="424" w:header="937" w:footer="0" w:gutter="0"/>
          <w:cols w:equalWidth="0" w:num="1">
            <w:col w:w="10596" w:space="0"/>
          </w:cols>
        </w:sectPr>
        <w:rPr/>
      </w:pPr>
    </w:p>
    <w:p>
      <w:pPr>
        <w:pStyle w:val="BodyText"/>
        <w:ind w:left="925" w:right="299" w:hanging="383"/>
        <w:spacing w:before="31" w:line="256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24"/>
        </w:rPr>
        <w:t>[4]  中华医学会妇产科学分会感染性疾病协作组</w:t>
      </w:r>
      <w:r>
        <w:rPr>
          <w:sz w:val="16"/>
          <w:szCs w:val="16"/>
          <w:color w:val="231F20"/>
          <w:spacing w:val="-6"/>
        </w:rPr>
        <w:t xml:space="preserve"> </w:t>
      </w:r>
      <w:r>
        <w:rPr>
          <w:sz w:val="16"/>
          <w:szCs w:val="16"/>
          <w:color w:val="231F20"/>
          <w:spacing w:val="24"/>
        </w:rPr>
        <w:t>.</w:t>
      </w:r>
      <w:r>
        <w:rPr>
          <w:sz w:val="16"/>
          <w:szCs w:val="16"/>
          <w:color w:val="231F20"/>
          <w:spacing w:val="-25"/>
        </w:rPr>
        <w:t xml:space="preserve"> </w:t>
      </w:r>
      <w:r>
        <w:rPr>
          <w:sz w:val="16"/>
          <w:szCs w:val="16"/>
          <w:color w:val="231F20"/>
          <w:spacing w:val="24"/>
        </w:rPr>
        <w:t>盆腔炎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6"/>
        </w:rPr>
        <w:t>症</w:t>
      </w:r>
      <w:r>
        <w:rPr>
          <w:sz w:val="16"/>
          <w:szCs w:val="16"/>
          <w:color w:val="231F20"/>
          <w:spacing w:val="-22"/>
        </w:rPr>
        <w:t xml:space="preserve"> </w:t>
      </w:r>
      <w:r>
        <w:rPr>
          <w:sz w:val="16"/>
          <w:szCs w:val="16"/>
          <w:color w:val="231F20"/>
          <w:spacing w:val="-6"/>
        </w:rPr>
        <w:t>性</w:t>
      </w:r>
      <w:r>
        <w:rPr>
          <w:sz w:val="16"/>
          <w:szCs w:val="16"/>
          <w:color w:val="231F20"/>
          <w:spacing w:val="-25"/>
        </w:rPr>
        <w:t xml:space="preserve"> </w:t>
      </w:r>
      <w:r>
        <w:rPr>
          <w:sz w:val="16"/>
          <w:szCs w:val="16"/>
          <w:color w:val="231F20"/>
          <w:spacing w:val="-6"/>
        </w:rPr>
        <w:t>疾</w:t>
      </w:r>
      <w:r>
        <w:rPr>
          <w:sz w:val="16"/>
          <w:szCs w:val="16"/>
          <w:color w:val="231F20"/>
          <w:spacing w:val="-25"/>
        </w:rPr>
        <w:t xml:space="preserve"> </w:t>
      </w:r>
      <w:r>
        <w:rPr>
          <w:sz w:val="16"/>
          <w:szCs w:val="16"/>
          <w:color w:val="231F20"/>
          <w:spacing w:val="-6"/>
        </w:rPr>
        <w:t>病</w:t>
      </w:r>
      <w:r>
        <w:rPr>
          <w:sz w:val="16"/>
          <w:szCs w:val="16"/>
          <w:color w:val="231F20"/>
          <w:spacing w:val="-23"/>
        </w:rPr>
        <w:t xml:space="preserve"> </w:t>
      </w:r>
      <w:r>
        <w:rPr>
          <w:sz w:val="16"/>
          <w:szCs w:val="16"/>
          <w:color w:val="231F20"/>
          <w:spacing w:val="-6"/>
        </w:rPr>
        <w:t>诊</w:t>
      </w:r>
      <w:r>
        <w:rPr>
          <w:sz w:val="16"/>
          <w:szCs w:val="16"/>
          <w:color w:val="231F20"/>
          <w:spacing w:val="-21"/>
        </w:rPr>
        <w:t xml:space="preserve"> </w:t>
      </w:r>
      <w:r>
        <w:rPr>
          <w:sz w:val="16"/>
          <w:szCs w:val="16"/>
          <w:color w:val="231F20"/>
          <w:spacing w:val="-6"/>
        </w:rPr>
        <w:t>治</w:t>
      </w:r>
      <w:r>
        <w:rPr>
          <w:sz w:val="16"/>
          <w:szCs w:val="16"/>
          <w:color w:val="231F20"/>
          <w:spacing w:val="-23"/>
        </w:rPr>
        <w:t xml:space="preserve"> </w:t>
      </w:r>
      <w:r>
        <w:rPr>
          <w:sz w:val="16"/>
          <w:szCs w:val="16"/>
          <w:color w:val="231F20"/>
          <w:spacing w:val="-6"/>
        </w:rPr>
        <w:t>规</w:t>
      </w:r>
      <w:r>
        <w:rPr>
          <w:sz w:val="16"/>
          <w:szCs w:val="16"/>
          <w:color w:val="231F20"/>
          <w:spacing w:val="-21"/>
        </w:rPr>
        <w:t xml:space="preserve"> </w:t>
      </w:r>
      <w:r>
        <w:rPr>
          <w:sz w:val="16"/>
          <w:szCs w:val="16"/>
          <w:color w:val="231F20"/>
          <w:spacing w:val="-6"/>
        </w:rPr>
        <w:t>范 (2019</w:t>
      </w:r>
      <w:r>
        <w:rPr>
          <w:sz w:val="16"/>
          <w:szCs w:val="16"/>
          <w:color w:val="231F20"/>
          <w:spacing w:val="-21"/>
        </w:rPr>
        <w:t xml:space="preserve"> </w:t>
      </w:r>
      <w:r>
        <w:rPr>
          <w:sz w:val="16"/>
          <w:szCs w:val="16"/>
          <w:color w:val="231F20"/>
          <w:spacing w:val="-6"/>
        </w:rPr>
        <w:t>修</w:t>
      </w:r>
      <w:r>
        <w:rPr>
          <w:sz w:val="16"/>
          <w:szCs w:val="16"/>
          <w:color w:val="231F20"/>
          <w:spacing w:val="-22"/>
        </w:rPr>
        <w:t xml:space="preserve"> </w:t>
      </w:r>
      <w:r>
        <w:rPr>
          <w:sz w:val="16"/>
          <w:szCs w:val="16"/>
          <w:color w:val="231F20"/>
          <w:spacing w:val="-6"/>
        </w:rPr>
        <w:t>订</w:t>
      </w:r>
      <w:r>
        <w:rPr>
          <w:sz w:val="16"/>
          <w:szCs w:val="16"/>
          <w:color w:val="231F20"/>
          <w:spacing w:val="-24"/>
        </w:rPr>
        <w:t xml:space="preserve"> </w:t>
      </w:r>
      <w:r>
        <w:rPr>
          <w:sz w:val="16"/>
          <w:szCs w:val="16"/>
          <w:color w:val="231F20"/>
          <w:spacing w:val="-6"/>
        </w:rPr>
        <w:t>版</w:t>
      </w:r>
      <w:r>
        <w:rPr>
          <w:sz w:val="16"/>
          <w:szCs w:val="16"/>
          <w:color w:val="231F20"/>
          <w:spacing w:val="-20"/>
        </w:rPr>
        <w:t xml:space="preserve"> </w:t>
      </w:r>
      <w:r>
        <w:rPr>
          <w:sz w:val="16"/>
          <w:szCs w:val="16"/>
          <w:color w:val="231F20"/>
          <w:spacing w:val="-6"/>
        </w:rPr>
        <w:t>)[J]. 中</w:t>
      </w:r>
      <w:r>
        <w:rPr>
          <w:sz w:val="16"/>
          <w:szCs w:val="16"/>
          <w:color w:val="231F20"/>
          <w:spacing w:val="-24"/>
        </w:rPr>
        <w:t xml:space="preserve"> </w:t>
      </w:r>
      <w:r>
        <w:rPr>
          <w:sz w:val="16"/>
          <w:szCs w:val="16"/>
          <w:color w:val="231F20"/>
          <w:spacing w:val="-6"/>
        </w:rPr>
        <w:t>华</w:t>
      </w:r>
      <w:r>
        <w:rPr>
          <w:sz w:val="16"/>
          <w:szCs w:val="16"/>
          <w:color w:val="231F20"/>
          <w:spacing w:val="-23"/>
        </w:rPr>
        <w:t xml:space="preserve"> </w:t>
      </w:r>
      <w:r>
        <w:rPr>
          <w:sz w:val="16"/>
          <w:szCs w:val="16"/>
          <w:color w:val="231F20"/>
          <w:spacing w:val="-7"/>
        </w:rPr>
        <w:t>妇</w:t>
      </w:r>
      <w:r>
        <w:rPr>
          <w:sz w:val="16"/>
          <w:szCs w:val="16"/>
          <w:color w:val="231F20"/>
          <w:spacing w:val="-25"/>
        </w:rPr>
        <w:t xml:space="preserve"> </w:t>
      </w:r>
      <w:r>
        <w:rPr>
          <w:sz w:val="16"/>
          <w:szCs w:val="16"/>
          <w:color w:val="231F20"/>
          <w:spacing w:val="-7"/>
        </w:rPr>
        <w:t>产</w:t>
      </w:r>
      <w:r>
        <w:rPr>
          <w:sz w:val="16"/>
          <w:szCs w:val="16"/>
          <w:color w:val="231F20"/>
          <w:spacing w:val="-24"/>
        </w:rPr>
        <w:t xml:space="preserve"> </w:t>
      </w:r>
      <w:r>
        <w:rPr>
          <w:sz w:val="16"/>
          <w:szCs w:val="16"/>
          <w:color w:val="231F20"/>
          <w:spacing w:val="-7"/>
        </w:rPr>
        <w:t>科</w:t>
      </w:r>
      <w:r>
        <w:rPr>
          <w:sz w:val="16"/>
          <w:szCs w:val="16"/>
          <w:color w:val="231F20"/>
          <w:spacing w:val="-23"/>
        </w:rPr>
        <w:t xml:space="preserve"> </w:t>
      </w:r>
      <w:r>
        <w:rPr>
          <w:sz w:val="16"/>
          <w:szCs w:val="16"/>
          <w:color w:val="231F20"/>
          <w:spacing w:val="-7"/>
        </w:rPr>
        <w:t>杂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"/>
        </w:rPr>
        <w:t>志</w:t>
      </w:r>
      <w:r>
        <w:rPr>
          <w:sz w:val="16"/>
          <w:szCs w:val="16"/>
          <w:color w:val="231F20"/>
          <w:spacing w:val="-16"/>
        </w:rPr>
        <w:t xml:space="preserve"> </w:t>
      </w:r>
      <w:r>
        <w:rPr>
          <w:sz w:val="16"/>
          <w:szCs w:val="16"/>
          <w:color w:val="231F20"/>
          <w:spacing w:val="-1"/>
        </w:rPr>
        <w:t>,2019,54(7):433-437.</w:t>
      </w:r>
    </w:p>
    <w:p>
      <w:pPr>
        <w:pStyle w:val="BodyText"/>
        <w:ind w:left="542"/>
        <w:spacing w:before="51" w:line="217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3"/>
        </w:rPr>
        <w:t>[5]  王泽华</w:t>
      </w:r>
      <w:r>
        <w:rPr>
          <w:sz w:val="16"/>
          <w:szCs w:val="16"/>
          <w:color w:val="231F20"/>
          <w:spacing w:val="-30"/>
        </w:rPr>
        <w:t xml:space="preserve"> </w:t>
      </w:r>
      <w:r>
        <w:rPr>
          <w:sz w:val="16"/>
          <w:szCs w:val="16"/>
          <w:color w:val="231F20"/>
          <w:spacing w:val="-3"/>
        </w:rPr>
        <w:t>.</w:t>
      </w:r>
      <w:r>
        <w:rPr>
          <w:sz w:val="16"/>
          <w:szCs w:val="16"/>
          <w:color w:val="231F20"/>
          <w:spacing w:val="-33"/>
        </w:rPr>
        <w:t xml:space="preserve"> </w:t>
      </w:r>
      <w:r>
        <w:rPr>
          <w:sz w:val="16"/>
          <w:szCs w:val="16"/>
          <w:color w:val="231F20"/>
          <w:spacing w:val="-3"/>
        </w:rPr>
        <w:t>妇产科学 (</w:t>
      </w:r>
      <w:r>
        <w:rPr>
          <w:sz w:val="16"/>
          <w:szCs w:val="16"/>
          <w:color w:val="231F20"/>
          <w:spacing w:val="-34"/>
        </w:rPr>
        <w:t xml:space="preserve"> </w:t>
      </w:r>
      <w:r>
        <w:rPr>
          <w:sz w:val="16"/>
          <w:szCs w:val="16"/>
          <w:color w:val="231F20"/>
          <w:spacing w:val="-3"/>
        </w:rPr>
        <w:t>第</w:t>
      </w:r>
      <w:r>
        <w:rPr>
          <w:sz w:val="16"/>
          <w:szCs w:val="16"/>
          <w:color w:val="231F20"/>
          <w:spacing w:val="-30"/>
        </w:rPr>
        <w:t xml:space="preserve"> </w:t>
      </w:r>
      <w:r>
        <w:rPr>
          <w:sz w:val="16"/>
          <w:szCs w:val="16"/>
          <w:color w:val="231F20"/>
          <w:spacing w:val="-3"/>
        </w:rPr>
        <w:t>5</w:t>
      </w:r>
      <w:r>
        <w:rPr>
          <w:sz w:val="16"/>
          <w:szCs w:val="16"/>
          <w:color w:val="231F20"/>
          <w:spacing w:val="-33"/>
        </w:rPr>
        <w:t xml:space="preserve"> </w:t>
      </w:r>
      <w:r>
        <w:rPr>
          <w:sz w:val="16"/>
          <w:szCs w:val="16"/>
          <w:color w:val="231F20"/>
          <w:spacing w:val="-3"/>
        </w:rPr>
        <w:t>版</w:t>
      </w:r>
      <w:r>
        <w:rPr>
          <w:sz w:val="16"/>
          <w:szCs w:val="16"/>
          <w:color w:val="231F20"/>
          <w:spacing w:val="-33"/>
        </w:rPr>
        <w:t xml:space="preserve"> </w:t>
      </w:r>
      <w:r>
        <w:rPr>
          <w:sz w:val="16"/>
          <w:szCs w:val="16"/>
          <w:color w:val="231F20"/>
          <w:spacing w:val="-3"/>
        </w:rPr>
        <w:t>)</w:t>
      </w:r>
      <w:r>
        <w:rPr>
          <w:sz w:val="16"/>
          <w:szCs w:val="16"/>
          <w:color w:val="231F20"/>
          <w:spacing w:val="-4"/>
        </w:rPr>
        <w:t>[M].</w:t>
      </w:r>
      <w:r>
        <w:rPr>
          <w:sz w:val="16"/>
          <w:szCs w:val="16"/>
          <w:color w:val="231F20"/>
          <w:spacing w:val="-33"/>
        </w:rPr>
        <w:t xml:space="preserve"> </w:t>
      </w:r>
      <w:r>
        <w:rPr>
          <w:sz w:val="16"/>
          <w:szCs w:val="16"/>
          <w:color w:val="231F20"/>
          <w:spacing w:val="-4"/>
        </w:rPr>
        <w:t>人民卫生出版社</w:t>
      </w:r>
      <w:r>
        <w:rPr>
          <w:sz w:val="16"/>
          <w:szCs w:val="16"/>
          <w:color w:val="231F20"/>
          <w:spacing w:val="-31"/>
        </w:rPr>
        <w:t xml:space="preserve"> </w:t>
      </w:r>
      <w:r>
        <w:rPr>
          <w:sz w:val="16"/>
          <w:szCs w:val="16"/>
          <w:color w:val="231F20"/>
          <w:spacing w:val="-4"/>
        </w:rPr>
        <w:t>,2004.</w:t>
      </w:r>
    </w:p>
    <w:p>
      <w:pPr>
        <w:pStyle w:val="BodyText"/>
        <w:ind w:left="926" w:right="299" w:hanging="384"/>
        <w:spacing w:before="50" w:line="246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2"/>
        </w:rPr>
        <w:t>[6]  国家中医药管理局</w:t>
      </w:r>
      <w:r>
        <w:rPr>
          <w:sz w:val="16"/>
          <w:szCs w:val="16"/>
          <w:color w:val="231F20"/>
          <w:spacing w:val="-29"/>
        </w:rPr>
        <w:t xml:space="preserve"> </w:t>
      </w:r>
      <w:r>
        <w:rPr>
          <w:sz w:val="16"/>
          <w:szCs w:val="16"/>
          <w:color w:val="231F20"/>
          <w:spacing w:val="-2"/>
        </w:rPr>
        <w:t>.</w:t>
      </w:r>
      <w:r>
        <w:rPr>
          <w:sz w:val="16"/>
          <w:szCs w:val="16"/>
          <w:color w:val="231F20"/>
          <w:spacing w:val="-18"/>
        </w:rPr>
        <w:t xml:space="preserve"> </w:t>
      </w:r>
      <w:r>
        <w:rPr>
          <w:sz w:val="16"/>
          <w:szCs w:val="16"/>
          <w:color w:val="231F20"/>
          <w:spacing w:val="-2"/>
        </w:rPr>
        <w:t>中医病证诊断疗效标准</w:t>
      </w:r>
      <w:r>
        <w:rPr>
          <w:sz w:val="16"/>
          <w:szCs w:val="16"/>
          <w:color w:val="231F20"/>
          <w:spacing w:val="-3"/>
        </w:rPr>
        <w:t xml:space="preserve"> [M].</w:t>
      </w:r>
      <w:r>
        <w:rPr>
          <w:sz w:val="16"/>
          <w:szCs w:val="16"/>
          <w:color w:val="231F20"/>
          <w:spacing w:val="-32"/>
        </w:rPr>
        <w:t xml:space="preserve"> </w:t>
      </w:r>
      <w:r>
        <w:rPr>
          <w:sz w:val="16"/>
          <w:szCs w:val="16"/>
          <w:color w:val="231F20"/>
          <w:spacing w:val="-3"/>
        </w:rPr>
        <w:t>南京大学出版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"/>
        </w:rPr>
        <w:t>社</w:t>
      </w:r>
      <w:r>
        <w:rPr>
          <w:sz w:val="16"/>
          <w:szCs w:val="16"/>
          <w:color w:val="231F20"/>
          <w:spacing w:val="-31"/>
        </w:rPr>
        <w:t xml:space="preserve"> </w:t>
      </w:r>
      <w:r>
        <w:rPr>
          <w:sz w:val="16"/>
          <w:szCs w:val="16"/>
          <w:color w:val="231F20"/>
          <w:spacing w:val="-1"/>
        </w:rPr>
        <w:t>,1994.</w:t>
      </w:r>
    </w:p>
    <w:p>
      <w:pPr>
        <w:pStyle w:val="BodyText"/>
        <w:ind w:left="938" w:right="298" w:hanging="396"/>
        <w:spacing w:before="50" w:line="246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4"/>
        </w:rPr>
        <w:t>[7]  郑筱萸</w:t>
      </w:r>
      <w:r>
        <w:rPr>
          <w:sz w:val="16"/>
          <w:szCs w:val="16"/>
          <w:color w:val="231F20"/>
          <w:spacing w:val="-24"/>
        </w:rPr>
        <w:t xml:space="preserve"> </w:t>
      </w:r>
      <w:r>
        <w:rPr>
          <w:sz w:val="16"/>
          <w:szCs w:val="16"/>
          <w:color w:val="231F20"/>
          <w:spacing w:val="-4"/>
        </w:rPr>
        <w:t>.</w:t>
      </w:r>
      <w:r>
        <w:rPr>
          <w:sz w:val="16"/>
          <w:szCs w:val="16"/>
          <w:color w:val="231F20"/>
          <w:spacing w:val="-19"/>
        </w:rPr>
        <w:t xml:space="preserve"> </w:t>
      </w:r>
      <w:r>
        <w:rPr>
          <w:sz w:val="16"/>
          <w:szCs w:val="16"/>
          <w:color w:val="231F20"/>
          <w:spacing w:val="-4"/>
        </w:rPr>
        <w:t>中药新药临床研究指导原则 :</w:t>
      </w:r>
      <w:r>
        <w:rPr>
          <w:sz w:val="16"/>
          <w:szCs w:val="16"/>
          <w:color w:val="231F20"/>
          <w:spacing w:val="-33"/>
        </w:rPr>
        <w:t xml:space="preserve"> </w:t>
      </w:r>
      <w:r>
        <w:rPr>
          <w:sz w:val="16"/>
          <w:szCs w:val="16"/>
          <w:color w:val="231F20"/>
          <w:spacing w:val="-4"/>
        </w:rPr>
        <w:t>试行 [J].</w:t>
      </w:r>
      <w:r>
        <w:rPr>
          <w:sz w:val="16"/>
          <w:szCs w:val="16"/>
          <w:color w:val="231F20"/>
          <w:spacing w:val="-18"/>
        </w:rPr>
        <w:t xml:space="preserve"> </w:t>
      </w:r>
      <w:r>
        <w:rPr>
          <w:sz w:val="16"/>
          <w:szCs w:val="16"/>
          <w:color w:val="231F20"/>
          <w:spacing w:val="-4"/>
        </w:rPr>
        <w:t>中国医药科技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3"/>
        </w:rPr>
        <w:t>出版社</w:t>
      </w:r>
      <w:r>
        <w:rPr>
          <w:sz w:val="16"/>
          <w:szCs w:val="16"/>
          <w:color w:val="231F20"/>
          <w:spacing w:val="-24"/>
        </w:rPr>
        <w:t xml:space="preserve"> </w:t>
      </w:r>
      <w:r>
        <w:rPr>
          <w:sz w:val="16"/>
          <w:szCs w:val="16"/>
          <w:color w:val="231F20"/>
          <w:spacing w:val="-3"/>
        </w:rPr>
        <w:t>,2002.</w:t>
      </w:r>
    </w:p>
    <w:p>
      <w:pPr>
        <w:pStyle w:val="BodyText"/>
        <w:ind w:left="924" w:right="298" w:hanging="382"/>
        <w:spacing w:before="51" w:line="246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2"/>
        </w:rPr>
        <w:t>[8]  周史思</w:t>
      </w:r>
      <w:r>
        <w:rPr>
          <w:sz w:val="16"/>
          <w:szCs w:val="16"/>
          <w:color w:val="231F20"/>
          <w:spacing w:val="-28"/>
        </w:rPr>
        <w:t xml:space="preserve"> </w:t>
      </w:r>
      <w:r>
        <w:rPr>
          <w:sz w:val="16"/>
          <w:szCs w:val="16"/>
          <w:color w:val="231F20"/>
          <w:spacing w:val="2"/>
        </w:rPr>
        <w:t>.</w:t>
      </w:r>
      <w:r>
        <w:rPr>
          <w:sz w:val="16"/>
          <w:szCs w:val="16"/>
          <w:color w:val="231F20"/>
          <w:spacing w:val="-32"/>
        </w:rPr>
        <w:t xml:space="preserve"> </w:t>
      </w:r>
      <w:r>
        <w:rPr>
          <w:sz w:val="16"/>
          <w:szCs w:val="16"/>
          <w:color w:val="231F20"/>
          <w:spacing w:val="2"/>
        </w:rPr>
        <w:t>妇炎消胶囊联合常规西药治疗急性盆腔炎疗效观</w:t>
      </w:r>
      <w:r>
        <w:rPr>
          <w:sz w:val="16"/>
          <w:szCs w:val="16"/>
          <w:color w:val="231F20"/>
          <w:spacing w:val="1"/>
        </w:rPr>
        <w:t>察及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2"/>
        </w:rPr>
        <w:t>对血清炎症因子水平的影响 [J].</w:t>
      </w:r>
      <w:r>
        <w:rPr>
          <w:sz w:val="16"/>
          <w:szCs w:val="16"/>
          <w:color w:val="231F20"/>
          <w:spacing w:val="-26"/>
        </w:rPr>
        <w:t xml:space="preserve"> </w:t>
      </w:r>
      <w:r>
        <w:rPr>
          <w:sz w:val="16"/>
          <w:szCs w:val="16"/>
          <w:color w:val="231F20"/>
          <w:spacing w:val="-2"/>
        </w:rPr>
        <w:t>新中医</w:t>
      </w:r>
      <w:r>
        <w:rPr>
          <w:sz w:val="16"/>
          <w:szCs w:val="16"/>
          <w:color w:val="231F20"/>
          <w:spacing w:val="-36"/>
        </w:rPr>
        <w:t xml:space="preserve"> </w:t>
      </w:r>
      <w:r>
        <w:rPr>
          <w:sz w:val="16"/>
          <w:szCs w:val="16"/>
          <w:color w:val="231F20"/>
          <w:spacing w:val="-2"/>
        </w:rPr>
        <w:t>,2019,51(5):196-198.</w:t>
      </w:r>
    </w:p>
    <w:p>
      <w:pPr>
        <w:pStyle w:val="BodyText"/>
        <w:ind w:left="927" w:right="298" w:hanging="385"/>
        <w:spacing w:before="51" w:line="263" w:lineRule="auto"/>
        <w:rPr>
          <w:sz w:val="16"/>
          <w:szCs w:val="16"/>
        </w:rPr>
      </w:pPr>
      <w:r>
        <w:rPr>
          <w:sz w:val="16"/>
          <w:szCs w:val="16"/>
          <w:color w:val="231F20"/>
        </w:rPr>
        <w:t>[9]  钟有芳</w:t>
      </w:r>
      <w:r>
        <w:rPr>
          <w:sz w:val="16"/>
          <w:szCs w:val="16"/>
          <w:color w:val="231F20"/>
          <w:spacing w:val="-27"/>
        </w:rPr>
        <w:t xml:space="preserve"> </w:t>
      </w:r>
      <w:r>
        <w:rPr>
          <w:sz w:val="16"/>
          <w:szCs w:val="16"/>
          <w:color w:val="231F20"/>
        </w:rPr>
        <w:t>,</w:t>
      </w:r>
      <w:r>
        <w:rPr>
          <w:sz w:val="16"/>
          <w:szCs w:val="16"/>
          <w:color w:val="231F20"/>
          <w:spacing w:val="-28"/>
        </w:rPr>
        <w:t xml:space="preserve"> </w:t>
      </w:r>
      <w:r>
        <w:rPr>
          <w:sz w:val="16"/>
          <w:szCs w:val="16"/>
          <w:color w:val="231F20"/>
        </w:rPr>
        <w:t>牛向馨</w:t>
      </w:r>
      <w:r>
        <w:rPr>
          <w:sz w:val="16"/>
          <w:szCs w:val="16"/>
          <w:color w:val="231F20"/>
          <w:spacing w:val="-30"/>
        </w:rPr>
        <w:t xml:space="preserve"> </w:t>
      </w:r>
      <w:r>
        <w:rPr>
          <w:sz w:val="16"/>
          <w:szCs w:val="16"/>
          <w:color w:val="231F20"/>
        </w:rPr>
        <w:t>,</w:t>
      </w:r>
      <w:r>
        <w:rPr>
          <w:sz w:val="16"/>
          <w:szCs w:val="16"/>
          <w:color w:val="231F20"/>
          <w:spacing w:val="-33"/>
        </w:rPr>
        <w:t xml:space="preserve"> </w:t>
      </w:r>
      <w:r>
        <w:rPr>
          <w:sz w:val="16"/>
          <w:szCs w:val="16"/>
          <w:color w:val="231F20"/>
        </w:rPr>
        <w:t>刘穗</w:t>
      </w:r>
      <w:r>
        <w:rPr>
          <w:sz w:val="16"/>
          <w:szCs w:val="16"/>
          <w:color w:val="231F20"/>
          <w:spacing w:val="-30"/>
        </w:rPr>
        <w:t xml:space="preserve"> </w:t>
      </w:r>
      <w:r>
        <w:rPr>
          <w:sz w:val="16"/>
          <w:szCs w:val="16"/>
          <w:color w:val="231F20"/>
        </w:rPr>
        <w:t>,</w:t>
      </w:r>
      <w:r>
        <w:rPr>
          <w:sz w:val="16"/>
          <w:szCs w:val="16"/>
          <w:color w:val="231F20"/>
          <w:spacing w:val="-31"/>
        </w:rPr>
        <w:t xml:space="preserve"> </w:t>
      </w:r>
      <w:r>
        <w:rPr>
          <w:sz w:val="16"/>
          <w:szCs w:val="16"/>
          <w:color w:val="231F20"/>
        </w:rPr>
        <w:t>等</w:t>
      </w:r>
      <w:r>
        <w:rPr>
          <w:sz w:val="16"/>
          <w:szCs w:val="16"/>
          <w:color w:val="231F20"/>
          <w:spacing w:val="-28"/>
        </w:rPr>
        <w:t xml:space="preserve"> </w:t>
      </w:r>
      <w:r>
        <w:rPr>
          <w:sz w:val="16"/>
          <w:szCs w:val="16"/>
          <w:color w:val="231F20"/>
        </w:rPr>
        <w:t>.</w:t>
      </w:r>
      <w:r>
        <w:rPr>
          <w:sz w:val="16"/>
          <w:szCs w:val="16"/>
          <w:color w:val="231F20"/>
          <w:spacing w:val="-32"/>
        </w:rPr>
        <w:t xml:space="preserve"> </w:t>
      </w:r>
      <w:r>
        <w:rPr>
          <w:sz w:val="16"/>
          <w:szCs w:val="16"/>
          <w:color w:val="231F20"/>
        </w:rPr>
        <w:t>龙胆泻肝汤联合抗菌药物治疗急 </w:t>
      </w:r>
      <w:r>
        <w:rPr>
          <w:sz w:val="16"/>
          <w:szCs w:val="16"/>
          <w:color w:val="231F20"/>
          <w:spacing w:val="1"/>
        </w:rPr>
        <w:t>性盆腔炎</w:t>
      </w:r>
      <w:r>
        <w:rPr>
          <w:sz w:val="16"/>
          <w:szCs w:val="16"/>
          <w:color w:val="231F20"/>
          <w:spacing w:val="-44"/>
        </w:rPr>
        <w:t xml:space="preserve"> </w:t>
      </w:r>
      <w:r>
        <w:rPr>
          <w:sz w:val="16"/>
          <w:szCs w:val="16"/>
          <w:color w:val="231F20"/>
          <w:spacing w:val="1"/>
        </w:rPr>
        <w:t>的临床观察 [J].</w:t>
      </w:r>
      <w:r>
        <w:rPr>
          <w:sz w:val="16"/>
          <w:szCs w:val="16"/>
          <w:color w:val="231F20"/>
          <w:spacing w:val="-15"/>
        </w:rPr>
        <w:t xml:space="preserve"> </w:t>
      </w:r>
      <w:r>
        <w:rPr>
          <w:sz w:val="16"/>
          <w:szCs w:val="16"/>
          <w:color w:val="231F20"/>
          <w:spacing w:val="1"/>
        </w:rPr>
        <w:t>中</w:t>
      </w:r>
      <w:r>
        <w:rPr>
          <w:sz w:val="16"/>
          <w:szCs w:val="16"/>
          <w:color w:val="231F20"/>
          <w:spacing w:val="-41"/>
        </w:rPr>
        <w:t xml:space="preserve"> </w:t>
      </w:r>
      <w:r>
        <w:rPr>
          <w:sz w:val="16"/>
          <w:szCs w:val="16"/>
          <w:color w:val="231F20"/>
          <w:spacing w:val="1"/>
        </w:rPr>
        <w:t>国</w:t>
      </w:r>
      <w:r>
        <w:rPr>
          <w:sz w:val="16"/>
          <w:szCs w:val="16"/>
          <w:color w:val="231F20"/>
          <w:spacing w:val="-43"/>
        </w:rPr>
        <w:t xml:space="preserve"> </w:t>
      </w:r>
      <w:r>
        <w:rPr>
          <w:sz w:val="16"/>
          <w:szCs w:val="16"/>
          <w:color w:val="231F20"/>
          <w:spacing w:val="1"/>
        </w:rPr>
        <w:t>中医急症</w:t>
      </w:r>
      <w:r>
        <w:rPr>
          <w:sz w:val="16"/>
          <w:szCs w:val="16"/>
          <w:color w:val="231F20"/>
          <w:spacing w:val="-27"/>
        </w:rPr>
        <w:t xml:space="preserve"> </w:t>
      </w:r>
      <w:r>
        <w:rPr>
          <w:sz w:val="16"/>
          <w:szCs w:val="16"/>
          <w:color w:val="231F20"/>
          <w:spacing w:val="1"/>
        </w:rPr>
        <w:t>,2023</w:t>
      </w:r>
      <w:r>
        <w:rPr>
          <w:sz w:val="16"/>
          <w:szCs w:val="16"/>
          <w:color w:val="231F20"/>
        </w:rPr>
        <w:t>,32(8):1440- </w:t>
      </w:r>
      <w:r>
        <w:rPr>
          <w:sz w:val="16"/>
          <w:szCs w:val="16"/>
          <w:color w:val="231F20"/>
          <w:spacing w:val="-2"/>
        </w:rPr>
        <w:t>1442.</w:t>
      </w:r>
    </w:p>
    <w:p>
      <w:pPr>
        <w:pStyle w:val="BodyText"/>
        <w:ind w:left="925" w:right="299" w:hanging="383"/>
        <w:spacing w:before="31" w:line="246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[10]</w:t>
      </w:r>
      <w:r>
        <w:rPr>
          <w:sz w:val="16"/>
          <w:szCs w:val="16"/>
          <w:color w:val="231F20"/>
          <w:spacing w:val="45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张新娟</w:t>
      </w:r>
      <w:r>
        <w:rPr>
          <w:sz w:val="16"/>
          <w:szCs w:val="16"/>
          <w:color w:val="231F20"/>
          <w:spacing w:val="-31"/>
        </w:rPr>
        <w:t xml:space="preserve"> </w:t>
      </w:r>
      <w:r>
        <w:rPr>
          <w:sz w:val="16"/>
          <w:szCs w:val="16"/>
          <w:color w:val="231F20"/>
          <w:spacing w:val="-1"/>
        </w:rPr>
        <w:t>,</w:t>
      </w:r>
      <w:r>
        <w:rPr>
          <w:sz w:val="16"/>
          <w:szCs w:val="16"/>
          <w:color w:val="231F20"/>
          <w:spacing w:val="-24"/>
        </w:rPr>
        <w:t xml:space="preserve"> </w:t>
      </w:r>
      <w:r>
        <w:rPr>
          <w:sz w:val="16"/>
          <w:szCs w:val="16"/>
          <w:color w:val="231F20"/>
          <w:spacing w:val="-1"/>
        </w:rPr>
        <w:t>陈英</w:t>
      </w:r>
      <w:r>
        <w:rPr>
          <w:sz w:val="16"/>
          <w:szCs w:val="16"/>
          <w:color w:val="231F20"/>
          <w:spacing w:val="-30"/>
        </w:rPr>
        <w:t xml:space="preserve"> </w:t>
      </w:r>
      <w:r>
        <w:rPr>
          <w:sz w:val="16"/>
          <w:szCs w:val="16"/>
          <w:color w:val="231F20"/>
          <w:spacing w:val="-1"/>
        </w:rPr>
        <w:t>,</w:t>
      </w:r>
      <w:r>
        <w:rPr>
          <w:sz w:val="16"/>
          <w:szCs w:val="16"/>
          <w:color w:val="231F20"/>
          <w:spacing w:val="-28"/>
        </w:rPr>
        <w:t xml:space="preserve"> </w:t>
      </w:r>
      <w:r>
        <w:rPr>
          <w:sz w:val="16"/>
          <w:szCs w:val="16"/>
          <w:color w:val="231F20"/>
          <w:spacing w:val="-1"/>
        </w:rPr>
        <w:t>蔡斌</w:t>
      </w:r>
      <w:r>
        <w:rPr>
          <w:sz w:val="16"/>
          <w:szCs w:val="16"/>
          <w:color w:val="231F20"/>
          <w:spacing w:val="-28"/>
        </w:rPr>
        <w:t xml:space="preserve"> </w:t>
      </w:r>
      <w:r>
        <w:rPr>
          <w:sz w:val="16"/>
          <w:szCs w:val="16"/>
          <w:color w:val="231F20"/>
          <w:spacing w:val="-1"/>
        </w:rPr>
        <w:t>.</w:t>
      </w:r>
      <w:r>
        <w:rPr>
          <w:sz w:val="16"/>
          <w:szCs w:val="16"/>
          <w:color w:val="231F20"/>
          <w:spacing w:val="-34"/>
        </w:rPr>
        <w:t xml:space="preserve"> </w:t>
      </w:r>
      <w:r>
        <w:rPr>
          <w:sz w:val="16"/>
          <w:szCs w:val="16"/>
          <w:color w:val="231F20"/>
          <w:spacing w:val="-1"/>
        </w:rPr>
        <w:t>凝血功能指标对急性盆腔炎性疾病病情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2"/>
        </w:rPr>
        <w:t>严重程度的预测价值 [J].</w:t>
      </w:r>
      <w:r>
        <w:rPr>
          <w:sz w:val="16"/>
          <w:szCs w:val="16"/>
          <w:color w:val="231F20"/>
          <w:spacing w:val="-13"/>
        </w:rPr>
        <w:t xml:space="preserve"> </w:t>
      </w:r>
      <w:r>
        <w:rPr>
          <w:sz w:val="16"/>
          <w:szCs w:val="16"/>
          <w:color w:val="231F20"/>
          <w:spacing w:val="-2"/>
        </w:rPr>
        <w:t>山东医药</w:t>
      </w:r>
      <w:r>
        <w:rPr>
          <w:sz w:val="16"/>
          <w:szCs w:val="16"/>
          <w:color w:val="231F20"/>
          <w:spacing w:val="-31"/>
        </w:rPr>
        <w:t xml:space="preserve"> </w:t>
      </w:r>
      <w:r>
        <w:rPr>
          <w:sz w:val="16"/>
          <w:szCs w:val="16"/>
          <w:color w:val="231F20"/>
          <w:spacing w:val="-2"/>
        </w:rPr>
        <w:t>,2023,63(28):83-86.</w:t>
      </w:r>
    </w:p>
    <w:p>
      <w:pPr>
        <w:pStyle w:val="BodyText"/>
        <w:ind w:left="925" w:right="298" w:hanging="383"/>
        <w:spacing w:before="49" w:line="256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[11]</w:t>
      </w:r>
      <w:r>
        <w:rPr>
          <w:sz w:val="16"/>
          <w:szCs w:val="16"/>
          <w:color w:val="231F20"/>
          <w:spacing w:val="52"/>
        </w:rPr>
        <w:t xml:space="preserve"> </w:t>
      </w:r>
      <w:r>
        <w:rPr>
          <w:sz w:val="16"/>
          <w:szCs w:val="16"/>
          <w:color w:val="231F20"/>
          <w:spacing w:val="-1"/>
        </w:rPr>
        <w:t>吴盼盼</w:t>
      </w:r>
      <w:r>
        <w:rPr>
          <w:sz w:val="16"/>
          <w:szCs w:val="16"/>
          <w:color w:val="231F20"/>
          <w:spacing w:val="-31"/>
        </w:rPr>
        <w:t xml:space="preserve"> </w:t>
      </w:r>
      <w:r>
        <w:rPr>
          <w:sz w:val="16"/>
          <w:szCs w:val="16"/>
          <w:color w:val="231F20"/>
          <w:spacing w:val="-1"/>
        </w:rPr>
        <w:t>,</w:t>
      </w:r>
      <w:r>
        <w:rPr>
          <w:sz w:val="16"/>
          <w:szCs w:val="16"/>
          <w:color w:val="231F20"/>
          <w:spacing w:val="-33"/>
        </w:rPr>
        <w:t xml:space="preserve"> </w:t>
      </w:r>
      <w:r>
        <w:rPr>
          <w:sz w:val="16"/>
          <w:szCs w:val="16"/>
          <w:color w:val="231F20"/>
          <w:spacing w:val="-1"/>
        </w:rPr>
        <w:t>黄赣英</w:t>
      </w:r>
      <w:r>
        <w:rPr>
          <w:sz w:val="16"/>
          <w:szCs w:val="16"/>
          <w:color w:val="231F20"/>
          <w:spacing w:val="-30"/>
        </w:rPr>
        <w:t xml:space="preserve"> </w:t>
      </w:r>
      <w:r>
        <w:rPr>
          <w:sz w:val="16"/>
          <w:szCs w:val="16"/>
          <w:color w:val="231F20"/>
          <w:spacing w:val="-1"/>
        </w:rPr>
        <w:t>,</w:t>
      </w:r>
      <w:r>
        <w:rPr>
          <w:sz w:val="16"/>
          <w:szCs w:val="16"/>
          <w:color w:val="231F20"/>
          <w:spacing w:val="-32"/>
        </w:rPr>
        <w:t xml:space="preserve"> </w:t>
      </w:r>
      <w:r>
        <w:rPr>
          <w:sz w:val="16"/>
          <w:szCs w:val="16"/>
          <w:color w:val="231F20"/>
          <w:spacing w:val="-1"/>
        </w:rPr>
        <w:t>沈小玲</w:t>
      </w:r>
      <w:r>
        <w:rPr>
          <w:sz w:val="16"/>
          <w:szCs w:val="16"/>
          <w:color w:val="231F20"/>
          <w:spacing w:val="-29"/>
        </w:rPr>
        <w:t xml:space="preserve"> </w:t>
      </w:r>
      <w:r>
        <w:rPr>
          <w:sz w:val="16"/>
          <w:szCs w:val="16"/>
          <w:color w:val="231F20"/>
          <w:spacing w:val="-1"/>
        </w:rPr>
        <w:t>.</w:t>
      </w:r>
      <w:r>
        <w:rPr>
          <w:sz w:val="16"/>
          <w:szCs w:val="16"/>
          <w:color w:val="231F20"/>
          <w:spacing w:val="-26"/>
        </w:rPr>
        <w:t xml:space="preserve"> </w:t>
      </w:r>
      <w:r>
        <w:rPr>
          <w:sz w:val="16"/>
          <w:szCs w:val="16"/>
          <w:color w:val="231F20"/>
          <w:spacing w:val="-1"/>
        </w:rPr>
        <w:t>阿奇霉素单药或联合甲硝唑治疗急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2"/>
        </w:rPr>
        <w:t>性盆腔炎对患者症状缓解情况和生活质量的影响 [J]. 中国妇幼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"/>
        </w:rPr>
        <w:t>保健</w:t>
      </w:r>
      <w:r>
        <w:rPr>
          <w:sz w:val="16"/>
          <w:szCs w:val="16"/>
          <w:color w:val="231F20"/>
          <w:spacing w:val="-14"/>
        </w:rPr>
        <w:t xml:space="preserve"> </w:t>
      </w:r>
      <w:r>
        <w:rPr>
          <w:sz w:val="16"/>
          <w:szCs w:val="16"/>
          <w:color w:val="231F20"/>
          <w:spacing w:val="-1"/>
        </w:rPr>
        <w:t>,2023,38(7):1199-1202.</w:t>
      </w:r>
    </w:p>
    <w:p>
      <w:pPr>
        <w:pStyle w:val="BodyText"/>
        <w:ind w:left="542"/>
        <w:spacing w:before="51" w:line="185" w:lineRule="auto"/>
        <w:rPr>
          <w:sz w:val="16"/>
          <w:szCs w:val="16"/>
        </w:rPr>
      </w:pPr>
      <w:r>
        <w:pict>
          <v:shape id="_x0000_s22" style="position:absolute;margin-left:24.5716pt;margin-top:5.83158pt;mso-position-vertical-relative:text;mso-position-horizontal-relative:text;width:126.75pt;height:14.1pt;z-index:251660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/>
                    <w:tabs>
                      <w:tab w:val="left" w:pos="2513"/>
                    </w:tabs>
                    <w:rPr>
                      <w:rFonts w:ascii="Arial"/>
                      <w:sz w:val="21"/>
                    </w:rPr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  <w:u w:val="single" w:color="231F20"/>
                    </w:rPr>
                    <w:tab/>
                  </w:r>
                </w:p>
              </w:txbxContent>
            </v:textbox>
          </v:shape>
        </w:pict>
      </w:r>
      <w:r>
        <w:rPr>
          <w:sz w:val="16"/>
          <w:szCs w:val="16"/>
          <w:color w:val="231F20"/>
        </w:rPr>
        <w:t>[12]</w:t>
      </w:r>
      <w:r>
        <w:rPr>
          <w:sz w:val="16"/>
          <w:szCs w:val="16"/>
          <w:color w:val="231F20"/>
          <w:spacing w:val="54"/>
        </w:rPr>
        <w:t xml:space="preserve"> </w:t>
      </w:r>
      <w:r>
        <w:rPr>
          <w:sz w:val="16"/>
          <w:szCs w:val="16"/>
          <w:color w:val="231F20"/>
        </w:rPr>
        <w:t>陈春景</w:t>
      </w:r>
      <w:r>
        <w:rPr>
          <w:sz w:val="16"/>
          <w:szCs w:val="16"/>
          <w:color w:val="231F20"/>
          <w:spacing w:val="-29"/>
        </w:rPr>
        <w:t xml:space="preserve"> </w:t>
      </w:r>
      <w:r>
        <w:rPr>
          <w:sz w:val="16"/>
          <w:szCs w:val="16"/>
          <w:color w:val="231F20"/>
        </w:rPr>
        <w:t>.</w:t>
      </w:r>
      <w:r>
        <w:rPr>
          <w:sz w:val="16"/>
          <w:szCs w:val="16"/>
          <w:color w:val="231F20"/>
          <w:spacing w:val="-26"/>
        </w:rPr>
        <w:t xml:space="preserve"> </w:t>
      </w:r>
      <w:r>
        <w:rPr>
          <w:sz w:val="16"/>
          <w:szCs w:val="16"/>
          <w:color w:val="231F20"/>
        </w:rPr>
        <w:t>阿莫西林联合妇科千金片对急性盆腔炎患者血清炎性</w:t>
      </w:r>
    </w:p>
    <w:p>
      <w:pPr>
        <w:pStyle w:val="BodyText"/>
        <w:ind w:left="517"/>
        <w:spacing w:before="157" w:line="202" w:lineRule="auto"/>
        <w:rPr>
          <w:rFonts w:ascii="KaiTi" w:hAnsi="KaiTi" w:eastAsia="KaiTi" w:cs="KaiTi"/>
        </w:rPr>
      </w:pPr>
      <w:r>
        <w:rPr>
          <w:color w:val="231F20"/>
          <w:spacing w:val="-8"/>
        </w:rPr>
        <w:t>* </w:t>
      </w:r>
      <w:r>
        <w:rPr>
          <w:rFonts w:ascii="KaiTi" w:hAnsi="KaiTi" w:eastAsia="KaiTi" w:cs="KaiTi"/>
          <w:color w:val="231F20"/>
          <w:spacing w:val="-8"/>
        </w:rPr>
        <w:t>福建省妇幼保健院</w:t>
      </w:r>
      <w:r>
        <w:rPr>
          <w:rFonts w:ascii="KaiTi" w:hAnsi="KaiTi" w:eastAsia="KaiTi" w:cs="KaiTi"/>
          <w:color w:val="231F20"/>
          <w:spacing w:val="-8"/>
        </w:rPr>
        <w:t xml:space="preserve"> </w:t>
      </w:r>
      <w:r>
        <w:rPr>
          <w:rFonts w:ascii="KaiTi" w:hAnsi="KaiTi" w:eastAsia="KaiTi" w:cs="KaiTi"/>
          <w:color w:val="231F20"/>
          <w:spacing w:val="-8"/>
        </w:rPr>
        <w:t>·福建福州</w:t>
      </w:r>
      <w:r>
        <w:rPr>
          <w:rFonts w:ascii="KaiTi" w:hAnsi="KaiTi" w:eastAsia="KaiTi" w:cs="KaiTi"/>
          <w:color w:val="231F20"/>
          <w:spacing w:val="-8"/>
        </w:rPr>
        <w:t xml:space="preserve">  </w:t>
      </w:r>
      <w:r>
        <w:rPr>
          <w:rFonts w:ascii="KaiTi" w:hAnsi="KaiTi" w:eastAsia="KaiTi" w:cs="KaiTi"/>
          <w:color w:val="231F20"/>
          <w:spacing w:val="-8"/>
        </w:rPr>
        <w:t>350004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95"/>
        <w:spacing w:before="31" w:line="217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2"/>
        </w:rPr>
        <w:t>因子的影响 [J].</w:t>
      </w:r>
      <w:r>
        <w:rPr>
          <w:sz w:val="16"/>
          <w:szCs w:val="16"/>
          <w:color w:val="231F20"/>
          <w:spacing w:val="-18"/>
        </w:rPr>
        <w:t xml:space="preserve"> </w:t>
      </w:r>
      <w:r>
        <w:rPr>
          <w:sz w:val="16"/>
          <w:szCs w:val="16"/>
          <w:color w:val="231F20"/>
          <w:spacing w:val="-2"/>
        </w:rPr>
        <w:t>中国基层医药</w:t>
      </w:r>
      <w:r>
        <w:rPr>
          <w:sz w:val="16"/>
          <w:szCs w:val="16"/>
          <w:color w:val="231F20"/>
          <w:spacing w:val="-32"/>
        </w:rPr>
        <w:t xml:space="preserve"> </w:t>
      </w:r>
      <w:r>
        <w:rPr>
          <w:sz w:val="16"/>
          <w:szCs w:val="16"/>
          <w:color w:val="231F20"/>
          <w:spacing w:val="-2"/>
        </w:rPr>
        <w:t>,2022,29(6):</w:t>
      </w:r>
      <w:r>
        <w:rPr>
          <w:sz w:val="16"/>
          <w:szCs w:val="16"/>
          <w:color w:val="231F20"/>
          <w:spacing w:val="-3"/>
        </w:rPr>
        <w:t>830-834.</w:t>
      </w:r>
    </w:p>
    <w:p>
      <w:pPr>
        <w:pStyle w:val="BodyText"/>
        <w:ind w:left="382" w:right="49" w:hanging="383"/>
        <w:spacing w:before="49" w:line="256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[13]</w:t>
      </w:r>
      <w:r>
        <w:rPr>
          <w:sz w:val="16"/>
          <w:szCs w:val="16"/>
          <w:color w:val="231F20"/>
          <w:spacing w:val="43"/>
        </w:rPr>
        <w:t xml:space="preserve"> </w:t>
      </w:r>
      <w:r>
        <w:rPr>
          <w:sz w:val="16"/>
          <w:szCs w:val="16"/>
          <w:color w:val="231F20"/>
          <w:spacing w:val="-1"/>
        </w:rPr>
        <w:t>罗惠</w:t>
      </w:r>
      <w:r>
        <w:rPr>
          <w:sz w:val="16"/>
          <w:szCs w:val="16"/>
          <w:color w:val="231F20"/>
          <w:spacing w:val="-30"/>
        </w:rPr>
        <w:t xml:space="preserve"> </w:t>
      </w:r>
      <w:r>
        <w:rPr>
          <w:sz w:val="16"/>
          <w:szCs w:val="16"/>
          <w:color w:val="231F20"/>
          <w:spacing w:val="-1"/>
        </w:rPr>
        <w:t>,</w:t>
      </w:r>
      <w:r>
        <w:rPr>
          <w:sz w:val="16"/>
          <w:szCs w:val="16"/>
          <w:color w:val="231F20"/>
          <w:spacing w:val="-23"/>
        </w:rPr>
        <w:t xml:space="preserve"> </w:t>
      </w:r>
      <w:r>
        <w:rPr>
          <w:sz w:val="16"/>
          <w:szCs w:val="16"/>
          <w:color w:val="231F20"/>
          <w:spacing w:val="-1"/>
        </w:rPr>
        <w:t>叶国柳</w:t>
      </w:r>
      <w:r>
        <w:rPr>
          <w:sz w:val="16"/>
          <w:szCs w:val="16"/>
          <w:color w:val="231F20"/>
          <w:spacing w:val="-30"/>
        </w:rPr>
        <w:t xml:space="preserve"> </w:t>
      </w:r>
      <w:r>
        <w:rPr>
          <w:sz w:val="16"/>
          <w:szCs w:val="16"/>
          <w:color w:val="231F20"/>
          <w:spacing w:val="-1"/>
        </w:rPr>
        <w:t>,</w:t>
      </w:r>
      <w:r>
        <w:rPr>
          <w:sz w:val="16"/>
          <w:szCs w:val="16"/>
          <w:color w:val="231F20"/>
          <w:spacing w:val="-33"/>
        </w:rPr>
        <w:t xml:space="preserve"> </w:t>
      </w:r>
      <w:r>
        <w:rPr>
          <w:sz w:val="16"/>
          <w:szCs w:val="16"/>
          <w:color w:val="231F20"/>
          <w:spacing w:val="-1"/>
        </w:rPr>
        <w:t>晋茂生</w:t>
      </w:r>
      <w:r>
        <w:rPr>
          <w:sz w:val="16"/>
          <w:szCs w:val="16"/>
          <w:color w:val="231F20"/>
          <w:spacing w:val="-28"/>
        </w:rPr>
        <w:t xml:space="preserve"> </w:t>
      </w:r>
      <w:r>
        <w:rPr>
          <w:sz w:val="16"/>
          <w:szCs w:val="16"/>
          <w:color w:val="231F20"/>
          <w:spacing w:val="-1"/>
        </w:rPr>
        <w:t>.</w:t>
      </w:r>
      <w:r>
        <w:rPr>
          <w:sz w:val="16"/>
          <w:szCs w:val="16"/>
          <w:color w:val="231F20"/>
          <w:spacing w:val="-28"/>
        </w:rPr>
        <w:t xml:space="preserve"> </w:t>
      </w:r>
      <w:r>
        <w:rPr>
          <w:sz w:val="16"/>
          <w:szCs w:val="16"/>
          <w:color w:val="231F20"/>
          <w:spacing w:val="-1"/>
        </w:rPr>
        <w:t>急性盆腔炎性疾病患者的致病微生物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4"/>
        </w:rPr>
        <w:t>研究及药物治疗分析 [J].</w:t>
      </w:r>
      <w:r>
        <w:rPr>
          <w:sz w:val="16"/>
          <w:szCs w:val="16"/>
          <w:color w:val="231F20"/>
          <w:spacing w:val="-15"/>
        </w:rPr>
        <w:t xml:space="preserve"> </w:t>
      </w:r>
      <w:r>
        <w:rPr>
          <w:sz w:val="16"/>
          <w:szCs w:val="16"/>
          <w:color w:val="231F20"/>
          <w:spacing w:val="4"/>
        </w:rPr>
        <w:t>中华全科医学</w:t>
      </w:r>
      <w:r>
        <w:rPr>
          <w:sz w:val="16"/>
          <w:szCs w:val="16"/>
          <w:color w:val="231F20"/>
          <w:spacing w:val="-27"/>
        </w:rPr>
        <w:t xml:space="preserve"> </w:t>
      </w:r>
      <w:r>
        <w:rPr>
          <w:sz w:val="16"/>
          <w:szCs w:val="16"/>
          <w:color w:val="231F20"/>
          <w:spacing w:val="4"/>
        </w:rPr>
        <w:t>,2023,21</w:t>
      </w:r>
      <w:r>
        <w:rPr>
          <w:sz w:val="16"/>
          <w:szCs w:val="16"/>
          <w:color w:val="231F20"/>
          <w:spacing w:val="3"/>
        </w:rPr>
        <w:t>(8):1308-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1311,1432.</w:t>
      </w:r>
    </w:p>
    <w:p>
      <w:pPr>
        <w:pStyle w:val="BodyText"/>
        <w:ind w:left="382" w:right="48" w:hanging="383"/>
        <w:spacing w:before="50" w:line="256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2"/>
        </w:rPr>
        <w:t>[14]</w:t>
      </w:r>
      <w:r>
        <w:rPr>
          <w:sz w:val="16"/>
          <w:szCs w:val="16"/>
          <w:color w:val="231F20"/>
          <w:spacing w:val="38"/>
        </w:rPr>
        <w:t xml:space="preserve"> </w:t>
      </w:r>
      <w:r>
        <w:rPr>
          <w:sz w:val="16"/>
          <w:szCs w:val="16"/>
          <w:color w:val="231F20"/>
          <w:spacing w:val="-2"/>
        </w:rPr>
        <w:t>王艳妮</w:t>
      </w:r>
      <w:r>
        <w:rPr>
          <w:sz w:val="16"/>
          <w:szCs w:val="16"/>
          <w:color w:val="231F20"/>
          <w:spacing w:val="-31"/>
        </w:rPr>
        <w:t xml:space="preserve"> </w:t>
      </w:r>
      <w:r>
        <w:rPr>
          <w:sz w:val="16"/>
          <w:szCs w:val="16"/>
          <w:color w:val="231F20"/>
          <w:spacing w:val="-2"/>
        </w:rPr>
        <w:t>,</w:t>
      </w:r>
      <w:r>
        <w:rPr>
          <w:sz w:val="16"/>
          <w:szCs w:val="16"/>
          <w:color w:val="231F20"/>
          <w:spacing w:val="-30"/>
        </w:rPr>
        <w:t xml:space="preserve"> </w:t>
      </w:r>
      <w:r>
        <w:rPr>
          <w:sz w:val="16"/>
          <w:szCs w:val="16"/>
          <w:color w:val="231F20"/>
          <w:spacing w:val="-2"/>
        </w:rPr>
        <w:t>桑琳</w:t>
      </w:r>
      <w:r>
        <w:rPr>
          <w:sz w:val="16"/>
          <w:szCs w:val="16"/>
          <w:color w:val="231F20"/>
          <w:spacing w:val="-30"/>
        </w:rPr>
        <w:t xml:space="preserve"> </w:t>
      </w:r>
      <w:r>
        <w:rPr>
          <w:sz w:val="16"/>
          <w:szCs w:val="16"/>
          <w:color w:val="231F20"/>
          <w:spacing w:val="-2"/>
        </w:rPr>
        <w:t>, 吕发辉</w:t>
      </w:r>
      <w:r>
        <w:rPr>
          <w:sz w:val="16"/>
          <w:szCs w:val="16"/>
          <w:color w:val="231F20"/>
          <w:spacing w:val="-30"/>
        </w:rPr>
        <w:t xml:space="preserve"> </w:t>
      </w:r>
      <w:r>
        <w:rPr>
          <w:sz w:val="16"/>
          <w:szCs w:val="16"/>
          <w:color w:val="231F20"/>
          <w:spacing w:val="-2"/>
        </w:rPr>
        <w:t>,</w:t>
      </w:r>
      <w:r>
        <w:rPr>
          <w:sz w:val="16"/>
          <w:szCs w:val="16"/>
          <w:color w:val="231F20"/>
          <w:spacing w:val="-32"/>
        </w:rPr>
        <w:t xml:space="preserve"> </w:t>
      </w:r>
      <w:r>
        <w:rPr>
          <w:sz w:val="16"/>
          <w:szCs w:val="16"/>
          <w:color w:val="231F20"/>
          <w:spacing w:val="-2"/>
        </w:rPr>
        <w:t>等</w:t>
      </w:r>
      <w:r>
        <w:rPr>
          <w:sz w:val="16"/>
          <w:szCs w:val="16"/>
          <w:color w:val="231F20"/>
          <w:spacing w:val="-28"/>
        </w:rPr>
        <w:t xml:space="preserve"> </w:t>
      </w:r>
      <w:r>
        <w:rPr>
          <w:sz w:val="16"/>
          <w:szCs w:val="16"/>
          <w:color w:val="231F20"/>
          <w:spacing w:val="-2"/>
        </w:rPr>
        <w:t>.</w:t>
      </w:r>
      <w:r>
        <w:rPr>
          <w:sz w:val="16"/>
          <w:szCs w:val="16"/>
          <w:color w:val="231F20"/>
          <w:spacing w:val="-32"/>
        </w:rPr>
        <w:t xml:space="preserve"> </w:t>
      </w:r>
      <w:r>
        <w:rPr>
          <w:sz w:val="16"/>
          <w:szCs w:val="16"/>
          <w:color w:val="231F20"/>
          <w:spacing w:val="-2"/>
        </w:rPr>
        <w:t>妇炎消胶囊联合头孢地尼胶囊对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"/>
        </w:rPr>
        <w:t>慢性盆腔炎患者血液流变学和血清炎性因子的影响 [J].</w:t>
      </w:r>
      <w:r>
        <w:rPr>
          <w:sz w:val="16"/>
          <w:szCs w:val="16"/>
          <w:color w:val="231F20"/>
          <w:spacing w:val="-31"/>
        </w:rPr>
        <w:t xml:space="preserve"> </w:t>
      </w:r>
      <w:r>
        <w:rPr>
          <w:sz w:val="16"/>
          <w:szCs w:val="16"/>
          <w:color w:val="231F20"/>
          <w:spacing w:val="-1"/>
        </w:rPr>
        <w:t>现代生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物医学进展</w:t>
      </w:r>
      <w:r>
        <w:rPr>
          <w:sz w:val="16"/>
          <w:szCs w:val="16"/>
          <w:color w:val="231F20"/>
          <w:spacing w:val="-31"/>
        </w:rPr>
        <w:t xml:space="preserve"> </w:t>
      </w:r>
      <w:r>
        <w:rPr>
          <w:sz w:val="16"/>
          <w:szCs w:val="16"/>
          <w:color w:val="231F20"/>
        </w:rPr>
        <w:t>,2024,24(7):1349</w:t>
      </w:r>
      <w:r>
        <w:rPr>
          <w:sz w:val="16"/>
          <w:szCs w:val="16"/>
          <w:color w:val="231F20"/>
          <w:spacing w:val="-1"/>
        </w:rPr>
        <w:t>-1352.</w:t>
      </w:r>
    </w:p>
    <w:p>
      <w:pPr>
        <w:pStyle w:val="BodyText"/>
        <w:ind w:left="382" w:right="50" w:hanging="383"/>
        <w:spacing w:before="50" w:line="246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2"/>
        </w:rPr>
        <w:t>[15]</w:t>
      </w:r>
      <w:r>
        <w:rPr>
          <w:sz w:val="16"/>
          <w:szCs w:val="16"/>
          <w:color w:val="231F20"/>
          <w:spacing w:val="46"/>
        </w:rPr>
        <w:t xml:space="preserve"> </w:t>
      </w:r>
      <w:r>
        <w:rPr>
          <w:sz w:val="16"/>
          <w:szCs w:val="16"/>
          <w:color w:val="231F20"/>
          <w:spacing w:val="-2"/>
        </w:rPr>
        <w:t>张燕萍</w:t>
      </w:r>
      <w:r>
        <w:rPr>
          <w:sz w:val="16"/>
          <w:szCs w:val="16"/>
          <w:color w:val="231F20"/>
          <w:spacing w:val="-29"/>
        </w:rPr>
        <w:t xml:space="preserve"> </w:t>
      </w:r>
      <w:r>
        <w:rPr>
          <w:sz w:val="16"/>
          <w:szCs w:val="16"/>
          <w:color w:val="231F20"/>
          <w:spacing w:val="-2"/>
        </w:rPr>
        <w:t>.</w:t>
      </w:r>
      <w:r>
        <w:rPr>
          <w:sz w:val="16"/>
          <w:szCs w:val="16"/>
          <w:color w:val="231F20"/>
          <w:spacing w:val="-30"/>
        </w:rPr>
        <w:t xml:space="preserve"> </w:t>
      </w:r>
      <w:r>
        <w:rPr>
          <w:sz w:val="16"/>
          <w:szCs w:val="16"/>
          <w:color w:val="231F20"/>
          <w:spacing w:val="-2"/>
        </w:rPr>
        <w:t>红藤汤联合妇炎消胶囊治疗慢性盆腔炎临床研究 [J].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"/>
        </w:rPr>
        <w:t>新中医</w:t>
      </w:r>
      <w:r>
        <w:rPr>
          <w:sz w:val="16"/>
          <w:szCs w:val="16"/>
          <w:color w:val="231F20"/>
          <w:spacing w:val="-15"/>
        </w:rPr>
        <w:t xml:space="preserve"> </w:t>
      </w:r>
      <w:r>
        <w:rPr>
          <w:sz w:val="16"/>
          <w:szCs w:val="16"/>
          <w:color w:val="231F20"/>
          <w:spacing w:val="-1"/>
        </w:rPr>
        <w:t>,2019,51(4):192-195.</w:t>
      </w:r>
    </w:p>
    <w:p>
      <w:pPr>
        <w:pStyle w:val="BodyText"/>
        <w:ind w:left="382" w:right="49" w:hanging="383"/>
        <w:spacing w:before="50" w:line="256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9"/>
        </w:rPr>
        <w:t>[16]</w:t>
      </w:r>
      <w:r>
        <w:rPr>
          <w:sz w:val="16"/>
          <w:szCs w:val="16"/>
          <w:color w:val="231F20"/>
          <w:spacing w:val="61"/>
        </w:rPr>
        <w:t xml:space="preserve"> </w:t>
      </w:r>
      <w:r>
        <w:rPr>
          <w:sz w:val="16"/>
          <w:szCs w:val="16"/>
          <w:color w:val="231F20"/>
          <w:spacing w:val="9"/>
        </w:rPr>
        <w:t>童蓉</w:t>
      </w:r>
      <w:r>
        <w:rPr>
          <w:sz w:val="16"/>
          <w:szCs w:val="16"/>
          <w:color w:val="231F20"/>
          <w:spacing w:val="-26"/>
        </w:rPr>
        <w:t xml:space="preserve"> </w:t>
      </w:r>
      <w:r>
        <w:rPr>
          <w:sz w:val="16"/>
          <w:szCs w:val="16"/>
          <w:color w:val="231F20"/>
          <w:spacing w:val="9"/>
        </w:rPr>
        <w:t>,</w:t>
      </w:r>
      <w:r>
        <w:rPr>
          <w:sz w:val="16"/>
          <w:szCs w:val="16"/>
          <w:color w:val="231F20"/>
          <w:spacing w:val="-30"/>
        </w:rPr>
        <w:t xml:space="preserve"> </w:t>
      </w:r>
      <w:r>
        <w:rPr>
          <w:sz w:val="16"/>
          <w:szCs w:val="16"/>
          <w:color w:val="231F20"/>
          <w:spacing w:val="9"/>
        </w:rPr>
        <w:t>刘玉嵌</w:t>
      </w:r>
      <w:r>
        <w:rPr>
          <w:sz w:val="16"/>
          <w:szCs w:val="16"/>
          <w:color w:val="231F20"/>
          <w:spacing w:val="-26"/>
        </w:rPr>
        <w:t xml:space="preserve"> </w:t>
      </w:r>
      <w:r>
        <w:rPr>
          <w:sz w:val="16"/>
          <w:szCs w:val="16"/>
          <w:color w:val="231F20"/>
          <w:spacing w:val="9"/>
        </w:rPr>
        <w:t>,</w:t>
      </w:r>
      <w:r>
        <w:rPr>
          <w:sz w:val="16"/>
          <w:szCs w:val="16"/>
          <w:color w:val="231F20"/>
          <w:spacing w:val="-27"/>
        </w:rPr>
        <w:t xml:space="preserve"> </w:t>
      </w:r>
      <w:r>
        <w:rPr>
          <w:sz w:val="16"/>
          <w:szCs w:val="16"/>
          <w:color w:val="231F20"/>
          <w:spacing w:val="9"/>
        </w:rPr>
        <w:t>邢艳霞</w:t>
      </w:r>
      <w:r>
        <w:rPr>
          <w:sz w:val="16"/>
          <w:szCs w:val="16"/>
          <w:color w:val="231F20"/>
          <w:spacing w:val="-24"/>
        </w:rPr>
        <w:t xml:space="preserve"> </w:t>
      </w:r>
      <w:r>
        <w:rPr>
          <w:sz w:val="16"/>
          <w:szCs w:val="16"/>
          <w:color w:val="231F20"/>
          <w:spacing w:val="9"/>
        </w:rPr>
        <w:t>.</w:t>
      </w:r>
      <w:r>
        <w:rPr>
          <w:sz w:val="16"/>
          <w:szCs w:val="16"/>
          <w:color w:val="231F20"/>
          <w:spacing w:val="-29"/>
        </w:rPr>
        <w:t xml:space="preserve"> </w:t>
      </w:r>
      <w:r>
        <w:rPr>
          <w:sz w:val="16"/>
          <w:szCs w:val="16"/>
          <w:color w:val="231F20"/>
          <w:spacing w:val="9"/>
        </w:rPr>
        <w:t>妇炎消胶囊联合西药治疗急性盆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16"/>
        </w:rPr>
        <w:t>腔炎临床疗效及对患者血液流变学的影响 [J].</w:t>
      </w:r>
      <w:r>
        <w:rPr>
          <w:sz w:val="16"/>
          <w:szCs w:val="16"/>
          <w:color w:val="231F20"/>
          <w:spacing w:val="-15"/>
        </w:rPr>
        <w:t xml:space="preserve"> </w:t>
      </w:r>
      <w:r>
        <w:rPr>
          <w:sz w:val="16"/>
          <w:szCs w:val="16"/>
          <w:color w:val="231F20"/>
          <w:spacing w:val="16"/>
        </w:rPr>
        <w:t>世界中医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"/>
        </w:rPr>
        <w:t>药</w:t>
      </w:r>
      <w:r>
        <w:rPr>
          <w:sz w:val="16"/>
          <w:szCs w:val="16"/>
          <w:color w:val="231F20"/>
          <w:spacing w:val="-13"/>
        </w:rPr>
        <w:t xml:space="preserve"> </w:t>
      </w:r>
      <w:r>
        <w:rPr>
          <w:sz w:val="16"/>
          <w:szCs w:val="16"/>
          <w:color w:val="231F20"/>
          <w:spacing w:val="-1"/>
        </w:rPr>
        <w:t>,2017,12(11):2619-2622.</w:t>
      </w:r>
    </w:p>
    <w:p>
      <w:pPr>
        <w:pStyle w:val="BodyText"/>
        <w:ind w:left="380" w:right="49" w:hanging="381"/>
        <w:spacing w:before="49" w:line="256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8"/>
        </w:rPr>
        <w:t>[17]</w:t>
      </w:r>
      <w:r>
        <w:rPr>
          <w:sz w:val="16"/>
          <w:szCs w:val="16"/>
          <w:color w:val="231F20"/>
          <w:spacing w:val="62"/>
        </w:rPr>
        <w:t xml:space="preserve"> </w:t>
      </w:r>
      <w:r>
        <w:rPr>
          <w:sz w:val="16"/>
          <w:szCs w:val="16"/>
          <w:color w:val="231F20"/>
          <w:spacing w:val="8"/>
        </w:rPr>
        <w:t>张璐</w:t>
      </w:r>
      <w:r>
        <w:rPr>
          <w:sz w:val="16"/>
          <w:szCs w:val="16"/>
          <w:color w:val="231F20"/>
          <w:spacing w:val="-26"/>
        </w:rPr>
        <w:t xml:space="preserve"> </w:t>
      </w:r>
      <w:r>
        <w:rPr>
          <w:sz w:val="16"/>
          <w:szCs w:val="16"/>
          <w:color w:val="231F20"/>
          <w:spacing w:val="8"/>
        </w:rPr>
        <w:t>,</w:t>
      </w:r>
      <w:r>
        <w:rPr>
          <w:sz w:val="16"/>
          <w:szCs w:val="16"/>
          <w:color w:val="231F20"/>
          <w:spacing w:val="-27"/>
        </w:rPr>
        <w:t xml:space="preserve"> </w:t>
      </w:r>
      <w:r>
        <w:rPr>
          <w:sz w:val="16"/>
          <w:szCs w:val="16"/>
          <w:color w:val="231F20"/>
          <w:spacing w:val="8"/>
        </w:rPr>
        <w:t>符圆圆</w:t>
      </w:r>
      <w:r>
        <w:rPr>
          <w:sz w:val="16"/>
          <w:szCs w:val="16"/>
          <w:color w:val="231F20"/>
          <w:spacing w:val="-26"/>
        </w:rPr>
        <w:t xml:space="preserve"> </w:t>
      </w:r>
      <w:r>
        <w:rPr>
          <w:sz w:val="16"/>
          <w:szCs w:val="16"/>
          <w:color w:val="231F20"/>
          <w:spacing w:val="8"/>
        </w:rPr>
        <w:t>,</w:t>
      </w:r>
      <w:r>
        <w:rPr>
          <w:sz w:val="16"/>
          <w:szCs w:val="16"/>
          <w:color w:val="231F20"/>
          <w:spacing w:val="-29"/>
        </w:rPr>
        <w:t xml:space="preserve"> </w:t>
      </w:r>
      <w:r>
        <w:rPr>
          <w:sz w:val="16"/>
          <w:szCs w:val="16"/>
          <w:color w:val="231F20"/>
          <w:spacing w:val="8"/>
        </w:rPr>
        <w:t>刘文之</w:t>
      </w:r>
      <w:r>
        <w:rPr>
          <w:sz w:val="16"/>
          <w:szCs w:val="16"/>
          <w:color w:val="231F20"/>
          <w:spacing w:val="-26"/>
        </w:rPr>
        <w:t xml:space="preserve"> </w:t>
      </w:r>
      <w:r>
        <w:rPr>
          <w:sz w:val="16"/>
          <w:szCs w:val="16"/>
          <w:color w:val="231F20"/>
          <w:spacing w:val="8"/>
        </w:rPr>
        <w:t>,</w:t>
      </w:r>
      <w:r>
        <w:rPr>
          <w:sz w:val="16"/>
          <w:szCs w:val="16"/>
          <w:color w:val="231F20"/>
          <w:spacing w:val="-27"/>
        </w:rPr>
        <w:t xml:space="preserve"> </w:t>
      </w:r>
      <w:r>
        <w:rPr>
          <w:sz w:val="16"/>
          <w:szCs w:val="16"/>
          <w:color w:val="231F20"/>
          <w:spacing w:val="8"/>
        </w:rPr>
        <w:t>等</w:t>
      </w:r>
      <w:r>
        <w:rPr>
          <w:sz w:val="16"/>
          <w:szCs w:val="16"/>
          <w:color w:val="231F20"/>
          <w:spacing w:val="-24"/>
        </w:rPr>
        <w:t xml:space="preserve"> </w:t>
      </w:r>
      <w:r>
        <w:rPr>
          <w:sz w:val="16"/>
          <w:szCs w:val="16"/>
          <w:color w:val="231F20"/>
          <w:spacing w:val="8"/>
        </w:rPr>
        <w:t>.</w:t>
      </w:r>
      <w:r>
        <w:rPr>
          <w:sz w:val="16"/>
          <w:szCs w:val="16"/>
          <w:color w:val="231F20"/>
          <w:spacing w:val="-28"/>
        </w:rPr>
        <w:t xml:space="preserve"> </w:t>
      </w:r>
      <w:r>
        <w:rPr>
          <w:sz w:val="16"/>
          <w:szCs w:val="16"/>
          <w:color w:val="231F20"/>
          <w:spacing w:val="8"/>
        </w:rPr>
        <w:t>化毒除湿汤加味联合常规抗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10"/>
        </w:rPr>
        <w:t>生素治疗急性盆腔炎湿毒壅盛证的临床研究 </w:t>
      </w:r>
      <w:r>
        <w:rPr>
          <w:sz w:val="16"/>
          <w:szCs w:val="16"/>
          <w:color w:val="231F20"/>
          <w:spacing w:val="9"/>
        </w:rPr>
        <w:t>[J].</w:t>
      </w:r>
      <w:r>
        <w:rPr>
          <w:sz w:val="16"/>
          <w:szCs w:val="16"/>
          <w:color w:val="231F20"/>
          <w:spacing w:val="-14"/>
        </w:rPr>
        <w:t xml:space="preserve"> </w:t>
      </w:r>
      <w:r>
        <w:rPr>
          <w:sz w:val="16"/>
          <w:szCs w:val="16"/>
          <w:color w:val="231F20"/>
          <w:spacing w:val="9"/>
        </w:rPr>
        <w:t>中医药学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"/>
        </w:rPr>
        <w:t>报</w:t>
      </w:r>
      <w:r>
        <w:rPr>
          <w:sz w:val="16"/>
          <w:szCs w:val="16"/>
          <w:color w:val="231F20"/>
          <w:spacing w:val="-17"/>
        </w:rPr>
        <w:t xml:space="preserve"> </w:t>
      </w:r>
      <w:r>
        <w:rPr>
          <w:sz w:val="16"/>
          <w:szCs w:val="16"/>
          <w:color w:val="231F20"/>
          <w:spacing w:val="-1"/>
        </w:rPr>
        <w:t>,2023,51(8):71-75.</w:t>
      </w:r>
    </w:p>
    <w:p>
      <w:pPr>
        <w:pStyle w:val="BodyText"/>
        <w:ind w:left="387" w:right="49" w:hanging="387"/>
        <w:spacing w:before="50" w:line="256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4"/>
        </w:rPr>
        <w:t>[18]</w:t>
      </w:r>
      <w:r>
        <w:rPr>
          <w:sz w:val="16"/>
          <w:szCs w:val="16"/>
          <w:color w:val="231F20"/>
          <w:spacing w:val="45"/>
        </w:rPr>
        <w:t xml:space="preserve"> </w:t>
      </w:r>
      <w:r>
        <w:rPr>
          <w:sz w:val="16"/>
          <w:szCs w:val="16"/>
          <w:color w:val="231F20"/>
          <w:spacing w:val="4"/>
        </w:rPr>
        <w:t>董其虎</w:t>
      </w:r>
      <w:r>
        <w:rPr>
          <w:sz w:val="16"/>
          <w:szCs w:val="16"/>
          <w:color w:val="231F20"/>
          <w:spacing w:val="-29"/>
        </w:rPr>
        <w:t xml:space="preserve"> </w:t>
      </w:r>
      <w:r>
        <w:rPr>
          <w:sz w:val="16"/>
          <w:szCs w:val="16"/>
          <w:color w:val="231F20"/>
          <w:spacing w:val="4"/>
        </w:rPr>
        <w:t>,</w:t>
      </w:r>
      <w:r>
        <w:rPr>
          <w:sz w:val="16"/>
          <w:szCs w:val="16"/>
          <w:color w:val="231F20"/>
          <w:spacing w:val="-30"/>
        </w:rPr>
        <w:t xml:space="preserve"> </w:t>
      </w:r>
      <w:r>
        <w:rPr>
          <w:sz w:val="16"/>
          <w:szCs w:val="16"/>
          <w:color w:val="231F20"/>
          <w:spacing w:val="4"/>
        </w:rPr>
        <w:t>郁春姣</w:t>
      </w:r>
      <w:r>
        <w:rPr>
          <w:sz w:val="16"/>
          <w:szCs w:val="16"/>
          <w:color w:val="231F20"/>
          <w:spacing w:val="-27"/>
        </w:rPr>
        <w:t xml:space="preserve"> </w:t>
      </w:r>
      <w:r>
        <w:rPr>
          <w:sz w:val="16"/>
          <w:szCs w:val="16"/>
          <w:color w:val="231F20"/>
          <w:spacing w:val="4"/>
        </w:rPr>
        <w:t>. 自拟清化止痛汤联合中药灌肠治疗</w:t>
      </w:r>
      <w:r>
        <w:rPr>
          <w:sz w:val="16"/>
          <w:szCs w:val="16"/>
          <w:color w:val="231F20"/>
          <w:spacing w:val="3"/>
        </w:rPr>
        <w:t>湿热瘀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4"/>
        </w:rPr>
        <w:t>结型急性盆腔炎的临床效果观察 [J].</w:t>
      </w:r>
      <w:r>
        <w:rPr>
          <w:sz w:val="16"/>
          <w:szCs w:val="16"/>
          <w:color w:val="231F20"/>
          <w:spacing w:val="-24"/>
        </w:rPr>
        <w:t xml:space="preserve"> </w:t>
      </w:r>
      <w:r>
        <w:rPr>
          <w:sz w:val="16"/>
          <w:szCs w:val="16"/>
          <w:color w:val="231F20"/>
          <w:spacing w:val="4"/>
        </w:rPr>
        <w:t>实用妇科内分泌电子杂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"/>
        </w:rPr>
        <w:t>志</w:t>
      </w:r>
      <w:r>
        <w:rPr>
          <w:sz w:val="16"/>
          <w:szCs w:val="16"/>
          <w:color w:val="231F20"/>
          <w:spacing w:val="-21"/>
        </w:rPr>
        <w:t xml:space="preserve"> </w:t>
      </w:r>
      <w:r>
        <w:rPr>
          <w:sz w:val="16"/>
          <w:szCs w:val="16"/>
          <w:color w:val="231F20"/>
          <w:spacing w:val="-1"/>
        </w:rPr>
        <w:t>,2024,11(11):49-51.</w:t>
      </w:r>
    </w:p>
    <w:sectPr>
      <w:type w:val="continuous"/>
      <w:pgSz w:w="11906" w:h="16158"/>
      <w:pgMar w:top="1307" w:right="885" w:bottom="0" w:left="424" w:header="937" w:footer="0" w:gutter="0"/>
      <w:cols w:equalWidth="0" w:num="2">
        <w:col w:w="5645" w:space="100"/>
        <w:col w:w="4852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20"/>
      <w:spacing w:before="46" w:line="225" w:lineRule="auto"/>
      <w:rPr/>
    </w:pPr>
    <w:r>
      <w:pict>
        <v:shape id="WordPictureWatermark2" style="position:absolute;margin-left:21.2pt;margin-top:777.674pt;mso-position-vertical-relative:page;mso-position-horizontal-relative:page;width:168.95pt;height:12.5pt;z-index:-251658240;" o:allowincell="f" filled="false" stroked="false" type="#_x0000_t75">
          <v:imagedata o:title="" r:id="rId1"/>
        </v:shape>
      </w:pict>
    </w:r>
    <w:r>
      <w:pict>
        <v:shape id="_x0000_s4" style="position:absolute;margin-left:46.772pt;margin-top:62.7795pt;mso-position-vertical-relative:page;mso-position-horizontal-relative:page;width:501.75pt;height:0.35pt;z-index:251659264;" o:allowincell="f" filled="false" strokecolor="#231F20" strokeweight="0.33pt" coordsize="10035,6" coordorigin="0,0" path="m10034,3l0,3e">
          <v:stroke joinstyle="miter" miterlimit="4"/>
        </v:shape>
      </w:pict>
    </w:r>
    <w:r>
      <w:rPr>
        <w:color w:val="231F20"/>
        <w:spacing w:val="-8"/>
      </w:rPr>
      <w:t>2024</w:t>
    </w:r>
    <w:r>
      <w:rPr>
        <w:color w:val="231F20"/>
        <w:spacing w:val="-36"/>
      </w:rPr>
      <w:t xml:space="preserve"> </w:t>
    </w:r>
    <w:r>
      <w:rPr>
        <w:color w:val="231F20"/>
        <w:spacing w:val="-8"/>
      </w:rPr>
      <w:t>年第</w:t>
    </w:r>
    <w:r>
      <w:rPr>
        <w:color w:val="231F20"/>
        <w:spacing w:val="-39"/>
      </w:rPr>
      <w:t xml:space="preserve"> </w:t>
    </w:r>
    <w:r>
      <w:rPr>
        <w:color w:val="231F20"/>
        <w:spacing w:val="-8"/>
      </w:rPr>
      <w:t>4</w:t>
    </w:r>
    <w:r>
      <w:rPr>
        <w:color w:val="231F20"/>
        <w:spacing w:val="-36"/>
      </w:rPr>
      <w:t xml:space="preserve"> </w:t>
    </w:r>
    <w:r>
      <w:rPr>
        <w:color w:val="231F20"/>
        <w:spacing w:val="-8"/>
      </w:rPr>
      <w:t>期</w:t>
    </w:r>
    <w:r>
      <w:rPr>
        <w:color w:val="231F20"/>
        <w:spacing w:val="1"/>
      </w:rPr>
      <w:t xml:space="preserve">                                                  </w:t>
    </w:r>
    <w:r>
      <w:rPr>
        <w:color w:val="231F20"/>
      </w:rPr>
      <w:t xml:space="preserve">                                        </w:t>
    </w:r>
    <w:r>
      <w:rPr>
        <w:color w:val="231F20"/>
        <w:spacing w:val="-8"/>
      </w:rPr>
      <w:t>·131</w:t>
    </w:r>
    <w:r>
      <w:rPr>
        <w:color w:val="231F20"/>
        <w:spacing w:val="-21"/>
      </w:rPr>
      <w:t xml:space="preserve"> </w:t>
    </w:r>
    <w:r>
      <w:rPr>
        <w:color w:val="231F20"/>
        <w:spacing w:val="-8"/>
      </w:rPr>
      <w:t>·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78"/>
      <w:spacing w:before="46" w:line="225" w:lineRule="auto"/>
      <w:rPr/>
    </w:pPr>
    <w:r>
      <w:pict>
        <v:shape id="WordPictureWatermark8" style="position:absolute;margin-left:21.2pt;margin-top:777.674pt;mso-position-vertical-relative:page;mso-position-horizontal-relative:page;width:168.95pt;height:12.5pt;z-index:-251656192;" o:allowincell="f" filled="false" stroked="false" type="#_x0000_t75">
          <v:imagedata o:title="" r:id="rId1"/>
        </v:shape>
      </w:pict>
    </w:r>
    <w:r>
      <w:pict>
        <v:shape id="_x0000_s10" style="position:absolute;margin-left:46.7716pt;margin-top:62.7795pt;mso-position-vertical-relative:page;mso-position-horizontal-relative:page;width:501.75pt;height:0.35pt;z-index:251661312;" o:allowincell="f" filled="false" strokecolor="#231F20" strokeweight="0.33pt" coordsize="10035,6" coordorigin="0,0" path="m0,3l10034,3e">
          <v:stroke joinstyle="miter" miterlimit="4"/>
        </v:shape>
      </w:pict>
    </w:r>
    <w:r>
      <w:rPr>
        <w:color w:val="231F20"/>
        <w:spacing w:val="-14"/>
      </w:rPr>
      <w:t>·132</w:t>
    </w:r>
    <w:r>
      <w:rPr>
        <w:color w:val="231F20"/>
        <w:spacing w:val="-16"/>
      </w:rPr>
      <w:t xml:space="preserve"> </w:t>
    </w:r>
    <w:r>
      <w:rPr>
        <w:color w:val="231F20"/>
        <w:spacing w:val="-14"/>
      </w:rPr>
      <w:t>·</w:t>
    </w:r>
    <w:r>
      <w:rPr>
        <w:color w:val="231F20"/>
        <w:spacing w:val="1"/>
      </w:rPr>
      <w:t xml:space="preserve">                                     </w:t>
    </w:r>
    <w:r>
      <w:rPr>
        <w:color w:val="231F20"/>
      </w:rPr>
      <w:t xml:space="preserve">                                                     </w:t>
    </w:r>
    <w:r>
      <w:rPr>
        <w:color w:val="231F20"/>
        <w:spacing w:val="-14"/>
      </w:rPr>
      <w:t>黑龙江中医药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20"/>
      <w:spacing w:before="46" w:line="225" w:lineRule="auto"/>
      <w:rPr/>
    </w:pPr>
    <w:r>
      <w:pict>
        <v:shape id="WordPictureWatermark14" style="position:absolute;margin-left:21.2pt;margin-top:777.674pt;mso-position-vertical-relative:page;mso-position-horizontal-relative:page;width:168.95pt;height:12.5pt;z-index:-251654144;" o:allowincell="f" filled="false" stroked="false" type="#_x0000_t75">
          <v:imagedata o:title="" r:id="rId1"/>
        </v:shape>
      </w:pict>
    </w:r>
    <w:r>
      <w:pict>
        <v:shape id="_x0000_s16" style="position:absolute;margin-left:46.772pt;margin-top:62.7795pt;mso-position-vertical-relative:page;mso-position-horizontal-relative:page;width:501.75pt;height:0.35pt;z-index:251663360;" o:allowincell="f" filled="false" strokecolor="#231F20" strokeweight="0.33pt" coordsize="10035,6" coordorigin="0,0" path="m10034,3l0,3e">
          <v:stroke joinstyle="miter" miterlimit="4"/>
        </v:shape>
      </w:pict>
    </w:r>
    <w:r>
      <w:rPr>
        <w:color w:val="231F20"/>
        <w:spacing w:val="-8"/>
      </w:rPr>
      <w:t>2024</w:t>
    </w:r>
    <w:r>
      <w:rPr>
        <w:color w:val="231F20"/>
        <w:spacing w:val="-36"/>
      </w:rPr>
      <w:t xml:space="preserve"> </w:t>
    </w:r>
    <w:r>
      <w:rPr>
        <w:color w:val="231F20"/>
        <w:spacing w:val="-8"/>
      </w:rPr>
      <w:t>年第</w:t>
    </w:r>
    <w:r>
      <w:rPr>
        <w:color w:val="231F20"/>
        <w:spacing w:val="-39"/>
      </w:rPr>
      <w:t xml:space="preserve"> </w:t>
    </w:r>
    <w:r>
      <w:rPr>
        <w:color w:val="231F20"/>
        <w:spacing w:val="-8"/>
      </w:rPr>
      <w:t>4</w:t>
    </w:r>
    <w:r>
      <w:rPr>
        <w:color w:val="231F20"/>
        <w:spacing w:val="-36"/>
      </w:rPr>
      <w:t xml:space="preserve"> </w:t>
    </w:r>
    <w:r>
      <w:rPr>
        <w:color w:val="231F20"/>
        <w:spacing w:val="-8"/>
      </w:rPr>
      <w:t>期</w:t>
    </w:r>
    <w:r>
      <w:rPr>
        <w:color w:val="231F20"/>
        <w:spacing w:val="1"/>
      </w:rPr>
      <w:t xml:space="preserve">                                                  </w:t>
    </w:r>
    <w:r>
      <w:rPr>
        <w:color w:val="231F20"/>
      </w:rPr>
      <w:t xml:space="preserve">                                        </w:t>
    </w:r>
    <w:r>
      <w:rPr>
        <w:color w:val="231F20"/>
        <w:spacing w:val="-8"/>
      </w:rPr>
      <w:t>·133</w:t>
    </w:r>
    <w:r>
      <w:rPr>
        <w:color w:val="231F20"/>
        <w:spacing w:val="-21"/>
      </w:rPr>
      <w:t xml:space="preserve"> </w:t>
    </w:r>
    <w:r>
      <w:rPr>
        <w:color w:val="231F20"/>
        <w:spacing w:val="-8"/>
      </w:rPr>
      <w:t>·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18"/>
      <w:szCs w:val="18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styles" Target="styles.xml"/><Relationship Id="rId7" Type="http://schemas.openxmlformats.org/officeDocument/2006/relationships/settings" Target="settings.xml"/><Relationship Id="rId6" Type="http://schemas.openxmlformats.org/officeDocument/2006/relationships/header" Target="header3.xml"/><Relationship Id="rId5" Type="http://schemas.openxmlformats.org/officeDocument/2006/relationships/image" Target="media/image5.png"/><Relationship Id="rId4" Type="http://schemas.openxmlformats.org/officeDocument/2006/relationships/image" Target="media/image4.png"/><Relationship Id="rId3" Type="http://schemas.openxmlformats.org/officeDocument/2006/relationships/header" Target="header2.xml"/><Relationship Id="rId2" Type="http://schemas.openxmlformats.org/officeDocument/2006/relationships/image" Target="media/image2.png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2.6.0 Build 4111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2025-03-17T23:06:44Z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2025-10-28T21:30:04</vt:filetime>
  </property>
</Properties>
</file>