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47" w:line="219" w:lineRule="auto"/>
        <w:jc w:val="right"/>
        <w:rPr>
          <w:sz w:val="24"/>
          <w:szCs w:val="24"/>
        </w:rPr>
      </w:pP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2"/>
        </w:rPr>
        <w:t>实用妇科内分泌电子杂志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2"/>
        </w:rPr>
        <w:t>2023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2"/>
        </w:rPr>
        <w:t>年第</w:t>
      </w:r>
      <w:r>
        <w:rPr>
          <w:rFonts w:ascii="SimHei" w:hAnsi="SimHei" w:eastAsia="SimHei" w:cs="SimHei"/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2"/>
        </w:rPr>
        <w:t>10</w:t>
      </w:r>
      <w:r>
        <w:rPr>
          <w:sz w:val="21"/>
          <w:szCs w:val="21"/>
          <w:color w:val="231F20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2"/>
        </w:rPr>
        <w:t>卷第</w:t>
      </w:r>
      <w:r>
        <w:rPr>
          <w:rFonts w:ascii="SimHei" w:hAnsi="SimHei" w:eastAsia="SimHei" w:cs="SimHei"/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2"/>
        </w:rPr>
        <w:t>10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2"/>
        </w:rPr>
        <w:t>期</w:t>
      </w:r>
      <w:r>
        <w:rPr>
          <w:rFonts w:ascii="SimHei" w:hAnsi="SimHei" w:eastAsia="SimHei" w:cs="SimHei"/>
          <w:sz w:val="21"/>
          <w:szCs w:val="21"/>
          <w:color w:val="231F20"/>
          <w:spacing w:val="2"/>
        </w:rPr>
        <w:t xml:space="preserve">                      </w:t>
      </w:r>
      <w:r>
        <w:rPr>
          <w:rFonts w:ascii="SimHei" w:hAnsi="SimHei" w:eastAsia="SimHei" w:cs="SimHei"/>
          <w:sz w:val="21"/>
          <w:szCs w:val="21"/>
          <w:color w:val="231F20"/>
          <w:spacing w:val="1"/>
        </w:rPr>
        <w:t xml:space="preserve">          </w:t>
      </w:r>
      <w:r>
        <w:rPr>
          <w:sz w:val="24"/>
          <w:szCs w:val="24"/>
          <w:color w:val="231F20"/>
          <w:spacing w:val="1"/>
        </w:rPr>
        <w:t>•</w:t>
      </w:r>
      <w:r>
        <w:rPr>
          <w:sz w:val="24"/>
          <w:szCs w:val="24"/>
          <w:color w:val="231F20"/>
          <w:spacing w:val="10"/>
        </w:rPr>
        <w:t xml:space="preserve">  </w:t>
      </w:r>
      <w:r>
        <w:rPr>
          <w:rFonts w:ascii="SimSun" w:hAnsi="SimSun" w:eastAsia="SimSun" w:cs="SimSun"/>
          <w:sz w:val="24"/>
          <w:szCs w:val="24"/>
          <w:color w:val="231F20"/>
          <w:spacing w:val="1"/>
        </w:rPr>
        <w:t>临床研究</w:t>
      </w:r>
      <w:r>
        <w:rPr>
          <w:rFonts w:ascii="SimSun" w:hAnsi="SimSun" w:eastAsia="SimSun" w:cs="SimSun"/>
          <w:sz w:val="24"/>
          <w:szCs w:val="24"/>
          <w:color w:val="231F20"/>
          <w:spacing w:val="14"/>
        </w:rPr>
        <w:t xml:space="preserve"> </w:t>
      </w:r>
      <w:r>
        <w:rPr>
          <w:sz w:val="24"/>
          <w:szCs w:val="24"/>
          <w:color w:val="231F20"/>
          <w:spacing w:val="1"/>
        </w:rPr>
        <w:t>•</w:t>
      </w:r>
    </w:p>
    <w:p>
      <w:pPr>
        <w:ind w:firstLine="725"/>
        <w:spacing w:before="41" w:line="57" w:lineRule="exact"/>
        <w:rPr/>
      </w:pPr>
      <w:r>
        <w:rPr>
          <w:position w:val="-1"/>
        </w:rPr>
        <w:pict>
          <v:group id="_x0000_s2" style="mso-position-vertical-relative:line;mso-position-horizontal-relative:char;width:481.9pt;height:2.85pt;" filled="false" stroked="false" coordsize="9637,56" coordorigin="0,0">
            <v:shape id="_x0000_s4" style="position:absolute;left:0;top:0;width:9637;height:29;" filled="false" strokecolor="#939598" strokeweight="1.42pt" coordsize="9637,29" coordorigin="0,0" path="m0,14l9637,14e">
              <v:stroke joinstyle="miter" miterlimit="4"/>
            </v:shape>
            <v:shape id="_x0000_s6" style="position:absolute;left:0;top:47;width:9637;height:10;" filled="false" strokecolor="#939598" strokeweight="0.47pt" coordsize="9637,10" coordorigin="0,0" path="m0,4l9637,4e">
              <v:stroke joinstyle="miter" miterlimit="4"/>
            </v:shape>
          </v:group>
        </w:pict>
      </w:r>
    </w:p>
    <w:p>
      <w:pPr>
        <w:ind w:left="744"/>
        <w:spacing w:before="206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31F20"/>
          <w:position w:val="4"/>
        </w:rPr>
        <w:t>DOI</w:t>
      </w:r>
      <w:r>
        <w:rPr>
          <w:rFonts w:ascii="SimSun" w:hAnsi="SimSun" w:eastAsia="SimSun" w:cs="SimSun"/>
          <w:sz w:val="24"/>
          <w:szCs w:val="24"/>
          <w:color w:val="231F20"/>
          <w:position w:val="4"/>
        </w:rPr>
        <w:t>：</w:t>
      </w:r>
      <w:r>
        <w:rPr>
          <w:rFonts w:ascii="Arial" w:hAnsi="Arial" w:eastAsia="Arial" w:cs="Arial"/>
          <w:sz w:val="24"/>
          <w:szCs w:val="24"/>
          <w:color w:val="231F20"/>
          <w:position w:val="4"/>
        </w:rPr>
        <w:t>10.3969/j.issn.</w:t>
      </w:r>
      <w:r>
        <w:rPr>
          <w:rFonts w:ascii="Arial" w:hAnsi="Arial" w:eastAsia="Arial" w:cs="Arial"/>
          <w:sz w:val="24"/>
          <w:szCs w:val="24"/>
          <w:color w:val="231F20"/>
          <w:spacing w:val="-1"/>
          <w:position w:val="4"/>
        </w:rPr>
        <w:t>2095-8803.2023.10.027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744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color w:val="231F20"/>
          <w:spacing w:val="-1"/>
        </w:rPr>
        <w:t>妇科千金片联合抗生素治疗慢性盆腔炎的效果分析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747"/>
        <w:spacing w:before="68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宋艳玲</w:t>
      </w:r>
    </w:p>
    <w:p>
      <w:pPr>
        <w:pStyle w:val="BodyText"/>
        <w:ind w:left="716"/>
        <w:spacing w:before="51" w:line="2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（德惠市妇幼保健计划生育服务中心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妇科门诊，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吉林 长春 </w:t>
      </w:r>
      <w:r>
        <w:rPr>
          <w:sz w:val="21"/>
          <w:szCs w:val="21"/>
          <w:color w:val="231F20"/>
          <w:spacing w:val="-1"/>
        </w:rPr>
        <w:t>130300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728" w:right="3" w:firstLine="279"/>
        <w:spacing w:before="59" w:line="30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"/>
        </w:rPr>
        <w:t>【</w:t>
      </w:r>
      <w:r>
        <w:rPr>
          <w:rFonts w:ascii="SimHei" w:hAnsi="SimHei" w:eastAsia="SimHei" w:cs="SimHei"/>
          <w:color w:val="231F20"/>
          <w:spacing w:val="1"/>
        </w:rPr>
        <w:t>摘要</w:t>
      </w:r>
      <w:r>
        <w:rPr>
          <w:rFonts w:ascii="SimSun" w:hAnsi="SimSun" w:eastAsia="SimSun" w:cs="SimSun"/>
          <w:color w:val="231F20"/>
          <w:spacing w:val="1"/>
        </w:rPr>
        <w:t>】</w:t>
      </w:r>
      <w:r>
        <w:rPr>
          <w:rFonts w:ascii="SimSun" w:hAnsi="SimSun" w:eastAsia="SimSun" w:cs="SimSun"/>
          <w:color w:val="231F20"/>
          <w:spacing w:val="-54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目的</w:t>
      </w:r>
      <w:r>
        <w:rPr>
          <w:rFonts w:ascii="SimHei" w:hAnsi="SimHei" w:eastAsia="SimHei" w:cs="SimHei"/>
          <w:color w:val="231F20"/>
          <w:spacing w:val="1"/>
        </w:rPr>
        <w:t xml:space="preserve">  </w:t>
      </w:r>
      <w:r>
        <w:rPr>
          <w:rFonts w:ascii="SimSun" w:hAnsi="SimSun" w:eastAsia="SimSun" w:cs="SimSun"/>
          <w:color w:val="231F20"/>
          <w:spacing w:val="1"/>
        </w:rPr>
        <w:t>探讨妇科千金片联合抗生素治疗慢性盆腔炎的效果。 </w:t>
      </w:r>
      <w:r>
        <w:rPr>
          <w:rFonts w:ascii="SimHei" w:hAnsi="SimHei" w:eastAsia="SimHei" w:cs="SimHei"/>
          <w:color w:val="231F20"/>
          <w:spacing w:val="1"/>
        </w:rPr>
        <w:t>方法</w:t>
      </w:r>
      <w:r>
        <w:rPr>
          <w:rFonts w:ascii="SimHei" w:hAnsi="SimHei" w:eastAsia="SimHei" w:cs="SimHei"/>
          <w:color w:val="231F20"/>
          <w:spacing w:val="1"/>
        </w:rPr>
        <w:t xml:space="preserve">  </w:t>
      </w:r>
      <w:r>
        <w:rPr>
          <w:rFonts w:ascii="SimSun" w:hAnsi="SimSun" w:eastAsia="SimSun" w:cs="SimSun"/>
          <w:color w:val="231F20"/>
          <w:spacing w:val="1"/>
        </w:rPr>
        <w:t>选择</w:t>
      </w:r>
      <w:r>
        <w:rPr>
          <w:color w:val="231F20"/>
          <w:spacing w:val="1"/>
        </w:rPr>
        <w:t>40</w:t>
      </w:r>
      <w:r>
        <w:rPr>
          <w:rFonts w:ascii="SimSun" w:hAnsi="SimSun" w:eastAsia="SimSun" w:cs="SimSun"/>
          <w:color w:val="231F20"/>
          <w:spacing w:val="1"/>
        </w:rPr>
        <w:t>例慢性盆腔炎患者</w:t>
      </w:r>
      <w:r>
        <w:rPr>
          <w:rFonts w:ascii="SimSun" w:hAnsi="SimSun" w:eastAsia="SimSun" w:cs="SimSun"/>
          <w:color w:val="231F20"/>
        </w:rPr>
        <w:t>为研究对象，按 </w:t>
      </w:r>
      <w:r>
        <w:rPr>
          <w:rFonts w:ascii="SimSun" w:hAnsi="SimSun" w:eastAsia="SimSun" w:cs="SimSun"/>
          <w:color w:val="231F20"/>
          <w:spacing w:val="1"/>
        </w:rPr>
        <w:t>照治疗方式不同分为对照组和试验组，每组</w:t>
      </w:r>
      <w:r>
        <w:rPr>
          <w:color w:val="231F20"/>
          <w:spacing w:val="1"/>
        </w:rPr>
        <w:t>20</w:t>
      </w:r>
      <w:r>
        <w:rPr>
          <w:rFonts w:ascii="SimSun" w:hAnsi="SimSun" w:eastAsia="SimSun" w:cs="SimSun"/>
          <w:color w:val="231F20"/>
          <w:spacing w:val="1"/>
        </w:rPr>
        <w:t>例。对照组给予抗生素治疗，试验组在对照组基础上给予妇科千金片治疗。</w:t>
      </w:r>
      <w:r>
        <w:rPr>
          <w:rFonts w:ascii="SimSun" w:hAnsi="SimSun" w:eastAsia="SimSun" w:cs="SimSun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对比两组患者的治疗总有效率及满意度。</w:t>
      </w:r>
      <w:r>
        <w:rPr>
          <w:rFonts w:ascii="SimHei" w:hAnsi="SimHei" w:eastAsia="SimHei" w:cs="SimHei"/>
          <w:color w:val="231F20"/>
          <w:spacing w:val="1"/>
        </w:rPr>
        <w:t>结果</w:t>
      </w:r>
      <w:r>
        <w:rPr>
          <w:rFonts w:ascii="SimHei" w:hAnsi="SimHei" w:eastAsia="SimHei" w:cs="SimHei"/>
          <w:color w:val="231F20"/>
          <w:spacing w:val="1"/>
        </w:rPr>
        <w:t xml:space="preserve">  </w:t>
      </w:r>
      <w:r>
        <w:rPr>
          <w:rFonts w:ascii="SimSun" w:hAnsi="SimSun" w:eastAsia="SimSun" w:cs="SimSun"/>
          <w:color w:val="231F20"/>
          <w:spacing w:val="1"/>
        </w:rPr>
        <w:t>试验组治疗总有效率为</w:t>
      </w:r>
      <w:r>
        <w:rPr>
          <w:color w:val="231F20"/>
          <w:spacing w:val="1"/>
        </w:rPr>
        <w:t>90.00%</w:t>
      </w:r>
      <w:r>
        <w:rPr>
          <w:rFonts w:ascii="SimSun" w:hAnsi="SimSun" w:eastAsia="SimSun" w:cs="SimSun"/>
          <w:color w:val="231F20"/>
          <w:spacing w:val="1"/>
        </w:rPr>
        <w:t>，对照组治疗总有效率</w:t>
      </w:r>
      <w:r>
        <w:rPr>
          <w:color w:val="231F20"/>
          <w:spacing w:val="1"/>
        </w:rPr>
        <w:t>75.00%</w:t>
      </w:r>
      <w:r>
        <w:rPr>
          <w:rFonts w:ascii="SimSun" w:hAnsi="SimSun" w:eastAsia="SimSun" w:cs="SimSun"/>
          <w:color w:val="231F20"/>
          <w:spacing w:val="1"/>
        </w:rPr>
        <w:t>，试验组总有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</w:rPr>
        <w:t>效率高于对照组，差异有统计学意义（</w:t>
      </w:r>
      <w:r>
        <w:rPr>
          <w:i/>
          <w:iCs/>
          <w:color w:val="231F20"/>
        </w:rPr>
        <w:t>P</w:t>
      </w:r>
      <w:r>
        <w:rPr>
          <w:rFonts w:ascii="SimSun" w:hAnsi="SimSun" w:eastAsia="SimSun" w:cs="SimSun"/>
          <w:color w:val="231F20"/>
        </w:rPr>
        <w:t>＜</w:t>
      </w:r>
      <w:r>
        <w:rPr>
          <w:color w:val="231F20"/>
        </w:rPr>
        <w:t>0.05</w:t>
      </w:r>
      <w:r>
        <w:rPr>
          <w:rFonts w:ascii="SimSun" w:hAnsi="SimSun" w:eastAsia="SimSun" w:cs="SimSun"/>
          <w:color w:val="231F20"/>
        </w:rPr>
        <w:t>）。试验组治疗满意度为</w:t>
      </w:r>
      <w:r>
        <w:rPr>
          <w:color w:val="231F20"/>
        </w:rPr>
        <w:t>95.00%</w:t>
      </w:r>
      <w:r>
        <w:rPr>
          <w:rFonts w:ascii="SimSun" w:hAnsi="SimSun" w:eastAsia="SimSun" w:cs="SimSun"/>
          <w:color w:val="231F20"/>
        </w:rPr>
        <w:t>，对照组治疗满意度为</w:t>
      </w:r>
      <w:r>
        <w:rPr>
          <w:color w:val="231F20"/>
        </w:rPr>
        <w:t>7</w:t>
      </w:r>
      <w:r>
        <w:rPr>
          <w:color w:val="231F20"/>
          <w:spacing w:val="-1"/>
        </w:rPr>
        <w:t>0.00%</w:t>
      </w:r>
      <w:r>
        <w:rPr>
          <w:rFonts w:ascii="SimSun" w:hAnsi="SimSun" w:eastAsia="SimSun" w:cs="SimSun"/>
          <w:color w:val="231F20"/>
          <w:spacing w:val="-1"/>
        </w:rPr>
        <w:t>，试验组治疗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满意度高于对照组，差异有统计学意义（</w:t>
      </w:r>
      <w:r>
        <w:rPr>
          <w:i/>
          <w:iCs/>
          <w:color w:val="231F20"/>
          <w:spacing w:val="1"/>
        </w:rPr>
        <w:t>P</w:t>
      </w:r>
      <w:r>
        <w:rPr>
          <w:rFonts w:ascii="SimSun" w:hAnsi="SimSun" w:eastAsia="SimSun" w:cs="SimSun"/>
          <w:color w:val="231F20"/>
          <w:spacing w:val="1"/>
        </w:rPr>
        <w:t>＜</w:t>
      </w:r>
      <w:r>
        <w:rPr>
          <w:color w:val="231F20"/>
          <w:spacing w:val="1"/>
        </w:rPr>
        <w:t>0.05</w:t>
      </w:r>
      <w:r>
        <w:rPr>
          <w:rFonts w:ascii="SimSun" w:hAnsi="SimSun" w:eastAsia="SimSun" w:cs="SimSun"/>
          <w:color w:val="231F20"/>
          <w:spacing w:val="1"/>
        </w:rPr>
        <w:t>）。</w:t>
      </w:r>
      <w:r>
        <w:rPr>
          <w:rFonts w:ascii="SimHei" w:hAnsi="SimHei" w:eastAsia="SimHei" w:cs="SimHei"/>
          <w:color w:val="231F20"/>
          <w:spacing w:val="1"/>
        </w:rPr>
        <w:t>结</w:t>
      </w:r>
      <w:r>
        <w:rPr>
          <w:rFonts w:ascii="SimHei" w:hAnsi="SimHei" w:eastAsia="SimHei" w:cs="SimHei"/>
          <w:color w:val="231F20"/>
        </w:rPr>
        <w:t>论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>慢性盆腔炎患者采用妇科千金片联合抗生素治疗效果较好，患 </w:t>
      </w:r>
      <w:r>
        <w:rPr>
          <w:rFonts w:ascii="SimSun" w:hAnsi="SimSun" w:eastAsia="SimSun" w:cs="SimSun"/>
          <w:color w:val="231F20"/>
          <w:spacing w:val="-2"/>
        </w:rPr>
        <w:t>者满意度较高，值得临床推广与应用。</w:t>
      </w:r>
    </w:p>
    <w:p>
      <w:pPr>
        <w:ind w:left="1007"/>
        <w:spacing w:before="2"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position w:val="1"/>
        </w:rPr>
        <w:t>【</w:t>
      </w:r>
      <w:r>
        <w:rPr>
          <w:rFonts w:ascii="SimHei" w:hAnsi="SimHei" w:eastAsia="SimHei" w:cs="SimHei"/>
          <w:sz w:val="18"/>
          <w:szCs w:val="18"/>
          <w:color w:val="231F20"/>
          <w:position w:val="1"/>
        </w:rPr>
        <w:t>关键词</w:t>
      </w:r>
      <w:r>
        <w:rPr>
          <w:rFonts w:ascii="SimSun" w:hAnsi="SimSun" w:eastAsia="SimSun" w:cs="SimSun"/>
          <w:sz w:val="18"/>
          <w:szCs w:val="18"/>
          <w:color w:val="231F20"/>
          <w:position w:val="1"/>
        </w:rPr>
        <w:t>】慢性盆腔炎；妇科千金片；抗生素；治疗效果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29"/>
        <w:spacing w:before="58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</w:rPr>
        <w:t>Eﬀect analysis of gynecological Qianjin tablets combined with antibiotic</w:t>
      </w:r>
      <w:r>
        <w:rPr>
          <w:sz w:val="20"/>
          <w:szCs w:val="20"/>
          <w:b/>
          <w:bCs/>
          <w:color w:val="231F20"/>
          <w:spacing w:val="-1"/>
        </w:rPr>
        <w:t>s</w:t>
      </w:r>
      <w:r>
        <w:rPr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on</w:t>
      </w:r>
      <w:r>
        <w:rPr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chronic pelvic</w:t>
      </w:r>
      <w:r>
        <w:rPr>
          <w:sz w:val="20"/>
          <w:szCs w:val="20"/>
          <w:b/>
          <w:bCs/>
          <w:color w:val="231F20"/>
          <w:spacing w:val="4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inﬂammatory</w:t>
      </w:r>
      <w:r>
        <w:rPr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disease</w:t>
      </w:r>
    </w:p>
    <w:p>
      <w:pPr>
        <w:pStyle w:val="BodyText"/>
        <w:ind w:left="727"/>
        <w:spacing w:before="246" w:line="190" w:lineRule="auto"/>
        <w:rPr/>
      </w:pPr>
      <w:r>
        <w:rPr>
          <w:i/>
          <w:iCs/>
          <w:color w:val="231F20"/>
          <w:spacing w:val="-3"/>
        </w:rPr>
        <w:t>Song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  <w:spacing w:val="-3"/>
        </w:rPr>
        <w:t>Yanling</w:t>
      </w:r>
    </w:p>
    <w:p>
      <w:pPr>
        <w:pStyle w:val="BodyText"/>
        <w:ind w:left="738"/>
        <w:spacing w:before="7" w:line="239" w:lineRule="exact"/>
        <w:rPr/>
      </w:pPr>
      <w:r>
        <w:rPr>
          <w:i/>
          <w:iCs/>
          <w:color w:val="231F20"/>
          <w:position w:val="3"/>
        </w:rPr>
        <w:t>(Gynecological Clinic, Dehui Maternal and Child</w:t>
      </w:r>
      <w:r>
        <w:rPr>
          <w:i/>
          <w:iCs/>
          <w:color w:val="231F20"/>
          <w:spacing w:val="-12"/>
          <w:position w:val="3"/>
        </w:rPr>
        <w:t xml:space="preserve"> </w:t>
      </w:r>
      <w:r>
        <w:rPr>
          <w:i/>
          <w:iCs/>
          <w:color w:val="231F20"/>
          <w:position w:val="3"/>
        </w:rPr>
        <w:t>Health</w:t>
      </w:r>
      <w:r>
        <w:rPr>
          <w:i/>
          <w:iCs/>
          <w:color w:val="231F20"/>
          <w:spacing w:val="-1"/>
          <w:position w:val="3"/>
        </w:rPr>
        <w:t xml:space="preserve"> and</w:t>
      </w:r>
      <w:r>
        <w:rPr>
          <w:i/>
          <w:iCs/>
          <w:color w:val="231F20"/>
          <w:spacing w:val="-11"/>
          <w:position w:val="3"/>
        </w:rPr>
        <w:t xml:space="preserve"> </w:t>
      </w:r>
      <w:r>
        <w:rPr>
          <w:i/>
          <w:iCs/>
          <w:color w:val="231F20"/>
          <w:spacing w:val="-1"/>
          <w:position w:val="3"/>
        </w:rPr>
        <w:t>Family Planning Service</w:t>
      </w:r>
      <w:r>
        <w:rPr>
          <w:i/>
          <w:iCs/>
          <w:color w:val="231F20"/>
          <w:spacing w:val="12"/>
          <w:position w:val="3"/>
        </w:rPr>
        <w:t xml:space="preserve"> </w:t>
      </w:r>
      <w:r>
        <w:rPr>
          <w:i/>
          <w:iCs/>
          <w:color w:val="231F20"/>
          <w:spacing w:val="-1"/>
          <w:position w:val="3"/>
        </w:rPr>
        <w:t>Center,</w:t>
      </w:r>
      <w:r>
        <w:rPr>
          <w:i/>
          <w:iCs/>
          <w:color w:val="231F20"/>
          <w:spacing w:val="12"/>
          <w:position w:val="3"/>
        </w:rPr>
        <w:t xml:space="preserve"> </w:t>
      </w:r>
      <w:r>
        <w:rPr>
          <w:i/>
          <w:iCs/>
          <w:color w:val="231F20"/>
          <w:spacing w:val="-1"/>
          <w:position w:val="3"/>
        </w:rPr>
        <w:t>Changchun</w:t>
      </w:r>
      <w:r>
        <w:rPr>
          <w:i/>
          <w:iCs/>
          <w:color w:val="231F20"/>
          <w:spacing w:val="11"/>
          <w:position w:val="3"/>
        </w:rPr>
        <w:t xml:space="preserve"> </w:t>
      </w:r>
      <w:r>
        <w:rPr>
          <w:i/>
          <w:iCs/>
          <w:color w:val="231F20"/>
          <w:spacing w:val="-1"/>
          <w:position w:val="3"/>
        </w:rPr>
        <w:t>130300,</w:t>
      </w:r>
      <w:r>
        <w:rPr>
          <w:i/>
          <w:iCs/>
          <w:color w:val="231F20"/>
          <w:spacing w:val="12"/>
          <w:position w:val="3"/>
        </w:rPr>
        <w:t xml:space="preserve"> </w:t>
      </w:r>
      <w:r>
        <w:rPr>
          <w:i/>
          <w:iCs/>
          <w:color w:val="231F20"/>
          <w:spacing w:val="-1"/>
          <w:position w:val="3"/>
        </w:rPr>
        <w:t>China)</w:t>
      </w:r>
    </w:p>
    <w:p>
      <w:pPr>
        <w:pStyle w:val="BodyText"/>
        <w:ind w:left="725" w:firstLine="282"/>
        <w:spacing w:before="192" w:line="291" w:lineRule="auto"/>
        <w:jc w:val="both"/>
        <w:rPr/>
      </w:pPr>
      <w:r>
        <w:rPr>
          <w:rFonts w:ascii="SimSun" w:hAnsi="SimSun" w:eastAsia="SimSun" w:cs="SimSun"/>
          <w:color w:val="231F20"/>
          <w:spacing w:val="3"/>
        </w:rPr>
        <w:t>【</w:t>
      </w:r>
      <w:r>
        <w:rPr>
          <w:b/>
          <w:bCs/>
          <w:color w:val="231F20"/>
          <w:spacing w:val="3"/>
        </w:rPr>
        <w:t>Abstract</w:t>
      </w:r>
      <w:r>
        <w:rPr>
          <w:rFonts w:ascii="SimSun" w:hAnsi="SimSun" w:eastAsia="SimSun" w:cs="SimSun"/>
          <w:color w:val="231F20"/>
          <w:spacing w:val="3"/>
        </w:rPr>
        <w:t>】</w:t>
      </w:r>
      <w:r>
        <w:rPr>
          <w:b/>
          <w:bCs/>
          <w:color w:val="231F20"/>
          <w:spacing w:val="3"/>
        </w:rPr>
        <w:t>Objective    </w:t>
      </w:r>
      <w:r>
        <w:rPr>
          <w:color w:val="231F20"/>
          <w:spacing w:val="3"/>
        </w:rPr>
        <w:t>To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3"/>
        </w:rPr>
        <w:t>explore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ef</w:t>
      </w:r>
      <w:r>
        <w:rPr>
          <w:color w:val="231F20"/>
          <w:spacing w:val="2"/>
        </w:rPr>
        <w:t>fect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of Fujiqianjin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2"/>
        </w:rPr>
        <w:t>tablet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combined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antibiotics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treatment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of chronic</w:t>
      </w:r>
      <w:r>
        <w:rPr>
          <w:color w:val="231F20"/>
        </w:rPr>
        <w:t xml:space="preserve"> </w:t>
      </w:r>
      <w:r>
        <w:rPr>
          <w:color w:val="231F20"/>
        </w:rPr>
        <w:t>pelvic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inflammatory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14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</w:rPr>
        <w:t>Methods</w:t>
      </w:r>
      <w:r>
        <w:rPr>
          <w:b/>
          <w:bCs/>
          <w:color w:val="231F20"/>
          <w:spacing w:val="14"/>
        </w:rPr>
        <w:t xml:space="preserve">    </w:t>
      </w:r>
      <w:r>
        <w:rPr>
          <w:color w:val="231F20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40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chronic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pelvic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inflammatory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randomly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divided </w:t>
      </w:r>
      <w:r>
        <w:rPr>
          <w:color w:val="231F20"/>
          <w:spacing w:val="1"/>
        </w:rPr>
        <w:t>into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control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group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experimental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group,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20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cases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1"/>
        </w:rPr>
        <w:t>each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group.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control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group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was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given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1"/>
        </w:rPr>
        <w:t>antibiotic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t</w:t>
      </w:r>
      <w:r>
        <w:rPr>
          <w:color w:val="231F20"/>
        </w:rPr>
        <w:t>reatment,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and </w:t>
      </w:r>
      <w:r>
        <w:rPr>
          <w:color w:val="231F20"/>
          <w:spacing w:val="3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experimental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given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gynecolog</w:t>
      </w:r>
      <w:r>
        <w:rPr>
          <w:color w:val="231F20"/>
          <w:spacing w:val="2"/>
        </w:rPr>
        <w:t>ical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Qianjin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tablet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basis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of 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control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group.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treatment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eﬃciency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satisfaction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21"/>
        </w:rPr>
        <w:t>.</w:t>
      </w:r>
      <w:r>
        <w:rPr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</w:rPr>
        <w:t>Results</w:t>
      </w:r>
      <w:r>
        <w:rPr>
          <w:b/>
          <w:bCs/>
          <w:color w:val="231F20"/>
          <w:spacing w:val="21"/>
        </w:rPr>
        <w:t xml:space="preserve">    </w:t>
      </w:r>
      <w:r>
        <w:rPr>
          <w:color w:val="231F20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21"/>
        </w:rPr>
        <w:t>ﬀ</w:t>
      </w:r>
      <w:r>
        <w:rPr>
          <w:color w:val="231F20"/>
        </w:rPr>
        <w:t>ective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experimental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1"/>
        </w:rPr>
        <w:t>90.00%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9"/>
        </w:rPr>
        <w:t>75.00%.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9"/>
        </w:rPr>
        <w:t>ﬀ</w:t>
      </w:r>
      <w:r>
        <w:rPr>
          <w:color w:val="231F20"/>
        </w:rPr>
        <w:t>ective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experimental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control </w:t>
      </w:r>
      <w:r>
        <w:rPr>
          <w:color w:val="231F20"/>
        </w:rPr>
        <w:t>group,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diﬀerence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signiﬁcant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(</w:t>
      </w:r>
      <w:r>
        <w:rPr>
          <w:i/>
          <w:iCs/>
          <w:color w:val="231F20"/>
        </w:rPr>
        <w:t>P</w:t>
      </w:r>
      <w:r>
        <w:rPr>
          <w:rFonts w:ascii="SimSun" w:hAnsi="SimSun" w:eastAsia="SimSun" w:cs="SimSun"/>
          <w:color w:val="231F20"/>
        </w:rPr>
        <w:t>＜</w:t>
      </w:r>
      <w:r>
        <w:rPr>
          <w:color w:val="231F20"/>
        </w:rPr>
        <w:t>0.05)</w:t>
      </w:r>
      <w:r>
        <w:rPr>
          <w:color w:val="231F20"/>
          <w:spacing w:val="-1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satisfaction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experimental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95.00%,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70.00%,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satisfaction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exp</w:t>
      </w:r>
      <w:r>
        <w:rPr>
          <w:color w:val="231F20"/>
          <w:spacing w:val="-1"/>
        </w:rPr>
        <w:t>erimental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higher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group,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diﬀerence was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signiﬁcant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(</w:t>
      </w:r>
      <w:r>
        <w:rPr>
          <w:i/>
          <w:iCs/>
          <w:color w:val="231F20"/>
        </w:rPr>
        <w:t>P</w:t>
      </w:r>
      <w:r>
        <w:rPr>
          <w:rFonts w:ascii="SimSun" w:hAnsi="SimSun" w:eastAsia="SimSun" w:cs="SimSun"/>
          <w:color w:val="231F20"/>
        </w:rPr>
        <w:t>＜</w:t>
      </w:r>
      <w:r>
        <w:rPr>
          <w:color w:val="231F20"/>
        </w:rPr>
        <w:t>0.05).</w:t>
      </w:r>
      <w:r>
        <w:rPr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</w:rPr>
        <w:t>Conclusion    </w:t>
      </w:r>
      <w:r>
        <w:rPr>
          <w:color w:val="231F20"/>
        </w:rPr>
        <w:t>Gynecologic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Qianjin t</w:t>
      </w:r>
      <w:r>
        <w:rPr>
          <w:color w:val="231F20"/>
          <w:spacing w:val="-1"/>
        </w:rPr>
        <w:t>ablet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combined with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antibiotics 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eﬀective</w:t>
      </w:r>
      <w:r>
        <w:rPr>
          <w:color w:val="231F20"/>
        </w:rPr>
        <w:t xml:space="preserve"> </w:t>
      </w:r>
      <w:r>
        <w:rPr>
          <w:color w:val="231F20"/>
        </w:rPr>
        <w:t>in the treatment 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chronic pelvic inﬂammatory disease, and the patients have high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satisfaction, which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is worthy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clinical promotion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2"/>
        </w:rPr>
        <w:t>.</w:t>
      </w:r>
    </w:p>
    <w:p>
      <w:pPr>
        <w:pStyle w:val="BodyText"/>
        <w:ind w:left="1007"/>
        <w:spacing w:before="5" w:line="212" w:lineRule="auto"/>
        <w:rPr/>
      </w:pPr>
      <w:r>
        <w:rPr>
          <w:rFonts w:ascii="SimSun" w:hAnsi="SimSun" w:eastAsia="SimSun" w:cs="SimSun"/>
          <w:color w:val="231F20"/>
        </w:rPr>
        <w:t>【</w:t>
      </w:r>
      <w:r>
        <w:rPr>
          <w:b/>
          <w:bCs/>
          <w:color w:val="231F20"/>
        </w:rPr>
        <w:t>Key words</w:t>
      </w:r>
      <w:r>
        <w:rPr>
          <w:rFonts w:ascii="SimSun" w:hAnsi="SimSun" w:eastAsia="SimSun" w:cs="SimSun"/>
          <w:color w:val="231F20"/>
        </w:rPr>
        <w:t>】</w:t>
      </w:r>
      <w:r>
        <w:rPr>
          <w:color w:val="231F20"/>
        </w:rPr>
        <w:t>Chronic pelvic inﬂammatory disease; Gynecological Qianjin tablets;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Antibiotics; Therapeutic eﬀ</w:t>
      </w:r>
      <w:r>
        <w:rPr>
          <w:color w:val="231F20"/>
          <w:spacing w:val="-1"/>
        </w:rPr>
        <w:t>ect</w:t>
      </w:r>
    </w:p>
    <w:p>
      <w:pPr>
        <w:spacing w:before="224"/>
        <w:rPr/>
      </w:pPr>
      <w:r/>
    </w:p>
    <w:p>
      <w:pPr>
        <w:sectPr>
          <w:footerReference w:type="default" r:id="rId1"/>
          <w:pgSz w:w="11906" w:h="16838"/>
          <w:pgMar w:top="1062" w:right="1130" w:bottom="547" w:left="407" w:header="0" w:footer="354" w:gutter="0"/>
          <w:cols w:equalWidth="0" w:num="1">
            <w:col w:w="10367" w:space="0"/>
          </w:cols>
        </w:sectPr>
        <w:rPr/>
      </w:pPr>
    </w:p>
    <w:p>
      <w:pPr>
        <w:pStyle w:val="BodyText"/>
        <w:ind w:left="730" w:right="328" w:firstLine="422"/>
        <w:spacing w:before="45" w:line="28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慢性盆腔炎是一种女性盆腔内器官的慢性炎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症，包括子宫、输卵管、卵巢和周围组织等。它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通常是由细菌感染引起的，如淋病、支原体感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染、沙眼衣原体感染等。慢性盆腔炎的症状包括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下腹痛、痛经、性交疼痛、白带增多等。如果不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及时治疗，可能会导致输卵管堵塞、不孕不育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等严重后果。治疗方法包括抗生素治疗、物理疗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法、手术治疗等</w:t>
      </w:r>
      <w:r>
        <w:rPr>
          <w:sz w:val="12"/>
          <w:szCs w:val="12"/>
          <w:color w:val="231F20"/>
          <w:position w:val="9"/>
        </w:rPr>
        <w:t>[1] </w:t>
      </w:r>
      <w:r>
        <w:rPr>
          <w:rFonts w:ascii="SimSun" w:hAnsi="SimSun" w:eastAsia="SimSun" w:cs="SimSun"/>
          <w:sz w:val="21"/>
          <w:szCs w:val="21"/>
          <w:color w:val="231F20"/>
        </w:rPr>
        <w:t>。慢性盆腔炎病情易反复，不易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根治，当患者的免疫力下降时，该病极易迅速复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发，比如人工流产术后、分娩后受到病菌感染而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未能彻底治愈就容易转变成慢性盆腔炎</w:t>
      </w:r>
      <w:r>
        <w:rPr>
          <w:sz w:val="12"/>
          <w:szCs w:val="12"/>
          <w:color w:val="231F20"/>
          <w:position w:val="9"/>
        </w:rPr>
        <w:t>[2] </w:t>
      </w:r>
      <w:r>
        <w:rPr>
          <w:rFonts w:ascii="SimSun" w:hAnsi="SimSun" w:eastAsia="SimSun" w:cs="SimSun"/>
          <w:sz w:val="21"/>
          <w:szCs w:val="21"/>
          <w:color w:val="231F20"/>
        </w:rPr>
        <w:t>。现阶段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2"/>
        <w:spacing w:before="44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女性急性盆腔炎的发病率正在逐年上升，若不及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时治疗可能会出现不孕不育、异位妊娠等不良情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况，严重损害了患者的身心健康，给患者生活造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成不良影响</w:t>
      </w:r>
      <w:r>
        <w:rPr>
          <w:sz w:val="12"/>
          <w:szCs w:val="12"/>
          <w:color w:val="231F20"/>
          <w:spacing w:val="-1"/>
          <w:position w:val="9"/>
        </w:rPr>
        <w:t>[3]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。目前临床中主要采用抗生素治疗，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临床疗效并不理想，且不良反应较多。鉴于此，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本研究选择</w:t>
      </w:r>
      <w:r>
        <w:rPr>
          <w:sz w:val="21"/>
          <w:szCs w:val="21"/>
          <w:color w:val="231F20"/>
          <w:spacing w:val="6"/>
        </w:rPr>
        <w:t>40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例慢性盆腔炎患者为研究对象，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探究妇科千金片联合抗生素治疗慢性盆腔炎的疗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效，现报道如下。</w:t>
      </w:r>
    </w:p>
    <w:p>
      <w:pPr>
        <w:pStyle w:val="BodyText"/>
        <w:ind w:left="10"/>
        <w:spacing w:before="3" w:line="206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5"/>
        </w:rPr>
        <w:t>1</w:t>
      </w:r>
      <w:r>
        <w:rPr>
          <w:sz w:val="22"/>
          <w:szCs w:val="22"/>
          <w:b/>
          <w:bCs/>
          <w:color w:val="231F20"/>
          <w:spacing w:val="4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31F20"/>
          <w:spacing w:val="-5"/>
        </w:rPr>
        <w:t>资料与方法</w:t>
      </w:r>
    </w:p>
    <w:p>
      <w:pPr>
        <w:pStyle w:val="BodyText"/>
        <w:ind w:left="9"/>
        <w:spacing w:before="79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1.1</w:t>
      </w:r>
      <w:r>
        <w:rPr>
          <w:sz w:val="21"/>
          <w:szCs w:val="21"/>
          <w:b/>
          <w:bCs/>
          <w:color w:val="231F20"/>
          <w:spacing w:val="4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临床资料</w:t>
      </w:r>
    </w:p>
    <w:p>
      <w:pPr>
        <w:pStyle w:val="BodyText"/>
        <w:ind w:right="2"/>
        <w:spacing w:before="80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选择</w:t>
      </w:r>
      <w:r>
        <w:rPr>
          <w:sz w:val="21"/>
          <w:szCs w:val="21"/>
          <w:color w:val="231F20"/>
          <w:spacing w:val="17"/>
        </w:rPr>
        <w:t>2020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年</w:t>
      </w:r>
      <w:r>
        <w:rPr>
          <w:sz w:val="21"/>
          <w:szCs w:val="21"/>
          <w:color w:val="231F20"/>
          <w:spacing w:val="17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月—</w:t>
      </w:r>
      <w:r>
        <w:rPr>
          <w:sz w:val="21"/>
          <w:szCs w:val="21"/>
          <w:color w:val="231F20"/>
          <w:spacing w:val="17"/>
        </w:rPr>
        <w:t>2022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年</w:t>
      </w:r>
      <w:r>
        <w:rPr>
          <w:sz w:val="21"/>
          <w:szCs w:val="21"/>
          <w:color w:val="231F20"/>
          <w:spacing w:val="17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月于本院治疗的</w:t>
      </w:r>
    </w:p>
    <w:p>
      <w:pPr>
        <w:spacing w:line="219" w:lineRule="auto"/>
        <w:sectPr>
          <w:type w:val="continuous"/>
          <w:pgSz w:w="11906" w:h="16838"/>
          <w:pgMar w:top="1062" w:right="1130" w:bottom="547" w:left="407" w:header="0" w:footer="354" w:gutter="0"/>
          <w:cols w:equalWidth="0" w:num="2">
            <w:col w:w="5662" w:space="100"/>
            <w:col w:w="460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spacing w:before="61" w:line="144" w:lineRule="exact"/>
        <w:jc w:val="right"/>
        <w:rPr>
          <w:sz w:val="21"/>
          <w:szCs w:val="21"/>
        </w:rPr>
      </w:pPr>
      <w:r>
        <w:rPr>
          <w:sz w:val="21"/>
          <w:szCs w:val="21"/>
          <w:color w:val="231F20"/>
          <w:spacing w:val="-4"/>
          <w:position w:val="-3"/>
        </w:rPr>
        <w:t>79</w:t>
      </w:r>
    </w:p>
    <w:p>
      <w:pPr>
        <w:spacing w:line="144" w:lineRule="exact"/>
        <w:sectPr>
          <w:type w:val="continuous"/>
          <w:pgSz w:w="11906" w:h="16838"/>
          <w:pgMar w:top="1062" w:right="1130" w:bottom="547" w:left="407" w:header="0" w:footer="354" w:gutter="0"/>
          <w:cols w:equalWidth="0" w:num="1">
            <w:col w:w="10367" w:space="0"/>
          </w:cols>
        </w:sectPr>
        <w:rPr>
          <w:sz w:val="21"/>
          <w:szCs w:val="21"/>
        </w:rPr>
      </w:pPr>
    </w:p>
    <w:p>
      <w:pPr>
        <w:spacing w:before="237"/>
        <w:rPr/>
      </w:pPr>
      <w:r/>
    </w:p>
    <w:p>
      <w:pPr>
        <w:sectPr>
          <w:headerReference w:type="default" r:id="rId2"/>
          <w:footerReference w:type="default" r:id="rId3"/>
          <w:pgSz w:w="11906" w:h="16838"/>
          <w:pgMar w:top="1464" w:right="1132" w:bottom="797" w:left="407" w:header="1042" w:footer="354" w:gutter="0"/>
          <w:cols w:equalWidth="0" w:num="1">
            <w:col w:w="10365" w:space="0"/>
          </w:cols>
        </w:sectPr>
        <w:rPr/>
      </w:pPr>
    </w:p>
    <w:p>
      <w:pPr>
        <w:pStyle w:val="BodyText"/>
        <w:ind w:left="730" w:right="319" w:hanging="1"/>
        <w:spacing w:before="43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40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例慢性盆腔炎患者为研究对象，按治疗方式不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同分为对照组和试验组，每组</w:t>
      </w:r>
      <w:r>
        <w:rPr>
          <w:sz w:val="21"/>
          <w:szCs w:val="21"/>
          <w:color w:val="231F20"/>
          <w:spacing w:val="8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例。对照组年龄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4"/>
        </w:rPr>
        <w:t>20~52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岁，平均（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  <w:spacing w:val="4"/>
        </w:rPr>
        <w:t>32.95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±</w:t>
      </w:r>
      <w:r>
        <w:rPr>
          <w:rFonts w:ascii="SimSun" w:hAnsi="SimSun" w:eastAsia="SimSun" w:cs="SimSun"/>
          <w:sz w:val="21"/>
          <w:szCs w:val="21"/>
          <w:color w:val="231F20"/>
          <w:spacing w:val="-71"/>
        </w:rPr>
        <w:t xml:space="preserve"> </w:t>
      </w:r>
      <w:r>
        <w:rPr>
          <w:sz w:val="21"/>
          <w:szCs w:val="21"/>
          <w:color w:val="231F20"/>
          <w:spacing w:val="4"/>
        </w:rPr>
        <w:t>1.29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）岁；试验组年龄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"/>
        </w:rPr>
        <w:t>21~53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岁，平均（</w:t>
      </w:r>
      <w:r>
        <w:rPr>
          <w:sz w:val="21"/>
          <w:szCs w:val="21"/>
          <w:color w:val="231F20"/>
          <w:spacing w:val="2"/>
        </w:rPr>
        <w:t>33.25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±</w:t>
      </w:r>
      <w:r>
        <w:rPr>
          <w:rFonts w:ascii="SimSun" w:hAnsi="SimSun" w:eastAsia="SimSun" w:cs="SimSun"/>
          <w:sz w:val="21"/>
          <w:szCs w:val="21"/>
          <w:color w:val="231F20"/>
          <w:spacing w:val="-77"/>
        </w:rPr>
        <w:t xml:space="preserve"> </w:t>
      </w:r>
      <w:r>
        <w:rPr>
          <w:sz w:val="21"/>
          <w:szCs w:val="21"/>
          <w:color w:val="231F20"/>
          <w:spacing w:val="2"/>
        </w:rPr>
        <w:t>1.83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）岁。两组患者一般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资料比较，差异无统计学意义（</w:t>
      </w:r>
      <w:r>
        <w:rPr>
          <w:sz w:val="21"/>
          <w:szCs w:val="21"/>
          <w:i/>
          <w:iCs/>
          <w:color w:val="231F20"/>
          <w:spacing w:val="4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＞</w:t>
      </w:r>
      <w:r>
        <w:rPr>
          <w:sz w:val="21"/>
          <w:szCs w:val="21"/>
          <w:color w:val="231F20"/>
          <w:spacing w:val="4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具有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可比性。本研究经医学伦理委员会批准，所有患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者均知情同意，并自愿签署知情同意书。纳入标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准：患者宫体出现压痛感；阴道分泌物异常增多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并伴有异味；体温≥</w:t>
      </w:r>
      <w:r>
        <w:rPr>
          <w:sz w:val="21"/>
          <w:szCs w:val="21"/>
          <w:color w:val="231F20"/>
          <w:spacing w:val="8"/>
        </w:rPr>
        <w:t>38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℃；通过子宫内膜活检发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现内膜出现炎症；通过超声、腹腔镜检查结果为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盆腔炎相关特征。</w:t>
      </w:r>
    </w:p>
    <w:p>
      <w:pPr>
        <w:pStyle w:val="BodyText"/>
        <w:ind w:left="739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1.2</w:t>
      </w:r>
      <w:r>
        <w:rPr>
          <w:sz w:val="21"/>
          <w:szCs w:val="21"/>
          <w:b/>
          <w:bCs/>
          <w:color w:val="231F20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方法</w:t>
      </w:r>
    </w:p>
    <w:p>
      <w:pPr>
        <w:pStyle w:val="BodyText"/>
        <w:ind w:left="730" w:right="319" w:firstLine="418"/>
        <w:spacing w:before="79" w:line="2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对照组给予抗生素治疗、纠正电解质紊乱、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补液等措施：采用</w:t>
      </w:r>
      <w:r>
        <w:rPr>
          <w:sz w:val="21"/>
          <w:szCs w:val="21"/>
          <w:color w:val="231F20"/>
          <w:spacing w:val="2"/>
        </w:rPr>
        <w:t>300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万</w:t>
      </w:r>
      <w:r>
        <w:rPr>
          <w:sz w:val="21"/>
          <w:szCs w:val="21"/>
          <w:color w:val="231F20"/>
          <w:spacing w:val="2"/>
        </w:rPr>
        <w:t>U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和</w:t>
      </w:r>
      <w:r>
        <w:rPr>
          <w:sz w:val="21"/>
          <w:szCs w:val="21"/>
          <w:color w:val="231F20"/>
          <w:spacing w:val="2"/>
        </w:rPr>
        <w:t>300</w:t>
      </w:r>
      <w:r>
        <w:rPr>
          <w:sz w:val="21"/>
          <w:szCs w:val="21"/>
          <w:color w:val="231F20"/>
          <w:spacing w:val="34"/>
        </w:rPr>
        <w:t xml:space="preserve"> </w:t>
      </w:r>
      <w:r>
        <w:rPr>
          <w:sz w:val="21"/>
          <w:szCs w:val="21"/>
          <w:color w:val="231F20"/>
        </w:rPr>
        <w:t>ml</w:t>
      </w:r>
      <w:r>
        <w:rPr>
          <w:sz w:val="21"/>
          <w:szCs w:val="21"/>
          <w:color w:val="231F20"/>
          <w:spacing w:val="31"/>
        </w:rPr>
        <w:t xml:space="preserve"> </w:t>
      </w:r>
      <w:r>
        <w:rPr>
          <w:sz w:val="21"/>
          <w:szCs w:val="21"/>
          <w:color w:val="231F20"/>
          <w:spacing w:val="2"/>
        </w:rPr>
        <w:t>0.9%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氯化钠注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射液进行配制，静脉滴注， </w:t>
      </w:r>
      <w:r>
        <w:rPr>
          <w:sz w:val="21"/>
          <w:szCs w:val="21"/>
          <w:color w:val="231F20"/>
          <w:spacing w:val="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次</w:t>
      </w:r>
      <w:r>
        <w:rPr>
          <w:sz w:val="21"/>
          <w:szCs w:val="21"/>
          <w:color w:val="231F20"/>
          <w:spacing w:val="1"/>
        </w:rPr>
        <w:t>/d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，疗程为</w:t>
      </w:r>
      <w:r>
        <w:rPr>
          <w:sz w:val="21"/>
          <w:szCs w:val="21"/>
          <w:color w:val="231F20"/>
          <w:spacing w:val="1"/>
        </w:rPr>
        <w:t>12</w:t>
      </w:r>
      <w:r>
        <w:rPr>
          <w:sz w:val="21"/>
          <w:szCs w:val="21"/>
          <w:color w:val="231F20"/>
          <w:spacing w:val="47"/>
        </w:rPr>
        <w:t xml:space="preserve"> </w:t>
      </w:r>
      <w:r>
        <w:rPr>
          <w:sz w:val="21"/>
          <w:szCs w:val="21"/>
          <w:color w:val="231F20"/>
          <w:spacing w:val="1"/>
        </w:rPr>
        <w:t>d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同时静脉滴注</w:t>
      </w:r>
      <w:r>
        <w:rPr>
          <w:sz w:val="21"/>
          <w:szCs w:val="21"/>
          <w:color w:val="231F20"/>
        </w:rPr>
        <w:t>120 ml 0.6%</w:t>
      </w:r>
      <w:r>
        <w:rPr>
          <w:rFonts w:ascii="SimSun" w:hAnsi="SimSun" w:eastAsia="SimSun" w:cs="SimSun"/>
          <w:sz w:val="21"/>
          <w:szCs w:val="21"/>
          <w:color w:val="231F20"/>
        </w:rPr>
        <w:t>甲硝唑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次</w:t>
      </w:r>
      <w:r>
        <w:rPr>
          <w:sz w:val="21"/>
          <w:szCs w:val="21"/>
          <w:color w:val="231F20"/>
          <w:spacing w:val="-1"/>
        </w:rPr>
        <w:t>/d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728" w:right="319" w:firstLine="423"/>
        <w:spacing w:line="2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试验组在对照组基础上给予妇科千金片治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疗，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次</w:t>
      </w:r>
      <w:r>
        <w:rPr>
          <w:sz w:val="21"/>
          <w:szCs w:val="21"/>
          <w:color w:val="231F20"/>
          <w:spacing w:val="-1"/>
        </w:rPr>
        <w:t>/d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5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片</w:t>
      </w:r>
      <w:r>
        <w:rPr>
          <w:sz w:val="21"/>
          <w:szCs w:val="21"/>
          <w:color w:val="231F20"/>
          <w:spacing w:val="-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次，疗程为</w:t>
      </w:r>
      <w:r>
        <w:rPr>
          <w:sz w:val="21"/>
          <w:szCs w:val="21"/>
          <w:color w:val="231F20"/>
          <w:spacing w:val="-1"/>
        </w:rPr>
        <w:t>12 d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73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1.3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观察指标及判定标准</w:t>
      </w:r>
    </w:p>
    <w:p>
      <w:pPr>
        <w:pStyle w:val="BodyText"/>
        <w:ind w:left="734" w:right="320" w:firstLine="435"/>
        <w:spacing w:before="7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①治疗总有效率。痊愈：治疗后，患者盆腔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炎症状完全缓解甚至消失，同时通过</w:t>
      </w:r>
      <w:r>
        <w:rPr>
          <w:sz w:val="21"/>
          <w:szCs w:val="21"/>
          <w:color w:val="231F20"/>
          <w:spacing w:val="2"/>
        </w:rPr>
        <w:t>B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超声检查后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firstLine="2"/>
        <w:spacing w:before="41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机体情况完全恢复正常，盆腔炎包块完全消失，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未出现炎性伴随的渗液为痊愈；有效：患者盆腔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炎性包块有所缓解，同时伴随炎性的渗液有所减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少为有效；无效：患者治疗前出现的症状体征均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无任何改变，经过</w:t>
      </w:r>
      <w:r>
        <w:rPr>
          <w:sz w:val="21"/>
          <w:szCs w:val="21"/>
          <w:color w:val="231F20"/>
          <w:spacing w:val="12"/>
        </w:rPr>
        <w:t>B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超检查后附件的情况未曾恢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复，盆腔炎性包块并未消减，炎性渗出液的量也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没有出现任何降低的趋势为无效。总有效率</w:t>
      </w:r>
      <w:r>
        <w:rPr>
          <w:sz w:val="21"/>
          <w:szCs w:val="21"/>
          <w:color w:val="231F20"/>
          <w:spacing w:val="3"/>
        </w:rPr>
        <w:t>=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（痊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愈</w:t>
      </w:r>
      <w:r>
        <w:rPr>
          <w:sz w:val="21"/>
          <w:szCs w:val="21"/>
          <w:color w:val="231F20"/>
          <w:spacing w:val="6"/>
        </w:rPr>
        <w:t>+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有效）例数</w:t>
      </w:r>
      <w:r>
        <w:rPr>
          <w:sz w:val="21"/>
          <w:szCs w:val="21"/>
          <w:color w:val="231F20"/>
          <w:spacing w:val="6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本组总例数×</w:t>
      </w:r>
      <w:r>
        <w:rPr>
          <w:sz w:val="21"/>
          <w:szCs w:val="21"/>
          <w:color w:val="231F20"/>
          <w:spacing w:val="6"/>
        </w:rPr>
        <w:t>100%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。②治疗满意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度。治疗周期结束后，对患者进行治疗满意度调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查，共分为非常满意、满意及不满意</w:t>
      </w:r>
      <w:r>
        <w:rPr>
          <w:sz w:val="21"/>
          <w:szCs w:val="21"/>
          <w:color w:val="231F20"/>
          <w:spacing w:val="-6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个维度，满意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度</w:t>
      </w:r>
      <w:r>
        <w:rPr>
          <w:sz w:val="21"/>
          <w:szCs w:val="21"/>
          <w:color w:val="231F20"/>
          <w:spacing w:val="-4"/>
        </w:rPr>
        <w:t>=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（非常满意</w:t>
      </w:r>
      <w:r>
        <w:rPr>
          <w:sz w:val="21"/>
          <w:szCs w:val="21"/>
          <w:color w:val="231F20"/>
          <w:spacing w:val="-4"/>
        </w:rPr>
        <w:t>+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满意）例数</w:t>
      </w:r>
      <w:r>
        <w:rPr>
          <w:sz w:val="21"/>
          <w:szCs w:val="21"/>
          <w:color w:val="231F20"/>
          <w:spacing w:val="-4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本组总例数×</w:t>
      </w:r>
      <w:r>
        <w:rPr>
          <w:sz w:val="21"/>
          <w:szCs w:val="21"/>
          <w:color w:val="231F20"/>
          <w:spacing w:val="-4"/>
        </w:rPr>
        <w:t>100</w:t>
      </w:r>
      <w:r>
        <w:rPr>
          <w:sz w:val="21"/>
          <w:szCs w:val="21"/>
          <w:color w:val="231F20"/>
          <w:spacing w:val="-5"/>
        </w:rPr>
        <w:t>%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。</w:t>
      </w:r>
    </w:p>
    <w:p>
      <w:pPr>
        <w:pStyle w:val="BodyText"/>
        <w:ind w:left="18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2"/>
        </w:rPr>
        <w:t>1.4  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统计学方法</w:t>
      </w:r>
    </w:p>
    <w:p>
      <w:pPr>
        <w:pStyle w:val="BodyText"/>
        <w:ind w:right="2" w:firstLine="436"/>
        <w:spacing w:before="78" w:line="2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采用</w:t>
      </w:r>
      <w:r>
        <w:rPr>
          <w:sz w:val="21"/>
          <w:szCs w:val="21"/>
          <w:color w:val="231F20"/>
        </w:rPr>
        <w:t>SPSS</w:t>
      </w:r>
      <w:r>
        <w:rPr>
          <w:sz w:val="21"/>
          <w:szCs w:val="21"/>
          <w:color w:val="231F20"/>
          <w:spacing w:val="39"/>
          <w:w w:val="101"/>
        </w:rPr>
        <w:t xml:space="preserve"> </w:t>
      </w:r>
      <w:r>
        <w:rPr>
          <w:sz w:val="21"/>
          <w:szCs w:val="21"/>
          <w:color w:val="231F20"/>
          <w:spacing w:val="5"/>
        </w:rPr>
        <w:t>23.0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统计学软件对数据进行统计分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析。计量资料以均数±标准差（</w:t>
      </w:r>
      <w:r>
        <w:rPr>
          <w:sz w:val="21"/>
          <w:szCs w:val="21"/>
          <w:i/>
          <w:iCs/>
          <w:color w:val="231F20"/>
          <w:spacing w:val="-3"/>
        </w:rPr>
        <w:t>x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±</w:t>
      </w:r>
      <w:r>
        <w:rPr>
          <w:sz w:val="21"/>
          <w:szCs w:val="21"/>
          <w:i/>
          <w:iCs/>
          <w:color w:val="231F20"/>
          <w:spacing w:val="-3"/>
        </w:rPr>
        <w:t>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）表示，采用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i/>
          <w:iCs/>
          <w:color w:val="231F20"/>
          <w:spacing w:val="6"/>
        </w:rPr>
        <w:t>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检验；计数资料以</w:t>
      </w:r>
      <w:r>
        <w:rPr>
          <w:sz w:val="21"/>
          <w:szCs w:val="21"/>
          <w:color w:val="231F20"/>
          <w:spacing w:val="6"/>
        </w:rPr>
        <w:t>[</w:t>
      </w:r>
      <w:r>
        <w:rPr>
          <w:sz w:val="21"/>
          <w:szCs w:val="21"/>
          <w:i/>
          <w:iCs/>
          <w:color w:val="231F20"/>
          <w:spacing w:val="6"/>
        </w:rPr>
        <w:t>n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（</w:t>
      </w:r>
      <w:r>
        <w:rPr>
          <w:sz w:val="21"/>
          <w:szCs w:val="21"/>
          <w:color w:val="231F20"/>
          <w:spacing w:val="6"/>
        </w:rPr>
        <w:t>%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）</w:t>
      </w:r>
      <w:r>
        <w:rPr>
          <w:sz w:val="21"/>
          <w:szCs w:val="21"/>
          <w:color w:val="231F20"/>
          <w:spacing w:val="6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表示，采用</w:t>
      </w:r>
      <w:r>
        <w:rPr>
          <w:sz w:val="21"/>
          <w:szCs w:val="21"/>
          <w:i/>
          <w:iCs/>
          <w:color w:val="231F20"/>
          <w:spacing w:val="6"/>
        </w:rPr>
        <w:t>χ</w:t>
      </w:r>
      <w:r>
        <w:rPr>
          <w:sz w:val="12"/>
          <w:szCs w:val="12"/>
          <w:color w:val="231F20"/>
          <w:spacing w:val="6"/>
          <w:position w:val="9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检验。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i/>
          <w:iCs/>
          <w:color w:val="231F20"/>
          <w:spacing w:val="-2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＜</w:t>
      </w:r>
      <w:r>
        <w:rPr>
          <w:sz w:val="21"/>
          <w:szCs w:val="21"/>
          <w:color w:val="231F20"/>
          <w:spacing w:val="-2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表示差异有统计学意义。</w:t>
      </w:r>
    </w:p>
    <w:p>
      <w:pPr>
        <w:pStyle w:val="BodyText"/>
        <w:ind w:left="10"/>
        <w:spacing w:before="15" w:line="204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5"/>
        </w:rPr>
        <w:t>2</w:t>
      </w:r>
      <w:r>
        <w:rPr>
          <w:sz w:val="22"/>
          <w:szCs w:val="22"/>
          <w:b/>
          <w:bCs/>
          <w:color w:val="231F20"/>
          <w:spacing w:val="3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31F20"/>
          <w:spacing w:val="-5"/>
        </w:rPr>
        <w:t>结果</w:t>
      </w:r>
    </w:p>
    <w:p>
      <w:pPr>
        <w:pStyle w:val="BodyText"/>
        <w:ind w:left="9"/>
        <w:spacing w:before="77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2.1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两组患者治疗效果比较</w:t>
      </w:r>
    </w:p>
    <w:p>
      <w:pPr>
        <w:pStyle w:val="BodyText"/>
        <w:ind w:left="10" w:right="6" w:firstLine="420"/>
        <w:spacing w:before="80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试验组治疗总有效率为</w:t>
      </w:r>
      <w:r>
        <w:rPr>
          <w:sz w:val="21"/>
          <w:szCs w:val="21"/>
          <w:color w:val="231F20"/>
          <w:spacing w:val="7"/>
        </w:rPr>
        <w:t>90.00%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，对照治疗总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有效率为</w:t>
      </w:r>
      <w:r>
        <w:rPr>
          <w:sz w:val="21"/>
          <w:szCs w:val="21"/>
          <w:color w:val="231F20"/>
          <w:spacing w:val="7"/>
        </w:rPr>
        <w:t>75.00%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，试验组高于对照组，差异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有统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计学意义（</w:t>
      </w:r>
      <w:r>
        <w:rPr>
          <w:sz w:val="21"/>
          <w:szCs w:val="21"/>
          <w:i/>
          <w:iCs/>
          <w:color w:val="231F20"/>
          <w:spacing w:val="-1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＜</w:t>
      </w:r>
      <w:r>
        <w:rPr>
          <w:sz w:val="21"/>
          <w:szCs w:val="21"/>
          <w:color w:val="231F20"/>
          <w:spacing w:val="-1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）。见表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290" w:lineRule="auto"/>
        <w:sectPr>
          <w:type w:val="continuous"/>
          <w:pgSz w:w="11906" w:h="16838"/>
          <w:pgMar w:top="1464" w:right="1132" w:bottom="797" w:left="407" w:header="1042" w:footer="354" w:gutter="0"/>
          <w:cols w:equalWidth="0" w:num="2">
            <w:col w:w="5653" w:space="100"/>
            <w:col w:w="461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4039"/>
        <w:spacing w:before="168" w:line="223" w:lineRule="auto"/>
        <w:outlineLvl w:val="0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spacing w:val="-1"/>
        </w:rPr>
        <w:t>表1</w:t>
      </w:r>
      <w:r>
        <w:rPr>
          <w:rFonts w:ascii="SimHei" w:hAnsi="SimHei" w:eastAsia="SimHei" w:cs="SimHei"/>
          <w:color w:val="231F20"/>
          <w:spacing w:val="-1"/>
        </w:rPr>
        <w:t xml:space="preserve">  </w:t>
      </w:r>
      <w:r>
        <w:rPr>
          <w:rFonts w:ascii="SimSun" w:hAnsi="SimSun" w:eastAsia="SimSun" w:cs="SimSun"/>
          <w:color w:val="231F20"/>
          <w:spacing w:val="-1"/>
        </w:rPr>
        <w:t>两组患者治疗效果比较（</w:t>
      </w:r>
      <w:r>
        <w:rPr>
          <w:i/>
          <w:iCs/>
          <w:color w:val="231F20"/>
          <w:spacing w:val="-1"/>
        </w:rPr>
        <w:t>n</w:t>
      </w:r>
      <w:r>
        <w:rPr>
          <w:rFonts w:ascii="SimSun" w:hAnsi="SimSun" w:eastAsia="SimSun" w:cs="SimSun"/>
          <w:color w:val="231F20"/>
          <w:spacing w:val="-1"/>
        </w:rPr>
        <w:t>，</w:t>
      </w:r>
      <w:r>
        <w:rPr>
          <w:color w:val="231F20"/>
          <w:spacing w:val="-1"/>
        </w:rPr>
        <w:t>%</w:t>
      </w:r>
      <w:r>
        <w:rPr>
          <w:rFonts w:ascii="SimSun" w:hAnsi="SimSun" w:eastAsia="SimSun" w:cs="SimSun"/>
          <w:color w:val="231F20"/>
          <w:spacing w:val="-1"/>
        </w:rPr>
        <w:t>）</w:t>
      </w:r>
    </w:p>
    <w:p>
      <w:pPr>
        <w:spacing w:line="19" w:lineRule="exact"/>
        <w:rPr/>
      </w:pPr>
      <w:r/>
    </w:p>
    <w:tbl>
      <w:tblPr>
        <w:tblStyle w:val="TableNormal"/>
        <w:tblW w:w="9637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48"/>
        <w:gridCol w:w="1563"/>
        <w:gridCol w:w="1605"/>
        <w:gridCol w:w="1609"/>
        <w:gridCol w:w="1523"/>
        <w:gridCol w:w="1689"/>
      </w:tblGrid>
      <w:tr>
        <w:trPr>
          <w:trHeight w:val="316" w:hRule="atLeast"/>
        </w:trPr>
        <w:tc>
          <w:tcPr>
            <w:tcW w:w="164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41"/>
              <w:spacing w:before="73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3"/>
              </w:rPr>
              <w:t>组别</w:t>
            </w:r>
          </w:p>
        </w:tc>
        <w:tc>
          <w:tcPr>
            <w:tcW w:w="156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97"/>
              <w:spacing w:before="72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例数</w:t>
            </w:r>
          </w:p>
        </w:tc>
        <w:tc>
          <w:tcPr>
            <w:tcW w:w="160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40"/>
              <w:spacing w:before="72" w:line="22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痊愈</w:t>
            </w:r>
          </w:p>
        </w:tc>
        <w:tc>
          <w:tcPr>
            <w:tcW w:w="160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42"/>
              <w:spacing w:before="73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有效</w:t>
            </w:r>
          </w:p>
        </w:tc>
        <w:tc>
          <w:tcPr>
            <w:tcW w:w="152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41"/>
              <w:spacing w:before="73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无效</w:t>
            </w:r>
          </w:p>
        </w:tc>
        <w:tc>
          <w:tcPr>
            <w:tcW w:w="16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57"/>
              <w:spacing w:before="72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3"/>
              </w:rPr>
              <w:t>总有效率</w:t>
            </w:r>
          </w:p>
        </w:tc>
      </w:tr>
      <w:tr>
        <w:trPr>
          <w:trHeight w:val="313" w:hRule="atLeast"/>
        </w:trPr>
        <w:tc>
          <w:tcPr>
            <w:tcW w:w="1648" w:type="dxa"/>
            <w:vAlign w:val="top"/>
            <w:tcBorders>
              <w:top w:val="single" w:color="231F20" w:sz="2" w:space="0"/>
            </w:tcBorders>
          </w:tcPr>
          <w:p>
            <w:pPr>
              <w:ind w:left="553"/>
              <w:spacing w:before="73" w:line="22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对照组</w:t>
            </w:r>
          </w:p>
        </w:tc>
        <w:tc>
          <w:tcPr>
            <w:tcW w:w="15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79"/>
              <w:spacing w:before="104" w:line="186" w:lineRule="auto"/>
              <w:rPr/>
            </w:pPr>
            <w:r>
              <w:rPr>
                <w:color w:val="231F20"/>
                <w:spacing w:val="-1"/>
              </w:rPr>
              <w:t>20</w:t>
            </w:r>
          </w:p>
        </w:tc>
        <w:tc>
          <w:tcPr>
            <w:tcW w:w="16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8"/>
              <w:spacing w:before="104" w:line="186" w:lineRule="auto"/>
              <w:rPr/>
            </w:pPr>
            <w:r>
              <w:rPr>
                <w:color w:val="231F20"/>
                <w:spacing w:val="-5"/>
              </w:rPr>
              <w:t>10</w:t>
            </w:r>
          </w:p>
        </w:tc>
        <w:tc>
          <w:tcPr>
            <w:tcW w:w="16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71"/>
              <w:spacing w:before="106" w:line="183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15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8"/>
              <w:spacing w:before="106" w:line="183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16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1"/>
              <w:spacing w:before="104" w:line="186" w:lineRule="auto"/>
              <w:rPr/>
            </w:pPr>
            <w:r>
              <w:rPr>
                <w:color w:val="231F20"/>
                <w:spacing w:val="-1"/>
              </w:rPr>
              <w:t>75.00</w:t>
            </w:r>
          </w:p>
        </w:tc>
      </w:tr>
      <w:tr>
        <w:trPr>
          <w:trHeight w:val="315" w:hRule="atLeast"/>
        </w:trPr>
        <w:tc>
          <w:tcPr>
            <w:tcW w:w="1648" w:type="dxa"/>
            <w:vAlign w:val="top"/>
          </w:tcPr>
          <w:p>
            <w:pPr>
              <w:ind w:left="554"/>
              <w:spacing w:before="81" w:line="22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试验组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679"/>
              <w:spacing w:before="112" w:line="186" w:lineRule="auto"/>
              <w:rPr/>
            </w:pPr>
            <w:r>
              <w:rPr>
                <w:color w:val="231F20"/>
                <w:spacing w:val="-1"/>
              </w:rPr>
              <w:t>20</w:t>
            </w:r>
          </w:p>
        </w:tc>
        <w:tc>
          <w:tcPr>
            <w:tcW w:w="1605" w:type="dxa"/>
            <w:vAlign w:val="top"/>
          </w:tcPr>
          <w:p>
            <w:pPr>
              <w:pStyle w:val="TableText"/>
              <w:ind w:left="738"/>
              <w:spacing w:before="112" w:line="186" w:lineRule="auto"/>
              <w:rPr/>
            </w:pPr>
            <w:r>
              <w:rPr>
                <w:color w:val="231F20"/>
                <w:spacing w:val="-5"/>
              </w:rPr>
              <w:t>16</w:t>
            </w:r>
          </w:p>
        </w:tc>
        <w:tc>
          <w:tcPr>
            <w:tcW w:w="1609" w:type="dxa"/>
            <w:vAlign w:val="top"/>
          </w:tcPr>
          <w:p>
            <w:pPr>
              <w:pStyle w:val="TableText"/>
              <w:ind w:left="766"/>
              <w:spacing w:before="112" w:line="186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523" w:type="dxa"/>
            <w:vAlign w:val="top"/>
          </w:tcPr>
          <w:p>
            <w:pPr>
              <w:pStyle w:val="TableText"/>
              <w:ind w:left="764"/>
              <w:spacing w:before="112" w:line="186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680"/>
              <w:spacing w:before="99" w:line="202" w:lineRule="auto"/>
              <w:rPr>
                <w:sz w:val="9"/>
                <w:szCs w:val="9"/>
              </w:rPr>
            </w:pPr>
            <w:r>
              <w:rPr>
                <w:color w:val="231F20"/>
                <w:spacing w:val="-1"/>
              </w:rPr>
              <w:t>90.00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a</w:t>
            </w:r>
          </w:p>
        </w:tc>
      </w:tr>
      <w:tr>
        <w:trPr>
          <w:trHeight w:val="343" w:hRule="atLeast"/>
        </w:trPr>
        <w:tc>
          <w:tcPr>
            <w:tcW w:w="1648" w:type="dxa"/>
            <w:vAlign w:val="top"/>
          </w:tcPr>
          <w:p>
            <w:pPr>
              <w:pStyle w:val="TableText"/>
              <w:ind w:left="724"/>
              <w:spacing w:before="84" w:line="222" w:lineRule="auto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10"/>
                <w:position w:val="-2"/>
              </w:rPr>
              <w:t>χ</w:t>
            </w:r>
            <w:r>
              <w:rPr>
                <w:sz w:val="9"/>
                <w:szCs w:val="9"/>
                <w:color w:val="231F20"/>
                <w:spacing w:val="10"/>
                <w:position w:val="5"/>
              </w:rPr>
              <w:t>2</w:t>
            </w:r>
          </w:p>
        </w:tc>
        <w:tc>
          <w:tcPr>
            <w:tcW w:w="15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9" w:type="dxa"/>
            <w:vAlign w:val="top"/>
          </w:tcPr>
          <w:p>
            <w:pPr>
              <w:pStyle w:val="TableText"/>
              <w:ind w:left="655"/>
              <w:spacing w:before="118" w:line="186" w:lineRule="auto"/>
              <w:rPr/>
            </w:pPr>
            <w:r>
              <w:rPr>
                <w:color w:val="231F20"/>
                <w:spacing w:val="-1"/>
              </w:rPr>
              <w:t>4.3290</w:t>
            </w:r>
          </w:p>
        </w:tc>
      </w:tr>
      <w:tr>
        <w:trPr>
          <w:trHeight w:val="308" w:hRule="atLeast"/>
        </w:trPr>
        <w:tc>
          <w:tcPr>
            <w:tcW w:w="164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48"/>
              <w:spacing w:before="94" w:line="183" w:lineRule="auto"/>
              <w:rPr/>
            </w:pPr>
            <w:r>
              <w:rPr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56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58"/>
              <w:spacing w:before="97" w:line="186" w:lineRule="auto"/>
              <w:rPr/>
            </w:pPr>
            <w:r>
              <w:rPr>
                <w:color w:val="231F20"/>
                <w:spacing w:val="-1"/>
              </w:rPr>
              <w:t>0.0375</w:t>
            </w:r>
          </w:p>
        </w:tc>
      </w:tr>
    </w:tbl>
    <w:p>
      <w:pPr>
        <w:spacing w:line="19" w:lineRule="exact"/>
        <w:rPr>
          <w:rFonts w:ascii="Arial"/>
          <w:sz w:val="2"/>
        </w:rPr>
      </w:pPr>
      <w:r/>
    </w:p>
    <w:p>
      <w:pPr>
        <w:spacing w:line="19" w:lineRule="exact"/>
        <w:sectPr>
          <w:type w:val="continuous"/>
          <w:pgSz w:w="11906" w:h="16838"/>
          <w:pgMar w:top="1464" w:right="1132" w:bottom="797" w:left="407" w:header="1042" w:footer="354" w:gutter="0"/>
          <w:cols w:equalWidth="0" w:num="1">
            <w:col w:w="1036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053"/>
        <w:spacing w:before="42" w:line="196" w:lineRule="auto"/>
        <w:rPr>
          <w:sz w:val="16"/>
          <w:szCs w:val="16"/>
        </w:rPr>
      </w:pPr>
      <w:r>
        <w:rPr>
          <w:rFonts w:ascii="STXihei" w:hAnsi="STXihei" w:eastAsia="STXihei" w:cs="STXihei"/>
          <w:sz w:val="16"/>
          <w:szCs w:val="16"/>
          <w:color w:val="231F20"/>
          <w:spacing w:val="-1"/>
        </w:rPr>
        <w:t>注：与对照组比较，</w:t>
      </w:r>
      <w:r>
        <w:rPr>
          <w:sz w:val="9"/>
          <w:szCs w:val="9"/>
          <w:color w:val="231F20"/>
          <w:spacing w:val="-1"/>
          <w:position w:val="7"/>
        </w:rPr>
        <w:t>a</w:t>
      </w:r>
      <w:r>
        <w:rPr>
          <w:sz w:val="16"/>
          <w:szCs w:val="16"/>
          <w:i/>
          <w:iCs/>
          <w:color w:val="231F20"/>
          <w:spacing w:val="-1"/>
        </w:rPr>
        <w:t>P</w:t>
      </w:r>
      <w:r>
        <w:rPr>
          <w:rFonts w:ascii="STXihei" w:hAnsi="STXihei" w:eastAsia="STXihei" w:cs="STXihei"/>
          <w:sz w:val="16"/>
          <w:szCs w:val="16"/>
          <w:color w:val="231F20"/>
          <w:spacing w:val="-1"/>
        </w:rPr>
        <w:t>＜</w:t>
      </w:r>
      <w:r>
        <w:rPr>
          <w:sz w:val="16"/>
          <w:szCs w:val="16"/>
          <w:color w:val="231F20"/>
          <w:spacing w:val="-1"/>
        </w:rPr>
        <w:t>0.05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730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2.2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两组患者治疗满意度比较</w:t>
      </w:r>
    </w:p>
    <w:p>
      <w:pPr>
        <w:pStyle w:val="BodyText"/>
        <w:ind w:left="1151"/>
        <w:spacing w:before="8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试验组治疗满意度为</w:t>
      </w:r>
      <w:r>
        <w:rPr>
          <w:sz w:val="21"/>
          <w:szCs w:val="21"/>
          <w:color w:val="231F20"/>
          <w:spacing w:val="7"/>
        </w:rPr>
        <w:t>95.00%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，对照组治疗满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right="7" w:firstLine="2"/>
        <w:spacing w:before="69" w:line="2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意度为</w:t>
      </w:r>
      <w:r>
        <w:rPr>
          <w:sz w:val="21"/>
          <w:szCs w:val="21"/>
          <w:color w:val="231F20"/>
          <w:spacing w:val="7"/>
        </w:rPr>
        <w:t>70.00%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，试验组高于对照组，差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异有统计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学意义（</w:t>
      </w:r>
      <w:r>
        <w:rPr>
          <w:sz w:val="21"/>
          <w:szCs w:val="21"/>
          <w:i/>
          <w:iCs/>
          <w:color w:val="231F20"/>
          <w:spacing w:val="-1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＜</w:t>
      </w:r>
      <w:r>
        <w:rPr>
          <w:sz w:val="21"/>
          <w:szCs w:val="21"/>
          <w:color w:val="231F20"/>
          <w:spacing w:val="-1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）。见表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290" w:lineRule="auto"/>
        <w:sectPr>
          <w:type w:val="continuous"/>
          <w:pgSz w:w="11906" w:h="16838"/>
          <w:pgMar w:top="1464" w:right="1132" w:bottom="797" w:left="407" w:header="1042" w:footer="354" w:gutter="0"/>
          <w:cols w:equalWidth="0" w:num="2">
            <w:col w:w="5662" w:space="100"/>
            <w:col w:w="460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3949"/>
        <w:spacing w:before="168" w:line="222" w:lineRule="auto"/>
        <w:outlineLvl w:val="0"/>
        <w:rPr>
          <w:rFonts w:ascii="SimSun" w:hAnsi="SimSun" w:eastAsia="SimSun" w:cs="SimSun"/>
        </w:rPr>
      </w:pPr>
      <w:r>
        <w:pict>
          <v:shape id="_x0000_s10" style="position:absolute;margin-left:36.5294pt;margin-top:-533.729pt;mso-position-vertical-relative:text;mso-position-horizontal-relative:text;width:481.9pt;height:0.5pt;z-index:251658240;" filled="false" strokecolor="#939598" strokeweight="0.47pt" coordsize="9637,10" coordorigin="0,0" path="m0,4l9637,4e">
            <v:stroke joinstyle="miter" miterlimit="4"/>
          </v:shape>
        </w:pict>
      </w:r>
      <w:r>
        <w:rPr>
          <w:rFonts w:ascii="SimHei" w:hAnsi="SimHei" w:eastAsia="SimHei" w:cs="SimHei"/>
          <w:color w:val="231F20"/>
          <w:spacing w:val="-1"/>
        </w:rPr>
        <w:t>表2</w:t>
      </w:r>
      <w:r>
        <w:rPr>
          <w:rFonts w:ascii="SimHei" w:hAnsi="SimHei" w:eastAsia="SimHei" w:cs="SimHei"/>
          <w:color w:val="231F20"/>
          <w:spacing w:val="-1"/>
        </w:rPr>
        <w:t xml:space="preserve">  </w:t>
      </w:r>
      <w:r>
        <w:rPr>
          <w:rFonts w:ascii="SimSun" w:hAnsi="SimSun" w:eastAsia="SimSun" w:cs="SimSun"/>
          <w:color w:val="231F20"/>
          <w:spacing w:val="-1"/>
        </w:rPr>
        <w:t>两组患者治疗满意度比较（</w:t>
      </w:r>
      <w:r>
        <w:rPr>
          <w:i/>
          <w:iCs/>
          <w:color w:val="231F20"/>
          <w:spacing w:val="-1"/>
        </w:rPr>
        <w:t>n</w:t>
      </w:r>
      <w:r>
        <w:rPr>
          <w:rFonts w:ascii="SimSun" w:hAnsi="SimSun" w:eastAsia="SimSun" w:cs="SimSun"/>
          <w:color w:val="231F20"/>
          <w:spacing w:val="-1"/>
        </w:rPr>
        <w:t>，</w:t>
      </w:r>
      <w:r>
        <w:rPr>
          <w:color w:val="231F20"/>
          <w:spacing w:val="-1"/>
        </w:rPr>
        <w:t>%</w:t>
      </w:r>
      <w:r>
        <w:rPr>
          <w:rFonts w:ascii="SimSun" w:hAnsi="SimSun" w:eastAsia="SimSun" w:cs="SimSun"/>
          <w:color w:val="231F20"/>
          <w:spacing w:val="-1"/>
        </w:rPr>
        <w:t>）</w:t>
      </w:r>
    </w:p>
    <w:p>
      <w:pPr>
        <w:spacing w:line="20" w:lineRule="exact"/>
        <w:rPr/>
      </w:pPr>
      <w:r/>
    </w:p>
    <w:tbl>
      <w:tblPr>
        <w:tblStyle w:val="TableNormal"/>
        <w:tblW w:w="9637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49"/>
        <w:gridCol w:w="1479"/>
        <w:gridCol w:w="1772"/>
        <w:gridCol w:w="1480"/>
        <w:gridCol w:w="1565"/>
        <w:gridCol w:w="1692"/>
      </w:tblGrid>
      <w:tr>
        <w:trPr>
          <w:trHeight w:val="315" w:hRule="atLeast"/>
        </w:trPr>
        <w:tc>
          <w:tcPr>
            <w:tcW w:w="164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41"/>
              <w:spacing w:before="72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3"/>
              </w:rPr>
              <w:t>组别</w:t>
            </w:r>
          </w:p>
        </w:tc>
        <w:tc>
          <w:tcPr>
            <w:tcW w:w="147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96"/>
              <w:spacing w:before="71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例数</w:t>
            </w:r>
          </w:p>
        </w:tc>
        <w:tc>
          <w:tcPr>
            <w:tcW w:w="17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56"/>
              <w:spacing w:before="71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非常满意</w:t>
            </w:r>
          </w:p>
        </w:tc>
        <w:tc>
          <w:tcPr>
            <w:tcW w:w="148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57"/>
              <w:spacing w:before="71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满意</w:t>
            </w:r>
          </w:p>
        </w:tc>
        <w:tc>
          <w:tcPr>
            <w:tcW w:w="156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01"/>
              <w:spacing w:before="71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3"/>
              </w:rPr>
              <w:t>不满意</w:t>
            </w:r>
          </w:p>
        </w:tc>
        <w:tc>
          <w:tcPr>
            <w:tcW w:w="169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474"/>
              <w:spacing w:before="71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治疗满意度</w:t>
            </w:r>
          </w:p>
        </w:tc>
      </w:tr>
      <w:tr>
        <w:trPr>
          <w:trHeight w:val="311" w:hRule="atLeast"/>
        </w:trPr>
        <w:tc>
          <w:tcPr>
            <w:tcW w:w="1649" w:type="dxa"/>
            <w:vAlign w:val="top"/>
            <w:tcBorders>
              <w:top w:val="single" w:color="231F20" w:sz="2" w:space="0"/>
            </w:tcBorders>
          </w:tcPr>
          <w:p>
            <w:pPr>
              <w:ind w:left="553"/>
              <w:spacing w:before="72" w:line="22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对照组</w:t>
            </w:r>
          </w:p>
        </w:tc>
        <w:tc>
          <w:tcPr>
            <w:tcW w:w="14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78"/>
              <w:spacing w:before="103" w:line="186" w:lineRule="auto"/>
              <w:rPr/>
            </w:pPr>
            <w:r>
              <w:rPr>
                <w:color w:val="231F20"/>
                <w:spacing w:val="-1"/>
              </w:rPr>
              <w:t>20</w:t>
            </w:r>
          </w:p>
        </w:tc>
        <w:tc>
          <w:tcPr>
            <w:tcW w:w="17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24"/>
              <w:spacing w:before="103" w:line="186" w:lineRule="auto"/>
              <w:rPr/>
            </w:pPr>
            <w:r>
              <w:rPr>
                <w:color w:val="231F20"/>
                <w:spacing w:val="-7"/>
              </w:rPr>
              <w:t>11</w:t>
            </w:r>
          </w:p>
        </w:tc>
        <w:tc>
          <w:tcPr>
            <w:tcW w:w="14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5"/>
              <w:spacing w:before="103" w:line="186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5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12"/>
              <w:spacing w:before="103" w:line="186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16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4"/>
              <w:spacing w:before="103" w:line="186" w:lineRule="auto"/>
              <w:rPr/>
            </w:pPr>
            <w:r>
              <w:rPr>
                <w:color w:val="231F20"/>
                <w:spacing w:val="-1"/>
              </w:rPr>
              <w:t>70.00</w:t>
            </w:r>
          </w:p>
        </w:tc>
      </w:tr>
      <w:tr>
        <w:trPr>
          <w:trHeight w:val="314" w:hRule="atLeast"/>
        </w:trPr>
        <w:tc>
          <w:tcPr>
            <w:tcW w:w="1649" w:type="dxa"/>
            <w:vAlign w:val="top"/>
          </w:tcPr>
          <w:p>
            <w:pPr>
              <w:ind w:left="554"/>
              <w:spacing w:before="81" w:line="22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试验组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678"/>
              <w:spacing w:before="112" w:line="186" w:lineRule="auto"/>
              <w:rPr/>
            </w:pPr>
            <w:r>
              <w:rPr>
                <w:color w:val="231F20"/>
                <w:spacing w:val="-1"/>
              </w:rPr>
              <w:t>20</w:t>
            </w:r>
          </w:p>
        </w:tc>
        <w:tc>
          <w:tcPr>
            <w:tcW w:w="1772" w:type="dxa"/>
            <w:vAlign w:val="top"/>
          </w:tcPr>
          <w:p>
            <w:pPr>
              <w:pStyle w:val="TableText"/>
              <w:ind w:left="821"/>
              <w:spacing w:before="112" w:line="186" w:lineRule="auto"/>
              <w:rPr/>
            </w:pPr>
            <w:r>
              <w:rPr>
                <w:color w:val="231F20"/>
                <w:spacing w:val="-5"/>
              </w:rPr>
              <w:t>15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680"/>
              <w:spacing w:before="112" w:line="186" w:lineRule="auto"/>
              <w:rPr/>
            </w:pPr>
            <w:r>
              <w:rPr>
                <w:color w:val="231F20"/>
              </w:rPr>
              <w:t>4</w:t>
            </w:r>
          </w:p>
        </w:tc>
        <w:tc>
          <w:tcPr>
            <w:tcW w:w="1565" w:type="dxa"/>
            <w:vAlign w:val="top"/>
          </w:tcPr>
          <w:p>
            <w:pPr>
              <w:pStyle w:val="TableText"/>
              <w:ind w:left="824"/>
              <w:spacing w:before="112" w:line="186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692" w:type="dxa"/>
            <w:vAlign w:val="top"/>
          </w:tcPr>
          <w:p>
            <w:pPr>
              <w:pStyle w:val="TableText"/>
              <w:ind w:left="682"/>
              <w:spacing w:before="99" w:line="202" w:lineRule="auto"/>
              <w:rPr>
                <w:sz w:val="9"/>
                <w:szCs w:val="9"/>
              </w:rPr>
            </w:pPr>
            <w:r>
              <w:rPr>
                <w:color w:val="231F20"/>
                <w:spacing w:val="-1"/>
              </w:rPr>
              <w:t>95.00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a</w:t>
            </w:r>
          </w:p>
        </w:tc>
      </w:tr>
      <w:tr>
        <w:trPr>
          <w:trHeight w:val="342" w:hRule="atLeast"/>
        </w:trPr>
        <w:tc>
          <w:tcPr>
            <w:tcW w:w="1649" w:type="dxa"/>
            <w:vAlign w:val="top"/>
          </w:tcPr>
          <w:p>
            <w:pPr>
              <w:pStyle w:val="TableText"/>
              <w:ind w:left="724"/>
              <w:spacing w:before="84" w:line="222" w:lineRule="auto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10"/>
                <w:position w:val="-2"/>
              </w:rPr>
              <w:t>χ</w:t>
            </w:r>
            <w:r>
              <w:rPr>
                <w:sz w:val="9"/>
                <w:szCs w:val="9"/>
                <w:color w:val="231F20"/>
                <w:spacing w:val="10"/>
                <w:position w:val="5"/>
              </w:rPr>
              <w:t>2</w:t>
            </w:r>
          </w:p>
        </w:tc>
        <w:tc>
          <w:tcPr>
            <w:tcW w:w="1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2" w:type="dxa"/>
            <w:vAlign w:val="top"/>
          </w:tcPr>
          <w:p>
            <w:pPr>
              <w:pStyle w:val="TableText"/>
              <w:ind w:left="658"/>
              <w:spacing w:before="118" w:line="186" w:lineRule="auto"/>
              <w:rPr/>
            </w:pPr>
            <w:r>
              <w:rPr>
                <w:color w:val="231F20"/>
                <w:spacing w:val="-1"/>
              </w:rPr>
              <w:t>4.3290</w:t>
            </w:r>
          </w:p>
        </w:tc>
      </w:tr>
      <w:tr>
        <w:trPr>
          <w:trHeight w:val="307" w:hRule="atLeast"/>
        </w:trPr>
        <w:tc>
          <w:tcPr>
            <w:tcW w:w="164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48"/>
              <w:spacing w:before="93" w:line="183" w:lineRule="auto"/>
              <w:rPr/>
            </w:pPr>
            <w:r>
              <w:rPr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47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61"/>
              <w:spacing w:before="96" w:line="186" w:lineRule="auto"/>
              <w:rPr/>
            </w:pPr>
            <w:r>
              <w:rPr>
                <w:color w:val="231F20"/>
                <w:spacing w:val="-1"/>
              </w:rPr>
              <w:t>0.0375</w:t>
            </w:r>
          </w:p>
        </w:tc>
      </w:tr>
    </w:tbl>
    <w:p>
      <w:pPr>
        <w:spacing w:line="19" w:lineRule="exact"/>
        <w:rPr>
          <w:rFonts w:ascii="Arial"/>
          <w:sz w:val="2"/>
        </w:rPr>
      </w:pPr>
      <w:r/>
    </w:p>
    <w:p>
      <w:pPr>
        <w:spacing w:line="19" w:lineRule="exact"/>
        <w:sectPr>
          <w:type w:val="continuous"/>
          <w:pgSz w:w="11906" w:h="16838"/>
          <w:pgMar w:top="1464" w:right="1132" w:bottom="797" w:left="407" w:header="1042" w:footer="354" w:gutter="0"/>
          <w:cols w:equalWidth="0" w:num="1">
            <w:col w:w="1036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053"/>
        <w:spacing w:before="42" w:line="196" w:lineRule="auto"/>
        <w:rPr>
          <w:sz w:val="16"/>
          <w:szCs w:val="16"/>
        </w:rPr>
      </w:pPr>
      <w:r>
        <w:rPr>
          <w:rFonts w:ascii="STXihei" w:hAnsi="STXihei" w:eastAsia="STXihei" w:cs="STXihei"/>
          <w:sz w:val="16"/>
          <w:szCs w:val="16"/>
          <w:color w:val="231F20"/>
          <w:spacing w:val="-1"/>
        </w:rPr>
        <w:t>注：与对照组比较，</w:t>
      </w:r>
      <w:r>
        <w:rPr>
          <w:sz w:val="9"/>
          <w:szCs w:val="9"/>
          <w:color w:val="231F20"/>
          <w:spacing w:val="-1"/>
          <w:position w:val="7"/>
        </w:rPr>
        <w:t>a</w:t>
      </w:r>
      <w:r>
        <w:rPr>
          <w:sz w:val="16"/>
          <w:szCs w:val="16"/>
          <w:i/>
          <w:iCs/>
          <w:color w:val="231F20"/>
          <w:spacing w:val="-1"/>
        </w:rPr>
        <w:t>P</w:t>
      </w:r>
      <w:r>
        <w:rPr>
          <w:rFonts w:ascii="STXihei" w:hAnsi="STXihei" w:eastAsia="STXihei" w:cs="STXihei"/>
          <w:sz w:val="16"/>
          <w:szCs w:val="16"/>
          <w:color w:val="231F20"/>
          <w:spacing w:val="-1"/>
        </w:rPr>
        <w:t>＜</w:t>
      </w:r>
      <w:r>
        <w:rPr>
          <w:sz w:val="16"/>
          <w:szCs w:val="16"/>
          <w:color w:val="231F20"/>
          <w:spacing w:val="-1"/>
        </w:rPr>
        <w:t>0.05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729"/>
        <w:spacing w:before="72" w:line="203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3"/>
        </w:rPr>
        <w:t>3</w:t>
      </w:r>
      <w:r>
        <w:rPr>
          <w:sz w:val="22"/>
          <w:szCs w:val="22"/>
          <w:b/>
          <w:bCs/>
          <w:color w:val="231F20"/>
          <w:spacing w:val="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31F20"/>
          <w:spacing w:val="-3"/>
        </w:rPr>
        <w:t>讨论</w:t>
      </w:r>
    </w:p>
    <w:p>
      <w:pPr>
        <w:ind w:left="730" w:right="331" w:firstLine="423"/>
        <w:spacing w:before="80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盆腔炎在临床中属于常见且多发的一种疾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病，近年来盆腔炎患者发生率呈逐年增高趋势。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spacing w:before="69" w:line="25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盆腔炎可在各个年龄段发病，以中青年女性最为常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见，严重影响了女性身心健康，病情严重者可诱发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败血症等，对患者的生命安全造成威胁</w:t>
      </w:r>
      <w:r>
        <w:rPr>
          <w:sz w:val="12"/>
          <w:szCs w:val="12"/>
          <w:color w:val="231F20"/>
          <w:spacing w:val="1"/>
          <w:position w:val="9"/>
        </w:rPr>
        <w:t>[5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，</w:t>
      </w:r>
      <w:r>
        <w:rPr>
          <w:sz w:val="12"/>
          <w:szCs w:val="12"/>
          <w:color w:val="231F20"/>
          <w:spacing w:val="1"/>
          <w:position w:val="9"/>
        </w:rPr>
        <w:t>6]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。盆腔</w:t>
      </w:r>
    </w:p>
    <w:p>
      <w:pPr>
        <w:spacing w:line="255" w:lineRule="auto"/>
        <w:sectPr>
          <w:type w:val="continuous"/>
          <w:pgSz w:w="11906" w:h="16838"/>
          <w:pgMar w:top="1464" w:right="1132" w:bottom="797" w:left="407" w:header="1042" w:footer="354" w:gutter="0"/>
          <w:cols w:equalWidth="0" w:num="2">
            <w:col w:w="5665" w:space="100"/>
            <w:col w:w="460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209"/>
        <w:rPr/>
      </w:pPr>
      <w:r/>
    </w:p>
    <w:p>
      <w:pPr>
        <w:sectPr>
          <w:headerReference w:type="default" r:id="rId4"/>
          <w:footerReference w:type="default" r:id="rId5"/>
          <w:pgSz w:w="11906" w:h="16838"/>
          <w:pgMar w:top="1493" w:right="1132" w:bottom="797" w:left="407" w:header="1046" w:footer="354" w:gutter="0"/>
          <w:cols w:equalWidth="0" w:num="1">
            <w:col w:w="10366" w:space="0"/>
          </w:cols>
        </w:sectPr>
        <w:rPr/>
      </w:pPr>
    </w:p>
    <w:p>
      <w:pPr>
        <w:pStyle w:val="BodyText"/>
        <w:ind w:left="728" w:right="328" w:firstLine="5"/>
        <w:spacing w:before="45" w:line="2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炎在临床中可以分成慢性盆腔炎和急性盆腔炎，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急性盆腔炎可诱发感染性休克、败血症、弥漫性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腹膜炎等；而慢性盆腔炎多数是因急性盆腔炎治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疗不彻底迁延而来，若患者得不到有效治疗，将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导致不孕以及宫外孕等严重情况</w:t>
      </w:r>
      <w:r>
        <w:rPr>
          <w:sz w:val="12"/>
          <w:szCs w:val="12"/>
          <w:color w:val="231F20"/>
          <w:spacing w:val="11"/>
          <w:position w:val="9"/>
        </w:rPr>
        <w:t>[2]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。盆腔炎在临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床治疗中以对症治疗为主，医师会根据患者的实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际情况、疾病类型、严重程度选择不同的治疗方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案。慢性盆腔炎为急性盆腔炎遗留的病理改变，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并无病原体存在。有研究显示，盆腔炎患者多为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产后或流产后等妇科手术后发病率较高，主要是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由于病原菌进入患者的创面从而引发感染。随着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社会的发展，近年来下生殖道感染逆行至上生殖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道的感染人数在逐渐增多</w:t>
      </w:r>
      <w:r>
        <w:rPr>
          <w:sz w:val="12"/>
          <w:szCs w:val="12"/>
          <w:color w:val="231F20"/>
          <w:position w:val="9"/>
        </w:rPr>
        <w:t>[7] </w:t>
      </w:r>
      <w:r>
        <w:rPr>
          <w:rFonts w:ascii="SimSun" w:hAnsi="SimSun" w:eastAsia="SimSun" w:cs="SimSun"/>
          <w:sz w:val="21"/>
          <w:szCs w:val="21"/>
          <w:color w:val="231F20"/>
        </w:rPr>
        <w:t>。急性盆腔炎患者发作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后会出现以下特征：①患者出现白带增多，同时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伴有持续性的发热以及腹痛；②患者在进行性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交、活动后出现腹部疼痛加剧，病情严重者还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会发生头痛、高热、寒战以及食欲缺乏情况；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③在月经期间患者会伴有月经量增加情况，部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分患者还因此发生经期延长等情况；④如果患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者存有盆腔炎包裹形成脓肿情况，除以上情况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外还会伴有局部压迫感，如果出现压迫到膀胱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时，会发生尿频、尿痛以及排尿困难等情况，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如果压迫到直肠，会发生里急后重状况；⑤急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性盆腔炎疾病十分特殊，属于进展性疾病，随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着疾病进展，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会发生弥漫性腹膜炎、感染性休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克、败血症等，严重者会危机患者生命安全</w:t>
      </w:r>
      <w:r>
        <w:rPr>
          <w:sz w:val="12"/>
          <w:szCs w:val="12"/>
          <w:color w:val="231F20"/>
          <w:spacing w:val="2"/>
          <w:position w:val="9"/>
        </w:rPr>
        <w:t>[8]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</w:t>
      </w:r>
    </w:p>
    <w:p>
      <w:pPr>
        <w:pStyle w:val="BodyText"/>
        <w:ind w:left="729" w:right="328" w:firstLine="421"/>
        <w:spacing w:before="9" w:line="2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相关资料表明，多数女性的慢性盆腔炎往往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是由急性盆腔炎疾病没有得到有效的治疗导致。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进展为慢性盆腔炎后会损害女性身体健康，还可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对患者的子宫周围结缔组织、盆腔等产生伤害，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严重者还会因此发生较为严重的炎性反应。盆腔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炎的主要病理表现是患者盆腔生殖器官、盆腔腹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膜及周围结缔组织出现炎性病变。目前对于盆腔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炎的治疗方案以抗菌类、抗生素药物为主，将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广谱抗生素、抗厌氧菌类药物联合应用方案为首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选。本研究对照组使用甲硝唑静脉滴注，甲硝唑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是一种抗厌氧菌和抗滴虫药，其被广泛应用在厌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氧菌感染的治疗中，其可以有效抑制阴道内的真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菌繁殖，但是其长期效果不明显，只能起到暂缓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疾病的效果，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因此长期使用的效果较差</w:t>
      </w:r>
      <w:r>
        <w:rPr>
          <w:sz w:val="12"/>
          <w:szCs w:val="12"/>
          <w:color w:val="231F20"/>
          <w:spacing w:val="9"/>
          <w:position w:val="9"/>
        </w:rPr>
        <w:t>[9]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。试验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41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组患者联合使用妇科千金片，结果显示，试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验组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治疗总有效率高于对照组，治疗满意度高于对照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组，差异均有统计学意义（</w:t>
      </w:r>
      <w:r>
        <w:rPr>
          <w:sz w:val="21"/>
          <w:szCs w:val="21"/>
          <w:i/>
          <w:iCs/>
          <w:color w:val="231F20"/>
          <w:spacing w:val="13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＜</w:t>
      </w:r>
      <w:r>
        <w:rPr>
          <w:sz w:val="21"/>
          <w:szCs w:val="21"/>
          <w:color w:val="231F20"/>
          <w:spacing w:val="13"/>
        </w:rPr>
        <w:t>0.05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说明妇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科千金片联合抗生素治疗慢性盆腔炎的效果较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好。分析原因为，妇科千金片的主要成分包括金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樱根、千斤拔、功劳木、鸡血藤、单面针、穿心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莲、党参、当归等多味中药，能够治疗湿热瘀阻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导致的妇科疾病，有着很好的益气化瘀效果，在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慢性盆腔炎、子宫内膜炎、慢性宫颈炎等疾病的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治疗中有显著的效果用</w:t>
      </w:r>
      <w:r>
        <w:rPr>
          <w:sz w:val="12"/>
          <w:szCs w:val="12"/>
          <w:color w:val="231F20"/>
          <w:spacing w:val="-1"/>
          <w:position w:val="8"/>
        </w:rPr>
        <w:t>[10]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ind w:left="1" w:firstLine="422"/>
        <w:spacing w:before="1" w:line="29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综上所述，使用妇科千金片联合抗生素治疗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慢性盆腔炎的效果较好，患者治疗满意度高，值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得临床推广与应用。</w:t>
      </w:r>
    </w:p>
    <w:p>
      <w:pPr>
        <w:ind w:left="1784"/>
        <w:spacing w:before="27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参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考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文 献</w:t>
      </w:r>
    </w:p>
    <w:p>
      <w:pPr>
        <w:pStyle w:val="BodyText"/>
        <w:ind w:left="426" w:right="1" w:hanging="416"/>
        <w:spacing w:before="191" w:line="255" w:lineRule="auto"/>
        <w:rPr/>
      </w:pPr>
      <w:r>
        <w:rPr>
          <w:color w:val="231F20"/>
          <w:spacing w:val="2"/>
        </w:rPr>
        <w:t>[1]    </w:t>
      </w:r>
      <w:r>
        <w:rPr>
          <w:rFonts w:ascii="SimSun" w:hAnsi="SimSun" w:eastAsia="SimSun" w:cs="SimSun"/>
          <w:color w:val="231F20"/>
          <w:spacing w:val="2"/>
        </w:rPr>
        <w:t>吴梦瑶</w:t>
      </w:r>
      <w:r>
        <w:rPr>
          <w:color w:val="231F20"/>
          <w:spacing w:val="2"/>
        </w:rPr>
        <w:t>,</w:t>
      </w:r>
      <w:r>
        <w:rPr>
          <w:rFonts w:ascii="SimSun" w:hAnsi="SimSun" w:eastAsia="SimSun" w:cs="SimSun"/>
          <w:color w:val="231F20"/>
          <w:spacing w:val="2"/>
        </w:rPr>
        <w:t>张鹏</w:t>
      </w:r>
      <w:r>
        <w:rPr>
          <w:color w:val="231F20"/>
          <w:spacing w:val="2"/>
        </w:rPr>
        <w:t>,</w:t>
      </w:r>
      <w:r>
        <w:rPr>
          <w:rFonts w:ascii="SimSun" w:hAnsi="SimSun" w:eastAsia="SimSun" w:cs="SimSun"/>
          <w:color w:val="231F20"/>
          <w:spacing w:val="2"/>
        </w:rPr>
        <w:t>凌勇根</w:t>
      </w:r>
      <w:r>
        <w:rPr>
          <w:color w:val="231F20"/>
          <w:spacing w:val="2"/>
        </w:rPr>
        <w:t>,</w:t>
      </w:r>
      <w:r>
        <w:rPr>
          <w:rFonts w:ascii="SimSun" w:hAnsi="SimSun" w:eastAsia="SimSun" w:cs="SimSun"/>
          <w:color w:val="231F20"/>
          <w:spacing w:val="2"/>
        </w:rPr>
        <w:t>等</w:t>
      </w:r>
      <w:r>
        <w:rPr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2"/>
        </w:rPr>
        <w:t>基于网络药理</w:t>
      </w:r>
      <w:r>
        <w:rPr>
          <w:rFonts w:ascii="SimSun" w:hAnsi="SimSun" w:eastAsia="SimSun" w:cs="SimSun"/>
          <w:color w:val="231F20"/>
          <w:spacing w:val="1"/>
        </w:rPr>
        <w:t>学研究妇科千金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片</w:t>
      </w:r>
      <w:r>
        <w:rPr>
          <w:color w:val="231F20"/>
          <w:spacing w:val="4"/>
        </w:rPr>
        <w:t>/</w:t>
      </w:r>
      <w:r>
        <w:rPr>
          <w:rFonts w:ascii="SimSun" w:hAnsi="SimSun" w:eastAsia="SimSun" w:cs="SimSun"/>
          <w:color w:val="231F20"/>
          <w:spacing w:val="4"/>
        </w:rPr>
        <w:t>胶囊治疗盆腔炎性疾病后遗症的作用机制</w:t>
      </w:r>
      <w:r>
        <w:rPr>
          <w:color w:val="231F20"/>
          <w:spacing w:val="4"/>
        </w:rPr>
        <w:t>[J].</w:t>
      </w:r>
      <w:r>
        <w:rPr>
          <w:rFonts w:ascii="SimSun" w:hAnsi="SimSun" w:eastAsia="SimSun" w:cs="SimSun"/>
          <w:color w:val="231F20"/>
          <w:spacing w:val="4"/>
        </w:rPr>
        <w:t>湖南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</w:rPr>
        <w:t>中医药大学学报</w:t>
      </w:r>
      <w:r>
        <w:rPr>
          <w:color w:val="231F20"/>
        </w:rPr>
        <w:t>,2022,42(2):213-222.</w:t>
      </w:r>
    </w:p>
    <w:p>
      <w:pPr>
        <w:pStyle w:val="BodyText"/>
        <w:ind w:left="424" w:hanging="414"/>
        <w:spacing w:before="64" w:line="255" w:lineRule="auto"/>
        <w:rPr/>
      </w:pPr>
      <w:r>
        <w:rPr>
          <w:color w:val="231F20"/>
          <w:spacing w:val="1"/>
        </w:rPr>
        <w:t>[2]    </w:t>
      </w:r>
      <w:r>
        <w:rPr>
          <w:rFonts w:ascii="SimSun" w:hAnsi="SimSun" w:eastAsia="SimSun" w:cs="SimSun"/>
          <w:color w:val="231F20"/>
          <w:spacing w:val="1"/>
        </w:rPr>
        <w:t>余焕香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彭建博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胡艳芬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等</w:t>
      </w:r>
      <w:r>
        <w:rPr>
          <w:color w:val="231F20"/>
          <w:spacing w:val="1"/>
        </w:rPr>
        <w:t>.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甲硝唑联合妇</w:t>
      </w:r>
      <w:r>
        <w:rPr>
          <w:rFonts w:ascii="SimSun" w:hAnsi="SimSun" w:eastAsia="SimSun" w:cs="SimSun"/>
          <w:color w:val="231F20"/>
        </w:rPr>
        <w:t>科千金片对慢 </w:t>
      </w:r>
      <w:r>
        <w:rPr>
          <w:rFonts w:ascii="SimSun" w:hAnsi="SimSun" w:eastAsia="SimSun" w:cs="SimSun"/>
          <w:color w:val="231F20"/>
          <w:spacing w:val="6"/>
        </w:rPr>
        <w:t>性盆腔炎患者临床效果和血清炎症因子的影响</w:t>
      </w:r>
      <w:r>
        <w:rPr>
          <w:color w:val="231F20"/>
          <w:spacing w:val="6"/>
        </w:rPr>
        <w:t>[J].</w:t>
      </w:r>
      <w:r>
        <w:rPr>
          <w:rFonts w:ascii="SimSun" w:hAnsi="SimSun" w:eastAsia="SimSun" w:cs="SimSun"/>
          <w:color w:val="231F20"/>
          <w:spacing w:val="6"/>
        </w:rPr>
        <w:t>中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</w:rPr>
        <w:t>国现代药物应用</w:t>
      </w:r>
      <w:r>
        <w:rPr>
          <w:color w:val="231F20"/>
        </w:rPr>
        <w:t>,2022,16(21):104-107.</w:t>
      </w:r>
    </w:p>
    <w:p>
      <w:pPr>
        <w:pStyle w:val="BodyText"/>
        <w:ind w:left="422" w:right="1" w:hanging="412"/>
        <w:spacing w:before="65" w:line="255" w:lineRule="auto"/>
        <w:rPr/>
      </w:pPr>
      <w:r>
        <w:rPr>
          <w:color w:val="231F20"/>
        </w:rPr>
        <w:t>[3]    </w:t>
      </w:r>
      <w:r>
        <w:rPr>
          <w:rFonts w:ascii="SimSun" w:hAnsi="SimSun" w:eastAsia="SimSun" w:cs="SimSun"/>
          <w:color w:val="231F20"/>
        </w:rPr>
        <w:t>全嘉南</w:t>
      </w:r>
      <w:r>
        <w:rPr>
          <w:color w:val="231F20"/>
        </w:rPr>
        <w:t>.</w:t>
      </w:r>
      <w:r>
        <w:rPr>
          <w:rFonts w:ascii="SimSun" w:hAnsi="SimSun" w:eastAsia="SimSun" w:cs="SimSun"/>
          <w:color w:val="231F20"/>
        </w:rPr>
        <w:t>妇科千金片联合左氧氟沙星及甲硝唑治疗慢性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盆腔炎的疗效及安全性</w:t>
      </w:r>
      <w:r>
        <w:rPr>
          <w:color w:val="231F20"/>
        </w:rPr>
        <w:t>Meta</w:t>
      </w:r>
      <w:r>
        <w:rPr>
          <w:rFonts w:ascii="SimSun" w:hAnsi="SimSun" w:eastAsia="SimSun" w:cs="SimSun"/>
          <w:color w:val="231F20"/>
          <w:spacing w:val="6"/>
        </w:rPr>
        <w:t>分析</w:t>
      </w:r>
      <w:r>
        <w:rPr>
          <w:color w:val="231F20"/>
          <w:spacing w:val="6"/>
        </w:rPr>
        <w:t>[J].</w:t>
      </w:r>
      <w:r>
        <w:rPr>
          <w:rFonts w:ascii="SimSun" w:hAnsi="SimSun" w:eastAsia="SimSun" w:cs="SimSun"/>
          <w:color w:val="231F20"/>
          <w:spacing w:val="6"/>
        </w:rPr>
        <w:t>临床合理用药杂</w:t>
      </w:r>
      <w:r>
        <w:rPr>
          <w:rFonts w:ascii="SimSun" w:hAnsi="SimSun" w:eastAsia="SimSun" w:cs="SimSun"/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</w:rPr>
        <w:t>志</w:t>
      </w:r>
      <w:r>
        <w:rPr>
          <w:color w:val="231F20"/>
        </w:rPr>
        <w:t>,2021,14(8):39-42.</w:t>
      </w:r>
    </w:p>
    <w:p>
      <w:pPr>
        <w:pStyle w:val="BodyText"/>
        <w:ind w:left="423" w:right="1" w:hanging="413"/>
        <w:spacing w:before="64" w:line="255" w:lineRule="auto"/>
        <w:rPr/>
      </w:pPr>
      <w:r>
        <w:rPr>
          <w:color w:val="231F20"/>
          <w:spacing w:val="1"/>
        </w:rPr>
        <w:t>[4]    </w:t>
      </w:r>
      <w:r>
        <w:rPr>
          <w:rFonts w:ascii="SimSun" w:hAnsi="SimSun" w:eastAsia="SimSun" w:cs="SimSun"/>
          <w:color w:val="231F20"/>
          <w:spacing w:val="1"/>
        </w:rPr>
        <w:t>任妮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翟凤霞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郭淼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等</w:t>
      </w:r>
      <w:r>
        <w:rPr>
          <w:color w:val="231F20"/>
          <w:spacing w:val="1"/>
        </w:rPr>
        <w:t>.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中成药辅助治疗湿热瘀结型盆腔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炎性疾病后遗症有效性及安全性的网状</w:t>
      </w:r>
      <w:r>
        <w:rPr>
          <w:color w:val="231F20"/>
        </w:rPr>
        <w:t>Meta</w:t>
      </w:r>
      <w:r>
        <w:rPr>
          <w:rFonts w:ascii="SimSun" w:hAnsi="SimSun" w:eastAsia="SimSun" w:cs="SimSun"/>
          <w:color w:val="231F20"/>
          <w:spacing w:val="5"/>
        </w:rPr>
        <w:t>分析</w:t>
      </w:r>
      <w:r>
        <w:rPr>
          <w:color w:val="231F20"/>
          <w:spacing w:val="5"/>
        </w:rPr>
        <w:t>[J]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.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现代中西医结合杂志</w:t>
      </w:r>
      <w:r>
        <w:rPr>
          <w:color w:val="231F20"/>
        </w:rPr>
        <w:t>,2022,31(4):532-539,545.</w:t>
      </w:r>
    </w:p>
    <w:p>
      <w:pPr>
        <w:pStyle w:val="BodyText"/>
        <w:ind w:left="422" w:hanging="412"/>
        <w:spacing w:before="64" w:line="255" w:lineRule="auto"/>
        <w:rPr/>
      </w:pPr>
      <w:r>
        <w:rPr>
          <w:color w:val="231F20"/>
          <w:spacing w:val="5"/>
        </w:rPr>
        <w:t>[5]    </w:t>
      </w:r>
      <w:r>
        <w:rPr>
          <w:rFonts w:ascii="SimSun" w:hAnsi="SimSun" w:eastAsia="SimSun" w:cs="SimSun"/>
          <w:color w:val="231F20"/>
          <w:spacing w:val="5"/>
        </w:rPr>
        <w:t>孙洲</w:t>
      </w:r>
      <w:r>
        <w:rPr>
          <w:color w:val="231F20"/>
          <w:spacing w:val="5"/>
        </w:rPr>
        <w:t>,</w:t>
      </w:r>
      <w:r>
        <w:rPr>
          <w:rFonts w:ascii="SimSun" w:hAnsi="SimSun" w:eastAsia="SimSun" w:cs="SimSun"/>
          <w:color w:val="231F20"/>
          <w:spacing w:val="5"/>
        </w:rPr>
        <w:t>孙志茹</w:t>
      </w:r>
      <w:r>
        <w:rPr>
          <w:color w:val="231F20"/>
          <w:spacing w:val="5"/>
        </w:rPr>
        <w:t>.</w:t>
      </w:r>
      <w:r>
        <w:rPr>
          <w:rFonts w:ascii="SimSun" w:hAnsi="SimSun" w:eastAsia="SimSun" w:cs="SimSun"/>
          <w:color w:val="231F20"/>
          <w:spacing w:val="5"/>
        </w:rPr>
        <w:t>妇科千金片联合左氧氟沙星</w:t>
      </w:r>
      <w:r>
        <w:rPr>
          <w:rFonts w:ascii="SimSun" w:hAnsi="SimSun" w:eastAsia="SimSun" w:cs="SimSun"/>
          <w:color w:val="231F20"/>
          <w:spacing w:val="4"/>
        </w:rPr>
        <w:t>治疗慢性盆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腔炎的临床疗效及其对炎性因子的影响</w:t>
      </w:r>
      <w:r>
        <w:rPr>
          <w:color w:val="231F20"/>
          <w:spacing w:val="6"/>
        </w:rPr>
        <w:t>[J].</w:t>
      </w:r>
      <w:r>
        <w:rPr>
          <w:rFonts w:ascii="SimSun" w:hAnsi="SimSun" w:eastAsia="SimSun" w:cs="SimSun"/>
          <w:color w:val="231F20"/>
          <w:spacing w:val="6"/>
        </w:rPr>
        <w:t>临床合理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</w:rPr>
        <w:t>用药杂志</w:t>
      </w:r>
      <w:r>
        <w:rPr>
          <w:color w:val="231F20"/>
        </w:rPr>
        <w:t>,2020,13(36):122-124.</w:t>
      </w:r>
    </w:p>
    <w:p>
      <w:pPr>
        <w:pStyle w:val="BodyText"/>
        <w:ind w:left="425" w:hanging="415"/>
        <w:spacing w:before="64" w:line="255" w:lineRule="auto"/>
        <w:rPr/>
      </w:pPr>
      <w:r>
        <w:rPr>
          <w:color w:val="231F20"/>
          <w:spacing w:val="2"/>
        </w:rPr>
        <w:t>[6]    </w:t>
      </w:r>
      <w:r>
        <w:rPr>
          <w:rFonts w:ascii="SimSun" w:hAnsi="SimSun" w:eastAsia="SimSun" w:cs="SimSun"/>
          <w:color w:val="231F20"/>
          <w:spacing w:val="2"/>
        </w:rPr>
        <w:t>李艳</w:t>
      </w:r>
      <w:r>
        <w:rPr>
          <w:color w:val="231F20"/>
          <w:spacing w:val="2"/>
        </w:rPr>
        <w:t>,</w:t>
      </w:r>
      <w:r>
        <w:rPr>
          <w:rFonts w:ascii="SimSun" w:hAnsi="SimSun" w:eastAsia="SimSun" w:cs="SimSun"/>
          <w:color w:val="231F20"/>
          <w:spacing w:val="2"/>
        </w:rPr>
        <w:t>张玮</w:t>
      </w:r>
      <w:r>
        <w:rPr>
          <w:color w:val="231F20"/>
          <w:spacing w:val="2"/>
        </w:rPr>
        <w:t>,</w:t>
      </w:r>
      <w:r>
        <w:rPr>
          <w:rFonts w:ascii="SimSun" w:hAnsi="SimSun" w:eastAsia="SimSun" w:cs="SimSun"/>
          <w:color w:val="231F20"/>
          <w:spacing w:val="2"/>
        </w:rPr>
        <w:t>罗兰</w:t>
      </w:r>
      <w:r>
        <w:rPr>
          <w:color w:val="231F20"/>
          <w:spacing w:val="2"/>
        </w:rPr>
        <w:t>,</w:t>
      </w:r>
      <w:r>
        <w:rPr>
          <w:rFonts w:ascii="SimSun" w:hAnsi="SimSun" w:eastAsia="SimSun" w:cs="SimSun"/>
          <w:color w:val="231F20"/>
          <w:spacing w:val="2"/>
        </w:rPr>
        <w:t>等</w:t>
      </w:r>
      <w:r>
        <w:rPr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2"/>
        </w:rPr>
        <w:t>金刚藤联合妇科千</w:t>
      </w:r>
      <w:r>
        <w:rPr>
          <w:rFonts w:ascii="SimSun" w:hAnsi="SimSun" w:eastAsia="SimSun" w:cs="SimSun"/>
          <w:color w:val="231F20"/>
          <w:spacing w:val="1"/>
        </w:rPr>
        <w:t>金片对慢性盆腔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炎患者血液流变学和炎症因子的影响</w:t>
      </w:r>
      <w:r>
        <w:rPr>
          <w:color w:val="231F20"/>
          <w:spacing w:val="6"/>
        </w:rPr>
        <w:t>[J].</w:t>
      </w:r>
      <w:r>
        <w:rPr>
          <w:rFonts w:ascii="SimSun" w:hAnsi="SimSun" w:eastAsia="SimSun" w:cs="SimSun"/>
          <w:color w:val="231F20"/>
          <w:spacing w:val="6"/>
        </w:rPr>
        <w:t>现代生物医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</w:rPr>
        <w:t>学进展</w:t>
      </w:r>
      <w:r>
        <w:rPr>
          <w:color w:val="231F20"/>
        </w:rPr>
        <w:t>,2020,20(11):2072-2075</w:t>
      </w:r>
      <w:r>
        <w:rPr>
          <w:color w:val="231F20"/>
          <w:spacing w:val="-1"/>
        </w:rPr>
        <w:t>,2031.</w:t>
      </w:r>
    </w:p>
    <w:p>
      <w:pPr>
        <w:pStyle w:val="BodyText"/>
        <w:ind w:left="424" w:hanging="414"/>
        <w:spacing w:before="64" w:line="255" w:lineRule="auto"/>
        <w:rPr/>
      </w:pPr>
      <w:r>
        <w:rPr>
          <w:color w:val="231F20"/>
          <w:spacing w:val="1"/>
        </w:rPr>
        <w:t>[7]    </w:t>
      </w:r>
      <w:r>
        <w:rPr>
          <w:rFonts w:ascii="SimSun" w:hAnsi="SimSun" w:eastAsia="SimSun" w:cs="SimSun"/>
          <w:color w:val="231F20"/>
          <w:spacing w:val="1"/>
        </w:rPr>
        <w:t>余焕香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彭建博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胡艳芬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等</w:t>
      </w:r>
      <w:r>
        <w:rPr>
          <w:color w:val="231F20"/>
          <w:spacing w:val="1"/>
        </w:rPr>
        <w:t>.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甲硝唑联合妇</w:t>
      </w:r>
      <w:r>
        <w:rPr>
          <w:rFonts w:ascii="SimSun" w:hAnsi="SimSun" w:eastAsia="SimSun" w:cs="SimSun"/>
          <w:color w:val="231F20"/>
        </w:rPr>
        <w:t>科千金片对慢 </w:t>
      </w:r>
      <w:r>
        <w:rPr>
          <w:rFonts w:ascii="SimSun" w:hAnsi="SimSun" w:eastAsia="SimSun" w:cs="SimSun"/>
          <w:color w:val="231F20"/>
          <w:spacing w:val="6"/>
        </w:rPr>
        <w:t>性盆腔炎患者临床效果和血清炎症因子的影响</w:t>
      </w:r>
      <w:r>
        <w:rPr>
          <w:color w:val="231F20"/>
          <w:spacing w:val="6"/>
        </w:rPr>
        <w:t>[J].</w:t>
      </w:r>
      <w:r>
        <w:rPr>
          <w:rFonts w:ascii="SimSun" w:hAnsi="SimSun" w:eastAsia="SimSun" w:cs="SimSun"/>
          <w:color w:val="231F20"/>
          <w:spacing w:val="6"/>
        </w:rPr>
        <w:t>中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</w:rPr>
        <w:t>国现代药物应用</w:t>
      </w:r>
      <w:r>
        <w:rPr>
          <w:color w:val="231F20"/>
        </w:rPr>
        <w:t>,2022,16(21):104-107.</w:t>
      </w:r>
    </w:p>
    <w:p>
      <w:pPr>
        <w:pStyle w:val="BodyText"/>
        <w:ind w:left="422" w:hanging="412"/>
        <w:spacing w:before="64" w:line="255" w:lineRule="auto"/>
        <w:rPr/>
      </w:pPr>
      <w:r>
        <w:rPr>
          <w:color w:val="231F20"/>
          <w:spacing w:val="2"/>
        </w:rPr>
        <w:t>[8]    </w:t>
      </w:r>
      <w:r>
        <w:rPr>
          <w:rFonts w:ascii="SimSun" w:hAnsi="SimSun" w:eastAsia="SimSun" w:cs="SimSun"/>
          <w:color w:val="231F20"/>
          <w:spacing w:val="2"/>
        </w:rPr>
        <w:t>王卓媛</w:t>
      </w:r>
      <w:r>
        <w:rPr>
          <w:color w:val="231F20"/>
          <w:spacing w:val="2"/>
        </w:rPr>
        <w:t>,</w:t>
      </w:r>
      <w:r>
        <w:rPr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白换换</w:t>
      </w:r>
      <w:r>
        <w:rPr>
          <w:color w:val="231F20"/>
          <w:spacing w:val="2"/>
        </w:rPr>
        <w:t>,</w:t>
      </w:r>
      <w:r>
        <w:rPr>
          <w:rFonts w:ascii="SimSun" w:hAnsi="SimSun" w:eastAsia="SimSun" w:cs="SimSun"/>
          <w:color w:val="231F20"/>
          <w:spacing w:val="2"/>
        </w:rPr>
        <w:t>苟小军</w:t>
      </w:r>
      <w:r>
        <w:rPr>
          <w:color w:val="231F20"/>
          <w:spacing w:val="2"/>
        </w:rPr>
        <w:t>,</w:t>
      </w:r>
      <w:r>
        <w:rPr>
          <w:rFonts w:ascii="SimSun" w:hAnsi="SimSun" w:eastAsia="SimSun" w:cs="SimSun"/>
          <w:color w:val="231F20"/>
          <w:spacing w:val="2"/>
        </w:rPr>
        <w:t>等</w:t>
      </w:r>
      <w:r>
        <w:rPr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2"/>
        </w:rPr>
        <w:t>妇科千金片</w:t>
      </w:r>
      <w:r>
        <w:rPr>
          <w:color w:val="231F20"/>
          <w:spacing w:val="2"/>
        </w:rPr>
        <w:t>(</w:t>
      </w:r>
      <w:r>
        <w:rPr>
          <w:rFonts w:ascii="SimSun" w:hAnsi="SimSun" w:eastAsia="SimSun" w:cs="SimSun"/>
          <w:color w:val="231F20"/>
          <w:spacing w:val="2"/>
        </w:rPr>
        <w:t>胶囊</w:t>
      </w:r>
      <w:r>
        <w:rPr>
          <w:color w:val="231F20"/>
          <w:spacing w:val="2"/>
        </w:rPr>
        <w:t>)</w:t>
      </w:r>
      <w:r>
        <w:rPr>
          <w:rFonts w:ascii="SimSun" w:hAnsi="SimSun" w:eastAsia="SimSun" w:cs="SimSun"/>
          <w:color w:val="231F20"/>
          <w:spacing w:val="2"/>
        </w:rPr>
        <w:t>联合克林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霉素治疗盆腔炎疗效与安全性的系统评价</w:t>
      </w:r>
      <w:r>
        <w:rPr>
          <w:color w:val="231F20"/>
          <w:spacing w:val="6"/>
        </w:rPr>
        <w:t>[J].</w:t>
      </w:r>
      <w:r>
        <w:rPr>
          <w:rFonts w:ascii="SimSun" w:hAnsi="SimSun" w:eastAsia="SimSun" w:cs="SimSun"/>
          <w:color w:val="231F20"/>
          <w:spacing w:val="6"/>
        </w:rPr>
        <w:t>中国医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</w:rPr>
        <w:t>院用药评价与分析</w:t>
      </w:r>
      <w:r>
        <w:rPr>
          <w:color w:val="231F20"/>
        </w:rPr>
        <w:t>,2021,21(6):718-721,729.</w:t>
      </w:r>
    </w:p>
    <w:p>
      <w:pPr>
        <w:pStyle w:val="BodyText"/>
        <w:ind w:left="422" w:right="1" w:hanging="412"/>
        <w:spacing w:before="64" w:line="255" w:lineRule="auto"/>
        <w:rPr/>
      </w:pPr>
      <w:r>
        <w:rPr>
          <w:color w:val="231F20"/>
          <w:spacing w:val="7"/>
        </w:rPr>
        <w:t>[9]    </w:t>
      </w:r>
      <w:r>
        <w:rPr>
          <w:rFonts w:ascii="SimSun" w:hAnsi="SimSun" w:eastAsia="SimSun" w:cs="SimSun"/>
          <w:color w:val="231F20"/>
          <w:spacing w:val="7"/>
        </w:rPr>
        <w:t>黄利</w:t>
      </w:r>
      <w:r>
        <w:rPr>
          <w:color w:val="231F20"/>
          <w:spacing w:val="7"/>
        </w:rPr>
        <w:t>.</w:t>
      </w:r>
      <w:r>
        <w:rPr>
          <w:rFonts w:ascii="SimSun" w:hAnsi="SimSun" w:eastAsia="SimSun" w:cs="SimSun"/>
          <w:color w:val="231F20"/>
          <w:spacing w:val="7"/>
        </w:rPr>
        <w:t>从</w:t>
      </w:r>
      <w:r>
        <w:rPr>
          <w:color w:val="231F20"/>
        </w:rPr>
        <w:t>KLF</w:t>
      </w:r>
      <w:r>
        <w:rPr>
          <w:color w:val="231F20"/>
          <w:spacing w:val="7"/>
        </w:rPr>
        <w:t>4</w:t>
      </w:r>
      <w:r>
        <w:rPr>
          <w:rFonts w:ascii="SimSun" w:hAnsi="SimSun" w:eastAsia="SimSun" w:cs="SimSun"/>
          <w:color w:val="231F20"/>
          <w:spacing w:val="7"/>
        </w:rPr>
        <w:t>调控</w:t>
      </w:r>
      <w:r>
        <w:rPr>
          <w:color w:val="231F20"/>
        </w:rPr>
        <w:t>TLRs</w:t>
      </w:r>
      <w:r>
        <w:rPr>
          <w:color w:val="231F20"/>
          <w:spacing w:val="7"/>
        </w:rPr>
        <w:t>/</w:t>
      </w:r>
      <w:r>
        <w:rPr>
          <w:color w:val="231F20"/>
        </w:rPr>
        <w:t>MyD</w:t>
      </w:r>
      <w:r>
        <w:rPr>
          <w:color w:val="231F20"/>
          <w:spacing w:val="7"/>
        </w:rPr>
        <w:t>88</w:t>
      </w:r>
      <w:r>
        <w:rPr>
          <w:rFonts w:ascii="SimSun" w:hAnsi="SimSun" w:eastAsia="SimSun" w:cs="SimSun"/>
          <w:color w:val="231F20"/>
          <w:spacing w:val="7"/>
        </w:rPr>
        <w:t>通路探讨妇炎舒胶囊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抗炎机制及清湿化瘀类中成药治疗</w:t>
      </w:r>
      <w:r>
        <w:rPr>
          <w:color w:val="231F20"/>
        </w:rPr>
        <w:t>SPID </w:t>
      </w:r>
      <w:r>
        <w:rPr>
          <w:rFonts w:ascii="SimSun" w:hAnsi="SimSun" w:eastAsia="SimSun" w:cs="SimSun"/>
          <w:color w:val="231F20"/>
          <w:spacing w:val="17"/>
        </w:rPr>
        <w:t>的系统评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价</w:t>
      </w:r>
      <w:r>
        <w:rPr>
          <w:color w:val="231F20"/>
        </w:rPr>
        <w:t>[D].</w:t>
      </w:r>
      <w:r>
        <w:rPr>
          <w:rFonts w:ascii="SimSun" w:hAnsi="SimSun" w:eastAsia="SimSun" w:cs="SimSun"/>
          <w:color w:val="231F20"/>
        </w:rPr>
        <w:t>成都</w:t>
      </w:r>
      <w:r>
        <w:rPr>
          <w:color w:val="231F20"/>
        </w:rPr>
        <w:t>:</w:t>
      </w:r>
      <w:r>
        <w:rPr>
          <w:rFonts w:ascii="SimSun" w:hAnsi="SimSun" w:eastAsia="SimSun" w:cs="SimSun"/>
          <w:color w:val="231F20"/>
        </w:rPr>
        <w:t>成都中医药大学</w:t>
      </w:r>
      <w:r>
        <w:rPr>
          <w:color w:val="231F20"/>
        </w:rPr>
        <w:t>,2020.</w:t>
      </w:r>
    </w:p>
    <w:p>
      <w:pPr>
        <w:pStyle w:val="BodyText"/>
        <w:ind w:left="423" w:right="1" w:hanging="413"/>
        <w:spacing w:before="64" w:line="255" w:lineRule="auto"/>
        <w:rPr/>
      </w:pPr>
      <w:r>
        <w:rPr>
          <w:color w:val="231F20"/>
          <w:spacing w:val="2"/>
        </w:rPr>
        <w:t>[10]</w:t>
      </w:r>
      <w:r>
        <w:rPr>
          <w:color w:val="231F20"/>
          <w:spacing w:val="19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李茂雅</w:t>
      </w:r>
      <w:r>
        <w:rPr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2"/>
        </w:rPr>
        <w:t>基于细胞凋亡机制探讨妇炎舒</w:t>
      </w:r>
      <w:r>
        <w:rPr>
          <w:rFonts w:ascii="SimSun" w:hAnsi="SimSun" w:eastAsia="SimSun" w:cs="SimSun"/>
          <w:color w:val="231F20"/>
          <w:spacing w:val="1"/>
        </w:rPr>
        <w:t>胶囊对</w:t>
      </w:r>
      <w:r>
        <w:rPr>
          <w:color w:val="231F20"/>
        </w:rPr>
        <w:t>PID</w:t>
      </w:r>
      <w:r>
        <w:rPr>
          <w:rFonts w:ascii="SimSun" w:hAnsi="SimSun" w:eastAsia="SimSun" w:cs="SimSun"/>
          <w:color w:val="231F20"/>
          <w:spacing w:val="1"/>
        </w:rPr>
        <w:t>模型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大鼠</w:t>
      </w:r>
      <w:r>
        <w:rPr>
          <w:color w:val="231F20"/>
        </w:rPr>
        <w:t>Bax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</w:rPr>
        <w:t>、</w:t>
      </w:r>
      <w:r>
        <w:rPr>
          <w:color w:val="231F20"/>
        </w:rPr>
        <w:t>Bcl-xL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</w:rPr>
        <w:t>、</w:t>
      </w:r>
      <w:r>
        <w:rPr>
          <w:color w:val="231F20"/>
        </w:rPr>
        <w:t>Caspase-3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</w:rPr>
        <w:t>、</w:t>
      </w:r>
      <w:r>
        <w:rPr>
          <w:color w:val="231F20"/>
        </w:rPr>
        <w:t>PBEF</w:t>
      </w:r>
      <w:r>
        <w:rPr>
          <w:rFonts w:ascii="SimSun" w:hAnsi="SimSun" w:eastAsia="SimSun" w:cs="SimSun"/>
          <w:color w:val="231F20"/>
        </w:rPr>
        <w:t>的影响</w:t>
      </w:r>
      <w:r>
        <w:rPr>
          <w:color w:val="231F20"/>
        </w:rPr>
        <w:t>[D].</w:t>
      </w:r>
      <w:r>
        <w:rPr>
          <w:rFonts w:ascii="SimSun" w:hAnsi="SimSun" w:eastAsia="SimSun" w:cs="SimSun"/>
          <w:color w:val="231F20"/>
          <w:spacing w:val="-1"/>
        </w:rPr>
        <w:t>成都</w:t>
      </w:r>
      <w:r>
        <w:rPr>
          <w:color w:val="231F20"/>
          <w:spacing w:val="-1"/>
        </w:rPr>
        <w:t>: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成都中医药大学</w:t>
      </w:r>
      <w:r>
        <w:rPr>
          <w:color w:val="231F20"/>
        </w:rPr>
        <w:t>,2020.</w:t>
      </w:r>
    </w:p>
    <w:sectPr>
      <w:type w:val="continuous"/>
      <w:pgSz w:w="11906" w:h="16838"/>
      <w:pgMar w:top="1493" w:right="1132" w:bottom="797" w:left="407" w:header="1046" w:footer="354" w:gutter="0"/>
      <w:cols w:equalWidth="0" w:num="2">
        <w:col w:w="5662" w:space="100"/>
        <w:col w:w="460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Xihei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6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A1</w:t>
    </w:r>
    <w:r>
      <w:rPr>
        <w:rFonts w:ascii="Arial" w:hAnsi="Arial" w:eastAsia="Arial" w:cs="Arial"/>
        <w:sz w:val="19"/>
        <w:szCs w:val="19"/>
        <w:color w:val="B2B2B2"/>
      </w:rPr>
      <w:t>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6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-34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8"/>
      <w:spacing w:after="62" w:line="186" w:lineRule="auto"/>
      <w:rPr>
        <w:sz w:val="21"/>
        <w:szCs w:val="21"/>
      </w:rPr>
    </w:pPr>
    <w:r>
      <w:rPr>
        <w:sz w:val="21"/>
        <w:szCs w:val="21"/>
        <w:color w:val="231F20"/>
        <w:spacing w:val="-4"/>
      </w:rPr>
      <w:t>80</w:t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6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A1</w:t>
    </w:r>
    <w:r>
      <w:rPr>
        <w:rFonts w:ascii="Arial" w:hAnsi="Arial" w:eastAsia="Arial" w:cs="Arial"/>
        <w:sz w:val="19"/>
        <w:szCs w:val="19"/>
        <w:color w:val="B2B2B2"/>
      </w:rPr>
      <w:t>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6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-34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after="62" w:line="186" w:lineRule="auto"/>
      <w:jc w:val="right"/>
      <w:rPr>
        <w:sz w:val="21"/>
        <w:szCs w:val="21"/>
      </w:rPr>
    </w:pPr>
    <w:r>
      <w:rPr>
        <w:sz w:val="21"/>
        <w:szCs w:val="21"/>
        <w:color w:val="231F20"/>
        <w:spacing w:val="-7"/>
      </w:rPr>
      <w:t>81</w:t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6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6"/>
      </w:rPr>
      <w:t>A1</w:t>
    </w:r>
    <w:r>
      <w:rPr>
        <w:rFonts w:ascii="Arial" w:hAnsi="Arial" w:eastAsia="Arial" w:cs="Arial"/>
        <w:sz w:val="19"/>
        <w:szCs w:val="19"/>
        <w:color w:val="B2B2B2"/>
      </w:rPr>
      <w:t>l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6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  <w:spacing w:val="-34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6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322" w:lineRule="exact"/>
      <w:jc w:val="right"/>
      <w:rPr>
        <w:rFonts w:ascii="Arial" w:hAnsi="Arial" w:eastAsia="Arial" w:cs="Arial"/>
        <w:sz w:val="21"/>
        <w:szCs w:val="21"/>
      </w:rPr>
    </w:pPr>
    <w:r>
      <w:rPr>
        <w:sz w:val="24"/>
        <w:szCs w:val="24"/>
        <w:color w:val="231F20"/>
        <w:spacing w:val="-3"/>
        <w:position w:val="1"/>
      </w:rPr>
      <w:t>•  </w:t>
    </w:r>
    <w:r>
      <w:rPr>
        <w:rFonts w:ascii="SimSun" w:hAnsi="SimSun" w:eastAsia="SimSun" w:cs="SimSun"/>
        <w:sz w:val="24"/>
        <w:szCs w:val="24"/>
        <w:color w:val="231F20"/>
        <w:spacing w:val="-3"/>
        <w:position w:val="2"/>
      </w:rPr>
      <w:t>临床研究 </w:t>
    </w:r>
    <w:r>
      <w:rPr>
        <w:sz w:val="24"/>
        <w:szCs w:val="24"/>
        <w:color w:val="231F20"/>
        <w:spacing w:val="-3"/>
        <w:position w:val="1"/>
      </w:rPr>
      <w:t>•               </w:t>
    </w:r>
    <w:r>
      <w:rPr>
        <w:shd w:val="clear" w:fill="DCDDDF"/>
        <w:sz w:val="24"/>
        <w:szCs w:val="24"/>
        <w:color w:val="231F20"/>
        <w:spacing w:val="17"/>
        <w:position w:val="1"/>
      </w:rPr>
      <w:t xml:space="preserve"> 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3"/>
        <w:position w:val="2"/>
      </w:rPr>
      <w:t>Electronic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3"/>
        <w:position w:val="2"/>
      </w:rPr>
      <w:t xml:space="preserve"> 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3"/>
        <w:position w:val="2"/>
      </w:rPr>
      <w:t>Jou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4"/>
        <w:position w:val="2"/>
      </w:rPr>
      <w:t>rnal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4"/>
        <w:position w:val="2"/>
      </w:rPr>
      <w:t xml:space="preserve"> 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4"/>
        <w:position w:val="2"/>
      </w:rPr>
      <w:t>of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6"/>
        <w:position w:val="2"/>
      </w:rPr>
      <w:t xml:space="preserve"> 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4"/>
        <w:position w:val="2"/>
      </w:rPr>
      <w:t>Practical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8"/>
        <w:position w:val="2"/>
      </w:rPr>
      <w:t xml:space="preserve"> 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4"/>
        <w:position w:val="2"/>
      </w:rPr>
      <w:t>Gynecological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14"/>
        <w:position w:val="2"/>
      </w:rPr>
      <w:t xml:space="preserve"> 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4"/>
        <w:position w:val="2"/>
      </w:rPr>
      <w:t>Endocrinology</w:t>
    </w:r>
    <w:r>
      <w:rPr>
        <w:rFonts w:ascii="Arial" w:hAnsi="Arial" w:eastAsia="Arial" w:cs="Arial"/>
        <w:sz w:val="21"/>
        <w:szCs w:val="21"/>
        <w:color w:val="231F20"/>
        <w:spacing w:val="-4"/>
        <w:position w:val="2"/>
      </w:rPr>
      <w:t xml:space="preserve">      2023</w:t>
    </w:r>
    <w:r>
      <w:rPr>
        <w:rFonts w:ascii="Arial" w:hAnsi="Arial" w:eastAsia="Arial" w:cs="Arial"/>
        <w:sz w:val="21"/>
        <w:szCs w:val="21"/>
        <w:color w:val="231F20"/>
        <w:spacing w:val="-17"/>
        <w:position w:val="2"/>
      </w:rPr>
      <w:t xml:space="preserve"> </w:t>
    </w:r>
    <w:r>
      <w:rPr>
        <w:rFonts w:ascii="Arial" w:hAnsi="Arial" w:eastAsia="Arial" w:cs="Arial"/>
        <w:sz w:val="21"/>
        <w:szCs w:val="21"/>
        <w:color w:val="231F20"/>
        <w:spacing w:val="-4"/>
        <w:position w:val="2"/>
      </w:rPr>
      <w:t>Vol.10 No.10</w:t>
    </w:r>
  </w:p>
  <w:p>
    <w:pPr>
      <w:ind w:firstLine="725"/>
      <w:spacing w:before="35" w:line="19" w:lineRule="exact"/>
      <w:rPr/>
    </w:pPr>
    <w:r>
      <w:rPr>
        <w:position w:val="-1"/>
      </w:rPr>
      <w:pict>
        <v:shape id="_x0000_s8" style="mso-position-vertical-relative:line;mso-position-horizontal-relative:char;width:481.9pt;height:1.45pt;" filled="false" strokecolor="#939598" strokeweight="1.42pt" coordsize="9637,29" coordorigin="0,0" path="m0,14l9637,14e">
          <v:stroke joinstyle="miter" miterlimit="4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4" w:line="219" w:lineRule="auto"/>
      <w:jc w:val="right"/>
      <w:rPr>
        <w:sz w:val="24"/>
        <w:szCs w:val="24"/>
      </w:rPr>
    </w:pPr>
    <w:r>
      <w:rPr>
        <w:shd w:val="clear" w:fill="DCDDDF"/>
        <w:rFonts w:ascii="SimHei" w:hAnsi="SimHei" w:eastAsia="SimHei" w:cs="SimHei"/>
        <w:sz w:val="21"/>
        <w:szCs w:val="21"/>
        <w:color w:val="231F20"/>
        <w:spacing w:val="2"/>
      </w:rPr>
      <w:t>实用妇科内分泌电子杂志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40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2"/>
      </w:rPr>
      <w:t xml:space="preserve">  </w:t>
    </w:r>
    <w:r>
      <w:rPr>
        <w:sz w:val="21"/>
        <w:szCs w:val="21"/>
        <w:color w:val="231F20"/>
        <w:spacing w:val="2"/>
      </w:rPr>
      <w:t>2023</w:t>
    </w:r>
    <w:r>
      <w:rPr>
        <w:sz w:val="21"/>
        <w:szCs w:val="21"/>
        <w:color w:val="231F20"/>
        <w:spacing w:val="-17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2"/>
      </w:rPr>
      <w:t>年第</w:t>
    </w:r>
    <w:r>
      <w:rPr>
        <w:rFonts w:ascii="SimHei" w:hAnsi="SimHei" w:eastAsia="SimHei" w:cs="SimHei"/>
        <w:sz w:val="21"/>
        <w:szCs w:val="21"/>
        <w:color w:val="231F20"/>
        <w:spacing w:val="-54"/>
      </w:rPr>
      <w:t xml:space="preserve"> </w:t>
    </w:r>
    <w:r>
      <w:rPr>
        <w:sz w:val="21"/>
        <w:szCs w:val="21"/>
        <w:color w:val="231F20"/>
        <w:spacing w:val="2"/>
      </w:rPr>
      <w:t>10</w:t>
    </w:r>
    <w:r>
      <w:rPr>
        <w:sz w:val="21"/>
        <w:szCs w:val="21"/>
        <w:color w:val="231F20"/>
        <w:spacing w:val="-15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2"/>
      </w:rPr>
      <w:t>卷第</w:t>
    </w:r>
    <w:r>
      <w:rPr>
        <w:rFonts w:ascii="SimHei" w:hAnsi="SimHei" w:eastAsia="SimHei" w:cs="SimHei"/>
        <w:sz w:val="21"/>
        <w:szCs w:val="21"/>
        <w:color w:val="231F20"/>
        <w:spacing w:val="-54"/>
      </w:rPr>
      <w:t xml:space="preserve"> </w:t>
    </w:r>
    <w:r>
      <w:rPr>
        <w:sz w:val="21"/>
        <w:szCs w:val="21"/>
        <w:color w:val="231F20"/>
        <w:spacing w:val="2"/>
      </w:rPr>
      <w:t>10</w:t>
    </w:r>
    <w:r>
      <w:rPr>
        <w:sz w:val="21"/>
        <w:szCs w:val="21"/>
        <w:color w:val="231F20"/>
        <w:spacing w:val="-19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2"/>
      </w:rPr>
      <w:t>期</w:t>
    </w:r>
    <w:r>
      <w:rPr>
        <w:rFonts w:ascii="SimHei" w:hAnsi="SimHei" w:eastAsia="SimHei" w:cs="SimHei"/>
        <w:sz w:val="21"/>
        <w:szCs w:val="21"/>
        <w:color w:val="231F20"/>
        <w:spacing w:val="2"/>
      </w:rPr>
      <w:t xml:space="preserve">                      </w:t>
    </w:r>
    <w:r>
      <w:rPr>
        <w:rFonts w:ascii="SimHei" w:hAnsi="SimHei" w:eastAsia="SimHei" w:cs="SimHei"/>
        <w:sz w:val="21"/>
        <w:szCs w:val="21"/>
        <w:color w:val="231F20"/>
        <w:spacing w:val="1"/>
      </w:rPr>
      <w:t xml:space="preserve">          </w:t>
    </w:r>
    <w:r>
      <w:rPr>
        <w:sz w:val="24"/>
        <w:szCs w:val="24"/>
        <w:color w:val="231F20"/>
        <w:spacing w:val="1"/>
      </w:rPr>
      <w:t>•</w:t>
    </w:r>
    <w:r>
      <w:rPr>
        <w:sz w:val="24"/>
        <w:szCs w:val="24"/>
        <w:color w:val="231F20"/>
        <w:spacing w:val="10"/>
      </w:rPr>
      <w:t xml:space="preserve">  </w:t>
    </w:r>
    <w:r>
      <w:rPr>
        <w:rFonts w:ascii="SimSun" w:hAnsi="SimSun" w:eastAsia="SimSun" w:cs="SimSun"/>
        <w:sz w:val="24"/>
        <w:szCs w:val="24"/>
        <w:color w:val="231F20"/>
        <w:spacing w:val="1"/>
      </w:rPr>
      <w:t>临床研究</w:t>
    </w:r>
    <w:r>
      <w:rPr>
        <w:rFonts w:ascii="SimSun" w:hAnsi="SimSun" w:eastAsia="SimSun" w:cs="SimSun"/>
        <w:sz w:val="24"/>
        <w:szCs w:val="24"/>
        <w:color w:val="231F20"/>
        <w:spacing w:val="14"/>
      </w:rPr>
      <w:t xml:space="preserve"> </w:t>
    </w:r>
    <w:r>
      <w:rPr>
        <w:sz w:val="24"/>
        <w:szCs w:val="24"/>
        <w:color w:val="231F20"/>
        <w:spacing w:val="1"/>
      </w:rPr>
      <w:t>•</w:t>
    </w:r>
  </w:p>
  <w:p>
    <w:pPr>
      <w:ind w:firstLine="725"/>
      <w:spacing w:before="41" w:line="47" w:lineRule="exact"/>
      <w:rPr/>
    </w:pPr>
    <w:r>
      <w:rPr>
        <w:position w:val="-1"/>
      </w:rPr>
      <w:pict>
        <v:group id="_x0000_s12" style="mso-position-vertical-relative:line;mso-position-horizontal-relative:char;width:481.9pt;height:2.85pt;" filled="false" stroked="false" coordsize="9637,56" coordorigin="0,0">
          <v:shape id="_x0000_s14" style="position:absolute;left:0;top:0;width:9637;height:29;" filled="false" strokecolor="#939598" strokeweight="1.42pt" coordsize="9637,29" coordorigin="0,0" path="m0,14l9637,14e">
            <v:stroke joinstyle="miter" miterlimit="4"/>
          </v:shape>
          <v:shape id="_x0000_s16" style="position:absolute;left:0;top:47;width:9637;height:10;" filled="false" strokecolor="#939598" strokeweight="0.47pt" coordsize="9637,10" coordorigin="0,0" path="m0,4l9637,4e">
            <v:stroke joinstyle="miter" miterlimit="4"/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3.xml"/><Relationship Id="rId4" Type="http://schemas.openxmlformats.org/officeDocument/2006/relationships/header" Target="header2.xml"/><Relationship Id="rId3" Type="http://schemas.openxmlformats.org/officeDocument/2006/relationships/footer" Target="footer2.xml"/><Relationship Id="rId2" Type="http://schemas.openxmlformats.org/officeDocument/2006/relationships/header" Target="header1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2023-10-31T15:06:23Z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2025-10-28T21:30:06</vt:filetime>
  </property>
</Properties>
</file>