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87" w:lineRule="auto"/>
        <w:rPr>
          <w:sz w:val="21"/>
        </w:rPr>
      </w:pPr>
      <w:r/>
    </w:p>
    <w:p>
      <w:pPr>
        <w:pStyle w:val="BodyText"/>
        <w:spacing w:line="288" w:lineRule="auto"/>
        <w:rPr>
          <w:sz w:val="21"/>
        </w:rPr>
      </w:pPr>
      <w:r/>
    </w:p>
    <w:p>
      <w:pPr>
        <w:ind w:left="1644"/>
        <w:spacing w:before="159" w:line="213" w:lineRule="auto"/>
        <w:rPr>
          <w:rFonts w:ascii="Microsoft YaHei" w:hAnsi="Microsoft YaHei" w:eastAsia="Microsoft YaHei" w:cs="Microsoft YaHei"/>
          <w:sz w:val="37"/>
          <w:szCs w:val="37"/>
        </w:rPr>
      </w:pPr>
      <w:r>
        <w:rPr>
          <w:rFonts w:ascii="Microsoft YaHei" w:hAnsi="Microsoft YaHei" w:eastAsia="Microsoft YaHei" w:cs="Microsoft YaHei"/>
          <w:sz w:val="37"/>
          <w:szCs w:val="37"/>
          <w:color w:val="231F20"/>
          <w:spacing w:val="9"/>
        </w:rPr>
        <w:t>妇科千金片联合阿奇霉素治疗急性盆腔炎临床研究</w:t>
      </w:r>
    </w:p>
    <w:p>
      <w:pPr>
        <w:ind w:left="4290"/>
        <w:spacing w:before="115" w:line="199" w:lineRule="auto"/>
        <w:outlineLvl w:val="0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</w:rPr>
        <w:t>周金玲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</w:rPr>
        <w:t>，孙成艳</w:t>
      </w: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7"/>
          <w:szCs w:val="27"/>
          <w:color w:val="231F20"/>
        </w:rPr>
        <w:t>，徐晓聪</w:t>
      </w:r>
    </w:p>
    <w:p>
      <w:pPr>
        <w:pStyle w:val="BodyText"/>
        <w:ind w:left="3900"/>
        <w:spacing w:before="172" w:line="237" w:lineRule="auto"/>
        <w:rPr/>
      </w:pPr>
      <w:r>
        <w:rPr>
          <w:rFonts w:ascii="SimHei" w:hAnsi="SimHei" w:eastAsia="SimHei" w:cs="SimHei"/>
          <w:color w:val="231F20"/>
          <w:spacing w:val="5"/>
        </w:rPr>
        <w:t>永康市第二人民医院</w:t>
      </w:r>
      <w:r>
        <w:rPr>
          <w:rFonts w:ascii="SimHei" w:hAnsi="SimHei" w:eastAsia="SimHei" w:cs="SimHei"/>
          <w:color w:val="231F20"/>
          <w:spacing w:val="-43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，浙江</w:t>
      </w:r>
      <w:r>
        <w:rPr>
          <w:rFonts w:ascii="SimHei" w:hAnsi="SimHei" w:eastAsia="SimHei" w:cs="SimHei"/>
          <w:color w:val="231F20"/>
          <w:spacing w:val="5"/>
        </w:rPr>
        <w:t xml:space="preserve"> </w:t>
      </w:r>
      <w:r>
        <w:rPr>
          <w:rFonts w:ascii="SimHei" w:hAnsi="SimHei" w:eastAsia="SimHei" w:cs="SimHei"/>
          <w:color w:val="231F20"/>
          <w:spacing w:val="5"/>
        </w:rPr>
        <w:t>永康</w:t>
      </w:r>
      <w:r>
        <w:rPr>
          <w:rFonts w:ascii="SimHei" w:hAnsi="SimHei" w:eastAsia="SimHei" w:cs="SimHei"/>
          <w:color w:val="231F20"/>
          <w:spacing w:val="5"/>
        </w:rPr>
        <w:t xml:space="preserve"> </w:t>
      </w:r>
      <w:r>
        <w:rPr>
          <w:color w:val="231F20"/>
          <w:spacing w:val="5"/>
        </w:rPr>
        <w:t>321300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4" w:lineRule="auto"/>
        <w:rPr>
          <w:sz w:val="21"/>
        </w:rPr>
      </w:pPr>
      <w:r/>
    </w:p>
    <w:p>
      <w:pPr>
        <w:pStyle w:val="BodyText"/>
        <w:ind w:left="772" w:firstLine="342"/>
        <w:spacing w:before="85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9"/>
        </w:rPr>
        <w:t>［摘要］</w:t>
      </w:r>
      <w:r>
        <w:rPr>
          <w:rFonts w:ascii="SimHei" w:hAnsi="SimHei" w:eastAsia="SimHei" w:cs="SimHei"/>
          <w:color w:val="231F20"/>
          <w:spacing w:val="-35"/>
        </w:rPr>
        <w:t xml:space="preserve"> </w:t>
      </w:r>
      <w:r>
        <w:rPr>
          <w:rFonts w:ascii="SimHei" w:hAnsi="SimHei" w:eastAsia="SimHei" w:cs="SimHei"/>
          <w:color w:val="231F20"/>
          <w:spacing w:val="9"/>
        </w:rPr>
        <w:t>目的</w:t>
      </w:r>
      <w:r>
        <w:rPr>
          <w:rFonts w:ascii="SimHei" w:hAnsi="SimHei" w:eastAsia="SimHei" w:cs="SimHei"/>
          <w:color w:val="231F20"/>
          <w:spacing w:val="-55"/>
        </w:rPr>
        <w:t xml:space="preserve"> </w:t>
      </w:r>
      <w:r>
        <w:rPr>
          <w:rFonts w:ascii="SimHei" w:hAnsi="SimHei" w:eastAsia="SimHei" w:cs="SimHei"/>
          <w:color w:val="231F20"/>
          <w:spacing w:val="9"/>
        </w:rPr>
        <w:t>：</w:t>
      </w:r>
      <w:r>
        <w:rPr>
          <w:rFonts w:ascii="Microsoft YaHei" w:hAnsi="Microsoft YaHei" w:eastAsia="Microsoft YaHei" w:cs="Microsoft YaHei"/>
          <w:color w:val="231F20"/>
          <w:spacing w:val="9"/>
        </w:rPr>
        <w:t>观察妇科千金片联合阿奇霉素治疗急性盆腔炎的疗效及对子</w:t>
      </w:r>
      <w:r>
        <w:rPr>
          <w:rFonts w:ascii="Microsoft YaHei" w:hAnsi="Microsoft YaHei" w:eastAsia="Microsoft YaHei" w:cs="Microsoft YaHei"/>
          <w:color w:val="231F20"/>
          <w:spacing w:val="8"/>
        </w:rPr>
        <w:t>宫血流动力学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、免疫学指标的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影响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</w:t>
      </w:r>
      <w:r>
        <w:rPr>
          <w:rFonts w:ascii="SimHei" w:hAnsi="SimHei" w:eastAsia="SimHei" w:cs="SimHei"/>
          <w:color w:val="231F20"/>
          <w:spacing w:val="6"/>
        </w:rPr>
        <w:t>方法：</w:t>
      </w:r>
      <w:r>
        <w:rPr>
          <w:rFonts w:ascii="Microsoft YaHei" w:hAnsi="Microsoft YaHei" w:eastAsia="Microsoft YaHei" w:cs="Microsoft YaHei"/>
          <w:color w:val="231F20"/>
          <w:spacing w:val="6"/>
        </w:rPr>
        <w:t>选取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6"/>
        </w:rPr>
        <w:t>2020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年</w:t>
      </w:r>
      <w:r>
        <w:rPr>
          <w:color w:val="231F20"/>
          <w:spacing w:val="6"/>
        </w:rPr>
        <w:t>11 </w:t>
      </w:r>
      <w:r>
        <w:rPr>
          <w:rFonts w:ascii="Microsoft YaHei" w:hAnsi="Microsoft YaHei" w:eastAsia="Microsoft YaHei" w:cs="Microsoft YaHei"/>
          <w:color w:val="231F20"/>
          <w:spacing w:val="6"/>
        </w:rPr>
        <w:t>月—</w:t>
      </w:r>
      <w:r>
        <w:rPr>
          <w:color w:val="231F20"/>
          <w:spacing w:val="6"/>
        </w:rPr>
        <w:t>2022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年</w:t>
      </w:r>
      <w:r>
        <w:rPr>
          <w:color w:val="231F20"/>
          <w:spacing w:val="6"/>
        </w:rPr>
        <w:t>11 </w:t>
      </w:r>
      <w:r>
        <w:rPr>
          <w:rFonts w:ascii="Microsoft YaHei" w:hAnsi="Microsoft YaHei" w:eastAsia="Microsoft YaHei" w:cs="Microsoft YaHei"/>
          <w:color w:val="231F20"/>
          <w:spacing w:val="6"/>
        </w:rPr>
        <w:t>月永康市第二人民医院收治的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6"/>
        </w:rPr>
        <w:t>70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例急性盆腔炎患者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，按随机数字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表法分为试验组及对照组各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12"/>
        </w:rPr>
        <w:t>35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例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。对照组采用阿奇霉素治疗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，试验组在对照组基础上服用妇科千金片治疗。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比较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组临床疗效及不良反应发生率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比较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组治疗</w:t>
      </w:r>
      <w:r>
        <w:rPr>
          <w:rFonts w:ascii="Microsoft YaHei" w:hAnsi="Microsoft YaHei" w:eastAsia="Microsoft YaHei" w:cs="Microsoft YaHei"/>
          <w:color w:val="231F20"/>
          <w:spacing w:val="4"/>
        </w:rPr>
        <w:t>前后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</w:rPr>
        <w:t>McCormack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量表评分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、炎性包块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、盆腔积液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、子宫血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2"/>
        </w:rPr>
        <w:t>流动力学指标［阻力指数（</w:t>
      </w:r>
      <w:r>
        <w:rPr>
          <w:color w:val="231F20"/>
        </w:rPr>
        <w:t>RI</w:t>
      </w:r>
      <w:r>
        <w:rPr>
          <w:rFonts w:ascii="Microsoft YaHei" w:hAnsi="Microsoft YaHei" w:eastAsia="Microsoft YaHei" w:cs="Microsoft YaHei"/>
          <w:color w:val="231F20"/>
          <w:spacing w:val="2"/>
        </w:rPr>
        <w:t>）、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搏动指数（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</w:rPr>
        <w:t>PI</w:t>
      </w:r>
      <w:r>
        <w:rPr>
          <w:rFonts w:ascii="Microsoft YaHei" w:hAnsi="Microsoft YaHei" w:eastAsia="Microsoft YaHei" w:cs="Microsoft YaHei"/>
          <w:color w:val="231F20"/>
          <w:spacing w:val="2"/>
        </w:rPr>
        <w:t>）、 平均血流速度（</w:t>
      </w:r>
      <w:r>
        <w:rPr>
          <w:color w:val="231F20"/>
        </w:rPr>
        <w:t>Vmin</w:t>
      </w:r>
      <w:r>
        <w:rPr>
          <w:rFonts w:ascii="Microsoft YaHei" w:hAnsi="Microsoft YaHei" w:eastAsia="Microsoft YaHei" w:cs="Microsoft YaHei"/>
          <w:color w:val="231F20"/>
          <w:spacing w:val="-32"/>
          <w:w w:val="83"/>
        </w:rPr>
        <w:t>）</w:t>
      </w:r>
      <w:r>
        <w:rPr>
          <w:rFonts w:ascii="Microsoft YaHei" w:hAnsi="Microsoft YaHei" w:eastAsia="Microsoft YaHei" w:cs="Microsoft YaHei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2"/>
          <w:w w:val="83"/>
        </w:rPr>
        <w:t>］</w:t>
      </w:r>
      <w:r>
        <w:rPr>
          <w:rFonts w:ascii="Microsoft YaHei" w:hAnsi="Microsoft YaHei" w:eastAsia="Microsoft YaHei" w:cs="Microsoft YaHei"/>
          <w:color w:val="231F20"/>
          <w:spacing w:val="1"/>
        </w:rPr>
        <w:t>、 免疫学指标值的变化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。</w:t>
      </w:r>
      <w:r>
        <w:rPr>
          <w:rFonts w:ascii="SimHei" w:hAnsi="SimHei" w:eastAsia="SimHei" w:cs="SimHei"/>
          <w:color w:val="231F20"/>
          <w:spacing w:val="1"/>
        </w:rPr>
        <w:t>结果</w:t>
      </w:r>
      <w:r>
        <w:rPr>
          <w:rFonts w:ascii="SimHei" w:hAnsi="SimHei" w:eastAsia="SimHei" w:cs="SimHei"/>
          <w:color w:val="231F20"/>
          <w:spacing w:val="-55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：</w:t>
      </w:r>
      <w:r>
        <w:rPr>
          <w:rFonts w:ascii="Microsoft YaHei" w:hAnsi="Microsoft YaHei" w:eastAsia="Microsoft YaHei" w:cs="Microsoft YaHei"/>
          <w:color w:val="231F20"/>
          <w:spacing w:val="1"/>
        </w:rPr>
        <w:t>试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验组临床疗效总有效率为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  <w:spacing w:val="5"/>
        </w:rPr>
        <w:t>94.29%</w:t>
      </w:r>
      <w:r>
        <w:rPr>
          <w:rFonts w:ascii="Microsoft YaHei" w:hAnsi="Microsoft YaHei" w:eastAsia="Microsoft YaHei" w:cs="Microsoft YaHei"/>
          <w:color w:val="231F20"/>
          <w:spacing w:val="5"/>
        </w:rPr>
        <w:t>（</w:t>
      </w:r>
      <w:r>
        <w:rPr>
          <w:color w:val="231F20"/>
          <w:spacing w:val="5"/>
        </w:rPr>
        <w:t>33/35</w:t>
      </w:r>
      <w:r>
        <w:rPr>
          <w:rFonts w:ascii="Microsoft YaHei" w:hAnsi="Microsoft YaHei" w:eastAsia="Microsoft YaHei" w:cs="Microsoft YaHei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对照组为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5"/>
        </w:rPr>
        <w:t>7</w:t>
      </w:r>
      <w:r>
        <w:rPr>
          <w:color w:val="231F20"/>
          <w:spacing w:val="4"/>
        </w:rPr>
        <w:t>7.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14%</w:t>
      </w:r>
      <w:r>
        <w:rPr>
          <w:rFonts w:ascii="Microsoft YaHei" w:hAnsi="Microsoft YaHei" w:eastAsia="Microsoft YaHei" w:cs="Microsoft YaHei"/>
          <w:color w:val="231F20"/>
          <w:spacing w:val="4"/>
        </w:rPr>
        <w:t>（</w:t>
      </w:r>
      <w:r>
        <w:rPr>
          <w:color w:val="231F20"/>
          <w:spacing w:val="4"/>
        </w:rPr>
        <w:t>27/35</w:t>
      </w:r>
      <w:r>
        <w:rPr>
          <w:rFonts w:ascii="Microsoft YaHei" w:hAnsi="Microsoft YaHei" w:eastAsia="Microsoft YaHei" w:cs="Microsoft YaHei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</w:t>
      </w:r>
      <w:r>
        <w:rPr>
          <w:color w:val="231F20"/>
          <w:spacing w:val="4"/>
        </w:rPr>
        <w:t>2 </w:t>
      </w:r>
      <w:r>
        <w:rPr>
          <w:rFonts w:ascii="Microsoft YaHei" w:hAnsi="Microsoft YaHei" w:eastAsia="Microsoft YaHei" w:cs="Microsoft YaHei"/>
          <w:color w:val="231F20"/>
          <w:spacing w:val="4"/>
        </w:rPr>
        <w:t>组比较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差异有统计学意义（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i/>
          <w:iCs/>
          <w:color w:val="231F20"/>
          <w:spacing w:val="4"/>
        </w:rPr>
        <w:t>P </w:t>
      </w:r>
      <w:r>
        <w:rPr>
          <w:rFonts w:ascii="Microsoft YaHei" w:hAnsi="Microsoft YaHei" w:eastAsia="Microsoft YaHei" w:cs="Microsoft YaHei"/>
          <w:color w:val="231F20"/>
          <w:spacing w:val="4"/>
        </w:rPr>
        <w:t>&lt;</w:t>
      </w:r>
      <w:r>
        <w:rPr>
          <w:rFonts w:ascii="Microsoft YaHei" w:hAnsi="Microsoft YaHei" w:eastAsia="Microsoft YaHei" w:cs="Microsoft YaHei"/>
          <w:color w:val="231F20"/>
        </w:rPr>
        <w:t xml:space="preserve">   </w:t>
      </w:r>
      <w:r>
        <w:rPr>
          <w:color w:val="231F20"/>
          <w:spacing w:val="-8"/>
        </w:rPr>
        <w:t>0.05</w:t>
      </w:r>
      <w:r>
        <w:rPr>
          <w:rFonts w:ascii="Microsoft YaHei" w:hAnsi="Microsoft YaHei" w:eastAsia="Microsoft YaHei" w:cs="Microsoft YaHei"/>
          <w:color w:val="231F20"/>
          <w:spacing w:val="-8"/>
        </w:rPr>
        <w:t>）。</w:t>
      </w:r>
      <w:r>
        <w:rPr>
          <w:rFonts w:ascii="Microsoft YaHei" w:hAnsi="Microsoft YaHei" w:eastAsia="Microsoft YaHei" w:cs="Microsoft YaHei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治 疗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后 ，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-8"/>
        </w:rPr>
        <w:t>2</w:t>
      </w:r>
      <w:r>
        <w:rPr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组 </w:t>
      </w:r>
      <w:r>
        <w:rPr>
          <w:color w:val="231F20"/>
          <w:spacing w:val="-8"/>
        </w:rPr>
        <w:t>McCormack</w:t>
      </w:r>
      <w:r>
        <w:rPr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量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表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分 、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炎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性 包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块 、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盆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腔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积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液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均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较 治 疗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前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减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小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试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验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</w:rPr>
        <w:t>McCormack</w:t>
      </w:r>
      <w:r>
        <w:rPr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量表评分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、炎性包块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、盆腔积液均小于对照组（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i/>
          <w:iCs/>
          <w:color w:val="231F20"/>
          <w:spacing w:val="4"/>
        </w:rPr>
        <w:t>P</w:t>
      </w:r>
      <w:r>
        <w:rPr>
          <w:rFonts w:ascii="Microsoft YaHei" w:hAnsi="Microsoft YaHei" w:eastAsia="Microsoft YaHei" w:cs="Microsoft YaHei"/>
          <w:color w:val="231F20"/>
          <w:spacing w:val="4"/>
        </w:rPr>
        <w:t>＜</w:t>
      </w:r>
      <w:r>
        <w:rPr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color w:val="231F20"/>
          <w:spacing w:val="4"/>
        </w:rPr>
        <w:t>）。 治疗后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，</w:t>
      </w:r>
      <w:r>
        <w:rPr>
          <w:color w:val="231F20"/>
          <w:spacing w:val="3"/>
        </w:rPr>
        <w:t>2 </w:t>
      </w:r>
      <w:r>
        <w:rPr>
          <w:rFonts w:ascii="Microsoft YaHei" w:hAnsi="Microsoft YaHei" w:eastAsia="Microsoft YaHei" w:cs="Microsoft YaHei"/>
          <w:color w:val="231F20"/>
          <w:spacing w:val="3"/>
        </w:rPr>
        <w:t>组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RI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</w:rPr>
        <w:t>PI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值均较治疗前下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降（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i/>
          <w:iCs/>
          <w:color w:val="231F20"/>
          <w:spacing w:val="3"/>
        </w:rPr>
        <w:t>P</w:t>
      </w:r>
      <w:r>
        <w:rPr>
          <w:rFonts w:ascii="Microsoft YaHei" w:hAnsi="Microsoft YaHei" w:eastAsia="Microsoft YaHei" w:cs="Microsoft YaHei"/>
          <w:color w:val="231F20"/>
          <w:spacing w:val="3"/>
        </w:rPr>
        <w:t>＜</w:t>
      </w:r>
      <w:r>
        <w:rPr>
          <w:color w:val="231F20"/>
          <w:spacing w:val="3"/>
        </w:rPr>
        <w:t>0.05</w:t>
      </w:r>
      <w:r>
        <w:rPr>
          <w:rFonts w:ascii="Microsoft YaHei" w:hAnsi="Microsoft YaHei" w:eastAsia="Microsoft YaHei" w:cs="Microsoft YaHei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color w:val="231F20"/>
          <w:spacing w:val="-8"/>
        </w:rPr>
        <w:t xml:space="preserve"> </w:t>
      </w:r>
      <w:r>
        <w:rPr>
          <w:color w:val="231F20"/>
        </w:rPr>
        <w:t>Vmin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值均较治疗前升高（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i/>
          <w:iCs/>
          <w:color w:val="231F20"/>
          <w:spacing w:val="3"/>
        </w:rPr>
        <w:t>P</w:t>
      </w:r>
      <w:r>
        <w:rPr>
          <w:rFonts w:ascii="Microsoft YaHei" w:hAnsi="Microsoft YaHei" w:eastAsia="Microsoft YaHei" w:cs="Microsoft YaHei"/>
          <w:color w:val="231F20"/>
          <w:spacing w:val="3"/>
        </w:rPr>
        <w:t>＜</w:t>
      </w:r>
      <w:r>
        <w:rPr>
          <w:color w:val="231F20"/>
          <w:spacing w:val="3"/>
        </w:rPr>
        <w:t>0.05</w:t>
      </w:r>
      <w:r>
        <w:rPr>
          <w:rFonts w:ascii="Microsoft YaHei" w:hAnsi="Microsoft YaHei" w:eastAsia="Microsoft YaHei" w:cs="Microsoft YaHei"/>
          <w:color w:val="231F20"/>
          <w:spacing w:val="-45"/>
          <w:w w:val="94"/>
        </w:rPr>
        <w:t>）；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试验组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</w:rPr>
        <w:t>RI</w:t>
      </w:r>
      <w:r>
        <w:rPr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、</w:t>
      </w:r>
      <w:r>
        <w:rPr>
          <w:color w:val="231F20"/>
        </w:rPr>
        <w:t>PI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值均低于对照组（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i/>
          <w:iCs/>
          <w:color w:val="231F20"/>
          <w:spacing w:val="3"/>
        </w:rPr>
        <w:t>P</w:t>
      </w:r>
      <w:r>
        <w:rPr>
          <w:rFonts w:ascii="Microsoft YaHei" w:hAnsi="Microsoft YaHei" w:eastAsia="Microsoft YaHei" w:cs="Microsoft YaHei"/>
          <w:color w:val="231F20"/>
          <w:spacing w:val="3"/>
        </w:rPr>
        <w:t>＜</w:t>
      </w:r>
      <w:r>
        <w:rPr>
          <w:color w:val="231F20"/>
          <w:spacing w:val="3"/>
        </w:rPr>
        <w:t>0.05</w:t>
      </w:r>
      <w:r>
        <w:rPr>
          <w:rFonts w:ascii="Microsoft YaHei" w:hAnsi="Microsoft YaHei" w:eastAsia="Microsoft YaHei" w:cs="Microsoft YaHei"/>
          <w:color w:val="231F20"/>
          <w:spacing w:val="-45"/>
          <w:w w:val="94"/>
        </w:rPr>
        <w:t>），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</w:rPr>
        <w:t>Vmin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值高于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对照组（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9"/>
        </w:rPr>
        <w:t>）。 治疗后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2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9"/>
        </w:rPr>
        <w:t>CD4</w:t>
      </w:r>
      <w:r>
        <w:rPr>
          <w:sz w:val="10"/>
          <w:szCs w:val="10"/>
          <w:color w:val="231F20"/>
          <w:position w:val="8"/>
        </w:rPr>
        <w:t>+</w:t>
      </w:r>
      <w:r>
        <w:rPr>
          <w:sz w:val="10"/>
          <w:szCs w:val="10"/>
          <w:color w:val="231F2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水平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、</w:t>
      </w:r>
      <w:r>
        <w:rPr>
          <w:color w:val="231F20"/>
        </w:rPr>
        <w:t>CD4</w:t>
      </w:r>
      <w:r>
        <w:rPr>
          <w:sz w:val="10"/>
          <w:szCs w:val="10"/>
          <w:color w:val="231F20"/>
          <w:position w:val="8"/>
        </w:rPr>
        <w:t>+</w:t>
      </w:r>
      <w:r>
        <w:rPr>
          <w:color w:val="231F20"/>
        </w:rPr>
        <w:t>/CD8</w:t>
      </w:r>
      <w:r>
        <w:rPr>
          <w:sz w:val="10"/>
          <w:szCs w:val="10"/>
          <w:color w:val="231F20"/>
          <w:position w:val="8"/>
        </w:rPr>
        <w:t>+ </w:t>
      </w:r>
      <w:r>
        <w:rPr>
          <w:rFonts w:ascii="Microsoft YaHei" w:hAnsi="Microsoft YaHei" w:eastAsia="Microsoft YaHei" w:cs="Microsoft YaHei"/>
          <w:color w:val="231F20"/>
        </w:rPr>
        <w:t>比值均较治疗前上升（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i/>
          <w:iCs/>
          <w:color w:val="231F20"/>
        </w:rPr>
        <w:t>P</w:t>
      </w:r>
      <w:r>
        <w:rPr>
          <w:rFonts w:ascii="Microsoft YaHei" w:hAnsi="Microsoft YaHei" w:eastAsia="Microsoft YaHei" w:cs="Microsoft YaHei"/>
          <w:color w:val="231F20"/>
        </w:rPr>
        <w:t>＜</w:t>
      </w:r>
      <w:r>
        <w:rPr>
          <w:color w:val="231F20"/>
        </w:rPr>
        <w:t>0.05</w:t>
      </w:r>
      <w:r>
        <w:rPr>
          <w:rFonts w:ascii="Microsoft YaHei" w:hAnsi="Microsoft YaHei" w:eastAsia="Microsoft YaHei" w:cs="Microsoft YaHei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-1"/>
        </w:rPr>
        <w:t>D8</w:t>
      </w:r>
      <w:r>
        <w:rPr>
          <w:sz w:val="10"/>
          <w:szCs w:val="10"/>
          <w:color w:val="231F20"/>
          <w:spacing w:val="-1"/>
          <w:position w:val="8"/>
        </w:rPr>
        <w:t>+</w:t>
      </w:r>
      <w:r>
        <w:rPr>
          <w:sz w:val="10"/>
          <w:szCs w:val="10"/>
          <w:color w:val="231F20"/>
          <w:spacing w:val="-11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水平均较治疗前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下降（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i/>
          <w:iCs/>
          <w:color w:val="231F20"/>
          <w:spacing w:val="-1"/>
        </w:rPr>
        <w:t>P</w:t>
      </w:r>
      <w:r>
        <w:rPr>
          <w:rFonts w:ascii="Microsoft YaHei" w:hAnsi="Microsoft YaHei" w:eastAsia="Microsoft YaHei" w:cs="Microsoft YaHei"/>
          <w:color w:val="231F20"/>
          <w:spacing w:val="-1"/>
        </w:rPr>
        <w:t>＜</w:t>
      </w:r>
      <w:r>
        <w:rPr>
          <w:color w:val="231F20"/>
          <w:spacing w:val="-1"/>
        </w:rPr>
        <w:t>0.05</w:t>
      </w:r>
      <w:r>
        <w:rPr>
          <w:rFonts w:ascii="Microsoft YaHei" w:hAnsi="Microsoft YaHei" w:eastAsia="Microsoft YaHei" w:cs="Microsoft YaHei"/>
          <w:color w:val="231F20"/>
          <w:spacing w:val="-44"/>
          <w:w w:val="92"/>
        </w:rPr>
        <w:t>）；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试验组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color w:val="231F20"/>
          <w:spacing w:val="-1"/>
        </w:rPr>
        <w:t>CD4</w:t>
      </w:r>
      <w:r>
        <w:rPr>
          <w:sz w:val="10"/>
          <w:szCs w:val="10"/>
          <w:color w:val="231F20"/>
          <w:spacing w:val="-1"/>
          <w:position w:val="8"/>
        </w:rPr>
        <w:t>+</w:t>
      </w:r>
      <w:r>
        <w:rPr>
          <w:sz w:val="10"/>
          <w:szCs w:val="10"/>
          <w:color w:val="231F20"/>
          <w:spacing w:val="-8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水平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、</w:t>
      </w:r>
      <w:r>
        <w:rPr>
          <w:color w:val="231F20"/>
          <w:spacing w:val="-1"/>
        </w:rPr>
        <w:t>CD4</w:t>
      </w:r>
      <w:r>
        <w:rPr>
          <w:sz w:val="10"/>
          <w:szCs w:val="10"/>
          <w:color w:val="231F20"/>
          <w:spacing w:val="-1"/>
          <w:position w:val="8"/>
        </w:rPr>
        <w:t>+</w:t>
      </w:r>
      <w:r>
        <w:rPr>
          <w:color w:val="231F20"/>
          <w:spacing w:val="-1"/>
        </w:rPr>
        <w:t>/CD8</w:t>
      </w:r>
      <w:r>
        <w:rPr>
          <w:sz w:val="10"/>
          <w:szCs w:val="10"/>
          <w:color w:val="231F20"/>
          <w:spacing w:val="-1"/>
          <w:position w:val="8"/>
        </w:rPr>
        <w:t>+ </w:t>
      </w:r>
      <w:r>
        <w:rPr>
          <w:rFonts w:ascii="Microsoft YaHei" w:hAnsi="Microsoft YaHei" w:eastAsia="Microsoft YaHei" w:cs="Microsoft YaHei"/>
          <w:color w:val="231F20"/>
          <w:spacing w:val="-1"/>
        </w:rPr>
        <w:t>比值均高于对照组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，</w:t>
      </w:r>
      <w:r>
        <w:rPr>
          <w:color w:val="231F20"/>
          <w:spacing w:val="-1"/>
        </w:rPr>
        <w:t>CD8</w:t>
      </w:r>
      <w:r>
        <w:rPr>
          <w:sz w:val="10"/>
          <w:szCs w:val="10"/>
          <w:color w:val="231F20"/>
          <w:spacing w:val="-1"/>
          <w:position w:val="8"/>
        </w:rPr>
        <w:t>+</w:t>
      </w:r>
      <w:r>
        <w:rPr>
          <w:sz w:val="10"/>
          <w:szCs w:val="10"/>
          <w:color w:val="231F20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水平低于对照组（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color w:val="231F20"/>
          <w:spacing w:val="-2"/>
        </w:rPr>
        <w:t>＜</w:t>
      </w:r>
      <w:r>
        <w:rPr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color w:val="231F20"/>
          <w:spacing w:val="-2"/>
        </w:rPr>
        <w:t>）。 试验组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不良反应发生率为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6"/>
        </w:rPr>
        <w:t>5.71%</w:t>
      </w:r>
      <w:r>
        <w:rPr>
          <w:rFonts w:ascii="Microsoft YaHei" w:hAnsi="Microsoft YaHei" w:eastAsia="Microsoft YaHei" w:cs="Microsoft YaHei"/>
          <w:color w:val="231F20"/>
          <w:spacing w:val="6"/>
        </w:rPr>
        <w:t>（</w:t>
      </w:r>
      <w:r>
        <w:rPr>
          <w:color w:val="231F20"/>
          <w:spacing w:val="6"/>
        </w:rPr>
        <w:t>12/35</w:t>
      </w:r>
      <w:r>
        <w:rPr>
          <w:rFonts w:ascii="Microsoft YaHei" w:hAnsi="Microsoft YaHei" w:eastAsia="Microsoft YaHei" w:cs="Microsoft YaHei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对照组不良反应发生率为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5"/>
        </w:rPr>
        <w:t>8.57%</w:t>
      </w:r>
      <w:r>
        <w:rPr>
          <w:rFonts w:ascii="Microsoft YaHei" w:hAnsi="Microsoft YaHei" w:eastAsia="Microsoft YaHei" w:cs="Microsoft YaHei"/>
          <w:color w:val="231F20"/>
          <w:spacing w:val="5"/>
        </w:rPr>
        <w:t>（</w:t>
      </w:r>
      <w:r>
        <w:rPr>
          <w:color w:val="231F20"/>
          <w:spacing w:val="5"/>
        </w:rPr>
        <w:t>3/35</w:t>
      </w:r>
      <w:r>
        <w:rPr>
          <w:rFonts w:ascii="Microsoft YaHei" w:hAnsi="Microsoft YaHei" w:eastAsia="Microsoft YaHei" w:cs="Microsoft YaHei"/>
          <w:color w:val="231F20"/>
          <w:spacing w:val="-44"/>
          <w:w w:val="92"/>
        </w:rPr>
        <w:t>），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color w:val="231F20"/>
          <w:spacing w:val="5"/>
        </w:rPr>
        <w:t>2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组不良反应发生率比较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，差异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无统计学意义（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i/>
          <w:iCs/>
          <w:color w:val="231F20"/>
          <w:spacing w:val="4"/>
        </w:rPr>
        <w:t>P</w:t>
      </w:r>
      <w:r>
        <w:rPr>
          <w:rFonts w:ascii="Microsoft YaHei" w:hAnsi="Microsoft YaHei" w:eastAsia="Microsoft YaHei" w:cs="Microsoft YaHei"/>
          <w:color w:val="231F20"/>
          <w:spacing w:val="4"/>
        </w:rPr>
        <w:t>＞</w:t>
      </w:r>
      <w:r>
        <w:rPr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color w:val="231F20"/>
          <w:spacing w:val="4"/>
        </w:rPr>
        <w:t>）。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SimHei" w:hAnsi="SimHei" w:eastAsia="SimHei" w:cs="SimHei"/>
          <w:color w:val="231F20"/>
          <w:spacing w:val="4"/>
        </w:rPr>
        <w:t>结论</w:t>
      </w:r>
      <w:r>
        <w:rPr>
          <w:rFonts w:ascii="SimHei" w:hAnsi="SimHei" w:eastAsia="SimHei" w:cs="SimHei"/>
          <w:color w:val="231F20"/>
          <w:spacing w:val="-57"/>
        </w:rPr>
        <w:t xml:space="preserve"> </w:t>
      </w:r>
      <w:r>
        <w:rPr>
          <w:rFonts w:ascii="SimHei" w:hAnsi="SimHei" w:eastAsia="SimHei" w:cs="SimHei"/>
          <w:color w:val="231F20"/>
          <w:spacing w:val="4"/>
        </w:rPr>
        <w:t>：</w:t>
      </w:r>
      <w:r>
        <w:rPr>
          <w:rFonts w:ascii="Microsoft YaHei" w:hAnsi="Microsoft YaHei" w:eastAsia="Microsoft YaHei" w:cs="Microsoft YaHei"/>
          <w:color w:val="231F20"/>
          <w:spacing w:val="4"/>
        </w:rPr>
        <w:t>妇科千金片联合阿奇霉素治疗急性盆腔炎效果较好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，可改善患者子宫血流动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力学指标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，提高免疫功能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，安全性高。</w:t>
      </w:r>
    </w:p>
    <w:p>
      <w:pPr>
        <w:ind w:left="1115"/>
        <w:spacing w:before="1" w:line="20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［关键词］</w:t>
      </w:r>
      <w:r>
        <w:rPr>
          <w:rFonts w:ascii="SimHei" w:hAnsi="SimHei" w:eastAsia="SimHei" w:cs="SimHei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急性盆腔炎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；湿毒壅盛型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；妇科千金片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阿奇霉素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；子宫血流动力学</w:t>
      </w:r>
    </w:p>
    <w:p>
      <w:pPr>
        <w:pStyle w:val="BodyText"/>
        <w:ind w:left="1115"/>
        <w:spacing w:before="28" w:line="229" w:lineRule="auto"/>
        <w:rPr/>
      </w:pPr>
      <w:r>
        <w:rPr>
          <w:rFonts w:ascii="SimHei" w:hAnsi="SimHei" w:eastAsia="SimHei" w:cs="SimHei"/>
          <w:color w:val="231F20"/>
          <w:spacing w:val="7"/>
        </w:rPr>
        <w:t>［中图分类号］</w:t>
      </w:r>
      <w:r>
        <w:rPr>
          <w:rFonts w:ascii="SimHei" w:hAnsi="SimHei" w:eastAsia="SimHei" w:cs="SimHei"/>
          <w:color w:val="231F20"/>
          <w:spacing w:val="-56"/>
        </w:rPr>
        <w:t xml:space="preserve"> </w:t>
      </w:r>
      <w:r>
        <w:rPr>
          <w:color w:val="231F20"/>
          <w:spacing w:val="7"/>
        </w:rPr>
        <w:t>R711.33       </w:t>
      </w:r>
      <w:r>
        <w:rPr>
          <w:rFonts w:ascii="SimHei" w:hAnsi="SimHei" w:eastAsia="SimHei" w:cs="SimHei"/>
          <w:color w:val="231F20"/>
          <w:spacing w:val="7"/>
        </w:rPr>
        <w:t>［文献标志码］</w:t>
      </w:r>
      <w:r>
        <w:rPr>
          <w:color w:val="231F20"/>
          <w:spacing w:val="7"/>
        </w:rPr>
        <w:t>A        [</w:t>
      </w:r>
      <w:r>
        <w:rPr>
          <w:rFonts w:ascii="SimHei" w:hAnsi="SimHei" w:eastAsia="SimHei" w:cs="SimHei"/>
          <w:color w:val="231F20"/>
          <w:spacing w:val="7"/>
        </w:rPr>
        <w:t>文章编号］</w:t>
      </w:r>
      <w:r>
        <w:rPr>
          <w:color w:val="231F20"/>
          <w:spacing w:val="7"/>
        </w:rPr>
        <w:t>0256-7415</w:t>
      </w:r>
      <w:r>
        <w:rPr>
          <w:rFonts w:ascii="SimHei" w:hAnsi="SimHei" w:eastAsia="SimHei" w:cs="SimHei"/>
          <w:color w:val="231F20"/>
          <w:spacing w:val="6"/>
        </w:rPr>
        <w:t>（</w:t>
      </w:r>
      <w:r>
        <w:rPr>
          <w:color w:val="231F20"/>
          <w:spacing w:val="6"/>
        </w:rPr>
        <w:t>2025</w:t>
      </w:r>
      <w:r>
        <w:rPr>
          <w:rFonts w:ascii="SimHei" w:hAnsi="SimHei" w:eastAsia="SimHei" w:cs="SimHei"/>
          <w:color w:val="231F20"/>
          <w:spacing w:val="6"/>
        </w:rPr>
        <w:t>）</w:t>
      </w:r>
      <w:r>
        <w:rPr>
          <w:color w:val="231F20"/>
          <w:spacing w:val="6"/>
        </w:rPr>
        <w:t>03-0095-05</w:t>
      </w:r>
    </w:p>
    <w:p>
      <w:pPr>
        <w:pStyle w:val="BodyText"/>
        <w:ind w:left="1205"/>
        <w:spacing w:before="77" w:line="226" w:lineRule="auto"/>
        <w:rPr/>
      </w:pPr>
      <w:r>
        <w:rPr>
          <w:color w:val="231F20"/>
        </w:rPr>
        <w:t>DOI</w:t>
      </w:r>
      <w:r>
        <w:rPr>
          <w:rFonts w:ascii="SimHei" w:hAnsi="SimHei" w:eastAsia="SimHei" w:cs="SimHei"/>
          <w:color w:val="231F20"/>
          <w:spacing w:val="6"/>
        </w:rPr>
        <w:t>：</w:t>
      </w:r>
      <w:r>
        <w:rPr>
          <w:color w:val="231F20"/>
          <w:spacing w:val="6"/>
        </w:rPr>
        <w:t>10.13457/j.</w:t>
      </w:r>
      <w:r>
        <w:rPr>
          <w:color w:val="231F20"/>
        </w:rPr>
        <w:t>cnki</w:t>
      </w:r>
      <w:r>
        <w:rPr>
          <w:color w:val="231F20"/>
          <w:spacing w:val="6"/>
        </w:rPr>
        <w:t>.</w:t>
      </w:r>
      <w:r>
        <w:rPr>
          <w:color w:val="231F20"/>
        </w:rPr>
        <w:t>jncm</w:t>
      </w:r>
      <w:r>
        <w:rPr>
          <w:color w:val="231F20"/>
          <w:spacing w:val="6"/>
        </w:rPr>
        <w:t>.2025.03.017</w:t>
      </w:r>
    </w:p>
    <w:p>
      <w:pPr>
        <w:pStyle w:val="BodyText"/>
        <w:spacing w:line="366" w:lineRule="auto"/>
        <w:rPr>
          <w:sz w:val="21"/>
        </w:rPr>
      </w:pPr>
      <w:r/>
    </w:p>
    <w:p>
      <w:pPr>
        <w:pStyle w:val="BodyText"/>
        <w:ind w:left="772" w:right="90" w:firstLine="4"/>
        <w:spacing w:before="66" w:line="277" w:lineRule="auto"/>
        <w:rPr>
          <w:sz w:val="23"/>
          <w:szCs w:val="23"/>
        </w:rPr>
      </w:pPr>
      <w:r>
        <w:rPr>
          <w:sz w:val="23"/>
          <w:szCs w:val="23"/>
          <w:color w:val="231F20"/>
          <w:spacing w:val="13"/>
        </w:rPr>
        <w:t>Clinical  Study  on  Combination</w:t>
      </w:r>
      <w:r>
        <w:rPr>
          <w:sz w:val="23"/>
          <w:szCs w:val="23"/>
          <w:color w:val="231F20"/>
          <w:spacing w:val="25"/>
        </w:rPr>
        <w:t xml:space="preserve">  </w:t>
      </w:r>
      <w:r>
        <w:rPr>
          <w:sz w:val="23"/>
          <w:szCs w:val="23"/>
          <w:color w:val="231F20"/>
          <w:spacing w:val="13"/>
        </w:rPr>
        <w:t>Use</w:t>
      </w:r>
      <w:r>
        <w:rPr>
          <w:sz w:val="23"/>
          <w:szCs w:val="23"/>
          <w:color w:val="231F20"/>
          <w:spacing w:val="18"/>
        </w:rPr>
        <w:t xml:space="preserve">  </w:t>
      </w:r>
      <w:r>
        <w:rPr>
          <w:sz w:val="23"/>
          <w:szCs w:val="23"/>
          <w:color w:val="231F20"/>
          <w:spacing w:val="13"/>
        </w:rPr>
        <w:t>of</w:t>
      </w:r>
      <w:r>
        <w:rPr>
          <w:sz w:val="23"/>
          <w:szCs w:val="23"/>
          <w:color w:val="231F20"/>
          <w:spacing w:val="20"/>
          <w:w w:val="101"/>
        </w:rPr>
        <w:t xml:space="preserve">  </w:t>
      </w:r>
      <w:r>
        <w:rPr>
          <w:sz w:val="23"/>
          <w:szCs w:val="23"/>
          <w:color w:val="231F20"/>
          <w:spacing w:val="13"/>
        </w:rPr>
        <w:t>Fuke</w:t>
      </w:r>
      <w:r>
        <w:rPr>
          <w:sz w:val="23"/>
          <w:szCs w:val="23"/>
          <w:color w:val="231F20"/>
          <w:spacing w:val="18"/>
        </w:rPr>
        <w:t xml:space="preserve">  </w:t>
      </w:r>
      <w:r>
        <w:rPr>
          <w:sz w:val="23"/>
          <w:szCs w:val="23"/>
          <w:color w:val="231F20"/>
          <w:spacing w:val="13"/>
        </w:rPr>
        <w:t>Qianjin</w:t>
      </w:r>
      <w:r>
        <w:rPr>
          <w:sz w:val="23"/>
          <w:szCs w:val="23"/>
          <w:color w:val="231F20"/>
          <w:spacing w:val="15"/>
        </w:rPr>
        <w:t xml:space="preserve">  </w:t>
      </w:r>
      <w:r>
        <w:rPr>
          <w:sz w:val="23"/>
          <w:szCs w:val="23"/>
          <w:color w:val="231F20"/>
          <w:spacing w:val="13"/>
        </w:rPr>
        <w:t>Tablets</w:t>
      </w:r>
      <w:r>
        <w:rPr>
          <w:sz w:val="23"/>
          <w:szCs w:val="23"/>
          <w:color w:val="231F20"/>
          <w:spacing w:val="17"/>
          <w:w w:val="101"/>
        </w:rPr>
        <w:t xml:space="preserve">  </w:t>
      </w:r>
      <w:r>
        <w:rPr>
          <w:sz w:val="23"/>
          <w:szCs w:val="23"/>
          <w:color w:val="231F20"/>
          <w:spacing w:val="13"/>
        </w:rPr>
        <w:t>and</w:t>
      </w:r>
      <w:r>
        <w:rPr>
          <w:sz w:val="23"/>
          <w:szCs w:val="23"/>
          <w:color w:val="231F20"/>
          <w:spacing w:val="14"/>
        </w:rPr>
        <w:t xml:space="preserve">  </w:t>
      </w:r>
      <w:r>
        <w:rPr>
          <w:sz w:val="23"/>
          <w:szCs w:val="23"/>
          <w:color w:val="231F20"/>
          <w:spacing w:val="13"/>
        </w:rPr>
        <w:t>Azithromycin  for</w:t>
      </w:r>
      <w:r>
        <w:rPr>
          <w:sz w:val="23"/>
          <w:szCs w:val="23"/>
          <w:color w:val="231F20"/>
          <w:spacing w:val="1"/>
        </w:rPr>
        <w:t xml:space="preserve"> </w:t>
      </w:r>
      <w:r>
        <w:rPr>
          <w:sz w:val="23"/>
          <w:szCs w:val="23"/>
          <w:color w:val="231F20"/>
          <w:spacing w:val="11"/>
        </w:rPr>
        <w:t>Acute</w:t>
      </w:r>
      <w:r>
        <w:rPr>
          <w:sz w:val="23"/>
          <w:szCs w:val="23"/>
          <w:color w:val="231F20"/>
          <w:spacing w:val="7"/>
        </w:rPr>
        <w:t xml:space="preserve">  </w:t>
      </w:r>
      <w:r>
        <w:rPr>
          <w:sz w:val="23"/>
          <w:szCs w:val="23"/>
          <w:color w:val="231F20"/>
          <w:spacing w:val="11"/>
        </w:rPr>
        <w:t>Pelvic</w:t>
      </w:r>
      <w:r>
        <w:rPr>
          <w:sz w:val="23"/>
          <w:szCs w:val="23"/>
          <w:color w:val="231F20"/>
          <w:spacing w:val="6"/>
        </w:rPr>
        <w:t xml:space="preserve">  </w:t>
      </w:r>
      <w:r>
        <w:rPr>
          <w:sz w:val="23"/>
          <w:szCs w:val="23"/>
          <w:color w:val="231F20"/>
          <w:spacing w:val="11"/>
        </w:rPr>
        <w:t>Inflammatory</w:t>
      </w:r>
      <w:r>
        <w:rPr>
          <w:sz w:val="23"/>
          <w:szCs w:val="23"/>
          <w:color w:val="231F20"/>
          <w:spacing w:val="5"/>
        </w:rPr>
        <w:t xml:space="preserve">  </w:t>
      </w:r>
      <w:r>
        <w:rPr>
          <w:sz w:val="23"/>
          <w:szCs w:val="23"/>
          <w:color w:val="231F20"/>
          <w:spacing w:val="11"/>
        </w:rPr>
        <w:t>Disease</w:t>
      </w:r>
    </w:p>
    <w:p>
      <w:pPr>
        <w:pStyle w:val="BodyText"/>
        <w:ind w:left="3505"/>
        <w:spacing w:before="90" w:line="174" w:lineRule="auto"/>
        <w:rPr/>
      </w:pPr>
      <w:r>
        <w:rPr>
          <w:i/>
          <w:iCs/>
          <w:color w:val="231F20"/>
          <w:spacing w:val="8"/>
        </w:rPr>
        <w:t>ZHOU</w:t>
      </w:r>
      <w:r>
        <w:rPr>
          <w:i/>
          <w:iCs/>
          <w:color w:val="231F20"/>
          <w:spacing w:val="57"/>
        </w:rPr>
        <w:t xml:space="preserve"> </w:t>
      </w:r>
      <w:r>
        <w:rPr>
          <w:i/>
          <w:iCs/>
          <w:color w:val="231F20"/>
          <w:spacing w:val="8"/>
        </w:rPr>
        <w:t>Jinling</w:t>
      </w:r>
      <w:r>
        <w:rPr>
          <w:i/>
          <w:iCs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，</w:t>
      </w:r>
      <w:r>
        <w:rPr>
          <w:i/>
          <w:iCs/>
          <w:color w:val="231F20"/>
          <w:spacing w:val="8"/>
        </w:rPr>
        <w:t>SUN</w:t>
      </w:r>
      <w:r>
        <w:rPr>
          <w:i/>
          <w:iCs/>
          <w:color w:val="231F20"/>
          <w:spacing w:val="54"/>
          <w:w w:val="101"/>
        </w:rPr>
        <w:t xml:space="preserve"> </w:t>
      </w:r>
      <w:r>
        <w:rPr>
          <w:i/>
          <w:iCs/>
          <w:color w:val="231F20"/>
          <w:spacing w:val="8"/>
        </w:rPr>
        <w:t>Chengyan</w:t>
      </w:r>
      <w:r>
        <w:rPr>
          <w:rFonts w:ascii="Microsoft YaHei" w:hAnsi="Microsoft YaHei" w:eastAsia="Microsoft YaHei" w:cs="Microsoft YaHei"/>
          <w:color w:val="231F20"/>
          <w:spacing w:val="8"/>
        </w:rPr>
        <w:t>，</w:t>
      </w:r>
      <w:r>
        <w:rPr>
          <w:i/>
          <w:iCs/>
          <w:color w:val="231F20"/>
          <w:spacing w:val="8"/>
        </w:rPr>
        <w:t>XU</w:t>
      </w:r>
      <w:r>
        <w:rPr>
          <w:i/>
          <w:iCs/>
          <w:color w:val="231F20"/>
          <w:spacing w:val="41"/>
        </w:rPr>
        <w:t xml:space="preserve"> </w:t>
      </w:r>
      <w:r>
        <w:rPr>
          <w:i/>
          <w:iCs/>
          <w:color w:val="231F20"/>
          <w:spacing w:val="8"/>
        </w:rPr>
        <w:t>Xiaocong</w:t>
      </w:r>
    </w:p>
    <w:p>
      <w:pPr>
        <w:pStyle w:val="BodyText"/>
        <w:ind w:left="3318"/>
        <w:spacing w:before="53" w:line="19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6"/>
        </w:rPr>
        <w:t>Yongkang No.2 People Hospital</w:t>
      </w:r>
      <w:r>
        <w:rPr>
          <w:sz w:val="17"/>
          <w:szCs w:val="17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-6"/>
        </w:rPr>
        <w:t>Yongkang Zhejiang</w:t>
      </w:r>
      <w:r>
        <w:rPr>
          <w:sz w:val="17"/>
          <w:szCs w:val="17"/>
          <w:color w:val="231F20"/>
          <w:spacing w:val="9"/>
        </w:rPr>
        <w:t xml:space="preserve"> </w:t>
      </w:r>
      <w:r>
        <w:rPr>
          <w:sz w:val="17"/>
          <w:szCs w:val="17"/>
          <w:color w:val="231F20"/>
          <w:spacing w:val="-6"/>
        </w:rPr>
        <w:t>321300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6"/>
        </w:rPr>
        <w:t>，</w:t>
      </w:r>
      <w:r>
        <w:rPr>
          <w:sz w:val="17"/>
          <w:szCs w:val="17"/>
          <w:color w:val="231F20"/>
          <w:spacing w:val="-6"/>
        </w:rPr>
        <w:t>China</w:t>
      </w:r>
    </w:p>
    <w:p>
      <w:pPr>
        <w:pStyle w:val="BodyText"/>
        <w:ind w:left="769" w:right="13" w:firstLine="421"/>
        <w:spacing w:before="47" w:line="267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486774</wp:posOffset>
            </wp:positionH>
            <wp:positionV relativeFrom="paragraph">
              <wp:posOffset>2086818</wp:posOffset>
            </wp:positionV>
            <wp:extent cx="1076737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673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5"/>
        </w:rPr>
        <w:t>Abstract</w:t>
      </w:r>
      <w:r>
        <w:rPr>
          <w:rFonts w:ascii="SimHei" w:hAnsi="SimHei" w:eastAsia="SimHei" w:cs="SimHei"/>
          <w:color w:val="231F20"/>
          <w:spacing w:val="-5"/>
        </w:rPr>
        <w:t>：</w:t>
      </w:r>
      <w:r>
        <w:rPr>
          <w:rFonts w:ascii="SimHei" w:hAnsi="SimHei" w:eastAsia="SimHei" w:cs="SimHei"/>
          <w:color w:val="231F20"/>
          <w:spacing w:val="-11"/>
        </w:rPr>
        <w:t xml:space="preserve"> </w:t>
      </w:r>
      <w:r>
        <w:rPr>
          <w:color w:val="231F20"/>
          <w:spacing w:val="-5"/>
        </w:rPr>
        <w:t>Objective</w:t>
      </w:r>
      <w:r>
        <w:rPr>
          <w:rFonts w:ascii="SimHei" w:hAnsi="SimHei" w:eastAsia="SimHei" w:cs="SimHei"/>
          <w:color w:val="231F20"/>
          <w:spacing w:val="-5"/>
        </w:rPr>
        <w:t>：</w:t>
      </w:r>
      <w:r>
        <w:rPr>
          <w:rFonts w:ascii="SimHei" w:hAnsi="SimHei" w:eastAsia="SimHei" w:cs="SimHei"/>
          <w:color w:val="231F20"/>
          <w:spacing w:val="-29"/>
        </w:rPr>
        <w:t xml:space="preserve"> </w:t>
      </w:r>
      <w:r>
        <w:rPr>
          <w:color w:val="231F20"/>
          <w:spacing w:val="-5"/>
        </w:rPr>
        <w:t>To  observe  the  curative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effect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of  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combination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5"/>
        </w:rPr>
        <w:t>use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5"/>
        </w:rPr>
        <w:t>of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5"/>
        </w:rPr>
        <w:t>Fuke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Qianjin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5"/>
        </w:rPr>
        <w:t>Tablets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5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Azithromycin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8"/>
        </w:rPr>
        <w:t>acute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8"/>
        </w:rPr>
        <w:t>pelvic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inflammatory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disease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its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effect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uterine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hemodynamics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8"/>
        </w:rPr>
        <w:t>immunology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8"/>
        </w:rPr>
        <w:t>index</w:t>
      </w:r>
      <w:r>
        <w:rPr>
          <w:color w:val="231F20"/>
          <w:spacing w:val="-9"/>
        </w:rPr>
        <w:t>es.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Methods</w:t>
      </w:r>
      <w:r>
        <w:rPr>
          <w:rFonts w:ascii="SimHei" w:hAnsi="SimHei" w:eastAsia="SimHei" w:cs="SimHei"/>
          <w:color w:val="231F20"/>
          <w:spacing w:val="-5"/>
        </w:rPr>
        <w:t>：</w:t>
      </w:r>
      <w:r>
        <w:rPr>
          <w:color w:val="231F20"/>
          <w:spacing w:val="-5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total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70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5"/>
        </w:rPr>
        <w:t>wit</w:t>
      </w:r>
      <w:r>
        <w:rPr>
          <w:color w:val="231F20"/>
          <w:spacing w:val="-6"/>
        </w:rPr>
        <w:t>h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acute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6"/>
        </w:rPr>
        <w:t>pelvic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inflammatory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disease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admitted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Yongkang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No.2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6"/>
        </w:rPr>
        <w:t>People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Hospital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from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8"/>
        </w:rPr>
        <w:t>November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2020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November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8"/>
        </w:rPr>
        <w:t>2022 were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selected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divided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-9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trial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according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to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random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number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table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method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9"/>
        </w:rPr>
        <w:t>35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cases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each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group.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treated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Azithro</w:t>
      </w:r>
      <w:r>
        <w:rPr>
          <w:color w:val="231F20"/>
          <w:spacing w:val="-10"/>
        </w:rPr>
        <w:t>mycin 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7"/>
        </w:rPr>
        <w:t>trial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7"/>
        </w:rPr>
        <w:t>group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was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7"/>
        </w:rPr>
        <w:t>additionally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7"/>
        </w:rPr>
        <w:t>treated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7"/>
        </w:rPr>
        <w:t>Fuke  Qianjin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7"/>
        </w:rPr>
        <w:t>Tablets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based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8"/>
        </w:rPr>
        <w:t>treatment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8"/>
        </w:rPr>
        <w:t>control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clinical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effects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incidence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of adverse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reactions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color w:val="231F20"/>
          <w:spacing w:val="-9"/>
        </w:rPr>
        <w:t>and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changes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of scores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of McCo</w:t>
      </w:r>
      <w:r>
        <w:rPr>
          <w:color w:val="231F20"/>
          <w:spacing w:val="-10"/>
        </w:rPr>
        <w:t>rmack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0"/>
        </w:rPr>
        <w:t>Scale 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inflammatory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mass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-7"/>
        </w:rPr>
        <w:t>pelvic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7"/>
        </w:rPr>
        <w:t>effusion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7"/>
        </w:rPr>
        <w:t>uterine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hemodynamics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7"/>
        </w:rPr>
        <w:t>indexes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7"/>
        </w:rPr>
        <w:t>[resistance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7"/>
        </w:rPr>
        <w:t>index</w:t>
      </w:r>
      <w:r>
        <w:rPr>
          <w:rFonts w:ascii="Microsoft YaHei" w:hAnsi="Microsoft YaHei" w:eastAsia="Microsoft YaHei" w:cs="Microsoft YaHei"/>
          <w:color w:val="231F20"/>
          <w:spacing w:val="-7"/>
        </w:rPr>
        <w:t>（</w:t>
      </w:r>
      <w:r>
        <w:rPr>
          <w:color w:val="231F20"/>
          <w:spacing w:val="-7"/>
        </w:rPr>
        <w:t>RI</w:t>
      </w:r>
      <w:r>
        <w:rPr>
          <w:rFonts w:ascii="Microsoft YaHei" w:hAnsi="Microsoft YaHei" w:eastAsia="Microsoft YaHei" w:cs="Microsoft YaHei"/>
          <w:color w:val="231F20"/>
          <w:spacing w:val="-28"/>
        </w:rPr>
        <w:t>），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-7"/>
        </w:rPr>
        <w:t>pu</w:t>
      </w:r>
      <w:r>
        <w:rPr>
          <w:color w:val="231F20"/>
          <w:spacing w:val="-8"/>
        </w:rPr>
        <w:t>lsatility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index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color w:val="231F20"/>
          <w:spacing w:val="-8"/>
        </w:rPr>
        <w:t>PI</w:t>
      </w:r>
      <w:r>
        <w:rPr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）</w:t>
      </w:r>
      <w:r>
        <w:rPr>
          <w:color w:val="231F20"/>
          <w:spacing w:val="-8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8"/>
        </w:rPr>
        <w:t>mean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8"/>
        </w:rPr>
        <w:t>blood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8"/>
        </w:rPr>
        <w:t>flow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velocity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Vmin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]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immunology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indexes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before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-10"/>
        </w:rPr>
        <w:t>fter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treatment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0"/>
        </w:rPr>
        <w:t>compared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0"/>
        </w:rPr>
        <w:t>between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two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0"/>
        </w:rPr>
        <w:t>groups.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Results</w:t>
      </w:r>
      <w:r>
        <w:rPr>
          <w:rFonts w:ascii="SimHei" w:hAnsi="SimHei" w:eastAsia="SimHei" w:cs="SimHei"/>
          <w:color w:val="231F20"/>
          <w:spacing w:val="-10"/>
        </w:rPr>
        <w:t>：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9"/>
        </w:rPr>
        <w:t>total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9"/>
        </w:rPr>
        <w:t>effective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rate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94.29%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33/35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trial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77.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9"/>
        </w:rPr>
        <w:t>14%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27/35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9"/>
        </w:rPr>
        <w:t>difference</w:t>
      </w:r>
    </w:p>
    <w:p>
      <w:pPr>
        <w:pStyle w:val="BodyText"/>
        <w:ind w:left="713"/>
        <w:spacing w:before="139" w:line="232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3"/>
        </w:rPr>
        <w:t>［收稿日期］</w:t>
      </w:r>
      <w:r>
        <w:rPr>
          <w:rFonts w:ascii="SimHei" w:hAnsi="SimHei" w:eastAsia="SimHei" w:cs="SimHei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3"/>
        </w:rPr>
        <w:t>2024-07-30</w:t>
      </w:r>
    </w:p>
    <w:p>
      <w:pPr>
        <w:pStyle w:val="BodyText"/>
        <w:ind w:left="713"/>
        <w:spacing w:line="231" w:lineRule="auto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3"/>
        </w:rPr>
        <w:t>［修回日期］</w:t>
      </w:r>
      <w:r>
        <w:rPr>
          <w:rFonts w:ascii="SimHei" w:hAnsi="SimHei" w:eastAsia="SimHei" w:cs="SimHei"/>
          <w:sz w:val="15"/>
          <w:szCs w:val="15"/>
          <w:color w:val="231F20"/>
          <w:spacing w:val="-27"/>
        </w:rPr>
        <w:t xml:space="preserve"> </w:t>
      </w:r>
      <w:r>
        <w:rPr>
          <w:sz w:val="15"/>
          <w:szCs w:val="15"/>
          <w:color w:val="231F20"/>
          <w:spacing w:val="3"/>
        </w:rPr>
        <w:t>2024-11-25</w:t>
      </w:r>
    </w:p>
    <w:p>
      <w:pPr>
        <w:pStyle w:val="BodyText"/>
        <w:ind w:left="713"/>
        <w:spacing w:before="1" w:line="19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</w:rPr>
        <w:t>［作者简介］</w:t>
      </w:r>
      <w:r>
        <w:rPr>
          <w:rFonts w:ascii="SimHei" w:hAnsi="SimHei" w:eastAsia="SimHei" w:cs="SimHei"/>
          <w:sz w:val="15"/>
          <w:szCs w:val="15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周金玲（</w:t>
      </w:r>
      <w:r>
        <w:rPr>
          <w:sz w:val="15"/>
          <w:szCs w:val="15"/>
          <w:color w:val="231F20"/>
        </w:rPr>
        <w:t>1985-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  <w:w w:val="93"/>
        </w:rPr>
        <w:t>），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，主治医师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</w:rPr>
        <w:t>E-mail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18258972309@1</w:t>
      </w:r>
      <w:r>
        <w:rPr>
          <w:sz w:val="15"/>
          <w:szCs w:val="15"/>
          <w:color w:val="231F20"/>
          <w:spacing w:val="-1"/>
        </w:rPr>
        <w:t>63.com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。</w:t>
      </w:r>
    </w:p>
    <w:p>
      <w:pPr>
        <w:spacing w:line="198" w:lineRule="auto"/>
        <w:sectPr>
          <w:headerReference w:type="default" r:id="rId1"/>
          <w:pgSz w:w="12473" w:h="16725"/>
          <w:pgMar w:top="1686" w:right="1113" w:bottom="0" w:left="424" w:header="1054" w:footer="0" w:gutter="0"/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pStyle w:val="BodyText"/>
        <w:ind w:left="770" w:right="65" w:firstLine="3"/>
        <w:spacing w:before="174" w:line="230" w:lineRule="auto"/>
        <w:jc w:val="both"/>
        <w:rPr/>
      </w:pPr>
      <w:r>
        <w:rPr>
          <w:color w:val="231F20"/>
          <w:spacing w:val="-9"/>
        </w:rPr>
        <w:t>being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significant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After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treatment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scores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McCormack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9"/>
        </w:rPr>
        <w:t>Scale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-9"/>
        </w:rPr>
        <w:t>inflammatory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mass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pelv</w:t>
      </w:r>
      <w:r>
        <w:rPr>
          <w:color w:val="231F20"/>
          <w:spacing w:val="-10"/>
        </w:rPr>
        <w:t>ic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effusion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two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groups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reduced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compared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those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0"/>
        </w:rPr>
        <w:t>before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i/>
          <w:iCs/>
          <w:color w:val="231F20"/>
          <w:spacing w:val="-10"/>
        </w:rPr>
        <w:t>P</w:t>
      </w:r>
      <w:r>
        <w:rPr>
          <w:rFonts w:ascii="Microsoft YaHei" w:hAnsi="Microsoft YaHei" w:eastAsia="Microsoft YaHei" w:cs="Microsoft YaHei"/>
          <w:color w:val="231F20"/>
          <w:spacing w:val="-10"/>
        </w:rPr>
        <w:t>＜</w:t>
      </w:r>
      <w:r>
        <w:rPr>
          <w:color w:val="231F20"/>
          <w:spacing w:val="-10"/>
        </w:rPr>
        <w:t>0.05</w:t>
      </w:r>
      <w:r>
        <w:rPr>
          <w:rFonts w:ascii="Microsoft YaHei" w:hAnsi="Microsoft YaHei" w:eastAsia="Microsoft YaHei" w:cs="Microsoft YaHei"/>
          <w:color w:val="231F20"/>
          <w:spacing w:val="-33"/>
        </w:rPr>
        <w:t>），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0"/>
        </w:rPr>
        <w:t>score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0"/>
        </w:rPr>
        <w:t>McCormack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scale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color w:val="231F20"/>
          <w:spacing w:val="-9"/>
        </w:rPr>
        <w:t>inflammatory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mass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9"/>
        </w:rPr>
        <w:t>pelvic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effusion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trial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less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than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those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group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After  treatment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color w:val="231F20"/>
          <w:spacing w:val="-8"/>
        </w:rPr>
        <w:t>the  value</w:t>
      </w:r>
      <w:r>
        <w:rPr>
          <w:color w:val="231F20"/>
          <w:spacing w:val="-9"/>
        </w:rPr>
        <w:t>s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9"/>
        </w:rPr>
        <w:t>RI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PI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in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two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groups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9"/>
        </w:rPr>
        <w:t>were   decreased  when   compared  with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9"/>
        </w:rPr>
        <w:t>those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before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31"/>
        </w:rPr>
        <w:t>），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Vmin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values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were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elevated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compared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those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before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31"/>
        </w:rPr>
        <w:t>）；</w:t>
      </w:r>
      <w:r>
        <w:rPr>
          <w:color w:val="231F20"/>
          <w:spacing w:val="-9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values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RI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PI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trial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group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lower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than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those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control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group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color w:val="231F20"/>
          <w:spacing w:val="-8"/>
        </w:rPr>
        <w:t>＜</w:t>
      </w:r>
      <w:r>
        <w:rPr>
          <w:color w:val="231F20"/>
          <w:spacing w:val="-8"/>
        </w:rPr>
        <w:t>0.05</w:t>
      </w:r>
      <w:r>
        <w:rPr>
          <w:rFonts w:ascii="Microsoft YaHei" w:hAnsi="Microsoft YaHei" w:eastAsia="Microsoft YaHei" w:cs="Microsoft YaHei"/>
          <w:color w:val="231F20"/>
          <w:spacing w:val="-29"/>
        </w:rPr>
        <w:t>），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Vmin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8"/>
        </w:rPr>
        <w:t>value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higher than that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7"/>
        </w:rPr>
        <w:t>in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7"/>
        </w:rPr>
        <w:t>contro</w:t>
      </w:r>
      <w:r>
        <w:rPr>
          <w:color w:val="231F20"/>
          <w:spacing w:val="-8"/>
        </w:rPr>
        <w:t>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group</w:t>
      </w:r>
      <w:r>
        <w:rPr>
          <w:rFonts w:ascii="Microsoft YaHei" w:hAnsi="Microsoft YaHei" w:eastAsia="Microsoft YaHei" w:cs="Microsoft YaHei"/>
          <w:color w:val="231F20"/>
          <w:spacing w:val="-8"/>
        </w:rPr>
        <w:t>（</w:t>
      </w:r>
      <w:r>
        <w:rPr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color w:val="231F20"/>
          <w:spacing w:val="-8"/>
        </w:rPr>
        <w:t>＜</w:t>
      </w:r>
      <w:r>
        <w:rPr>
          <w:color w:val="231F20"/>
          <w:spacing w:val="-8"/>
        </w:rPr>
        <w:t>0.05</w:t>
      </w:r>
      <w:r>
        <w:rPr>
          <w:rFonts w:ascii="Microsoft YaHei" w:hAnsi="Microsoft YaHei" w:eastAsia="Microsoft YaHei" w:cs="Microsoft YaHei"/>
          <w:color w:val="231F20"/>
          <w:spacing w:val="-8"/>
        </w:rPr>
        <w:t>）</w:t>
      </w:r>
      <w:r>
        <w:rPr>
          <w:color w:val="231F20"/>
          <w:spacing w:val="-8"/>
        </w:rPr>
        <w:t>. After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treatment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color w:val="231F20"/>
          <w:spacing w:val="-8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8"/>
        </w:rPr>
        <w:t>CD4</w:t>
      </w:r>
      <w:r>
        <w:rPr>
          <w:sz w:val="10"/>
          <w:szCs w:val="10"/>
          <w:color w:val="231F20"/>
          <w:spacing w:val="-1"/>
          <w:position w:val="8"/>
        </w:rPr>
        <w:t>+</w:t>
      </w:r>
      <w:r>
        <w:rPr>
          <w:sz w:val="10"/>
          <w:szCs w:val="10"/>
          <w:color w:val="231F20"/>
          <w:spacing w:val="4"/>
          <w:position w:val="8"/>
        </w:rPr>
        <w:t xml:space="preserve">  </w:t>
      </w:r>
      <w:r>
        <w:rPr>
          <w:color w:val="231F20"/>
          <w:spacing w:val="-10"/>
        </w:rPr>
        <w:t>levels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CD4</w:t>
      </w:r>
      <w:r>
        <w:rPr>
          <w:sz w:val="10"/>
          <w:szCs w:val="10"/>
          <w:color w:val="231F20"/>
          <w:spacing w:val="-4"/>
          <w:position w:val="8"/>
        </w:rPr>
        <w:t>+</w:t>
      </w:r>
      <w:r>
        <w:rPr>
          <w:color w:val="231F20"/>
          <w:spacing w:val="-4"/>
        </w:rPr>
        <w:t>/CD8</w:t>
      </w:r>
      <w:r>
        <w:rPr>
          <w:sz w:val="10"/>
          <w:szCs w:val="10"/>
          <w:color w:val="231F20"/>
          <w:spacing w:val="-4"/>
          <w:position w:val="8"/>
        </w:rPr>
        <w:t>+</w:t>
      </w:r>
      <w:r>
        <w:rPr>
          <w:sz w:val="10"/>
          <w:szCs w:val="10"/>
          <w:color w:val="231F20"/>
          <w:spacing w:val="4"/>
          <w:position w:val="8"/>
        </w:rPr>
        <w:t xml:space="preserve">  </w:t>
      </w:r>
      <w:r>
        <w:rPr>
          <w:color w:val="231F20"/>
          <w:spacing w:val="-8"/>
        </w:rPr>
        <w:t>ratio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two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groups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were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8"/>
        </w:rPr>
        <w:t>up-regulated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when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8"/>
        </w:rPr>
        <w:t>compared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8"/>
        </w:rPr>
        <w:t>t</w:t>
      </w:r>
      <w:r>
        <w:rPr>
          <w:color w:val="231F20"/>
          <w:spacing w:val="-9"/>
        </w:rPr>
        <w:t>hose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9"/>
        </w:rPr>
        <w:t>before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9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32"/>
        </w:rPr>
        <w:t>），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CD8</w:t>
      </w:r>
      <w:r>
        <w:rPr>
          <w:sz w:val="10"/>
          <w:szCs w:val="10"/>
          <w:color w:val="231F20"/>
          <w:spacing w:val="-1"/>
          <w:position w:val="8"/>
        </w:rPr>
        <w:t>+</w:t>
      </w:r>
      <w:r>
        <w:rPr>
          <w:sz w:val="10"/>
          <w:szCs w:val="10"/>
          <w:color w:val="231F20"/>
          <w:spacing w:val="12"/>
          <w:w w:val="102"/>
          <w:position w:val="8"/>
        </w:rPr>
        <w:t xml:space="preserve">  </w:t>
      </w:r>
      <w:r>
        <w:rPr>
          <w:color w:val="231F20"/>
          <w:spacing w:val="-7"/>
        </w:rPr>
        <w:t>levels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down-regulated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when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9"/>
        </w:rPr>
        <w:t>compared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those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before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treatment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</w:t>
      </w:r>
      <w:r>
        <w:rPr>
          <w:color w:val="231F20"/>
          <w:spacing w:val="-9"/>
        </w:rPr>
        <w:t>0.05</w:t>
      </w:r>
      <w:r>
        <w:rPr>
          <w:rFonts w:ascii="Microsoft YaHei" w:hAnsi="Microsoft YaHei" w:eastAsia="Microsoft YaHei" w:cs="Microsoft YaHei"/>
          <w:color w:val="231F20"/>
          <w:spacing w:val="-28"/>
        </w:rPr>
        <w:t>）；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color w:val="231F20"/>
          <w:spacing w:val="-9"/>
        </w:rPr>
        <w:t>th</w:t>
      </w:r>
      <w:r>
        <w:rPr>
          <w:color w:val="231F20"/>
          <w:spacing w:val="-10"/>
        </w:rPr>
        <w:t>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0"/>
        </w:rPr>
        <w:t>CD4</w:t>
      </w:r>
      <w:r>
        <w:rPr>
          <w:sz w:val="10"/>
          <w:szCs w:val="10"/>
          <w:color w:val="231F20"/>
          <w:spacing w:val="-4"/>
          <w:position w:val="8"/>
        </w:rPr>
        <w:t>+</w:t>
      </w:r>
      <w:r>
        <w:rPr>
          <w:sz w:val="10"/>
          <w:szCs w:val="10"/>
          <w:color w:val="231F20"/>
          <w:spacing w:val="1"/>
          <w:position w:val="8"/>
        </w:rPr>
        <w:t xml:space="preserve">   </w:t>
      </w:r>
      <w:r>
        <w:rPr>
          <w:color w:val="231F20"/>
          <w:spacing w:val="-4"/>
        </w:rPr>
        <w:t>level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3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3"/>
        </w:rPr>
        <w:t>CD4</w:t>
      </w:r>
      <w:r>
        <w:rPr>
          <w:sz w:val="10"/>
          <w:szCs w:val="10"/>
          <w:color w:val="231F20"/>
          <w:spacing w:val="-4"/>
          <w:position w:val="8"/>
        </w:rPr>
        <w:t>+</w:t>
      </w:r>
      <w:r>
        <w:rPr>
          <w:color w:val="231F20"/>
          <w:spacing w:val="-4"/>
        </w:rPr>
        <w:t>/CD8</w:t>
      </w:r>
      <w:r>
        <w:rPr>
          <w:sz w:val="10"/>
          <w:szCs w:val="10"/>
          <w:color w:val="231F20"/>
          <w:spacing w:val="-4"/>
          <w:position w:val="8"/>
        </w:rPr>
        <w:t>+</w:t>
      </w:r>
      <w:r>
        <w:rPr>
          <w:sz w:val="10"/>
          <w:szCs w:val="10"/>
          <w:color w:val="231F20"/>
          <w:spacing w:val="1"/>
          <w:position w:val="8"/>
        </w:rPr>
        <w:t xml:space="preserve">   </w:t>
      </w:r>
      <w:r>
        <w:rPr>
          <w:color w:val="231F20"/>
          <w:spacing w:val="-6"/>
        </w:rPr>
        <w:t>ratio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6"/>
        </w:rPr>
        <w:t>trial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group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higher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than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those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9"/>
        </w:rPr>
        <w:t>control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0"/>
        </w:rPr>
        <w:t>CD8</w:t>
      </w:r>
      <w:r>
        <w:rPr>
          <w:sz w:val="10"/>
          <w:szCs w:val="10"/>
          <w:color w:val="231F20"/>
          <w:spacing w:val="-4"/>
          <w:position w:val="8"/>
        </w:rPr>
        <w:t>+</w:t>
      </w:r>
      <w:r>
        <w:rPr>
          <w:sz w:val="10"/>
          <w:szCs w:val="10"/>
          <w:color w:val="231F20"/>
          <w:spacing w:val="1"/>
          <w:position w:val="8"/>
        </w:rPr>
        <w:t xml:space="preserve">   </w:t>
      </w:r>
      <w:r>
        <w:rPr>
          <w:color w:val="231F20"/>
          <w:spacing w:val="-4"/>
        </w:rPr>
        <w:t>level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was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lower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than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9"/>
        </w:rPr>
        <w:t>that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9"/>
        </w:rPr>
        <w:t>t</w:t>
      </w:r>
      <w:r>
        <w:rPr>
          <w:color w:val="231F20"/>
          <w:spacing w:val="-10"/>
        </w:rPr>
        <w:t>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0"/>
        </w:rPr>
        <w:t>control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0"/>
        </w:rPr>
        <w:t>group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i/>
          <w:iCs/>
          <w:color w:val="231F20"/>
          <w:spacing w:val="-10"/>
        </w:rPr>
        <w:t>P</w:t>
      </w:r>
      <w:r>
        <w:rPr>
          <w:rFonts w:ascii="Microsoft YaHei" w:hAnsi="Microsoft YaHei" w:eastAsia="Microsoft YaHei" w:cs="Microsoft YaHei"/>
          <w:color w:val="231F20"/>
          <w:spacing w:val="-10"/>
        </w:rPr>
        <w:t>＜</w:t>
      </w:r>
      <w:r>
        <w:rPr>
          <w:color w:val="231F20"/>
          <w:spacing w:val="-10"/>
        </w:rPr>
        <w:t>0.05</w:t>
      </w:r>
      <w:r>
        <w:rPr>
          <w:rFonts w:ascii="Microsoft YaHei" w:hAnsi="Microsoft YaHei" w:eastAsia="Microsoft YaHei" w:cs="Microsoft YaHei"/>
          <w:color w:val="231F20"/>
          <w:spacing w:val="-10"/>
        </w:rPr>
        <w:t>）</w:t>
      </w:r>
      <w:r>
        <w:rPr>
          <w:color w:val="231F20"/>
          <w:spacing w:val="-10"/>
        </w:rPr>
        <w:t>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incidence of adverse reactions was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9"/>
        </w:rPr>
        <w:t>5.71%</w:t>
      </w:r>
      <w:r>
        <w:rPr>
          <w:rFonts w:ascii="Microsoft YaHei" w:hAnsi="Microsoft YaHei" w:eastAsia="Microsoft YaHei" w:cs="Microsoft YaHei"/>
          <w:color w:val="231F20"/>
          <w:spacing w:val="-9"/>
        </w:rPr>
        <w:t>（</w:t>
      </w:r>
      <w:r>
        <w:rPr>
          <w:color w:val="231F20"/>
          <w:spacing w:val="-9"/>
        </w:rPr>
        <w:t>2/35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in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trial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group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8.</w:t>
      </w:r>
      <w:r>
        <w:rPr>
          <w:color w:val="231F20"/>
          <w:spacing w:val="-10"/>
        </w:rPr>
        <w:t>57%</w:t>
      </w:r>
      <w:r>
        <w:rPr>
          <w:rFonts w:ascii="Microsoft YaHei" w:hAnsi="Microsoft YaHei" w:eastAsia="Microsoft YaHei" w:cs="Microsoft YaHei"/>
          <w:color w:val="231F20"/>
          <w:spacing w:val="-10"/>
        </w:rPr>
        <w:t>（</w:t>
      </w:r>
      <w:r>
        <w:rPr>
          <w:color w:val="231F20"/>
          <w:spacing w:val="-10"/>
        </w:rPr>
        <w:t>3/35</w:t>
      </w:r>
      <w:r>
        <w:rPr>
          <w:rFonts w:ascii="Microsoft YaHei" w:hAnsi="Microsoft YaHei" w:eastAsia="Microsoft YaHei" w:cs="Microsoft YaHei"/>
          <w:color w:val="231F20"/>
          <w:spacing w:val="-10"/>
        </w:rPr>
        <w:t>）</w:t>
      </w:r>
      <w:r>
        <w:rPr>
          <w:color w:val="231F20"/>
          <w:spacing w:val="-10"/>
        </w:rPr>
        <w:t>in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control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group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color w:val="231F20"/>
          <w:spacing w:val="-10"/>
        </w:rPr>
        <w:t>there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being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no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significance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6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difference</w:t>
      </w:r>
      <w:r>
        <w:rPr>
          <w:rFonts w:ascii="Microsoft YaHei" w:hAnsi="Microsoft YaHei" w:eastAsia="Microsoft YaHei" w:cs="Microsoft YaHei"/>
          <w:color w:val="231F20"/>
          <w:spacing w:val="-6"/>
        </w:rPr>
        <w:t>（</w:t>
      </w:r>
      <w:r>
        <w:rPr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color w:val="231F20"/>
          <w:spacing w:val="-6"/>
        </w:rPr>
        <w:t>＞</w:t>
      </w:r>
      <w:r>
        <w:rPr>
          <w:color w:val="231F20"/>
          <w:spacing w:val="-6"/>
        </w:rPr>
        <w:t>0.05</w:t>
      </w:r>
      <w:r>
        <w:rPr>
          <w:rFonts w:ascii="Microsoft YaHei" w:hAnsi="Microsoft YaHei" w:eastAsia="Microsoft YaHei" w:cs="Microsoft YaHei"/>
          <w:color w:val="231F20"/>
          <w:spacing w:val="-6"/>
        </w:rPr>
        <w:t>）</w:t>
      </w:r>
      <w:r>
        <w:rPr>
          <w:color w:val="231F20"/>
          <w:spacing w:val="-6"/>
        </w:rPr>
        <w:t>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Conclusion</w:t>
      </w:r>
      <w:r>
        <w:rPr>
          <w:rFonts w:ascii="SimHei" w:hAnsi="SimHei" w:eastAsia="SimHei" w:cs="SimHei"/>
          <w:color w:val="231F20"/>
          <w:spacing w:val="-6"/>
        </w:rPr>
        <w:t>：</w:t>
      </w:r>
      <w:r>
        <w:rPr>
          <w:color w:val="231F20"/>
          <w:spacing w:val="-6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combination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use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of Fuke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Qianjin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6"/>
        </w:rPr>
        <w:t>Tablets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Azithromycin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has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great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9"/>
        </w:rPr>
        <w:t>curative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effect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9"/>
        </w:rPr>
        <w:t>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acute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pelvic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inflammatory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disease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color w:val="231F20"/>
          <w:spacing w:val="-9"/>
        </w:rPr>
        <w:t>which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9"/>
        </w:rPr>
        <w:t>can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9"/>
        </w:rPr>
        <w:t>improve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9"/>
        </w:rPr>
        <w:t>urine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9"/>
        </w:rPr>
        <w:t>hemodynamics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-10"/>
        </w:rPr>
        <w:t>dexes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and the immune function with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great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7"/>
        </w:rPr>
        <w:t>safety.</w:t>
      </w:r>
    </w:p>
    <w:p>
      <w:pPr>
        <w:pStyle w:val="BodyText"/>
        <w:ind w:left="778" w:right="66" w:firstLine="426"/>
        <w:spacing w:before="36" w:line="232" w:lineRule="auto"/>
        <w:rPr/>
      </w:pPr>
      <w:r>
        <w:rPr>
          <w:color w:val="231F20"/>
          <w:spacing w:val="-7"/>
        </w:rPr>
        <w:t>Keywords</w:t>
      </w:r>
      <w:r>
        <w:rPr>
          <w:rFonts w:ascii="SimHei" w:hAnsi="SimHei" w:eastAsia="SimHei" w:cs="SimHei"/>
          <w:color w:val="231F20"/>
          <w:spacing w:val="-7"/>
        </w:rPr>
        <w:t>：</w:t>
      </w:r>
      <w:r>
        <w:rPr>
          <w:rFonts w:ascii="SimHei" w:hAnsi="SimHei" w:eastAsia="SimHei" w:cs="SimHei"/>
          <w:color w:val="231F20"/>
          <w:spacing w:val="-29"/>
        </w:rPr>
        <w:t xml:space="preserve"> </w:t>
      </w:r>
      <w:r>
        <w:rPr>
          <w:color w:val="231F20"/>
          <w:spacing w:val="-7"/>
        </w:rPr>
        <w:t>Acute  pelvic  inflammatory  disease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； </w:t>
      </w:r>
      <w:r>
        <w:rPr>
          <w:color w:val="231F20"/>
          <w:spacing w:val="-7"/>
        </w:rPr>
        <w:t>Exuberance  of  pathogenic  dampness  toxin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7"/>
        </w:rPr>
        <w:t>syndrome</w:t>
      </w:r>
      <w:r>
        <w:rPr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； </w:t>
      </w:r>
      <w:r>
        <w:rPr>
          <w:color w:val="231F20"/>
          <w:spacing w:val="-7"/>
        </w:rPr>
        <w:t>Fuke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Qianjin  Tablets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；</w:t>
      </w:r>
      <w:r>
        <w:rPr>
          <w:color w:val="231F20"/>
          <w:spacing w:val="-6"/>
        </w:rPr>
        <w:t>Azithromycin</w:t>
      </w:r>
      <w:r>
        <w:rPr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；</w:t>
      </w:r>
      <w:r>
        <w:rPr>
          <w:color w:val="231F20"/>
          <w:spacing w:val="-6"/>
        </w:rPr>
        <w:t>Uterine  hemodynamics</w:t>
      </w:r>
    </w:p>
    <w:p>
      <w:pPr>
        <w:spacing w:before="54"/>
        <w:rPr/>
      </w:pPr>
      <w:r/>
    </w:p>
    <w:p>
      <w:pPr>
        <w:spacing w:before="54"/>
        <w:rPr/>
      </w:pPr>
      <w:r/>
    </w:p>
    <w:p>
      <w:pPr>
        <w:spacing w:before="53"/>
        <w:rPr/>
      </w:pPr>
      <w:r/>
    </w:p>
    <w:p>
      <w:pPr>
        <w:sectPr>
          <w:headerReference w:type="default" r:id="rId3"/>
          <w:pgSz w:w="12473" w:h="16725"/>
          <w:pgMar w:top="1686" w:right="1124" w:bottom="0" w:left="424" w:header="1054" w:footer="0" w:gutter="0"/>
          <w:cols w:equalWidth="0" w:num="1">
            <w:col w:w="10925" w:space="0"/>
          </w:cols>
        </w:sectPr>
        <w:rPr/>
      </w:pPr>
    </w:p>
    <w:p>
      <w:pPr>
        <w:pStyle w:val="BodyText"/>
        <w:ind w:left="769" w:right="278" w:firstLine="425"/>
        <w:spacing w:before="49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9"/>
        </w:rPr>
        <w:t>盆腔炎是常见的妇科疾病之一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以子宫内膜炎、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子宫肌炎等为典型病理改变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，炎症可累及多个部位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甚至整个盆腔及腹膜</w:t>
      </w:r>
      <w:r>
        <w:rPr>
          <w:sz w:val="10"/>
          <w:szCs w:val="10"/>
          <w:color w:val="231F20"/>
          <w:spacing w:val="13"/>
          <w:position w:val="8"/>
        </w:rPr>
        <w:t>[1] </w:t>
      </w:r>
      <w:r>
        <w:rPr>
          <w:rFonts w:ascii="Microsoft YaHei" w:hAnsi="Microsoft YaHei" w:eastAsia="Microsoft YaHei" w:cs="Microsoft YaHei"/>
          <w:color w:val="231F20"/>
          <w:spacing w:val="13"/>
        </w:rPr>
        <w:t>。急性盆腔炎起病相对急骤，</w:t>
      </w:r>
      <w:r>
        <w:rPr>
          <w:rFonts w:ascii="Microsoft YaHei" w:hAnsi="Microsoft YaHei" w:eastAsia="Microsoft YaHei" w:cs="Microsoft YaHei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以发热伴下腹痛为临床表现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随着病情发展可引起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弥漫性腹膜炎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、败血症等严重并发症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，危及患者生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命</w:t>
      </w:r>
      <w:r>
        <w:rPr>
          <w:sz w:val="10"/>
          <w:szCs w:val="10"/>
          <w:color w:val="231F20"/>
          <w:spacing w:val="7"/>
          <w:position w:val="8"/>
        </w:rPr>
        <w:t>[2] </w:t>
      </w:r>
      <w:r>
        <w:rPr>
          <w:rFonts w:ascii="Microsoft YaHei" w:hAnsi="Microsoft YaHei" w:eastAsia="Microsoft YaHei" w:cs="Microsoft YaHei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目前急性盆腔炎的发病机制尚未明确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，但多数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学者认为其发生与支原体的感染有关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。阿奇霉素对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支原体和衣原体有抑制作用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，是抗感染治疗的首选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药物</w:t>
      </w:r>
      <w:r>
        <w:rPr>
          <w:sz w:val="10"/>
          <w:szCs w:val="10"/>
          <w:color w:val="231F20"/>
          <w:spacing w:val="8"/>
          <w:position w:val="8"/>
        </w:rPr>
        <w:t>[3] </w:t>
      </w:r>
      <w:r>
        <w:rPr>
          <w:rFonts w:ascii="Microsoft YaHei" w:hAnsi="Microsoft YaHei" w:eastAsia="Microsoft YaHei" w:cs="Microsoft YaHei"/>
          <w:color w:val="231F20"/>
          <w:spacing w:val="8"/>
        </w:rPr>
        <w:t>。临床实践报道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阿奇霉素治疗由支</w:t>
      </w:r>
      <w:r>
        <w:rPr>
          <w:rFonts w:ascii="Microsoft YaHei" w:hAnsi="Microsoft YaHei" w:eastAsia="Microsoft YaHei" w:cs="Microsoft YaHei"/>
          <w:color w:val="231F20"/>
          <w:spacing w:val="7"/>
        </w:rPr>
        <w:t>原体感染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引起的盆腔炎有着一定效果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，但因急性盆腔炎易反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复发作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，单纯抗菌药物治疗易产生耐药性</w:t>
      </w:r>
      <w:r>
        <w:rPr>
          <w:sz w:val="10"/>
          <w:szCs w:val="10"/>
          <w:color w:val="231F20"/>
          <w:spacing w:val="9"/>
          <w:position w:val="8"/>
        </w:rPr>
        <w:t>[4]</w:t>
      </w:r>
      <w:r>
        <w:rPr>
          <w:sz w:val="10"/>
          <w:szCs w:val="10"/>
          <w:color w:val="231F20"/>
          <w:spacing w:val="8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。妇科千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金片是临床上常用的中成药 ，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有清热除湿之</w:t>
      </w:r>
      <w:r>
        <w:rPr>
          <w:rFonts w:ascii="Microsoft YaHei" w:hAnsi="Microsoft YaHei" w:eastAsia="Microsoft YaHei" w:cs="Microsoft YaHei"/>
          <w:color w:val="231F20"/>
          <w:spacing w:val="16"/>
        </w:rPr>
        <w:t>功效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既往多用于盆腔炎疾病后遗症的治疗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，并取得满意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效果</w:t>
      </w:r>
      <w:r>
        <w:rPr>
          <w:sz w:val="10"/>
          <w:szCs w:val="10"/>
          <w:color w:val="231F20"/>
          <w:spacing w:val="10"/>
          <w:position w:val="8"/>
        </w:rPr>
        <w:t>[5] </w:t>
      </w:r>
      <w:r>
        <w:rPr>
          <w:rFonts w:ascii="Microsoft YaHei" w:hAnsi="Microsoft YaHei" w:eastAsia="Microsoft YaHei" w:cs="Microsoft YaHei"/>
          <w:color w:val="231F20"/>
          <w:spacing w:val="10"/>
        </w:rPr>
        <w:t>。本研究观察妇科千金片联合阿奇霉素治疗急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性盆腔炎的效果及对子宫血流动力学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、免疫学指标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值的影响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，报道如下。</w:t>
      </w:r>
    </w:p>
    <w:p>
      <w:pPr>
        <w:pStyle w:val="BodyText"/>
        <w:ind w:left="789"/>
        <w:spacing w:line="266" w:lineRule="exact"/>
        <w:rPr>
          <w:rFonts w:ascii="SimHei" w:hAnsi="SimHei" w:eastAsia="SimHei" w:cs="SimHei"/>
        </w:rPr>
      </w:pPr>
      <w:r>
        <w:rPr>
          <w:color w:val="231F20"/>
          <w:position w:val="1"/>
        </w:rPr>
        <w:t>1    </w:t>
      </w:r>
      <w:r>
        <w:rPr>
          <w:rFonts w:ascii="SimHei" w:hAnsi="SimHei" w:eastAsia="SimHei" w:cs="SimHei"/>
          <w:color w:val="231F20"/>
          <w:position w:val="1"/>
        </w:rPr>
        <w:t>临床资料</w:t>
      </w:r>
    </w:p>
    <w:p>
      <w:pPr>
        <w:pStyle w:val="BodyText"/>
        <w:ind w:left="774" w:right="360" w:firstLine="15"/>
        <w:spacing w:before="56" w:line="216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6"/>
        </w:rPr>
        <w:t>1.1</w:t>
      </w:r>
      <w:r>
        <w:rPr>
          <w:color w:val="231F20"/>
          <w:spacing w:val="17"/>
        </w:rPr>
        <w:t xml:space="preserve">   </w:t>
      </w:r>
      <w:r>
        <w:rPr>
          <w:rFonts w:ascii="SimHei" w:hAnsi="SimHei" w:eastAsia="SimHei" w:cs="SimHei"/>
          <w:color w:val="231F20"/>
          <w:spacing w:val="6"/>
        </w:rPr>
        <w:t>诊断标准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符合《中华妇科产学》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sz w:val="10"/>
          <w:szCs w:val="10"/>
          <w:color w:val="231F20"/>
          <w:spacing w:val="6"/>
          <w:position w:val="8"/>
        </w:rPr>
        <w:t>[6]</w:t>
      </w:r>
      <w:r>
        <w:rPr>
          <w:rFonts w:ascii="Microsoft YaHei" w:hAnsi="Microsoft YaHei" w:eastAsia="Microsoft YaHei" w:cs="Microsoft YaHei"/>
          <w:color w:val="231F20"/>
          <w:spacing w:val="6"/>
        </w:rPr>
        <w:t>中急性</w:t>
      </w:r>
      <w:r>
        <w:rPr>
          <w:rFonts w:ascii="Microsoft YaHei" w:hAnsi="Microsoft YaHei" w:eastAsia="Microsoft YaHei" w:cs="Microsoft YaHei"/>
          <w:color w:val="231F20"/>
          <w:spacing w:val="5"/>
        </w:rPr>
        <w:t>盆腔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炎诊断标准。</w:t>
      </w:r>
    </w:p>
    <w:p>
      <w:pPr>
        <w:pStyle w:val="BodyText"/>
        <w:ind w:left="771" w:right="294" w:firstLine="18"/>
        <w:spacing w:before="28" w:line="205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5"/>
        </w:rPr>
        <w:t>1.2    </w:t>
      </w:r>
      <w:r>
        <w:rPr>
          <w:rFonts w:ascii="SimHei" w:hAnsi="SimHei" w:eastAsia="SimHei" w:cs="SimHei"/>
          <w:color w:val="231F20"/>
          <w:spacing w:val="5"/>
        </w:rPr>
        <w:t>辨证标准</w:t>
      </w:r>
      <w:r>
        <w:rPr>
          <w:rFonts w:ascii="SimHei" w:hAnsi="SimHei" w:eastAsia="SimHei" w:cs="SimHei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5"/>
        </w:rPr>
        <w:t>符合《中医妇科学》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sz w:val="10"/>
          <w:szCs w:val="10"/>
          <w:color w:val="231F20"/>
          <w:spacing w:val="5"/>
          <w:position w:val="8"/>
        </w:rPr>
        <w:t>[7]</w:t>
      </w:r>
      <w:r>
        <w:rPr>
          <w:rFonts w:ascii="Microsoft YaHei" w:hAnsi="Microsoft YaHei" w:eastAsia="Microsoft YaHei" w:cs="Microsoft YaHei"/>
          <w:color w:val="231F20"/>
          <w:spacing w:val="5"/>
        </w:rPr>
        <w:t>湿毒壅盛型辨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证标准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。主症：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下腹剧痛或胀痛拒按 ；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高热恶</w:t>
      </w:r>
      <w:r>
        <w:rPr>
          <w:rFonts w:ascii="Microsoft YaHei" w:hAnsi="Microsoft YaHei" w:eastAsia="Microsoft YaHei" w:cs="Microsoft YaHei"/>
          <w:color w:val="231F20"/>
          <w:spacing w:val="12"/>
        </w:rPr>
        <w:t>寒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或发热不恶寒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；带下量多色黄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或脓血相兼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，质稠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/>
        <w:spacing w:before="44" w:line="20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秽臭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；舌脉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：舌质红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、苔黄腻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，脉滑数或洪数。</w:t>
      </w:r>
    </w:p>
    <w:p>
      <w:pPr>
        <w:pStyle w:val="BodyText"/>
        <w:ind w:right="68" w:firstLine="17"/>
        <w:spacing w:before="32" w:line="219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16"/>
        </w:rPr>
        <w:t>1.3</w:t>
      </w:r>
      <w:r>
        <w:rPr>
          <w:color w:val="231F20"/>
          <w:spacing w:val="5"/>
        </w:rPr>
        <w:t xml:space="preserve">    </w:t>
      </w:r>
      <w:r>
        <w:rPr>
          <w:rFonts w:ascii="SimHei" w:hAnsi="SimHei" w:eastAsia="SimHei" w:cs="SimHei"/>
          <w:color w:val="231F20"/>
          <w:spacing w:val="16"/>
        </w:rPr>
        <w:t>纳入标准</w:t>
      </w:r>
      <w:r>
        <w:rPr>
          <w:rFonts w:ascii="SimHei" w:hAnsi="SimHei" w:eastAsia="SimHei" w:cs="SimHei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符合上述诊断及辨证标准 ；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年龄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9"/>
        </w:rPr>
        <w:t>23</w:t>
      </w:r>
      <w:r>
        <w:rPr>
          <w:rFonts w:ascii="Microsoft YaHei" w:hAnsi="Microsoft YaHei" w:eastAsia="Microsoft YaHei" w:cs="Microsoft YaHei"/>
          <w:color w:val="231F20"/>
          <w:spacing w:val="9"/>
        </w:rPr>
        <w:t>～</w:t>
      </w:r>
      <w:r>
        <w:rPr>
          <w:color w:val="231F20"/>
          <w:spacing w:val="9"/>
        </w:rPr>
        <w:t>50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岁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、已婚有性生活史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；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既往无急性盆腔</w:t>
      </w:r>
      <w:r>
        <w:rPr>
          <w:rFonts w:ascii="Microsoft YaHei" w:hAnsi="Microsoft YaHei" w:eastAsia="Microsoft YaHei" w:cs="Microsoft YaHei"/>
          <w:color w:val="231F20"/>
          <w:spacing w:val="8"/>
        </w:rPr>
        <w:t>炎病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史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；均自愿签署知情同意书。</w:t>
      </w:r>
    </w:p>
    <w:p>
      <w:pPr>
        <w:pStyle w:val="BodyText"/>
        <w:ind w:right="68" w:firstLine="18"/>
        <w:spacing w:before="27" w:line="220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8"/>
        </w:rPr>
        <w:t>1.4</w:t>
      </w:r>
      <w:r>
        <w:rPr>
          <w:color w:val="231F20"/>
          <w:spacing w:val="5"/>
        </w:rPr>
        <w:t xml:space="preserve">    </w:t>
      </w:r>
      <w:r>
        <w:rPr>
          <w:rFonts w:ascii="SimHei" w:hAnsi="SimHei" w:eastAsia="SimHei" w:cs="SimHei"/>
          <w:color w:val="231F20"/>
          <w:spacing w:val="8"/>
        </w:rPr>
        <w:t>排除标准</w:t>
      </w:r>
      <w:r>
        <w:rPr>
          <w:rFonts w:ascii="SimHei" w:hAnsi="SimHei" w:eastAsia="SimHei" w:cs="SimHei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妊娠期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、哺乳期或有妊娠意向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；合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并阿奇霉素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、妇科千金片禁忌证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；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既往有药物过敏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史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；试验前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个月后参与过其他临床试验。</w:t>
      </w:r>
    </w:p>
    <w:p>
      <w:pPr>
        <w:pStyle w:val="BodyText"/>
        <w:ind w:right="2" w:firstLine="17"/>
        <w:spacing w:before="30" w:line="22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1"/>
        </w:rPr>
        <w:t>1.5    </w:t>
      </w:r>
      <w:r>
        <w:rPr>
          <w:rFonts w:ascii="SimHei" w:hAnsi="SimHei" w:eastAsia="SimHei" w:cs="SimHei"/>
          <w:color w:val="231F20"/>
          <w:spacing w:val="-1"/>
        </w:rPr>
        <w:t>一般资料</w:t>
      </w:r>
      <w:r>
        <w:rPr>
          <w:rFonts w:ascii="SimHei" w:hAnsi="SimHei" w:eastAsia="SimHei" w:cs="SimHei"/>
          <w:color w:val="231F20"/>
          <w:spacing w:val="15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"/>
        </w:rPr>
        <w:t>选取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-1"/>
        </w:rPr>
        <w:t>2020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年 </w:t>
      </w:r>
      <w:r>
        <w:rPr>
          <w:color w:val="231F20"/>
          <w:spacing w:val="-1"/>
        </w:rPr>
        <w:t>11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月—</w:t>
      </w:r>
      <w:r>
        <w:rPr>
          <w:color w:val="231F20"/>
          <w:spacing w:val="-1"/>
        </w:rPr>
        <w:t>2022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年 </w:t>
      </w:r>
      <w:r>
        <w:rPr>
          <w:color w:val="231F20"/>
          <w:spacing w:val="-1"/>
        </w:rPr>
        <w:t>11</w:t>
      </w:r>
      <w:r>
        <w:rPr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月永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康市第二人民医院收治的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11"/>
        </w:rPr>
        <w:t>70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例急性盆腔炎患者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，按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1"/>
        </w:rPr>
        <w:t>随机数字表法分为试验组及对照组各</w:t>
      </w:r>
      <w:r>
        <w:rPr>
          <w:rFonts w:ascii="Microsoft YaHei" w:hAnsi="Microsoft YaHei" w:eastAsia="Microsoft YaHei" w:cs="Microsoft YaHei"/>
          <w:color w:val="231F20"/>
          <w:spacing w:val="-1"/>
        </w:rPr>
        <w:t xml:space="preserve"> </w:t>
      </w:r>
      <w:r>
        <w:rPr>
          <w:color w:val="231F20"/>
          <w:spacing w:val="11"/>
        </w:rPr>
        <w:t>35</w:t>
      </w:r>
      <w:r>
        <w:rPr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例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。试验组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8"/>
        </w:rPr>
        <w:t>年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龄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</w:t>
      </w:r>
      <w:r>
        <w:rPr>
          <w:color w:val="231F20"/>
          <w:spacing w:val="-8"/>
        </w:rPr>
        <w:t>23</w:t>
      </w:r>
      <w:r>
        <w:rPr>
          <w:rFonts w:ascii="Microsoft YaHei" w:hAnsi="Microsoft YaHei" w:eastAsia="Microsoft YaHei" w:cs="Microsoft YaHei"/>
          <w:color w:val="231F20"/>
          <w:spacing w:val="-8"/>
        </w:rPr>
        <w:t>～</w:t>
      </w:r>
      <w:r>
        <w:rPr>
          <w:color w:val="231F20"/>
          <w:spacing w:val="-8"/>
        </w:rPr>
        <w:t>42</w:t>
      </w:r>
      <w:r>
        <w:rPr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岁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平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均（</w:t>
      </w:r>
      <w:r>
        <w:rPr>
          <w:color w:val="231F20"/>
          <w:spacing w:val="-8"/>
        </w:rPr>
        <w:t>32.12±4.76</w:t>
      </w:r>
      <w:r>
        <w:rPr>
          <w:rFonts w:ascii="Microsoft YaHei" w:hAnsi="Microsoft YaHei" w:eastAsia="Microsoft YaHei" w:cs="Microsoft YaHei"/>
          <w:color w:val="231F20"/>
          <w:spacing w:val="-8"/>
        </w:rPr>
        <w:t>）岁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；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体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质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量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指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9"/>
        </w:rPr>
        <w:t>数（</w:t>
      </w:r>
      <w:r>
        <w:rPr>
          <w:color w:val="231F20"/>
          <w:spacing w:val="-9"/>
        </w:rPr>
        <w:t>BMI</w:t>
      </w:r>
      <w:r>
        <w:rPr>
          <w:rFonts w:ascii="Microsoft YaHei" w:hAnsi="Microsoft YaHei" w:eastAsia="Microsoft YaHei" w:cs="Microsoft YaHei"/>
          <w:color w:val="231F20"/>
          <w:spacing w:val="-9"/>
        </w:rPr>
        <w:t>）</w:t>
      </w:r>
      <w:r>
        <w:rPr>
          <w:color w:val="231F20"/>
          <w:spacing w:val="-9"/>
        </w:rPr>
        <w:t>18.3</w:t>
      </w:r>
      <w:r>
        <w:rPr>
          <w:rFonts w:ascii="Microsoft YaHei" w:hAnsi="Microsoft YaHei" w:eastAsia="Microsoft YaHei" w:cs="Microsoft YaHei"/>
          <w:color w:val="231F20"/>
          <w:spacing w:val="-9"/>
        </w:rPr>
        <w:t>～</w:t>
      </w:r>
      <w:r>
        <w:rPr>
          <w:color w:val="231F20"/>
          <w:spacing w:val="-9"/>
        </w:rPr>
        <w:t>24.6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平均 </w:t>
      </w:r>
      <w:r>
        <w:rPr>
          <w:color w:val="231F20"/>
          <w:spacing w:val="-9"/>
        </w:rPr>
        <w:t>21.30±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</w:rPr>
        <w:t>1</w:t>
      </w:r>
      <w:r>
        <w:rPr>
          <w:color w:val="231F20"/>
          <w:spacing w:val="-10"/>
        </w:rPr>
        <w:t>.95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病程</w:t>
      </w:r>
      <w:r>
        <w:rPr>
          <w:rFonts w:ascii="Microsoft YaHei" w:hAnsi="Microsoft YaHei" w:eastAsia="Microsoft YaHei" w:cs="Microsoft YaHei"/>
          <w:color w:val="231F20"/>
          <w:spacing w:val="10"/>
        </w:rPr>
        <w:t xml:space="preserve"> </w:t>
      </w:r>
      <w:r>
        <w:rPr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color w:val="231F20"/>
          <w:spacing w:val="-10"/>
        </w:rPr>
        <w:t>～</w:t>
      </w:r>
      <w:r>
        <w:rPr>
          <w:color w:val="231F20"/>
          <w:spacing w:val="-10"/>
        </w:rPr>
        <w:t>7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0"/>
        </w:rPr>
        <w:t>d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平均（</w:t>
      </w:r>
      <w:r>
        <w:rPr>
          <w:color w:val="231F20"/>
          <w:spacing w:val="-7"/>
        </w:rPr>
        <w:t>4.02±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7"/>
        </w:rPr>
        <w:t>1.36</w:t>
      </w:r>
      <w:r>
        <w:rPr>
          <w:rFonts w:ascii="Microsoft YaHei" w:hAnsi="Microsoft YaHei" w:eastAsia="Microsoft YaHei" w:cs="Microsoft YaHei"/>
          <w:color w:val="231F20"/>
          <w:spacing w:val="-7"/>
        </w:rPr>
        <w:t>）</w:t>
      </w:r>
      <w:r>
        <w:rPr>
          <w:color w:val="231F20"/>
          <w:spacing w:val="-7"/>
        </w:rPr>
        <w:t>d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；产后感染 </w:t>
      </w:r>
      <w:r>
        <w:rPr>
          <w:color w:val="231F20"/>
          <w:spacing w:val="-7"/>
        </w:rPr>
        <w:t>10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例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，宫腔内术后感染</w:t>
      </w:r>
    </w:p>
    <w:p>
      <w:pPr>
        <w:pStyle w:val="BodyText"/>
        <w:ind w:firstLine="19"/>
        <w:spacing w:before="36" w:line="222" w:lineRule="auto"/>
        <w:rPr>
          <w:rFonts w:ascii="Microsoft YaHei" w:hAnsi="Microsoft YaHei" w:eastAsia="Microsoft YaHei" w:cs="Microsoft YaHei"/>
        </w:rPr>
      </w:pPr>
      <w:r>
        <w:rPr>
          <w:color w:val="231F20"/>
          <w:spacing w:val="-4"/>
        </w:rPr>
        <w:t>11 </w:t>
      </w:r>
      <w:r>
        <w:rPr>
          <w:rFonts w:ascii="Microsoft YaHei" w:hAnsi="Microsoft YaHei" w:eastAsia="Microsoft YaHei" w:cs="Microsoft YaHei"/>
          <w:color w:val="231F20"/>
          <w:spacing w:val="-4"/>
        </w:rPr>
        <w:t>例 ，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宫 内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节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育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器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引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起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的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感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染 </w:t>
      </w:r>
      <w:r>
        <w:rPr>
          <w:color w:val="231F20"/>
          <w:spacing w:val="-4"/>
        </w:rPr>
        <w:t>9 </w:t>
      </w:r>
      <w:r>
        <w:rPr>
          <w:rFonts w:ascii="Microsoft YaHei" w:hAnsi="Microsoft YaHei" w:eastAsia="Microsoft YaHei" w:cs="Microsoft YaHei"/>
          <w:color w:val="231F20"/>
          <w:spacing w:val="-4"/>
        </w:rPr>
        <w:t>例 。对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照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color w:val="231F20"/>
          <w:spacing w:val="-9"/>
        </w:rPr>
        <w:t>24</w:t>
      </w:r>
      <w:r>
        <w:rPr>
          <w:rFonts w:ascii="Microsoft YaHei" w:hAnsi="Microsoft YaHei" w:eastAsia="Microsoft YaHei" w:cs="Microsoft YaHei"/>
          <w:color w:val="231F20"/>
          <w:spacing w:val="-9"/>
        </w:rPr>
        <w:t>～</w:t>
      </w:r>
      <w:r>
        <w:rPr>
          <w:color w:val="231F20"/>
          <w:spacing w:val="-9"/>
        </w:rPr>
        <w:t>46</w:t>
      </w:r>
      <w:r>
        <w:rPr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岁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平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均（</w:t>
      </w:r>
      <w:r>
        <w:rPr>
          <w:color w:val="231F20"/>
          <w:spacing w:val="-9"/>
        </w:rPr>
        <w:t>34.65±5.21</w:t>
      </w:r>
      <w:r>
        <w:rPr>
          <w:rFonts w:ascii="Microsoft YaHei" w:hAnsi="Microsoft YaHei" w:eastAsia="Microsoft YaHei" w:cs="Microsoft YaHei"/>
          <w:color w:val="231F20"/>
          <w:spacing w:val="-9"/>
        </w:rPr>
        <w:t>）岁</w:t>
      </w:r>
      <w:r>
        <w:rPr>
          <w:rFonts w:ascii="Microsoft YaHei" w:hAnsi="Microsoft YaHei" w:eastAsia="Microsoft YaHei" w:cs="Microsoft YaHei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；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9"/>
        </w:rPr>
        <w:t>BMI  18.9</w:t>
      </w:r>
      <w:r>
        <w:rPr>
          <w:rFonts w:ascii="Microsoft YaHei" w:hAnsi="Microsoft YaHei" w:eastAsia="Microsoft YaHei" w:cs="Microsoft YaHei"/>
          <w:color w:val="231F20"/>
          <w:spacing w:val="-9"/>
        </w:rPr>
        <w:t>～</w:t>
      </w:r>
      <w:r>
        <w:rPr>
          <w:color w:val="231F20"/>
          <w:spacing w:val="-9"/>
        </w:rPr>
        <w:t>24.9</w:t>
      </w:r>
      <w:r>
        <w:rPr>
          <w:rFonts w:ascii="Microsoft YaHei" w:hAnsi="Microsoft YaHei" w:eastAsia="Microsoft YaHei" w:cs="Microsoft YaHei"/>
          <w:color w:val="231F20"/>
          <w:spacing w:val="-9"/>
        </w:rPr>
        <w:t>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平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均 </w:t>
      </w:r>
      <w:r>
        <w:rPr>
          <w:color w:val="231F20"/>
          <w:spacing w:val="-10"/>
        </w:rPr>
        <w:t>20.97±2.01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病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程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color w:val="231F20"/>
          <w:spacing w:val="-10"/>
        </w:rPr>
        <w:t>1</w:t>
      </w:r>
      <w:r>
        <w:rPr>
          <w:rFonts w:ascii="Microsoft YaHei" w:hAnsi="Microsoft YaHei" w:eastAsia="Microsoft YaHei" w:cs="Microsoft YaHei"/>
          <w:color w:val="231F20"/>
          <w:spacing w:val="-10"/>
        </w:rPr>
        <w:t>～</w:t>
      </w:r>
      <w:r>
        <w:rPr>
          <w:color w:val="231F20"/>
          <w:spacing w:val="-10"/>
        </w:rPr>
        <w:t>6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0"/>
        </w:rPr>
        <w:t>d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，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平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均（</w:t>
      </w:r>
      <w:r>
        <w:rPr>
          <w:color w:val="231F20"/>
          <w:spacing w:val="-10"/>
        </w:rPr>
        <w:t>3.20±0.98</w:t>
      </w:r>
      <w:r>
        <w:rPr>
          <w:rFonts w:ascii="Microsoft YaHei" w:hAnsi="Microsoft YaHei" w:eastAsia="Microsoft YaHei" w:cs="Microsoft YaHei"/>
          <w:color w:val="231F20"/>
          <w:spacing w:val="-10"/>
        </w:rPr>
        <w:t>）</w:t>
      </w:r>
      <w:r>
        <w:rPr>
          <w:color w:val="231F20"/>
          <w:spacing w:val="-10"/>
        </w:rPr>
        <w:t>d</w:t>
      </w:r>
      <w:r>
        <w:rPr>
          <w:rFonts w:ascii="Microsoft YaHei" w:hAnsi="Microsoft YaHei" w:eastAsia="Microsoft YaHei" w:cs="Microsoft YaHei"/>
          <w:color w:val="231F20"/>
          <w:spacing w:val="-10"/>
        </w:rPr>
        <w:t>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产后感染 </w:t>
      </w:r>
      <w:r>
        <w:rPr>
          <w:color w:val="231F20"/>
          <w:spacing w:val="7"/>
        </w:rPr>
        <w:t>8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例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，宫腔内术后感染 </w:t>
      </w:r>
      <w:r>
        <w:rPr>
          <w:color w:val="231F20"/>
          <w:spacing w:val="7"/>
        </w:rPr>
        <w:t>14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例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，宫</w:t>
      </w:r>
      <w:r>
        <w:rPr>
          <w:rFonts w:ascii="Microsoft YaHei" w:hAnsi="Microsoft YaHei" w:eastAsia="Microsoft YaHei" w:cs="Microsoft YaHei"/>
          <w:color w:val="231F20"/>
          <w:spacing w:val="6"/>
        </w:rPr>
        <w:t>内节育器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8"/>
        </w:rPr>
        <w:t>引起的感染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8"/>
        </w:rPr>
        <w:t>8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例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。</w:t>
      </w:r>
      <w:r>
        <w:rPr>
          <w:color w:val="231F20"/>
          <w:spacing w:val="8"/>
        </w:rPr>
        <w:t>2</w:t>
      </w:r>
      <w:r>
        <w:rPr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组一般资料比较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8"/>
        </w:rPr>
        <w:t>，差异无统计学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意义（</w:t>
      </w:r>
      <w:r>
        <w:rPr>
          <w:i/>
          <w:iCs/>
          <w:color w:val="231F20"/>
          <w:spacing w:val="-4"/>
        </w:rPr>
        <w:t>P</w:t>
      </w:r>
      <w:r>
        <w:rPr>
          <w:rFonts w:ascii="Microsoft YaHei" w:hAnsi="Microsoft YaHei" w:eastAsia="Microsoft YaHei" w:cs="Microsoft YaHei"/>
          <w:color w:val="231F20"/>
          <w:spacing w:val="-4"/>
        </w:rPr>
        <w:t>＞</w:t>
      </w:r>
      <w:r>
        <w:rPr>
          <w:color w:val="231F20"/>
          <w:spacing w:val="-4"/>
        </w:rPr>
        <w:t>0.05</w:t>
      </w:r>
      <w:r>
        <w:rPr>
          <w:rFonts w:ascii="Microsoft YaHei" w:hAnsi="Microsoft YaHei" w:eastAsia="Microsoft YaHei" w:cs="Microsoft YaHei"/>
          <w:color w:val="231F20"/>
          <w:spacing w:val="-38"/>
        </w:rPr>
        <w:t>），</w:t>
      </w:r>
      <w:r>
        <w:rPr>
          <w:rFonts w:ascii="Microsoft YaHei" w:hAnsi="Microsoft YaHei" w:eastAsia="Microsoft YaHei" w:cs="Microsoft YaHei"/>
          <w:color w:val="231F20"/>
          <w:spacing w:val="-4"/>
        </w:rPr>
        <w:t>具有可比性。</w:t>
      </w:r>
    </w:p>
    <w:p>
      <w:pPr>
        <w:pStyle w:val="BodyText"/>
        <w:ind w:left="2"/>
        <w:spacing w:before="34" w:line="266" w:lineRule="exact"/>
        <w:rPr>
          <w:rFonts w:ascii="SimHei" w:hAnsi="SimHei" w:eastAsia="SimHei" w:cs="SimHei"/>
        </w:rPr>
      </w:pPr>
      <w:r>
        <w:rPr>
          <w:color w:val="231F20"/>
          <w:spacing w:val="5"/>
          <w:position w:val="1"/>
        </w:rPr>
        <w:t>2</w:t>
      </w:r>
      <w:r>
        <w:rPr>
          <w:color w:val="231F20"/>
          <w:spacing w:val="17"/>
          <w:w w:val="101"/>
          <w:position w:val="1"/>
        </w:rPr>
        <w:t xml:space="preserve">   </w:t>
      </w:r>
      <w:r>
        <w:rPr>
          <w:rFonts w:ascii="SimHei" w:hAnsi="SimHei" w:eastAsia="SimHei" w:cs="SimHei"/>
          <w:color w:val="231F20"/>
          <w:spacing w:val="5"/>
          <w:position w:val="1"/>
        </w:rPr>
        <w:t>治疗方法</w:t>
      </w:r>
    </w:p>
    <w:p>
      <w:pPr>
        <w:pStyle w:val="BodyText"/>
        <w:ind w:left="2" w:right="66"/>
        <w:spacing w:before="57" w:line="194" w:lineRule="auto"/>
        <w:rPr/>
      </w:pPr>
      <w:r>
        <w:rPr>
          <w:color w:val="231F20"/>
          <w:spacing w:val="1"/>
        </w:rPr>
        <w:t>2.1</w:t>
      </w:r>
      <w:r>
        <w:rPr>
          <w:color w:val="231F20"/>
          <w:spacing w:val="22"/>
          <w:w w:val="101"/>
        </w:rPr>
        <w:t xml:space="preserve">   </w:t>
      </w:r>
      <w:r>
        <w:rPr>
          <w:rFonts w:ascii="SimHei" w:hAnsi="SimHei" w:eastAsia="SimHei" w:cs="SimHei"/>
          <w:color w:val="231F20"/>
          <w:spacing w:val="1"/>
        </w:rPr>
        <w:t>对照组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静脉滴注阿奇霉素（美国辉瑞制药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国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药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准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字 </w:t>
      </w:r>
      <w:r>
        <w:rPr>
          <w:color w:val="231F20"/>
          <w:spacing w:val="-7"/>
        </w:rPr>
        <w:t>H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7"/>
        </w:rPr>
        <w:t>10960112</w:t>
      </w:r>
      <w:r>
        <w:rPr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规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格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：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7"/>
        </w:rPr>
        <w:t>0.5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g</w:t>
      </w:r>
      <w:r>
        <w:rPr>
          <w:rFonts w:ascii="Microsoft YaHei" w:hAnsi="Microsoft YaHei" w:eastAsia="Microsoft YaHei" w:cs="Microsoft YaHei"/>
          <w:color w:val="231F20"/>
          <w:spacing w:val="-33"/>
        </w:rPr>
        <w:t>），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-7"/>
        </w:rPr>
        <w:t>0</w:t>
      </w:r>
      <w:r>
        <w:rPr>
          <w:color w:val="231F20"/>
          <w:spacing w:val="-8"/>
        </w:rPr>
        <w:t>.5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8"/>
        </w:rPr>
        <w:t>g </w:t>
      </w:r>
      <w:r>
        <w:rPr>
          <w:rFonts w:ascii="Microsoft YaHei" w:hAnsi="Microsoft YaHei" w:eastAsia="Microsoft YaHei" w:cs="Microsoft YaHei"/>
          <w:color w:val="231F20"/>
          <w:spacing w:val="-8"/>
        </w:rPr>
        <w:t>溶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于 </w:t>
      </w:r>
      <w:r>
        <w:rPr>
          <w:color w:val="231F20"/>
          <w:spacing w:val="-8"/>
        </w:rPr>
        <w:t>NaCl</w:t>
      </w:r>
    </w:p>
    <w:p>
      <w:pPr>
        <w:spacing w:line="194" w:lineRule="auto"/>
        <w:sectPr>
          <w:type w:val="continuous"/>
          <w:pgSz w:w="12473" w:h="16725"/>
          <w:pgMar w:top="1686" w:right="1124" w:bottom="0" w:left="424" w:header="1054" w:footer="0" w:gutter="0"/>
          <w:cols w:equalWidth="0" w:num="2">
            <w:col w:w="5944" w:space="100"/>
            <w:col w:w="4881" w:space="0"/>
          </w:cols>
        </w:sectPr>
        <w:rPr/>
      </w:pPr>
    </w:p>
    <w:p>
      <w:pPr>
        <w:spacing w:line="132" w:lineRule="exact"/>
        <w:rPr/>
      </w:pPr>
      <w:r/>
    </w:p>
    <w:p>
      <w:pPr>
        <w:spacing w:line="132" w:lineRule="exact"/>
        <w:sectPr>
          <w:headerReference w:type="default" r:id="rId4"/>
          <w:pgSz w:w="12473" w:h="16725"/>
          <w:pgMar w:top="1686" w:right="1125" w:bottom="0" w:left="424" w:header="1054" w:footer="0" w:gutter="0"/>
          <w:cols w:equalWidth="0" w:num="1">
            <w:col w:w="10923" w:space="0"/>
          </w:cols>
        </w:sectPr>
        <w:rPr/>
      </w:pPr>
    </w:p>
    <w:p>
      <w:pPr>
        <w:ind w:left="776" w:right="357" w:hanging="2"/>
        <w:spacing w:before="46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250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每天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次 ，连续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 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；后换成口服阿奇霉素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</w:rPr>
        <w:t>片（ 江苏亚邦爱普森药业有限公司 ， 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H20058684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，规格：0.25 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每次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0.25 g。</w:t>
      </w:r>
    </w:p>
    <w:p>
      <w:pPr>
        <w:ind w:left="775" w:right="291" w:hanging="1"/>
        <w:spacing w:before="49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2.2  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试验组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在对照组基础上服用妇科千金片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（株洲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千金药业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，国药准字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Z43020027，规格：0.4 g×36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每次 2 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，每天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次。</w:t>
      </w:r>
    </w:p>
    <w:p>
      <w:pPr>
        <w:ind w:left="1194"/>
        <w:spacing w:before="28" w:line="20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组均治疗14 d。</w:t>
      </w:r>
    </w:p>
    <w:p>
      <w:pPr>
        <w:ind w:left="775"/>
        <w:spacing w:before="29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观察指标与统计学方法</w:t>
      </w:r>
    </w:p>
    <w:p>
      <w:pPr>
        <w:ind w:left="771" w:right="357" w:firstLine="4"/>
        <w:spacing w:before="16" w:line="22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3.1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观察指标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①临床疗效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。②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McCormack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量表评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分 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炎性包块 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盆腔积液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2"/>
        </w:rPr>
        <w:t>于治疗前后使用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McCormack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量表评价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组病情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，包括腹部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、子宫的压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痛和举摆痛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，轻度为 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中度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，重度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。另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使用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DW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-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PE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582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型彩色多普勒超声仪（大为医疗有限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公司）检测炎性包块和盆腔积液情况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。③子宫血流动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力学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。记录治疗前后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组子宫血流动力学指标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，包括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阻 力 指 数（RI）、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搏 动 指 数（PI）、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平 均 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度（Vmin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仪器同上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。④免疫学指标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比较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组治疗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前后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CD4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+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、CD8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8"/>
        </w:rPr>
        <w:t>+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、CD4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8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CD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+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，在空腹状态下抽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取 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mL 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血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BD_FACSCanto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仪（北嘉美仪生物科技）检测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。⑤不良反应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。记录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在治疗期间的不良反应发生情况。</w:t>
      </w:r>
    </w:p>
    <w:p>
      <w:pPr>
        <w:pStyle w:val="BodyText"/>
        <w:ind w:left="767" w:right="278" w:firstLine="7"/>
        <w:spacing w:before="32" w:line="222" w:lineRule="auto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2560746</wp:posOffset>
            </wp:positionH>
            <wp:positionV relativeFrom="paragraph">
              <wp:posOffset>225748</wp:posOffset>
            </wp:positionV>
            <wp:extent cx="59187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18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color w:val="231F20"/>
          <w:spacing w:val="6"/>
        </w:rPr>
        <w:t>3.2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  </w:t>
      </w:r>
      <w:r>
        <w:rPr>
          <w:rFonts w:ascii="SimHei" w:hAnsi="SimHei" w:eastAsia="SimHei" w:cs="SimHei"/>
          <w:color w:val="231F20"/>
          <w:spacing w:val="6"/>
        </w:rPr>
        <w:t>统计学方法</w:t>
      </w:r>
      <w:r>
        <w:rPr>
          <w:rFonts w:ascii="SimHei" w:hAnsi="SimHei" w:eastAsia="SimHei" w:cs="SimHei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应用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SPSS</w:t>
      </w:r>
      <w:r>
        <w:rPr>
          <w:rFonts w:ascii="Microsoft YaHei" w:hAnsi="Microsoft YaHei" w:eastAsia="Microsoft YaHei" w:cs="Microsoft YaHei"/>
          <w:color w:val="231F20"/>
          <w:spacing w:val="6"/>
        </w:rPr>
        <w:t>26.0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统计学软件进</w:t>
      </w:r>
      <w:r>
        <w:rPr>
          <w:rFonts w:ascii="Microsoft YaHei" w:hAnsi="Microsoft YaHei" w:eastAsia="Microsoft YaHei" w:cs="Microsoft YaHei"/>
          <w:color w:val="231F20"/>
          <w:spacing w:val="5"/>
        </w:rPr>
        <w:t>行分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析处理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。计量资料以均数</w:t>
      </w:r>
      <w:r>
        <w:rPr>
          <w:rFonts w:ascii="Microsoft YaHei" w:hAnsi="Microsoft YaHei" w:eastAsia="Microsoft YaHei" w:cs="Microsoft YaHei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±标准差（</w:t>
      </w:r>
      <w:r>
        <w:rPr>
          <w:i/>
          <w:iCs/>
          <w:color w:val="231F20"/>
          <w:spacing w:val="-3"/>
        </w:rPr>
        <w:t>x</w:t>
      </w:r>
      <w:r>
        <w:rPr>
          <w:i/>
          <w:iCs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±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i/>
          <w:iCs/>
          <w:color w:val="231F20"/>
          <w:spacing w:val="-3"/>
        </w:rPr>
        <w:t>s</w:t>
      </w:r>
      <w:r>
        <w:rPr>
          <w:rFonts w:ascii="Microsoft YaHei" w:hAnsi="Microsoft YaHei" w:eastAsia="Microsoft YaHei" w:cs="Microsoft YaHei"/>
          <w:color w:val="231F20"/>
          <w:spacing w:val="-4"/>
        </w:rPr>
        <w:t>）表示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，组内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4"/>
        </w:rPr>
        <w:t>比较采用配对样本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i/>
          <w:iCs/>
          <w:color w:val="231F20"/>
          <w:spacing w:val="14"/>
        </w:rPr>
        <w:t>t</w:t>
      </w:r>
      <w:r>
        <w:rPr>
          <w:i/>
          <w:iCs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检验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，组间比较采用独立样本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i/>
          <w:iCs/>
          <w:color w:val="231F20"/>
          <w:spacing w:val="14"/>
        </w:rPr>
        <w:t>t</w:t>
      </w:r>
      <w:r>
        <w:rPr>
          <w:i/>
          <w:iCs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检验 ；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计数资料以百分比</w:t>
      </w:r>
      <w:r>
        <w:rPr>
          <w:rFonts w:ascii="Microsoft YaHei" w:hAnsi="Microsoft YaHei" w:eastAsia="Microsoft YaHei" w:cs="Microsoft YaHei"/>
          <w:color w:val="231F20"/>
          <w:spacing w:val="-32"/>
          <w:w w:val="87"/>
        </w:rPr>
        <w:t>（％）</w:t>
      </w:r>
      <w:r>
        <w:rPr>
          <w:rFonts w:ascii="Microsoft YaHei" w:hAnsi="Microsoft YaHei" w:eastAsia="Microsoft YaHei" w:cs="Microsoft YaHei"/>
          <w:color w:val="231F20"/>
          <w:spacing w:val="10"/>
        </w:rPr>
        <w:t>表示 ，</w:t>
      </w:r>
      <w:r>
        <w:rPr>
          <w:rFonts w:ascii="Microsoft YaHei" w:hAnsi="Microsoft YaHei" w:eastAsia="Microsoft YaHei" w:cs="Microsoft YaHei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采用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i/>
          <w:iCs/>
          <w:color w:val="231F20"/>
          <w:spacing w:val="10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2 </w:t>
      </w:r>
      <w:r>
        <w:rPr>
          <w:rFonts w:ascii="Microsoft YaHei" w:hAnsi="Microsoft YaHei" w:eastAsia="Microsoft YaHei" w:cs="Microsoft YaHei"/>
          <w:color w:val="231F20"/>
          <w:spacing w:val="10"/>
        </w:rPr>
        <w:t>检验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i/>
          <w:iCs/>
          <w:color w:val="231F20"/>
          <w:spacing w:val="3"/>
        </w:rPr>
        <w:t>P</w:t>
      </w:r>
      <w:r>
        <w:rPr>
          <w:rFonts w:ascii="Microsoft YaHei" w:hAnsi="Microsoft YaHei" w:eastAsia="Microsoft YaHei" w:cs="Microsoft YaHei"/>
          <w:color w:val="231F20"/>
          <w:spacing w:val="3"/>
        </w:rPr>
        <w:t>＜0.05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表示差异有统计学意义。</w:t>
      </w:r>
    </w:p>
    <w:p>
      <w:pPr>
        <w:ind w:left="773"/>
        <w:spacing w:before="28" w:line="209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疗效标准与治疗结果</w:t>
      </w:r>
    </w:p>
    <w:p>
      <w:pPr>
        <w:ind w:left="771" w:right="291" w:firstLine="2"/>
        <w:spacing w:before="28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4.1  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疗效标准</w:t>
      </w:r>
      <w:r>
        <w:rPr>
          <w:rFonts w:ascii="SimHei" w:hAnsi="SimHei" w:eastAsia="SimHei" w:cs="SimHei"/>
          <w:sz w:val="20"/>
          <w:szCs w:val="20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治愈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：治疗后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，各种症状全部消失，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证候积分减少率≥95%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；显效：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治疗后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，各种症状有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明显程度减轻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，70%≤证候积分减少率＜95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；有效：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治疗后各种症状有一定程度减轻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，30%≤证候积分减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少率＜70%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；无效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：治疗后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，各种症状没有减轻甚至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加重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，证候积分减少率＜30%。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67" w:firstLine="1"/>
        <w:spacing w:before="44" w:line="231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6"/>
        </w:rPr>
        <w:t>4.2   2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SimHei" w:hAnsi="SimHei" w:eastAsia="SimHei" w:cs="SimHei"/>
          <w:color w:val="231F20"/>
          <w:spacing w:val="6"/>
        </w:rPr>
        <w:t>组临床疗效比较</w:t>
      </w:r>
      <w:r>
        <w:rPr>
          <w:rFonts w:ascii="SimHei" w:hAnsi="SimHei" w:eastAsia="SimHei" w:cs="SimHei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见表 1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。试验组临床疗效总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有效率为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94.29</w:t>
      </w:r>
      <w:r>
        <w:rPr>
          <w:rFonts w:ascii="Microsoft YaHei" w:hAnsi="Microsoft YaHei" w:eastAsia="Microsoft YaHei" w:cs="Microsoft YaHei"/>
          <w:color w:val="231F20"/>
          <w:spacing w:val="-16"/>
        </w:rPr>
        <w:t>％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对照组为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77.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14</w:t>
      </w:r>
      <w:r>
        <w:rPr>
          <w:rFonts w:ascii="Microsoft YaHei" w:hAnsi="Microsoft YaHei" w:eastAsia="Microsoft YaHei" w:cs="Microsoft YaHei"/>
          <w:color w:val="231F20"/>
          <w:spacing w:val="-16"/>
        </w:rPr>
        <w:t>％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，</w:t>
      </w:r>
      <w:r>
        <w:rPr>
          <w:rFonts w:ascii="Microsoft YaHei" w:hAnsi="Microsoft YaHei" w:eastAsia="Microsoft YaHei" w:cs="Microsoft YaHei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组比较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，差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异有统计学意义（</w:t>
      </w:r>
      <w:r>
        <w:rPr>
          <w:i/>
          <w:iCs/>
          <w:color w:val="231F20"/>
          <w:spacing w:val="-9"/>
        </w:rPr>
        <w:t>P</w:t>
      </w:r>
      <w:r>
        <w:rPr>
          <w:rFonts w:ascii="Microsoft YaHei" w:hAnsi="Microsoft YaHei" w:eastAsia="Microsoft YaHei" w:cs="Microsoft YaHei"/>
          <w:color w:val="231F20"/>
          <w:spacing w:val="-9"/>
        </w:rPr>
        <w:t>＜0.05）。</w:t>
      </w:r>
    </w:p>
    <w:p>
      <w:pPr>
        <w:pStyle w:val="BodyText"/>
        <w:spacing w:before="151" w:line="168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2013641</wp:posOffset>
            </wp:positionH>
            <wp:positionV relativeFrom="paragraph">
              <wp:posOffset>96546</wp:posOffset>
            </wp:positionV>
            <wp:extent cx="50336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-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1    2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7"/>
        </w:rPr>
        <w:t>组临床疗效比较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（</w:t>
      </w:r>
      <w:r>
        <w:rPr>
          <w:sz w:val="17"/>
          <w:szCs w:val="17"/>
          <w:i/>
          <w:iCs/>
          <w:color w:val="231F20"/>
          <w:spacing w:val="-7"/>
        </w:rPr>
        <w:t>x</w:t>
      </w:r>
      <w:r>
        <w:rPr>
          <w:sz w:val="17"/>
          <w:szCs w:val="17"/>
          <w:i/>
          <w:iCs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i/>
          <w:iCs/>
          <w:color w:val="231F20"/>
          <w:spacing w:val="-7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）              例（%）</w:t>
      </w:r>
    </w:p>
    <w:tbl>
      <w:tblPr>
        <w:tblStyle w:val="TableNormal"/>
        <w:tblW w:w="481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97"/>
        <w:gridCol w:w="451"/>
        <w:gridCol w:w="789"/>
        <w:gridCol w:w="723"/>
        <w:gridCol w:w="721"/>
        <w:gridCol w:w="723"/>
        <w:gridCol w:w="811"/>
      </w:tblGrid>
      <w:tr>
        <w:trPr>
          <w:trHeight w:val="284" w:hRule="atLeast"/>
        </w:trPr>
        <w:tc>
          <w:tcPr>
            <w:tcW w:w="5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1"/>
              <w:spacing w:before="46" w:line="187" w:lineRule="auto"/>
              <w:rPr/>
            </w:pPr>
            <w:r>
              <w:rPr>
                <w:color w:val="231F20"/>
                <w:spacing w:val="-3"/>
                <w:w w:val="96"/>
              </w:rPr>
              <w:t>组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  <w:spacing w:val="-3"/>
                <w:w w:val="96"/>
              </w:rPr>
              <w:t>别</w:t>
            </w:r>
          </w:p>
        </w:tc>
        <w:tc>
          <w:tcPr>
            <w:tcW w:w="45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9"/>
              <w:spacing w:before="46" w:line="187" w:lineRule="auto"/>
              <w:rPr/>
            </w:pPr>
            <w:r>
              <w:rPr>
                <w:color w:val="231F20"/>
                <w:spacing w:val="-2"/>
                <w:w w:val="96"/>
              </w:rPr>
              <w:t>例数</w:t>
            </w:r>
          </w:p>
        </w:tc>
        <w:tc>
          <w:tcPr>
            <w:tcW w:w="7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40"/>
              <w:spacing w:before="46" w:line="187" w:lineRule="auto"/>
              <w:rPr/>
            </w:pPr>
            <w:r>
              <w:rPr>
                <w:color w:val="231F20"/>
                <w:spacing w:val="-3"/>
                <w:w w:val="96"/>
              </w:rPr>
              <w:t>治愈</w:t>
            </w:r>
          </w:p>
        </w:tc>
        <w:tc>
          <w:tcPr>
            <w:tcW w:w="7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3"/>
              <w:spacing w:before="46" w:line="187" w:lineRule="auto"/>
              <w:rPr/>
            </w:pPr>
            <w:r>
              <w:rPr>
                <w:color w:val="231F20"/>
                <w:spacing w:val="-3"/>
                <w:w w:val="96"/>
              </w:rPr>
              <w:t>显效</w:t>
            </w:r>
          </w:p>
        </w:tc>
        <w:tc>
          <w:tcPr>
            <w:tcW w:w="72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2"/>
              <w:spacing w:before="46" w:line="187" w:lineRule="auto"/>
              <w:rPr/>
            </w:pPr>
            <w:r>
              <w:rPr>
                <w:color w:val="231F20"/>
                <w:spacing w:val="-1"/>
                <w:w w:val="95"/>
              </w:rPr>
              <w:t>有效</w:t>
            </w:r>
          </w:p>
        </w:tc>
        <w:tc>
          <w:tcPr>
            <w:tcW w:w="7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13"/>
              <w:spacing w:before="46" w:line="187" w:lineRule="auto"/>
              <w:rPr/>
            </w:pPr>
            <w:r>
              <w:rPr>
                <w:color w:val="231F20"/>
                <w:spacing w:val="-2"/>
                <w:w w:val="96"/>
              </w:rPr>
              <w:t>无效</w:t>
            </w:r>
          </w:p>
        </w:tc>
        <w:tc>
          <w:tcPr>
            <w:tcW w:w="81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0"/>
              <w:spacing w:before="46" w:line="187" w:lineRule="auto"/>
              <w:rPr/>
            </w:pPr>
            <w:r>
              <w:rPr>
                <w:color w:val="231F20"/>
                <w:spacing w:val="-1"/>
                <w:w w:val="94"/>
              </w:rPr>
              <w:t>总有效</w:t>
            </w:r>
          </w:p>
        </w:tc>
      </w:tr>
      <w:tr>
        <w:trPr>
          <w:trHeight w:val="285" w:hRule="atLeast"/>
        </w:trPr>
        <w:tc>
          <w:tcPr>
            <w:tcW w:w="5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50" w:line="185" w:lineRule="auto"/>
              <w:rPr/>
            </w:pPr>
            <w:r>
              <w:rPr>
                <w:color w:val="231F20"/>
                <w:spacing w:val="-2"/>
                <w:w w:val="96"/>
              </w:rPr>
              <w:t>试验组</w:t>
            </w:r>
          </w:p>
        </w:tc>
        <w:tc>
          <w:tcPr>
            <w:tcW w:w="4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51"/>
              <w:spacing w:before="55" w:line="181" w:lineRule="auto"/>
              <w:rPr/>
            </w:pPr>
            <w:r>
              <w:rPr>
                <w:color w:val="231F20"/>
                <w:spacing w:val="-15"/>
              </w:rPr>
              <w:t>35</w:t>
            </w:r>
          </w:p>
        </w:tc>
        <w:tc>
          <w:tcPr>
            <w:tcW w:w="78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0" w:line="185" w:lineRule="auto"/>
              <w:jc w:val="right"/>
              <w:rPr/>
            </w:pPr>
            <w:r>
              <w:rPr>
                <w:color w:val="231F20"/>
                <w:spacing w:val="-19"/>
                <w:w w:val="90"/>
              </w:rPr>
              <w:t>17（48.57）</w:t>
            </w:r>
          </w:p>
        </w:tc>
        <w:tc>
          <w:tcPr>
            <w:tcW w:w="7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0" w:line="185" w:lineRule="auto"/>
              <w:jc w:val="right"/>
              <w:rPr/>
            </w:pPr>
            <w:r>
              <w:rPr>
                <w:color w:val="231F20"/>
                <w:spacing w:val="-22"/>
                <w:w w:val="93"/>
              </w:rPr>
              <w:t>9（25.71）</w:t>
            </w:r>
          </w:p>
        </w:tc>
        <w:tc>
          <w:tcPr>
            <w:tcW w:w="72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0" w:line="185" w:lineRule="auto"/>
              <w:jc w:val="right"/>
              <w:rPr/>
            </w:pPr>
            <w:r>
              <w:rPr>
                <w:color w:val="231F20"/>
                <w:spacing w:val="-18"/>
                <w:w w:val="90"/>
              </w:rPr>
              <w:t>7（20.00）</w:t>
            </w:r>
          </w:p>
        </w:tc>
        <w:tc>
          <w:tcPr>
            <w:tcW w:w="7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1"/>
              <w:spacing w:before="50" w:line="185" w:lineRule="auto"/>
              <w:rPr/>
            </w:pPr>
            <w:r>
              <w:rPr>
                <w:color w:val="231F20"/>
                <w:spacing w:val="-25"/>
                <w:w w:val="99"/>
              </w:rPr>
              <w:t>2（5.71）</w:t>
            </w:r>
          </w:p>
        </w:tc>
        <w:tc>
          <w:tcPr>
            <w:tcW w:w="8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0" w:line="185" w:lineRule="auto"/>
              <w:jc w:val="right"/>
              <w:rPr/>
            </w:pPr>
            <w:r>
              <w:rPr>
                <w:color w:val="231F20"/>
                <w:spacing w:val="-18"/>
                <w:w w:val="91"/>
              </w:rPr>
              <w:t>33（94.29）</w:t>
            </w:r>
          </w:p>
        </w:tc>
      </w:tr>
      <w:tr>
        <w:trPr>
          <w:trHeight w:val="290" w:hRule="atLeast"/>
        </w:trPr>
        <w:tc>
          <w:tcPr>
            <w:tcW w:w="597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0"/>
              <w:spacing w:before="58" w:line="182" w:lineRule="auto"/>
              <w:rPr/>
            </w:pPr>
            <w:r>
              <w:rPr>
                <w:color w:val="231F20"/>
                <w:spacing w:val="-5"/>
                <w:w w:val="97"/>
              </w:rPr>
              <w:t>对照组</w:t>
            </w:r>
          </w:p>
        </w:tc>
        <w:tc>
          <w:tcPr>
            <w:tcW w:w="45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151"/>
              <w:spacing w:before="62" w:line="179" w:lineRule="auto"/>
              <w:rPr/>
            </w:pPr>
            <w:r>
              <w:rPr>
                <w:color w:val="231F20"/>
                <w:spacing w:val="-15"/>
              </w:rPr>
              <w:t>35</w:t>
            </w:r>
          </w:p>
        </w:tc>
        <w:tc>
          <w:tcPr>
            <w:tcW w:w="78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82" w:lineRule="auto"/>
              <w:jc w:val="right"/>
              <w:rPr/>
            </w:pPr>
            <w:r>
              <w:rPr>
                <w:color w:val="231F20"/>
                <w:spacing w:val="-15"/>
                <w:w w:val="86"/>
              </w:rPr>
              <w:t>14（40.00）</w:t>
            </w:r>
          </w:p>
        </w:tc>
        <w:tc>
          <w:tcPr>
            <w:tcW w:w="72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82" w:lineRule="auto"/>
              <w:jc w:val="right"/>
              <w:rPr/>
            </w:pPr>
            <w:r>
              <w:rPr>
                <w:color w:val="231F20"/>
                <w:spacing w:val="-18"/>
                <w:w w:val="90"/>
              </w:rPr>
              <w:t>7（20.00）</w:t>
            </w:r>
          </w:p>
        </w:tc>
        <w:tc>
          <w:tcPr>
            <w:tcW w:w="72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82" w:lineRule="auto"/>
              <w:jc w:val="right"/>
              <w:rPr/>
            </w:pPr>
            <w:r>
              <w:rPr>
                <w:color w:val="231F20"/>
                <w:spacing w:val="-21"/>
                <w:w w:val="92"/>
              </w:rPr>
              <w:t>6（17.14）</w:t>
            </w:r>
          </w:p>
        </w:tc>
        <w:tc>
          <w:tcPr>
            <w:tcW w:w="72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82" w:lineRule="auto"/>
              <w:jc w:val="right"/>
              <w:rPr/>
            </w:pPr>
            <w:r>
              <w:rPr>
                <w:color w:val="231F20"/>
                <w:spacing w:val="-18"/>
                <w:w w:val="90"/>
              </w:rPr>
              <w:t>8（22.86）</w:t>
            </w:r>
          </w:p>
        </w:tc>
        <w:tc>
          <w:tcPr>
            <w:tcW w:w="8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spacing w:before="58" w:line="182" w:lineRule="auto"/>
              <w:jc w:val="right"/>
              <w:rPr/>
            </w:pPr>
            <w:r>
              <w:rPr>
                <w:color w:val="231F20"/>
                <w:spacing w:val="-19"/>
                <w:w w:val="92"/>
              </w:rPr>
              <w:t>27（77.14）</w:t>
            </w:r>
          </w:p>
        </w:tc>
      </w:tr>
      <w:tr>
        <w:trPr>
          <w:trHeight w:val="584" w:hRule="atLeast"/>
        </w:trPr>
        <w:tc>
          <w:tcPr>
            <w:tcW w:w="597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50"/>
              <w:spacing w:before="57" w:line="198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-2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-2"/>
                <w:position w:val="6"/>
              </w:rPr>
              <w:t>2 </w:t>
            </w:r>
            <w:r>
              <w:rPr>
                <w:color w:val="231F20"/>
                <w:spacing w:val="-2"/>
                <w:position w:val="-1"/>
              </w:rPr>
              <w:t>值</w:t>
            </w:r>
          </w:p>
          <w:p>
            <w:pPr>
              <w:pStyle w:val="TableText"/>
              <w:ind w:left="57"/>
              <w:spacing w:before="52" w:line="184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3"/>
              </w:rPr>
              <w:t>P</w:t>
            </w:r>
            <w:r>
              <w:rPr>
                <w:color w:val="231F20"/>
                <w:spacing w:val="13"/>
              </w:rPr>
              <w:t>值</w:t>
            </w:r>
          </w:p>
        </w:tc>
        <w:tc>
          <w:tcPr>
            <w:tcW w:w="4218" w:type="dxa"/>
            <w:vAlign w:val="top"/>
            <w:gridSpan w:val="6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3640"/>
              <w:spacing w:before="61" w:line="221" w:lineRule="auto"/>
              <w:rPr/>
            </w:pPr>
            <w:r>
              <w:rPr>
                <w:color w:val="231F20"/>
                <w:spacing w:val="-13"/>
              </w:rPr>
              <w:t>4.200</w:t>
            </w:r>
          </w:p>
          <w:p>
            <w:pPr>
              <w:pStyle w:val="TableText"/>
              <w:ind w:left="3642"/>
              <w:spacing w:before="24" w:line="180" w:lineRule="auto"/>
              <w:rPr/>
            </w:pPr>
            <w:r>
              <w:rPr>
                <w:color w:val="231F20"/>
                <w:spacing w:val="-14"/>
              </w:rPr>
              <w:t>0.040</w:t>
            </w:r>
          </w:p>
        </w:tc>
      </w:tr>
    </w:tbl>
    <w:p>
      <w:pPr>
        <w:pStyle w:val="BodyText"/>
        <w:ind w:left="3" w:right="66" w:firstLine="1"/>
        <w:spacing w:before="266" w:line="22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4"/>
        </w:rPr>
        <w:t>4.3</w:t>
      </w:r>
      <w:r>
        <w:rPr>
          <w:rFonts w:ascii="Microsoft YaHei" w:hAnsi="Microsoft YaHei" w:eastAsia="Microsoft YaHei" w:cs="Microsoft YaHei"/>
          <w:color w:val="231F20"/>
          <w:spacing w:val="21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14"/>
        </w:rPr>
        <w:t>2 </w:t>
      </w:r>
      <w:r>
        <w:rPr>
          <w:rFonts w:ascii="SimHei" w:hAnsi="SimHei" w:eastAsia="SimHei" w:cs="SimHei"/>
          <w:color w:val="231F20"/>
          <w:spacing w:val="14"/>
        </w:rPr>
        <w:t>组治疗前后</w:t>
      </w:r>
      <w:r>
        <w:rPr>
          <w:rFonts w:ascii="Microsoft YaHei" w:hAnsi="Microsoft YaHei" w:eastAsia="Microsoft YaHei" w:cs="Microsoft YaHei"/>
          <w:color w:val="231F20"/>
        </w:rPr>
        <w:t>McCormack</w:t>
      </w:r>
      <w:r>
        <w:rPr>
          <w:rFonts w:ascii="Microsoft YaHei" w:hAnsi="Microsoft YaHei" w:eastAsia="Microsoft YaHei" w:cs="Microsoft YaHei"/>
          <w:color w:val="231F20"/>
          <w:spacing w:val="14"/>
        </w:rPr>
        <w:t xml:space="preserve"> </w:t>
      </w:r>
      <w:r>
        <w:rPr>
          <w:rFonts w:ascii="SimHei" w:hAnsi="SimHei" w:eastAsia="SimHei" w:cs="SimHei"/>
          <w:color w:val="231F20"/>
          <w:spacing w:val="14"/>
        </w:rPr>
        <w:t>量表评分</w:t>
      </w:r>
      <w:r>
        <w:rPr>
          <w:rFonts w:ascii="SimHei" w:hAnsi="SimHei" w:eastAsia="SimHei" w:cs="SimHei"/>
          <w:color w:val="231F20"/>
          <w:spacing w:val="-57"/>
        </w:rPr>
        <w:t xml:space="preserve"> </w:t>
      </w:r>
      <w:r>
        <w:rPr>
          <w:rFonts w:ascii="SimHei" w:hAnsi="SimHei" w:eastAsia="SimHei" w:cs="SimHei"/>
          <w:color w:val="231F20"/>
          <w:spacing w:val="14"/>
        </w:rPr>
        <w:t>、炎性包</w:t>
      </w:r>
      <w:r>
        <w:rPr>
          <w:rFonts w:ascii="SimHei" w:hAnsi="SimHei" w:eastAsia="SimHei" w:cs="SimHei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块</w:t>
      </w:r>
      <w:r>
        <w:rPr>
          <w:rFonts w:ascii="SimHei" w:hAnsi="SimHei" w:eastAsia="SimHei" w:cs="SimHei"/>
          <w:color w:val="231F20"/>
          <w:spacing w:val="-4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、</w:t>
      </w:r>
      <w:r>
        <w:rPr>
          <w:rFonts w:ascii="SimHei" w:hAnsi="SimHei" w:eastAsia="SimHei" w:cs="SimHei"/>
          <w:color w:val="231F20"/>
          <w:spacing w:val="-27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盆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腔</w:t>
      </w:r>
      <w:r>
        <w:rPr>
          <w:rFonts w:ascii="SimHei" w:hAnsi="SimHei" w:eastAsia="SimHei" w:cs="SimHei"/>
          <w:color w:val="231F20"/>
          <w:spacing w:val="-25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积</w:t>
      </w:r>
      <w:r>
        <w:rPr>
          <w:rFonts w:ascii="SimHei" w:hAnsi="SimHei" w:eastAsia="SimHei" w:cs="SimHei"/>
          <w:color w:val="231F20"/>
          <w:spacing w:val="-24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液</w:t>
      </w:r>
      <w:r>
        <w:rPr>
          <w:rFonts w:ascii="SimHei" w:hAnsi="SimHei" w:eastAsia="SimHei" w:cs="SimHei"/>
          <w:color w:val="231F20"/>
          <w:spacing w:val="-4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比</w:t>
      </w:r>
      <w:r>
        <w:rPr>
          <w:rFonts w:ascii="SimHei" w:hAnsi="SimHei" w:eastAsia="SimHei" w:cs="SimHei"/>
          <w:color w:val="231F20"/>
          <w:spacing w:val="-26"/>
        </w:rPr>
        <w:t xml:space="preserve"> </w:t>
      </w:r>
      <w:r>
        <w:rPr>
          <w:rFonts w:ascii="SimHei" w:hAnsi="SimHei" w:eastAsia="SimHei" w:cs="SimHei"/>
          <w:color w:val="231F20"/>
          <w:spacing w:val="-4"/>
        </w:rPr>
        <w:t>较</w:t>
      </w:r>
      <w:r>
        <w:rPr>
          <w:rFonts w:ascii="SimHei" w:hAnsi="SimHei" w:eastAsia="SimHei" w:cs="SimHei"/>
          <w:color w:val="231F20"/>
          <w:spacing w:val="4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见 表</w:t>
      </w:r>
      <w:r>
        <w:rPr>
          <w:rFonts w:ascii="Microsoft YaHei" w:hAnsi="Microsoft YaHei" w:eastAsia="Microsoft YaHei" w:cs="Microsoft YaHei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2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。 治 疗 前  ， 2</w:t>
      </w:r>
      <w:r>
        <w:rPr>
          <w:rFonts w:ascii="Microsoft YaHei" w:hAnsi="Microsoft YaHei" w:eastAsia="Microsoft YaHei" w:cs="Microsoft YaHei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McCormack</w:t>
      </w:r>
      <w:r>
        <w:rPr>
          <w:rFonts w:ascii="Microsoft YaHei" w:hAnsi="Microsoft YaHei" w:eastAsia="Microsoft YaHei" w:cs="Microsoft YaHei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量表评分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、炎性包块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、盆腔积液比较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，差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异无统计学意义（</w:t>
      </w:r>
      <w:r>
        <w:rPr>
          <w:i/>
          <w:iCs/>
          <w:color w:val="231F20"/>
          <w:spacing w:val="-10"/>
        </w:rPr>
        <w:t>P</w:t>
      </w:r>
      <w:r>
        <w:rPr>
          <w:rFonts w:ascii="Microsoft YaHei" w:hAnsi="Microsoft YaHei" w:eastAsia="Microsoft YaHei" w:cs="Microsoft YaHei"/>
          <w:color w:val="231F20"/>
          <w:spacing w:val="-10"/>
        </w:rPr>
        <w:t>＞0.05）。治疗后</w:t>
      </w:r>
      <w:r>
        <w:rPr>
          <w:rFonts w:ascii="Microsoft YaHei" w:hAnsi="Microsoft YaHei" w:eastAsia="Microsoft YaHei" w:cs="Microsoft YaHei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，2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组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McCormack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9"/>
        </w:rPr>
        <w:t>量表评分 、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9"/>
        </w:rPr>
        <w:t>炎性包块 、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9"/>
        </w:rPr>
        <w:t>盆腔积液均较治疗前减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小（</w:t>
      </w:r>
      <w:r>
        <w:rPr>
          <w:i/>
          <w:iCs/>
          <w:color w:val="231F20"/>
          <w:spacing w:val="-5"/>
        </w:rPr>
        <w:t>P</w:t>
      </w:r>
      <w:r>
        <w:rPr>
          <w:rFonts w:ascii="Microsoft YaHei" w:hAnsi="Microsoft YaHei" w:eastAsia="Microsoft YaHei" w:cs="Microsoft YaHei"/>
          <w:color w:val="231F20"/>
          <w:spacing w:val="-5"/>
        </w:rPr>
        <w:t>＜0.05</w:t>
      </w:r>
      <w:r>
        <w:rPr>
          <w:rFonts w:ascii="Microsoft YaHei" w:hAnsi="Microsoft YaHei" w:eastAsia="Microsoft YaHei" w:cs="Microsoft YaHei"/>
          <w:color w:val="231F20"/>
          <w:spacing w:val="-29"/>
        </w:rPr>
        <w:t>），</w:t>
      </w:r>
      <w:r>
        <w:rPr>
          <w:rFonts w:ascii="Microsoft YaHei" w:hAnsi="Microsoft YaHei" w:eastAsia="Microsoft YaHei" w:cs="Microsoft YaHei"/>
          <w:color w:val="231F20"/>
          <w:spacing w:val="-5"/>
        </w:rPr>
        <w:t>试验组 McCormack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量表评分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、炎性包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块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、盆腔积液均小于对照组（</w:t>
      </w:r>
      <w:r>
        <w:rPr>
          <w:i/>
          <w:iCs/>
          <w:color w:val="231F20"/>
          <w:spacing w:val="-5"/>
        </w:rPr>
        <w:t>P</w:t>
      </w:r>
      <w:r>
        <w:rPr>
          <w:rFonts w:ascii="Microsoft YaHei" w:hAnsi="Microsoft YaHei" w:eastAsia="Microsoft YaHei" w:cs="Microsoft YaHei"/>
          <w:color w:val="231F20"/>
          <w:spacing w:val="-5"/>
        </w:rPr>
        <w:t>＜0.05）。</w:t>
      </w:r>
    </w:p>
    <w:p>
      <w:pPr>
        <w:pStyle w:val="BodyText"/>
        <w:ind w:left="2" w:right="67" w:firstLine="2"/>
        <w:spacing w:before="35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7"/>
        </w:rPr>
        <w:t>4.4</w:t>
      </w:r>
      <w:r>
        <w:rPr>
          <w:rFonts w:ascii="Microsoft YaHei" w:hAnsi="Microsoft YaHei" w:eastAsia="Microsoft YaHei" w:cs="Microsoft YaHei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17"/>
        </w:rPr>
        <w:t>2 </w:t>
      </w:r>
      <w:r>
        <w:rPr>
          <w:rFonts w:ascii="SimHei" w:hAnsi="SimHei" w:eastAsia="SimHei" w:cs="SimHei"/>
          <w:color w:val="231F20"/>
          <w:spacing w:val="17"/>
        </w:rPr>
        <w:t>组治疗前后子</w:t>
      </w:r>
      <w:r>
        <w:rPr>
          <w:rFonts w:ascii="SimHei" w:hAnsi="SimHei" w:eastAsia="SimHei" w:cs="SimHei"/>
          <w:color w:val="231F20"/>
          <w:spacing w:val="-53"/>
        </w:rPr>
        <w:t xml:space="preserve"> </w:t>
      </w:r>
      <w:r>
        <w:rPr>
          <w:rFonts w:ascii="SimHei" w:hAnsi="SimHei" w:eastAsia="SimHei" w:cs="SimHei"/>
          <w:color w:val="231F20"/>
          <w:spacing w:val="17"/>
        </w:rPr>
        <w:t>宫血流动力学指标</w:t>
      </w:r>
      <w:r>
        <w:rPr>
          <w:rFonts w:ascii="SimHei" w:hAnsi="SimHei" w:eastAsia="SimHei" w:cs="SimHei"/>
          <w:color w:val="231F20"/>
          <w:spacing w:val="-51"/>
        </w:rPr>
        <w:t xml:space="preserve"> </w:t>
      </w:r>
      <w:r>
        <w:rPr>
          <w:rFonts w:ascii="SimHei" w:hAnsi="SimHei" w:eastAsia="SimHei" w:cs="SimHei"/>
          <w:color w:val="231F20"/>
          <w:spacing w:val="17"/>
        </w:rPr>
        <w:t>比较</w:t>
      </w:r>
      <w:r>
        <w:rPr>
          <w:rFonts w:ascii="SimHei" w:hAnsi="SimHei" w:eastAsia="SimHei" w:cs="SimHei"/>
          <w:color w:val="231F20"/>
          <w:spacing w:val="17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见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表 3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。治疗前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，2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组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RI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、PI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、Vmin</w:t>
      </w:r>
      <w:r>
        <w:rPr>
          <w:rFonts w:ascii="Microsoft YaHei" w:hAnsi="Microsoft YaHei" w:eastAsia="Microsoft YaHei" w:cs="Microsoft YaHei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值比较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，差异</w:t>
      </w:r>
      <w:r>
        <w:rPr>
          <w:rFonts w:ascii="Microsoft YaHei" w:hAnsi="Microsoft YaHei" w:eastAsia="Microsoft YaHei" w:cs="Microsoft YaHei"/>
          <w:color w:val="231F20"/>
          <w:spacing w:val="-2"/>
        </w:rPr>
        <w:t>无统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计学意义（</w:t>
      </w:r>
      <w:r>
        <w:rPr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color w:val="231F20"/>
          <w:spacing w:val="-2"/>
        </w:rPr>
        <w:t>＞0.05）。治疗后 ，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组 RI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、PI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值均较治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疗前下降（</w:t>
      </w:r>
      <w:r>
        <w:rPr>
          <w:i/>
          <w:iCs/>
          <w:color w:val="231F20"/>
          <w:spacing w:val="1"/>
        </w:rPr>
        <w:t>P</w:t>
      </w:r>
      <w:r>
        <w:rPr>
          <w:rFonts w:ascii="Microsoft YaHei" w:hAnsi="Microsoft YaHei" w:eastAsia="Microsoft YaHei" w:cs="Microsoft YaHei"/>
          <w:color w:val="231F20"/>
          <w:spacing w:val="1"/>
        </w:rPr>
        <w:t>＜0.05</w:t>
      </w:r>
      <w:r>
        <w:rPr>
          <w:rFonts w:ascii="Microsoft YaHei" w:hAnsi="Microsoft YaHei" w:eastAsia="Microsoft YaHei" w:cs="Microsoft YaHei"/>
          <w:color w:val="231F20"/>
          <w:spacing w:val="-31"/>
        </w:rPr>
        <w:t>），</w:t>
      </w:r>
      <w:r>
        <w:rPr>
          <w:rFonts w:ascii="Microsoft YaHei" w:hAnsi="Microsoft YaHei" w:eastAsia="Microsoft YaHei" w:cs="Microsoft YaHei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Vmin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值均较治疗前升高（</w:t>
      </w:r>
      <w:r>
        <w:rPr>
          <w:i/>
          <w:iCs/>
          <w:color w:val="231F20"/>
          <w:spacing w:val="1"/>
        </w:rPr>
        <w:t>P </w:t>
      </w:r>
      <w:r>
        <w:rPr>
          <w:rFonts w:ascii="Microsoft YaHei" w:hAnsi="Microsoft YaHei" w:eastAsia="Microsoft YaHei" w:cs="Microsoft YaHei"/>
          <w:color w:val="231F20"/>
          <w:spacing w:val="1"/>
        </w:rPr>
        <w:t>&lt;</w:t>
      </w:r>
    </w:p>
    <w:p>
      <w:pPr>
        <w:pStyle w:val="BodyText"/>
        <w:ind w:left="5" w:right="1"/>
        <w:spacing w:before="34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4"/>
        </w:rPr>
        <w:t>0.05</w:t>
      </w:r>
      <w:r>
        <w:rPr>
          <w:rFonts w:ascii="Microsoft YaHei" w:hAnsi="Microsoft YaHei" w:eastAsia="Microsoft YaHei" w:cs="Microsoft YaHei"/>
          <w:color w:val="231F20"/>
          <w:spacing w:val="-40"/>
        </w:rPr>
        <w:t>）；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试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验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组 RI</w:t>
      </w:r>
      <w:r>
        <w:rPr>
          <w:rFonts w:ascii="Microsoft YaHei" w:hAnsi="Microsoft YaHei" w:eastAsia="Microsoft YaHei" w:cs="Microsoft YaHei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、PI 值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均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低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于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对</w:t>
      </w:r>
      <w:r>
        <w:rPr>
          <w:rFonts w:ascii="Microsoft YaHei" w:hAnsi="Microsoft YaHei" w:eastAsia="Microsoft YaHei" w:cs="Microsoft YaHei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照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组（</w:t>
      </w:r>
      <w:r>
        <w:rPr>
          <w:i/>
          <w:iCs/>
          <w:color w:val="231F20"/>
          <w:spacing w:val="-4"/>
        </w:rPr>
        <w:t>P</w:t>
      </w:r>
      <w:r>
        <w:rPr>
          <w:rFonts w:ascii="Microsoft YaHei" w:hAnsi="Microsoft YaHei" w:eastAsia="Microsoft YaHei" w:cs="Microsoft YaHei"/>
          <w:color w:val="231F20"/>
          <w:spacing w:val="-4"/>
        </w:rPr>
        <w:t>＜0.05</w:t>
      </w:r>
      <w:r>
        <w:rPr>
          <w:rFonts w:ascii="Microsoft YaHei" w:hAnsi="Microsoft YaHei" w:eastAsia="Microsoft YaHei" w:cs="Microsoft YaHei"/>
          <w:color w:val="231F20"/>
          <w:spacing w:val="-40"/>
        </w:rPr>
        <w:t>），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Vmin</w:t>
      </w:r>
      <w:r>
        <w:rPr>
          <w:rFonts w:ascii="Microsoft YaHei" w:hAnsi="Microsoft YaHei" w:eastAsia="Microsoft YaHei" w:cs="Microsoft YaHei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值高于对照组（</w:t>
      </w:r>
      <w:r>
        <w:rPr>
          <w:i/>
          <w:iCs/>
          <w:color w:val="231F20"/>
          <w:spacing w:val="-10"/>
        </w:rPr>
        <w:t>P</w:t>
      </w:r>
      <w:r>
        <w:rPr>
          <w:rFonts w:ascii="Microsoft YaHei" w:hAnsi="Microsoft YaHei" w:eastAsia="Microsoft YaHei" w:cs="Microsoft YaHei"/>
          <w:color w:val="231F20"/>
          <w:spacing w:val="-10"/>
        </w:rPr>
        <w:t>＜0.05）。</w:t>
      </w:r>
    </w:p>
    <w:p>
      <w:pPr>
        <w:pStyle w:val="BodyText"/>
        <w:ind w:left="3" w:right="67" w:firstLine="1"/>
        <w:spacing w:before="34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3"/>
        </w:rPr>
        <w:t>4.5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13"/>
        </w:rPr>
        <w:t>2 </w:t>
      </w:r>
      <w:r>
        <w:rPr>
          <w:rFonts w:ascii="SimHei" w:hAnsi="SimHei" w:eastAsia="SimHei" w:cs="SimHei"/>
          <w:color w:val="231F20"/>
          <w:spacing w:val="13"/>
        </w:rPr>
        <w:t>组治疗前后免疫学指标比较</w:t>
      </w:r>
      <w:r>
        <w:rPr>
          <w:rFonts w:ascii="SimHei" w:hAnsi="SimHei" w:eastAsia="SimHei" w:cs="SimHei"/>
          <w:color w:val="231F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3"/>
        </w:rPr>
        <w:t>见表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4</w:t>
      </w:r>
      <w:r>
        <w:rPr>
          <w:rFonts w:ascii="Microsoft YaHei" w:hAnsi="Microsoft YaHei" w:eastAsia="Microsoft YaHei" w:cs="Microsoft YaHei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3"/>
        </w:rPr>
        <w:t>。治疗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前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，2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组免疫学指标值比较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，差异无统计学意义（</w:t>
      </w:r>
      <w:r>
        <w:rPr>
          <w:i/>
          <w:iCs/>
          <w:color w:val="231F20"/>
          <w:spacing w:val="1"/>
        </w:rPr>
        <w:t>P</w:t>
      </w:r>
      <w:r>
        <w:rPr>
          <w:rFonts w:ascii="Microsoft YaHei" w:hAnsi="Microsoft YaHei" w:eastAsia="Microsoft YaHei" w:cs="Microsoft YaHei"/>
          <w:color w:val="231F20"/>
          <w:spacing w:val="1"/>
        </w:rPr>
        <w:t>＞</w:t>
      </w:r>
    </w:p>
    <w:p>
      <w:pPr>
        <w:pStyle w:val="BodyText"/>
        <w:ind w:left="6" w:right="67" w:hanging="1"/>
        <w:spacing w:before="36" w:line="22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9"/>
        </w:rPr>
        <w:t>0.05）。治疗后 ，2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组 CD4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-9"/>
        </w:rPr>
        <w:t>水平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、CD4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-4"/>
        </w:rPr>
        <w:t>/CD8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>+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比值均较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治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前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上 升（</w:t>
      </w:r>
      <w:r>
        <w:rPr>
          <w:i/>
          <w:iCs/>
          <w:color w:val="231F20"/>
          <w:spacing w:val="-6"/>
        </w:rPr>
        <w:t>P</w:t>
      </w:r>
      <w:r>
        <w:rPr>
          <w:rFonts w:ascii="Microsoft YaHei" w:hAnsi="Microsoft YaHei" w:eastAsia="Microsoft YaHei" w:cs="Microsoft YaHei"/>
          <w:color w:val="231F20"/>
          <w:spacing w:val="-6"/>
        </w:rPr>
        <w:t>＜0.05</w:t>
      </w:r>
      <w:r>
        <w:rPr>
          <w:rFonts w:ascii="Microsoft YaHei" w:hAnsi="Microsoft YaHei" w:eastAsia="Microsoft YaHei" w:cs="Microsoft YaHei"/>
          <w:color w:val="231F20"/>
          <w:spacing w:val="-21"/>
        </w:rPr>
        <w:t>），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CD8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+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水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平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均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较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治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疗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前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下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降（</w:t>
      </w:r>
      <w:r>
        <w:rPr>
          <w:i/>
          <w:iCs/>
          <w:color w:val="231F20"/>
          <w:spacing w:val="-8"/>
        </w:rPr>
        <w:t>P</w:t>
      </w:r>
      <w:r>
        <w:rPr>
          <w:rFonts w:ascii="Microsoft YaHei" w:hAnsi="Microsoft YaHei" w:eastAsia="Microsoft YaHei" w:cs="Microsoft YaHei"/>
          <w:color w:val="231F20"/>
          <w:spacing w:val="-8"/>
        </w:rPr>
        <w:t>＜0.05</w:t>
      </w:r>
      <w:r>
        <w:rPr>
          <w:rFonts w:ascii="Microsoft YaHei" w:hAnsi="Microsoft YaHei" w:eastAsia="Microsoft YaHei" w:cs="Microsoft YaHei"/>
          <w:color w:val="231F20"/>
          <w:spacing w:val="-41"/>
        </w:rPr>
        <w:t>）；</w:t>
      </w:r>
      <w:r>
        <w:rPr>
          <w:rFonts w:ascii="Microsoft YaHei" w:hAnsi="Microsoft YaHei" w:eastAsia="Microsoft YaHei" w:cs="Microsoft YaHei"/>
          <w:color w:val="231F20"/>
          <w:spacing w:val="-8"/>
        </w:rPr>
        <w:t>试验组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CD4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-8"/>
        </w:rPr>
        <w:t>水平</w:t>
      </w:r>
      <w:r>
        <w:rPr>
          <w:rFonts w:ascii="Microsoft YaHei" w:hAnsi="Microsoft YaHei" w:eastAsia="Microsoft YaHei" w:cs="Microsoft YaHei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3"/>
        </w:rPr>
        <w:t>、CD4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3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-6"/>
        </w:rPr>
        <w:t>/CD8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6"/>
          <w:position w:val="8"/>
        </w:rPr>
        <w:t>+ </w:t>
      </w:r>
      <w:r>
        <w:rPr>
          <w:rFonts w:ascii="Microsoft YaHei" w:hAnsi="Microsoft YaHei" w:eastAsia="Microsoft YaHei" w:cs="Microsoft YaHei"/>
          <w:color w:val="231F20"/>
          <w:spacing w:val="-6"/>
        </w:rPr>
        <w:t>比值均高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于对照组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7"/>
        </w:rPr>
        <w:t>，CD8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7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-7"/>
        </w:rPr>
        <w:t>水平低于对照组（</w:t>
      </w:r>
      <w:r>
        <w:rPr>
          <w:i/>
          <w:iCs/>
          <w:color w:val="231F20"/>
          <w:spacing w:val="-7"/>
        </w:rPr>
        <w:t>P</w:t>
      </w:r>
      <w:r>
        <w:rPr>
          <w:rFonts w:ascii="Microsoft YaHei" w:hAnsi="Microsoft YaHei" w:eastAsia="Microsoft YaHei" w:cs="Microsoft YaHei"/>
          <w:color w:val="231F20"/>
          <w:spacing w:val="-7"/>
        </w:rPr>
        <w:t>＜0.05）。</w:t>
      </w:r>
    </w:p>
    <w:p>
      <w:pPr>
        <w:ind w:left="5" w:right="67"/>
        <w:spacing w:before="35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4.6   2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组不良反应发生率比较</w:t>
      </w:r>
      <w:r>
        <w:rPr>
          <w:rFonts w:ascii="SimHei" w:hAnsi="SimHei" w:eastAsia="SimHei" w:cs="SimHei"/>
          <w:sz w:val="20"/>
          <w:szCs w:val="20"/>
          <w:color w:val="231F20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。试验组不良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 5.71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对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不 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为</w:t>
      </w:r>
    </w:p>
    <w:p>
      <w:pPr>
        <w:pStyle w:val="BodyText"/>
        <w:ind w:left="6" w:right="67" w:firstLine="5"/>
        <w:spacing w:before="29" w:line="21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7"/>
        </w:rPr>
        <w:t>8.57</w:t>
      </w:r>
      <w:r>
        <w:rPr>
          <w:rFonts w:ascii="Microsoft YaHei" w:hAnsi="Microsoft YaHei" w:eastAsia="Microsoft YaHei" w:cs="Microsoft YaHei"/>
          <w:color w:val="231F20"/>
          <w:spacing w:val="-16"/>
        </w:rPr>
        <w:t>％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6"/>
        </w:rPr>
        <w:t>，</w:t>
      </w:r>
      <w:r>
        <w:rPr>
          <w:rFonts w:ascii="Microsoft YaHei" w:hAnsi="Microsoft YaHei" w:eastAsia="Microsoft YaHei" w:cs="Microsoft YaHei"/>
          <w:color w:val="231F20"/>
          <w:spacing w:val="7"/>
        </w:rPr>
        <w:t>2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组不良反应发生率比较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，差异无统计</w:t>
      </w:r>
      <w:r>
        <w:rPr>
          <w:rFonts w:ascii="Microsoft YaHei" w:hAnsi="Microsoft YaHei" w:eastAsia="Microsoft YaHei" w:cs="Microsoft YaHei"/>
          <w:color w:val="231F20"/>
          <w:spacing w:val="6"/>
        </w:rPr>
        <w:t>学意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9"/>
        </w:rPr>
        <w:t>义（</w:t>
      </w:r>
      <w:r>
        <w:rPr>
          <w:i/>
          <w:iCs/>
          <w:color w:val="231F20"/>
          <w:spacing w:val="-19"/>
        </w:rPr>
        <w:t>P</w:t>
      </w:r>
      <w:r>
        <w:rPr>
          <w:rFonts w:ascii="Microsoft YaHei" w:hAnsi="Microsoft YaHei" w:eastAsia="Microsoft YaHei" w:cs="Microsoft YaHei"/>
          <w:color w:val="231F20"/>
          <w:spacing w:val="-19"/>
        </w:rPr>
        <w:t>＞0.05）。</w:t>
      </w:r>
    </w:p>
    <w:p>
      <w:pPr>
        <w:spacing w:line="214" w:lineRule="auto"/>
        <w:sectPr>
          <w:type w:val="continuous"/>
          <w:pgSz w:w="12473" w:h="16725"/>
          <w:pgMar w:top="1686" w:right="1125" w:bottom="0" w:left="424" w:header="1054" w:footer="0" w:gutter="0"/>
          <w:cols w:equalWidth="0" w:num="2">
            <w:col w:w="5941" w:space="100"/>
            <w:col w:w="4883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2887"/>
        <w:spacing w:before="73" w:line="16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5307850</wp:posOffset>
            </wp:positionH>
            <wp:positionV relativeFrom="paragraph">
              <wp:posOffset>47244</wp:posOffset>
            </wp:positionV>
            <wp:extent cx="50336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2   2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组治疗前后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McCormack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量表评分、炎性包块、盆腔积液比较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（</w:t>
      </w:r>
      <w:r>
        <w:rPr>
          <w:sz w:val="17"/>
          <w:szCs w:val="17"/>
          <w:i/>
          <w:iCs/>
          <w:color w:val="231F20"/>
          <w:spacing w:val="2"/>
        </w:rPr>
        <w:t>x</w:t>
      </w:r>
      <w:r>
        <w:rPr>
          <w:sz w:val="17"/>
          <w:szCs w:val="17"/>
          <w:i/>
          <w:iCs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i/>
          <w:iCs/>
          <w:color w:val="231F20"/>
          <w:spacing w:val="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）</w:t>
      </w:r>
    </w:p>
    <w:tbl>
      <w:tblPr>
        <w:tblStyle w:val="TableNormal"/>
        <w:tblW w:w="10091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4"/>
        <w:gridCol w:w="819"/>
        <w:gridCol w:w="1413"/>
        <w:gridCol w:w="1425"/>
        <w:gridCol w:w="1403"/>
        <w:gridCol w:w="1419"/>
        <w:gridCol w:w="1412"/>
        <w:gridCol w:w="1416"/>
      </w:tblGrid>
      <w:tr>
        <w:trPr>
          <w:trHeight w:val="284" w:hRule="atLeast"/>
        </w:trPr>
        <w:tc>
          <w:tcPr>
            <w:tcW w:w="78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2"/>
              <w:spacing w:before="193" w:line="207" w:lineRule="auto"/>
              <w:rPr/>
            </w:pPr>
            <w:r>
              <w:rPr>
                <w:color w:val="231F20"/>
                <w:spacing w:val="3"/>
              </w:rPr>
              <w:t>组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3"/>
              </w:rPr>
              <w:t>别</w:t>
            </w:r>
          </w:p>
        </w:tc>
        <w:tc>
          <w:tcPr>
            <w:tcW w:w="819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96"/>
              <w:spacing w:before="192" w:line="206" w:lineRule="auto"/>
              <w:rPr/>
            </w:pPr>
            <w:r>
              <w:rPr>
                <w:color w:val="231F20"/>
                <w:spacing w:val="5"/>
              </w:rPr>
              <w:t>例数</w:t>
            </w:r>
          </w:p>
        </w:tc>
        <w:tc>
          <w:tcPr>
            <w:tcW w:w="283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88"/>
              <w:spacing w:before="46" w:line="187" w:lineRule="auto"/>
              <w:rPr/>
            </w:pPr>
            <w:r>
              <w:rPr>
                <w:color w:val="231F20"/>
                <w:spacing w:val="-13"/>
              </w:rPr>
              <w:t>McCormack 量表（分）</w:t>
            </w:r>
          </w:p>
        </w:tc>
        <w:tc>
          <w:tcPr>
            <w:tcW w:w="282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05"/>
              <w:spacing w:before="46" w:line="187" w:lineRule="auto"/>
              <w:rPr/>
            </w:pPr>
            <w:r>
              <w:rPr>
                <w:color w:val="231F20"/>
                <w:spacing w:val="-10"/>
              </w:rPr>
              <w:t>炎性包块（cm</w:t>
            </w:r>
            <w:r>
              <w:rPr>
                <w:sz w:val="9"/>
                <w:szCs w:val="9"/>
                <w:color w:val="231F20"/>
                <w:spacing w:val="-10"/>
                <w:position w:val="7"/>
              </w:rPr>
              <w:t>3</w:t>
            </w:r>
            <w:r>
              <w:rPr>
                <w:color w:val="231F20"/>
                <w:spacing w:val="-10"/>
              </w:rPr>
              <w:t>）</w:t>
            </w:r>
          </w:p>
        </w:tc>
        <w:tc>
          <w:tcPr>
            <w:tcW w:w="282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40"/>
              <w:spacing w:before="46" w:line="187" w:lineRule="auto"/>
              <w:rPr/>
            </w:pPr>
            <w:r>
              <w:rPr>
                <w:color w:val="231F20"/>
                <w:spacing w:val="-14"/>
              </w:rPr>
              <w:t>盆腔积液（mm）</w:t>
            </w:r>
          </w:p>
        </w:tc>
      </w:tr>
      <w:tr>
        <w:trPr>
          <w:trHeight w:val="286" w:hRule="atLeast"/>
        </w:trPr>
        <w:tc>
          <w:tcPr>
            <w:tcW w:w="78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3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42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4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  <w:tc>
          <w:tcPr>
            <w:tcW w:w="140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4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41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6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  <w:tc>
          <w:tcPr>
            <w:tcW w:w="141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2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41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44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</w:tr>
      <w:tr>
        <w:trPr>
          <w:trHeight w:val="280" w:hRule="atLeast"/>
        </w:trPr>
        <w:tc>
          <w:tcPr>
            <w:tcW w:w="7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52" w:line="179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8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9"/>
              <w:spacing w:before="57" w:line="175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14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3"/>
              <w:spacing w:before="57" w:line="175" w:lineRule="auto"/>
              <w:rPr/>
            </w:pPr>
            <w:r>
              <w:rPr>
                <w:color w:val="231F20"/>
                <w:spacing w:val="-11"/>
              </w:rPr>
              <w:t>21.62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1"/>
              </w:rPr>
              <w:t>2.97</w:t>
            </w:r>
          </w:p>
        </w:tc>
        <w:tc>
          <w:tcPr>
            <w:tcW w:w="14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3"/>
              </w:rPr>
              <w:t>1.56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3"/>
              </w:rPr>
              <w:t>±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3"/>
              </w:rPr>
              <w:t>0.15</w:t>
            </w:r>
            <w:r>
              <w:rPr>
                <w:sz w:val="9"/>
                <w:szCs w:val="9"/>
                <w:color w:val="231F20"/>
                <w:spacing w:val="5"/>
                <w:position w:val="7"/>
              </w:rPr>
              <w:t>①</w:t>
            </w:r>
          </w:p>
        </w:tc>
        <w:tc>
          <w:tcPr>
            <w:tcW w:w="14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9"/>
              <w:spacing w:before="57" w:line="175" w:lineRule="auto"/>
              <w:rPr/>
            </w:pPr>
            <w:r>
              <w:rPr>
                <w:color w:val="231F20"/>
                <w:spacing w:val="-12"/>
              </w:rPr>
              <w:t>15.01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2"/>
              </w:rPr>
              <w:t>2.78</w:t>
            </w:r>
          </w:p>
        </w:tc>
        <w:tc>
          <w:tcPr>
            <w:tcW w:w="14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4.15 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1"/>
              </w:rPr>
              <w:t>0.57</w:t>
            </w:r>
            <w:r>
              <w:rPr>
                <w:sz w:val="9"/>
                <w:szCs w:val="9"/>
                <w:color w:val="231F20"/>
                <w:spacing w:val="4"/>
                <w:position w:val="7"/>
              </w:rPr>
              <w:t>①</w:t>
            </w:r>
          </w:p>
        </w:tc>
        <w:tc>
          <w:tcPr>
            <w:tcW w:w="14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2"/>
              <w:spacing w:before="57" w:line="175" w:lineRule="auto"/>
              <w:rPr/>
            </w:pPr>
            <w:r>
              <w:rPr>
                <w:color w:val="231F20"/>
                <w:spacing w:val="-11"/>
              </w:rPr>
              <w:t>24.65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1"/>
              </w:rPr>
              <w:t>2.68</w:t>
            </w:r>
          </w:p>
        </w:tc>
        <w:tc>
          <w:tcPr>
            <w:tcW w:w="14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3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5.34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0.69</w:t>
            </w:r>
            <w:r>
              <w:rPr>
                <w:sz w:val="9"/>
                <w:szCs w:val="9"/>
                <w:color w:val="231F20"/>
                <w:spacing w:val="10"/>
                <w:position w:val="7"/>
              </w:rPr>
              <w:t>①</w:t>
            </w:r>
          </w:p>
        </w:tc>
      </w:tr>
      <w:tr>
        <w:trPr>
          <w:trHeight w:val="297" w:hRule="atLeast"/>
        </w:trPr>
        <w:tc>
          <w:tcPr>
            <w:tcW w:w="78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/>
              <w:spacing w:before="65" w:line="182" w:lineRule="auto"/>
              <w:rPr/>
            </w:pPr>
            <w:r>
              <w:rPr>
                <w:color w:val="231F20"/>
                <w:spacing w:val="7"/>
              </w:rPr>
              <w:t>对照组</w:t>
            </w:r>
          </w:p>
        </w:tc>
        <w:tc>
          <w:tcPr>
            <w:tcW w:w="81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89"/>
              <w:spacing w:before="70" w:line="178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141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3"/>
              <w:spacing w:before="70" w:line="178" w:lineRule="auto"/>
              <w:rPr/>
            </w:pPr>
            <w:r>
              <w:rPr>
                <w:color w:val="231F20"/>
                <w:spacing w:val="-11"/>
              </w:rPr>
              <w:t>23.32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3.34</w:t>
            </w:r>
          </w:p>
        </w:tc>
        <w:tc>
          <w:tcPr>
            <w:tcW w:w="142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3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2.52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0.26</w:t>
            </w:r>
            <w:r>
              <w:rPr>
                <w:sz w:val="9"/>
                <w:szCs w:val="9"/>
                <w:color w:val="231F20"/>
                <w:spacing w:val="10"/>
                <w:position w:val="7"/>
              </w:rPr>
              <w:t>①</w:t>
            </w:r>
          </w:p>
        </w:tc>
        <w:tc>
          <w:tcPr>
            <w:tcW w:w="140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9"/>
              <w:spacing w:before="70" w:line="178" w:lineRule="auto"/>
              <w:rPr/>
            </w:pPr>
            <w:r>
              <w:rPr>
                <w:color w:val="231F20"/>
                <w:spacing w:val="-12"/>
              </w:rPr>
              <w:t>15.28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3.12</w:t>
            </w:r>
          </w:p>
        </w:tc>
        <w:tc>
          <w:tcPr>
            <w:tcW w:w="1419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4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5.03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0.97</w:t>
            </w:r>
            <w:r>
              <w:rPr>
                <w:sz w:val="9"/>
                <w:szCs w:val="9"/>
                <w:color w:val="231F20"/>
                <w:spacing w:val="10"/>
                <w:position w:val="7"/>
              </w:rPr>
              <w:t>①</w:t>
            </w:r>
          </w:p>
        </w:tc>
        <w:tc>
          <w:tcPr>
            <w:tcW w:w="141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2"/>
              <w:spacing w:before="70" w:line="178" w:lineRule="auto"/>
              <w:rPr/>
            </w:pPr>
            <w:r>
              <w:rPr>
                <w:color w:val="231F20"/>
                <w:spacing w:val="-11"/>
              </w:rPr>
              <w:t>25.10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1"/>
              </w:rPr>
              <w:t>3.36</w:t>
            </w:r>
          </w:p>
        </w:tc>
        <w:tc>
          <w:tcPr>
            <w:tcW w:w="1416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3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3"/>
              </w:rPr>
              <w:t>6.28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3"/>
              </w:rPr>
              <w:t>±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3"/>
              </w:rPr>
              <w:t>1.17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①</w:t>
            </w:r>
          </w:p>
        </w:tc>
      </w:tr>
      <w:tr>
        <w:trPr>
          <w:trHeight w:val="285" w:hRule="atLeast"/>
        </w:trPr>
        <w:tc>
          <w:tcPr>
            <w:tcW w:w="7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7" w:line="179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t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819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10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2.083</w:t>
            </w:r>
          </w:p>
        </w:tc>
        <w:tc>
          <w:tcPr>
            <w:tcW w:w="14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81"/>
              <w:spacing w:before="62" w:line="175" w:lineRule="auto"/>
              <w:rPr/>
            </w:pPr>
            <w:r>
              <w:rPr>
                <w:color w:val="231F20"/>
                <w:spacing w:val="-10"/>
              </w:rPr>
              <w:t>17.517</w:t>
            </w:r>
          </w:p>
        </w:tc>
        <w:tc>
          <w:tcPr>
            <w:tcW w:w="14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0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0.354</w:t>
            </w:r>
          </w:p>
        </w:tc>
        <w:tc>
          <w:tcPr>
            <w:tcW w:w="141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5"/>
              <w:spacing w:before="62" w:line="175" w:lineRule="auto"/>
              <w:rPr/>
            </w:pPr>
            <w:r>
              <w:rPr>
                <w:color w:val="231F20"/>
                <w:spacing w:val="-6"/>
              </w:rPr>
              <w:t>4.284</w:t>
            </w:r>
          </w:p>
        </w:tc>
        <w:tc>
          <w:tcPr>
            <w:tcW w:w="141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8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0.573</w:t>
            </w:r>
          </w:p>
        </w:tc>
        <w:tc>
          <w:tcPr>
            <w:tcW w:w="141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9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3.790</w:t>
            </w:r>
          </w:p>
        </w:tc>
      </w:tr>
      <w:tr>
        <w:trPr>
          <w:trHeight w:val="300" w:hRule="atLeast"/>
        </w:trPr>
        <w:tc>
          <w:tcPr>
            <w:tcW w:w="7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"/>
              <w:spacing w:before="66" w:line="184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</w:rPr>
              <w:t>P </w:t>
            </w:r>
            <w:r>
              <w:rPr>
                <w:color w:val="231F20"/>
              </w:rPr>
              <w:t>值</w:t>
            </w:r>
          </w:p>
        </w:tc>
        <w:tc>
          <w:tcPr>
            <w:tcW w:w="81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9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0.042</w:t>
            </w:r>
          </w:p>
        </w:tc>
        <w:tc>
          <w:tcPr>
            <w:tcW w:w="14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15"/>
              <w:spacing w:before="70" w:line="181" w:lineRule="auto"/>
              <w:rPr/>
            </w:pPr>
            <w:r>
              <w:rPr>
                <w:color w:val="231F20"/>
                <w:spacing w:val="-12"/>
              </w:rPr>
              <w:t>&lt;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0.001</w:t>
            </w:r>
          </w:p>
        </w:tc>
        <w:tc>
          <w:tcPr>
            <w:tcW w:w="14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0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0.725</w:t>
            </w:r>
          </w:p>
        </w:tc>
        <w:tc>
          <w:tcPr>
            <w:tcW w:w="141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6"/>
              <w:spacing w:before="70" w:line="181" w:lineRule="auto"/>
              <w:rPr/>
            </w:pPr>
            <w:r>
              <w:rPr>
                <w:color w:val="231F20"/>
                <w:spacing w:val="-12"/>
              </w:rPr>
              <w:t>&lt;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0.001</w:t>
            </w:r>
          </w:p>
        </w:tc>
        <w:tc>
          <w:tcPr>
            <w:tcW w:w="141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8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0.569</w:t>
            </w:r>
          </w:p>
        </w:tc>
        <w:tc>
          <w:tcPr>
            <w:tcW w:w="141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5"/>
              <w:spacing w:before="70" w:line="181" w:lineRule="auto"/>
              <w:rPr/>
            </w:pPr>
            <w:r>
              <w:rPr>
                <w:color w:val="231F20"/>
                <w:spacing w:val="-12"/>
              </w:rPr>
              <w:t>&lt;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0.001</w:t>
            </w:r>
          </w:p>
        </w:tc>
      </w:tr>
    </w:tbl>
    <w:p>
      <w:pPr>
        <w:pStyle w:val="BodyText"/>
        <w:ind w:left="781"/>
        <w:spacing w:before="20" w:line="15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：①与本组治疗前比较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</w:t>
      </w:r>
      <w:r>
        <w:rPr>
          <w:sz w:val="17"/>
          <w:szCs w:val="17"/>
          <w:i/>
          <w:iCs/>
          <w:color w:val="231F20"/>
          <w:spacing w:val="1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＜0.05</w:t>
      </w:r>
    </w:p>
    <w:p>
      <w:pPr>
        <w:spacing w:line="159" w:lineRule="auto"/>
        <w:sectPr>
          <w:type w:val="continuous"/>
          <w:pgSz w:w="12473" w:h="16725"/>
          <w:pgMar w:top="1686" w:right="1125" w:bottom="0" w:left="424" w:header="1054" w:footer="0" w:gutter="0"/>
          <w:cols w:equalWidth="0" w:num="1">
            <w:col w:w="10923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pStyle w:val="BodyText"/>
        <w:ind w:left="3839"/>
        <w:spacing w:before="179" w:line="16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4703170</wp:posOffset>
            </wp:positionH>
            <wp:positionV relativeFrom="paragraph">
              <wp:posOffset>114666</wp:posOffset>
            </wp:positionV>
            <wp:extent cx="50338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7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</w:rPr>
        <w:t>组治疗前后子宫血流动力学指标比较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（</w:t>
      </w:r>
      <w:r>
        <w:rPr>
          <w:sz w:val="17"/>
          <w:szCs w:val="17"/>
          <w:i/>
          <w:iCs/>
          <w:color w:val="231F20"/>
        </w:rPr>
        <w:t>x</w:t>
      </w:r>
      <w:r>
        <w:rPr>
          <w:sz w:val="17"/>
          <w:szCs w:val="17"/>
          <w:i/>
          <w:iCs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i/>
          <w:iCs/>
          <w:color w:val="231F20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）</w:t>
      </w:r>
    </w:p>
    <w:tbl>
      <w:tblPr>
        <w:tblStyle w:val="TableNormal"/>
        <w:tblW w:w="10091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75"/>
        <w:gridCol w:w="1074"/>
        <w:gridCol w:w="1451"/>
        <w:gridCol w:w="1401"/>
        <w:gridCol w:w="1211"/>
        <w:gridCol w:w="1311"/>
        <w:gridCol w:w="1300"/>
        <w:gridCol w:w="1468"/>
      </w:tblGrid>
      <w:tr>
        <w:trPr>
          <w:trHeight w:val="284" w:hRule="atLeast"/>
        </w:trPr>
        <w:tc>
          <w:tcPr>
            <w:tcW w:w="875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2"/>
              <w:spacing w:before="193" w:line="207" w:lineRule="auto"/>
              <w:rPr/>
            </w:pPr>
            <w:r>
              <w:rPr>
                <w:color w:val="231F20"/>
                <w:spacing w:val="3"/>
              </w:rPr>
              <w:t>组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3"/>
              </w:rPr>
              <w:t>别</w:t>
            </w:r>
          </w:p>
        </w:tc>
        <w:tc>
          <w:tcPr>
            <w:tcW w:w="1074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89"/>
              <w:spacing w:before="192" w:line="206" w:lineRule="auto"/>
              <w:rPr/>
            </w:pPr>
            <w:r>
              <w:rPr>
                <w:color w:val="231F20"/>
                <w:spacing w:val="5"/>
              </w:rPr>
              <w:t>例数</w:t>
            </w:r>
          </w:p>
        </w:tc>
        <w:tc>
          <w:tcPr>
            <w:tcW w:w="285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12"/>
              <w:spacing w:before="83" w:line="157" w:lineRule="auto"/>
              <w:rPr/>
            </w:pPr>
            <w:r>
              <w:rPr>
                <w:color w:val="231F20"/>
                <w:spacing w:val="5"/>
              </w:rPr>
              <w:t>RI</w:t>
            </w:r>
          </w:p>
        </w:tc>
        <w:tc>
          <w:tcPr>
            <w:tcW w:w="2522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26"/>
              <w:spacing w:before="83" w:line="157" w:lineRule="auto"/>
              <w:rPr/>
            </w:pPr>
            <w:r>
              <w:rPr>
                <w:color w:val="231F20"/>
              </w:rPr>
              <w:t>PI</w:t>
            </w:r>
          </w:p>
        </w:tc>
        <w:tc>
          <w:tcPr>
            <w:tcW w:w="2768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12"/>
              <w:spacing w:before="46" w:line="187" w:lineRule="auto"/>
              <w:rPr/>
            </w:pPr>
            <w:r>
              <w:rPr>
                <w:color w:val="231F20"/>
                <w:spacing w:val="-19"/>
              </w:rPr>
              <w:t>Vmin（cm/s）</w:t>
            </w:r>
          </w:p>
        </w:tc>
      </w:tr>
      <w:tr>
        <w:trPr>
          <w:trHeight w:val="286" w:hRule="atLeast"/>
        </w:trPr>
        <w:tc>
          <w:tcPr>
            <w:tcW w:w="875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7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9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40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70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  <w:tc>
          <w:tcPr>
            <w:tcW w:w="121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54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31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1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  <w:tc>
          <w:tcPr>
            <w:tcW w:w="130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54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468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66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</w:tr>
      <w:tr>
        <w:trPr>
          <w:trHeight w:val="280" w:hRule="atLeast"/>
        </w:trPr>
        <w:tc>
          <w:tcPr>
            <w:tcW w:w="8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52" w:line="179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107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2"/>
              <w:spacing w:before="57" w:line="175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14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3"/>
              <w:spacing w:before="57" w:line="175" w:lineRule="auto"/>
              <w:rPr/>
            </w:pPr>
            <w:r>
              <w:rPr>
                <w:color w:val="231F20"/>
                <w:spacing w:val="-10"/>
              </w:rPr>
              <w:t>0.80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0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0.08</w:t>
            </w:r>
          </w:p>
        </w:tc>
        <w:tc>
          <w:tcPr>
            <w:tcW w:w="14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7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0.54 ±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0.03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①</w:t>
            </w:r>
          </w:p>
        </w:tc>
        <w:tc>
          <w:tcPr>
            <w:tcW w:w="12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9"/>
              <w:spacing w:before="57" w:line="175" w:lineRule="auto"/>
              <w:rPr/>
            </w:pPr>
            <w:r>
              <w:rPr>
                <w:color w:val="231F20"/>
                <w:spacing w:val="-11"/>
              </w:rPr>
              <w:t>2.38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1"/>
              </w:rPr>
              <w:t>0.35</w:t>
            </w:r>
          </w:p>
        </w:tc>
        <w:tc>
          <w:tcPr>
            <w:tcW w:w="13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9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2.01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0.26</w:t>
            </w:r>
            <w:r>
              <w:rPr>
                <w:sz w:val="9"/>
                <w:szCs w:val="9"/>
                <w:color w:val="231F20"/>
                <w:spacing w:val="10"/>
                <w:position w:val="7"/>
              </w:rPr>
              <w:t>①</w:t>
            </w:r>
          </w:p>
        </w:tc>
        <w:tc>
          <w:tcPr>
            <w:tcW w:w="13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8"/>
              <w:spacing w:before="57" w:line="175" w:lineRule="auto"/>
              <w:rPr/>
            </w:pPr>
            <w:r>
              <w:rPr>
                <w:color w:val="231F20"/>
                <w:spacing w:val="-10"/>
              </w:rPr>
              <w:t>0.40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0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0.04</w:t>
            </w:r>
          </w:p>
        </w:tc>
        <w:tc>
          <w:tcPr>
            <w:tcW w:w="14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93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0.61 ±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0.02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①</w:t>
            </w:r>
          </w:p>
        </w:tc>
      </w:tr>
      <w:tr>
        <w:trPr>
          <w:trHeight w:val="297" w:hRule="atLeast"/>
        </w:trPr>
        <w:tc>
          <w:tcPr>
            <w:tcW w:w="87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/>
              <w:spacing w:before="65" w:line="182" w:lineRule="auto"/>
              <w:rPr/>
            </w:pPr>
            <w:r>
              <w:rPr>
                <w:color w:val="231F20"/>
                <w:spacing w:val="7"/>
              </w:rPr>
              <w:t>对照组</w:t>
            </w:r>
          </w:p>
        </w:tc>
        <w:tc>
          <w:tcPr>
            <w:tcW w:w="107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82"/>
              <w:spacing w:before="70" w:line="178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145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73"/>
              <w:spacing w:before="70" w:line="178" w:lineRule="auto"/>
              <w:rPr/>
            </w:pPr>
            <w:r>
              <w:rPr>
                <w:color w:val="231F20"/>
                <w:spacing w:val="-10"/>
              </w:rPr>
              <w:t>0.81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0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0.10</w:t>
            </w:r>
          </w:p>
        </w:tc>
        <w:tc>
          <w:tcPr>
            <w:tcW w:w="140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97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0.66 ±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0.11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①</w:t>
            </w:r>
          </w:p>
        </w:tc>
        <w:tc>
          <w:tcPr>
            <w:tcW w:w="12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9"/>
              <w:spacing w:before="70" w:line="178" w:lineRule="auto"/>
              <w:rPr/>
            </w:pPr>
            <w:r>
              <w:rPr>
                <w:color w:val="231F20"/>
                <w:spacing w:val="-11"/>
              </w:rPr>
              <w:t>2.42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1"/>
              </w:rPr>
              <w:t>0.27</w:t>
            </w:r>
          </w:p>
        </w:tc>
        <w:tc>
          <w:tcPr>
            <w:tcW w:w="13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09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2.29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0.68</w:t>
            </w:r>
            <w:r>
              <w:rPr>
                <w:sz w:val="9"/>
                <w:szCs w:val="9"/>
                <w:color w:val="231F20"/>
                <w:spacing w:val="10"/>
                <w:position w:val="7"/>
              </w:rPr>
              <w:t>①</w:t>
            </w:r>
          </w:p>
        </w:tc>
        <w:tc>
          <w:tcPr>
            <w:tcW w:w="1300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28"/>
              <w:spacing w:before="70" w:line="178" w:lineRule="auto"/>
              <w:rPr/>
            </w:pPr>
            <w:r>
              <w:rPr>
                <w:color w:val="231F20"/>
                <w:spacing w:val="-10"/>
              </w:rPr>
              <w:t>0.39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0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0"/>
              </w:rPr>
              <w:t>0.03</w:t>
            </w:r>
          </w:p>
        </w:tc>
        <w:tc>
          <w:tcPr>
            <w:tcW w:w="1468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93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0.45 ±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1"/>
              </w:rPr>
              <w:t>0.04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①</w:t>
            </w:r>
          </w:p>
        </w:tc>
      </w:tr>
      <w:tr>
        <w:trPr>
          <w:trHeight w:val="285" w:hRule="atLeast"/>
        </w:trPr>
        <w:tc>
          <w:tcPr>
            <w:tcW w:w="8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7" w:line="179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t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1074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65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0.428</w:t>
            </w:r>
          </w:p>
        </w:tc>
        <w:tc>
          <w:tcPr>
            <w:tcW w:w="140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22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5.765</w:t>
            </w:r>
          </w:p>
        </w:tc>
        <w:tc>
          <w:tcPr>
            <w:tcW w:w="12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20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0.496</w:t>
            </w:r>
          </w:p>
        </w:tc>
        <w:tc>
          <w:tcPr>
            <w:tcW w:w="13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8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2.107</w:t>
            </w:r>
          </w:p>
        </w:tc>
        <w:tc>
          <w:tcPr>
            <w:tcW w:w="13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36"/>
              <w:spacing w:before="62" w:line="175" w:lineRule="auto"/>
              <w:rPr/>
            </w:pPr>
            <w:r>
              <w:rPr>
                <w:color w:val="231F20"/>
                <w:spacing w:val="-10"/>
              </w:rPr>
              <w:t>1.095</w:t>
            </w:r>
          </w:p>
        </w:tc>
        <w:tc>
          <w:tcPr>
            <w:tcW w:w="14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3"/>
              <w:spacing w:before="62" w:line="175" w:lineRule="auto"/>
              <w:rPr/>
            </w:pPr>
            <w:r>
              <w:rPr>
                <w:color w:val="231F20"/>
                <w:spacing w:val="-10"/>
              </w:rPr>
              <w:t>19.560</w:t>
            </w:r>
          </w:p>
        </w:tc>
      </w:tr>
      <w:tr>
        <w:trPr>
          <w:trHeight w:val="300" w:hRule="atLeast"/>
        </w:trPr>
        <w:tc>
          <w:tcPr>
            <w:tcW w:w="8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"/>
              <w:spacing w:before="66" w:line="184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</w:rPr>
              <w:t>P </w:t>
            </w:r>
            <w:r>
              <w:rPr>
                <w:color w:val="231F20"/>
              </w:rPr>
              <w:t>值</w:t>
            </w:r>
          </w:p>
        </w:tc>
        <w:tc>
          <w:tcPr>
            <w:tcW w:w="107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5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65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0.671</w:t>
            </w:r>
          </w:p>
        </w:tc>
        <w:tc>
          <w:tcPr>
            <w:tcW w:w="140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80"/>
              <w:spacing w:before="70" w:line="181" w:lineRule="auto"/>
              <w:rPr/>
            </w:pPr>
            <w:r>
              <w:rPr>
                <w:color w:val="231F20"/>
                <w:spacing w:val="-12"/>
              </w:rPr>
              <w:t>&lt;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0.001</w:t>
            </w:r>
          </w:p>
        </w:tc>
        <w:tc>
          <w:tcPr>
            <w:tcW w:w="12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0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0.622</w:t>
            </w:r>
          </w:p>
        </w:tc>
        <w:tc>
          <w:tcPr>
            <w:tcW w:w="131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47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0.040</w:t>
            </w:r>
          </w:p>
        </w:tc>
        <w:tc>
          <w:tcPr>
            <w:tcW w:w="13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20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0.278</w:t>
            </w:r>
          </w:p>
        </w:tc>
        <w:tc>
          <w:tcPr>
            <w:tcW w:w="14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7"/>
              <w:spacing w:before="70" w:line="181" w:lineRule="auto"/>
              <w:rPr/>
            </w:pPr>
            <w:r>
              <w:rPr>
                <w:color w:val="231F20"/>
                <w:spacing w:val="-12"/>
              </w:rPr>
              <w:t>&lt;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2"/>
              </w:rPr>
              <w:t>0.001</w:t>
            </w:r>
          </w:p>
        </w:tc>
      </w:tr>
    </w:tbl>
    <w:p>
      <w:pPr>
        <w:pStyle w:val="BodyText"/>
        <w:ind w:left="781"/>
        <w:spacing w:before="20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：①与本组治疗前比较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</w:t>
      </w:r>
      <w:r>
        <w:rPr>
          <w:sz w:val="17"/>
          <w:szCs w:val="17"/>
          <w:i/>
          <w:iCs/>
          <w:color w:val="231F20"/>
          <w:spacing w:val="1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＜0.05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ind w:left="4199"/>
        <w:spacing w:before="73" w:line="16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4474570</wp:posOffset>
            </wp:positionH>
            <wp:positionV relativeFrom="paragraph">
              <wp:posOffset>46925</wp:posOffset>
            </wp:positionV>
            <wp:extent cx="50336" cy="6350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3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2"/>
        </w:rPr>
        <w:t>组治疗前后免疫学指标比较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（</w:t>
      </w:r>
      <w:r>
        <w:rPr>
          <w:sz w:val="17"/>
          <w:szCs w:val="17"/>
          <w:i/>
          <w:iCs/>
          <w:color w:val="231F20"/>
          <w:spacing w:val="-2"/>
        </w:rPr>
        <w:t>x</w:t>
      </w:r>
      <w:r>
        <w:rPr>
          <w:sz w:val="17"/>
          <w:szCs w:val="17"/>
          <w:i/>
          <w:iCs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±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sz w:val="17"/>
          <w:szCs w:val="17"/>
          <w:i/>
          <w:iCs/>
          <w:color w:val="231F20"/>
          <w:spacing w:val="-2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）</w:t>
      </w:r>
    </w:p>
    <w:tbl>
      <w:tblPr>
        <w:tblStyle w:val="TableNormal"/>
        <w:tblW w:w="10091" w:type="dxa"/>
        <w:tblInd w:w="76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72"/>
        <w:gridCol w:w="811"/>
        <w:gridCol w:w="1403"/>
        <w:gridCol w:w="1461"/>
        <w:gridCol w:w="1462"/>
        <w:gridCol w:w="1505"/>
        <w:gridCol w:w="1293"/>
        <w:gridCol w:w="1384"/>
      </w:tblGrid>
      <w:tr>
        <w:trPr>
          <w:trHeight w:val="284" w:hRule="atLeast"/>
        </w:trPr>
        <w:tc>
          <w:tcPr>
            <w:tcW w:w="772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62"/>
              <w:spacing w:before="193" w:line="207" w:lineRule="auto"/>
              <w:rPr/>
            </w:pPr>
            <w:r>
              <w:rPr>
                <w:color w:val="231F20"/>
                <w:spacing w:val="3"/>
              </w:rPr>
              <w:t>组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3"/>
              </w:rPr>
              <w:t>别</w:t>
            </w:r>
          </w:p>
        </w:tc>
        <w:tc>
          <w:tcPr>
            <w:tcW w:w="811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184"/>
              <w:spacing w:before="192" w:line="206" w:lineRule="auto"/>
              <w:rPr/>
            </w:pPr>
            <w:r>
              <w:rPr>
                <w:color w:val="231F20"/>
                <w:spacing w:val="5"/>
              </w:rPr>
              <w:t>例数</w:t>
            </w:r>
          </w:p>
        </w:tc>
        <w:tc>
          <w:tcPr>
            <w:tcW w:w="2864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90"/>
              <w:spacing w:before="46" w:line="187" w:lineRule="auto"/>
              <w:rPr/>
            </w:pPr>
            <w:r>
              <w:rPr>
                <w:color w:val="231F20"/>
                <w:spacing w:val="-13"/>
              </w:rPr>
              <w:t>CD4</w:t>
            </w:r>
            <w:r>
              <w:rPr>
                <w:sz w:val="9"/>
                <w:szCs w:val="9"/>
                <w:color w:val="231F20"/>
                <w:spacing w:val="-13"/>
                <w:position w:val="7"/>
              </w:rPr>
              <w:t>+</w:t>
            </w:r>
            <w:r>
              <w:rPr>
                <w:color w:val="231F20"/>
                <w:spacing w:val="-24"/>
                <w:w w:val="98"/>
              </w:rPr>
              <w:t>（%）</w:t>
            </w:r>
          </w:p>
        </w:tc>
        <w:tc>
          <w:tcPr>
            <w:tcW w:w="296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47"/>
              <w:spacing w:before="46" w:line="187" w:lineRule="auto"/>
              <w:rPr/>
            </w:pPr>
            <w:r>
              <w:rPr>
                <w:color w:val="231F20"/>
                <w:spacing w:val="-13"/>
              </w:rPr>
              <w:t>CD8</w:t>
            </w:r>
            <w:r>
              <w:rPr>
                <w:sz w:val="9"/>
                <w:szCs w:val="9"/>
                <w:color w:val="231F20"/>
                <w:spacing w:val="-13"/>
                <w:position w:val="7"/>
              </w:rPr>
              <w:t>+</w:t>
            </w:r>
            <w:r>
              <w:rPr>
                <w:color w:val="231F20"/>
                <w:spacing w:val="-24"/>
                <w:w w:val="98"/>
              </w:rPr>
              <w:t>（%）</w:t>
            </w:r>
          </w:p>
        </w:tc>
        <w:tc>
          <w:tcPr>
            <w:tcW w:w="2677" w:type="dxa"/>
            <w:vAlign w:val="top"/>
            <w:gridSpan w:val="2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56"/>
              <w:spacing w:before="50" w:line="184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CD4</w:t>
            </w:r>
            <w:r>
              <w:rPr>
                <w:sz w:val="9"/>
                <w:szCs w:val="9"/>
                <w:color w:val="231F20"/>
                <w:spacing w:val="-11"/>
                <w:position w:val="7"/>
              </w:rPr>
              <w:t>+</w:t>
            </w:r>
            <w:r>
              <w:rPr>
                <w:color w:val="231F20"/>
                <w:spacing w:val="-11"/>
              </w:rPr>
              <w:t>/CD8</w:t>
            </w:r>
            <w:r>
              <w:rPr>
                <w:sz w:val="9"/>
                <w:szCs w:val="9"/>
                <w:color w:val="231F20"/>
                <w:spacing w:val="-11"/>
                <w:position w:val="7"/>
              </w:rPr>
              <w:t>+</w:t>
            </w:r>
          </w:p>
        </w:tc>
      </w:tr>
      <w:tr>
        <w:trPr>
          <w:trHeight w:val="286" w:hRule="atLeast"/>
        </w:trPr>
        <w:tc>
          <w:tcPr>
            <w:tcW w:w="77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1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34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4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1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  <w:tc>
          <w:tcPr>
            <w:tcW w:w="146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90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50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88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  <w:tc>
          <w:tcPr>
            <w:tcW w:w="1293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0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治疗前</w:t>
            </w:r>
          </w:p>
        </w:tc>
        <w:tc>
          <w:tcPr>
            <w:tcW w:w="138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21"/>
              <w:spacing w:before="51" w:line="185" w:lineRule="auto"/>
              <w:rPr/>
            </w:pPr>
            <w:r>
              <w:rPr>
                <w:color w:val="231F20"/>
                <w:spacing w:val="6"/>
              </w:rPr>
              <w:t>治疗后</w:t>
            </w:r>
          </w:p>
        </w:tc>
      </w:tr>
      <w:tr>
        <w:trPr>
          <w:trHeight w:val="280" w:hRule="atLeast"/>
        </w:trPr>
        <w:tc>
          <w:tcPr>
            <w:tcW w:w="7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52" w:line="179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81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7"/>
              <w:spacing w:before="57" w:line="175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14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1"/>
              <w:spacing w:before="57" w:line="175" w:lineRule="auto"/>
              <w:rPr/>
            </w:pPr>
            <w:r>
              <w:rPr>
                <w:color w:val="231F20"/>
                <w:spacing w:val="-10"/>
              </w:rPr>
              <w:t>41.95 ±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0"/>
              </w:rPr>
              <w:t>2.65</w:t>
            </w:r>
          </w:p>
        </w:tc>
        <w:tc>
          <w:tcPr>
            <w:tcW w:w="14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1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46.38 ± 3.12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①</w:t>
            </w:r>
          </w:p>
        </w:tc>
        <w:tc>
          <w:tcPr>
            <w:tcW w:w="14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3"/>
              <w:spacing w:before="57" w:line="175" w:lineRule="auto"/>
              <w:rPr/>
            </w:pPr>
            <w:r>
              <w:rPr>
                <w:color w:val="231F20"/>
                <w:spacing w:val="-11"/>
              </w:rPr>
              <w:t>37.01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4.36</w:t>
            </w:r>
          </w:p>
        </w:tc>
        <w:tc>
          <w:tcPr>
            <w:tcW w:w="15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4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33.35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2"/>
              </w:rPr>
              <w:t>2.96</w:t>
            </w:r>
            <w:r>
              <w:rPr>
                <w:sz w:val="9"/>
                <w:szCs w:val="9"/>
                <w:color w:val="231F20"/>
                <w:spacing w:val="9"/>
                <w:position w:val="7"/>
              </w:rPr>
              <w:t>①</w:t>
            </w:r>
          </w:p>
        </w:tc>
        <w:tc>
          <w:tcPr>
            <w:tcW w:w="12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0"/>
              <w:spacing w:before="57" w:line="175" w:lineRule="auto"/>
              <w:rPr/>
            </w:pPr>
            <w:r>
              <w:rPr>
                <w:color w:val="231F20"/>
                <w:spacing w:val="-12"/>
              </w:rPr>
              <w:t>1.11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0.15</w:t>
            </w:r>
          </w:p>
        </w:tc>
        <w:tc>
          <w:tcPr>
            <w:tcW w:w="13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64"/>
              <w:spacing w:before="52" w:line="179" w:lineRule="auto"/>
              <w:rPr>
                <w:sz w:val="9"/>
                <w:szCs w:val="9"/>
              </w:rPr>
            </w:pPr>
            <w:r>
              <w:rPr>
                <w:color w:val="231F20"/>
                <w:spacing w:val="-13"/>
              </w:rPr>
              <w:t>1.41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3"/>
              </w:rPr>
              <w:t>±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3"/>
              </w:rPr>
              <w:t>0.20</w:t>
            </w:r>
            <w:r>
              <w:rPr>
                <w:sz w:val="9"/>
                <w:szCs w:val="9"/>
                <w:color w:val="231F20"/>
                <w:spacing w:val="5"/>
                <w:position w:val="7"/>
              </w:rPr>
              <w:t>①</w:t>
            </w:r>
          </w:p>
        </w:tc>
      </w:tr>
      <w:tr>
        <w:trPr>
          <w:trHeight w:val="297" w:hRule="atLeast"/>
        </w:trPr>
        <w:tc>
          <w:tcPr>
            <w:tcW w:w="77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61"/>
              <w:spacing w:before="65" w:line="182" w:lineRule="auto"/>
              <w:rPr/>
            </w:pPr>
            <w:r>
              <w:rPr>
                <w:color w:val="231F20"/>
                <w:spacing w:val="7"/>
              </w:rPr>
              <w:t>对照组</w:t>
            </w:r>
          </w:p>
        </w:tc>
        <w:tc>
          <w:tcPr>
            <w:tcW w:w="81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7"/>
              <w:spacing w:before="70" w:line="178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140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61"/>
              <w:spacing w:before="70" w:line="178" w:lineRule="auto"/>
              <w:rPr/>
            </w:pPr>
            <w:r>
              <w:rPr>
                <w:color w:val="231F20"/>
                <w:spacing w:val="-10"/>
              </w:rPr>
              <w:t>42.11 ±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10"/>
              </w:rPr>
              <w:t>2.34</w:t>
            </w:r>
          </w:p>
        </w:tc>
        <w:tc>
          <w:tcPr>
            <w:tcW w:w="1461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1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1"/>
              </w:rPr>
              <w:t>44.47 ± 3.87</w:t>
            </w:r>
            <w:r>
              <w:rPr>
                <w:sz w:val="9"/>
                <w:szCs w:val="9"/>
                <w:color w:val="231F20"/>
                <w:spacing w:val="3"/>
                <w:position w:val="7"/>
              </w:rPr>
              <w:t>①</w:t>
            </w:r>
          </w:p>
        </w:tc>
        <w:tc>
          <w:tcPr>
            <w:tcW w:w="1462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323"/>
              <w:spacing w:before="70" w:line="178" w:lineRule="auto"/>
              <w:rPr/>
            </w:pPr>
            <w:r>
              <w:rPr>
                <w:color w:val="231F20"/>
                <w:spacing w:val="-11"/>
              </w:rPr>
              <w:t>37.15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1"/>
              </w:rPr>
              <w:t>±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11"/>
              </w:rPr>
              <w:t>4.23</w:t>
            </w:r>
          </w:p>
        </w:tc>
        <w:tc>
          <w:tcPr>
            <w:tcW w:w="1505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4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2"/>
              </w:rPr>
              <w:t>35.28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2"/>
              </w:rPr>
              <w:t>3.75</w:t>
            </w:r>
            <w:r>
              <w:rPr>
                <w:sz w:val="9"/>
                <w:szCs w:val="9"/>
                <w:color w:val="231F20"/>
                <w:spacing w:val="6"/>
                <w:position w:val="7"/>
              </w:rPr>
              <w:t>①</w:t>
            </w:r>
          </w:p>
        </w:tc>
        <w:tc>
          <w:tcPr>
            <w:tcW w:w="1293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70"/>
              <w:spacing w:before="70" w:line="178" w:lineRule="auto"/>
              <w:rPr/>
            </w:pPr>
            <w:r>
              <w:rPr>
                <w:color w:val="231F20"/>
                <w:spacing w:val="-12"/>
              </w:rPr>
              <w:t>1.10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2"/>
              </w:rPr>
              <w:t>±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2"/>
              </w:rPr>
              <w:t>0.18</w:t>
            </w:r>
          </w:p>
        </w:tc>
        <w:tc>
          <w:tcPr>
            <w:tcW w:w="1384" w:type="dxa"/>
            <w:vAlign w:val="top"/>
            <w:tcBorders>
              <w:bottom w:val="single" w:color="231F20" w:sz="2" w:space="0"/>
            </w:tcBorders>
          </w:tcPr>
          <w:p>
            <w:pPr>
              <w:pStyle w:val="TableText"/>
              <w:ind w:left="264"/>
              <w:spacing w:before="65" w:line="182" w:lineRule="auto"/>
              <w:rPr>
                <w:sz w:val="9"/>
                <w:szCs w:val="9"/>
              </w:rPr>
            </w:pPr>
            <w:r>
              <w:rPr>
                <w:color w:val="231F20"/>
                <w:spacing w:val="-13"/>
              </w:rPr>
              <w:t>1.23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3"/>
              </w:rPr>
              <w:t>±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3"/>
              </w:rPr>
              <w:t>0.26</w:t>
            </w:r>
            <w:r>
              <w:rPr>
                <w:sz w:val="9"/>
                <w:szCs w:val="9"/>
                <w:color w:val="231F20"/>
                <w:spacing w:val="5"/>
                <w:position w:val="7"/>
              </w:rPr>
              <w:t>①</w:t>
            </w:r>
          </w:p>
        </w:tc>
      </w:tr>
      <w:tr>
        <w:trPr>
          <w:trHeight w:val="285" w:hRule="atLeast"/>
        </w:trPr>
        <w:tc>
          <w:tcPr>
            <w:tcW w:w="7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7" w:line="179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  <w:spacing w:val="1"/>
              </w:rPr>
              <w:t>t </w:t>
            </w:r>
            <w:r>
              <w:rPr>
                <w:color w:val="231F20"/>
                <w:spacing w:val="1"/>
              </w:rPr>
              <w:t>值</w:t>
            </w:r>
          </w:p>
        </w:tc>
        <w:tc>
          <w:tcPr>
            <w:tcW w:w="811" w:type="dxa"/>
            <w:vAlign w:val="top"/>
            <w:tcBorders>
              <w:top w:val="single" w:color="231F2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00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0.248</w:t>
            </w:r>
          </w:p>
        </w:tc>
        <w:tc>
          <w:tcPr>
            <w:tcW w:w="14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8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2.104</w:t>
            </w:r>
          </w:p>
        </w:tc>
        <w:tc>
          <w:tcPr>
            <w:tcW w:w="146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6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0.126</w:t>
            </w:r>
          </w:p>
        </w:tc>
        <w:tc>
          <w:tcPr>
            <w:tcW w:w="150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6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2.213</w:t>
            </w:r>
          </w:p>
        </w:tc>
        <w:tc>
          <w:tcPr>
            <w:tcW w:w="12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47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0.234</w:t>
            </w:r>
          </w:p>
        </w:tc>
        <w:tc>
          <w:tcPr>
            <w:tcW w:w="138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91"/>
              <w:spacing w:before="62" w:line="175" w:lineRule="auto"/>
              <w:rPr/>
            </w:pPr>
            <w:r>
              <w:rPr>
                <w:color w:val="231F20"/>
                <w:spacing w:val="-7"/>
              </w:rPr>
              <w:t>3.006</w:t>
            </w:r>
          </w:p>
        </w:tc>
      </w:tr>
      <w:tr>
        <w:trPr>
          <w:trHeight w:val="300" w:hRule="atLeast"/>
        </w:trPr>
        <w:tc>
          <w:tcPr>
            <w:tcW w:w="7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7"/>
              <w:spacing w:before="66" w:line="184" w:lineRule="auto"/>
              <w:rPr/>
            </w:pPr>
            <w:r>
              <w:rPr>
                <w:rFonts w:ascii="Arial" w:hAnsi="Arial" w:eastAsia="Arial" w:cs="Arial"/>
                <w:i/>
                <w:iCs/>
                <w:color w:val="231F20"/>
              </w:rPr>
              <w:t>P </w:t>
            </w:r>
            <w:r>
              <w:rPr>
                <w:color w:val="231F20"/>
              </w:rPr>
              <w:t>值</w:t>
            </w:r>
          </w:p>
        </w:tc>
        <w:tc>
          <w:tcPr>
            <w:tcW w:w="811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00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0.805</w:t>
            </w:r>
          </w:p>
        </w:tc>
        <w:tc>
          <w:tcPr>
            <w:tcW w:w="146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7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0.040</w:t>
            </w:r>
          </w:p>
        </w:tc>
        <w:tc>
          <w:tcPr>
            <w:tcW w:w="146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6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0.900</w:t>
            </w:r>
          </w:p>
        </w:tc>
        <w:tc>
          <w:tcPr>
            <w:tcW w:w="150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55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0.031</w:t>
            </w:r>
          </w:p>
        </w:tc>
        <w:tc>
          <w:tcPr>
            <w:tcW w:w="12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47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0.816</w:t>
            </w:r>
          </w:p>
        </w:tc>
        <w:tc>
          <w:tcPr>
            <w:tcW w:w="138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7"/>
              <w:spacing w:before="70" w:line="181" w:lineRule="auto"/>
              <w:rPr/>
            </w:pPr>
            <w:r>
              <w:rPr>
                <w:color w:val="231F20"/>
                <w:spacing w:val="-7"/>
              </w:rPr>
              <w:t>0.004</w:t>
            </w:r>
          </w:p>
        </w:tc>
      </w:tr>
    </w:tbl>
    <w:p>
      <w:pPr>
        <w:pStyle w:val="BodyText"/>
        <w:ind w:left="781"/>
        <w:spacing w:before="20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：①与本组治疗前比较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，</w:t>
      </w:r>
      <w:r>
        <w:rPr>
          <w:sz w:val="17"/>
          <w:szCs w:val="17"/>
          <w:i/>
          <w:iCs/>
          <w:color w:val="231F20"/>
          <w:spacing w:val="1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＜0.05</w:t>
      </w:r>
    </w:p>
    <w:p>
      <w:pPr>
        <w:spacing w:before="83"/>
        <w:rPr/>
      </w:pPr>
      <w:r/>
    </w:p>
    <w:p>
      <w:pPr>
        <w:sectPr>
          <w:headerReference w:type="default" r:id="rId8"/>
          <w:pgSz w:w="12473" w:h="16725"/>
          <w:pgMar w:top="1686" w:right="1126" w:bottom="0" w:left="424" w:header="1054" w:footer="0" w:gutter="0"/>
          <w:cols w:equalWidth="0" w:num="1">
            <w:col w:w="10922" w:space="0"/>
          </w:cols>
        </w:sectPr>
        <w:rPr/>
      </w:pPr>
    </w:p>
    <w:p>
      <w:pPr>
        <w:ind w:left="1958"/>
        <w:spacing w:before="46" w:line="168" w:lineRule="auto"/>
        <w:outlineLvl w:val="1"/>
        <w:rPr>
          <w:rFonts w:ascii="SimHei" w:hAnsi="SimHei" w:eastAsia="SimHei" w:cs="SimHei"/>
          <w:sz w:val="17"/>
          <w:szCs w:val="17"/>
        </w:rPr>
      </w:pPr>
      <w:r>
        <w:pict>
          <v:shape id="_x0000_s10" style="position:absolute;margin-left:253.105pt;margin-top:1.34609pt;mso-position-vertical-relative:text;mso-position-horizontal-relative:text;width:30.45pt;height:14.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-20"/>
                    </w:rPr>
                    <w:t>例（%）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组不良反应发生率比较</w:t>
      </w:r>
    </w:p>
    <w:tbl>
      <w:tblPr>
        <w:tblStyle w:val="TableNormal"/>
        <w:tblW w:w="4813" w:type="dxa"/>
        <w:tblInd w:w="7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7"/>
        <w:gridCol w:w="526"/>
        <w:gridCol w:w="728"/>
        <w:gridCol w:w="733"/>
        <w:gridCol w:w="890"/>
        <w:gridCol w:w="1259"/>
      </w:tblGrid>
      <w:tr>
        <w:trPr>
          <w:trHeight w:val="282" w:hRule="atLeast"/>
        </w:trPr>
        <w:tc>
          <w:tcPr>
            <w:tcW w:w="67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2"/>
              <w:spacing w:before="45" w:line="186" w:lineRule="auto"/>
              <w:rPr/>
            </w:pPr>
            <w:r>
              <w:rPr>
                <w:color w:val="231F20"/>
                <w:spacing w:val="3"/>
              </w:rPr>
              <w:t>组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3"/>
              </w:rPr>
              <w:t>别</w:t>
            </w:r>
          </w:p>
        </w:tc>
        <w:tc>
          <w:tcPr>
            <w:tcW w:w="52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1"/>
              <w:spacing w:before="45" w:line="186" w:lineRule="auto"/>
              <w:rPr/>
            </w:pPr>
            <w:r>
              <w:rPr>
                <w:color w:val="231F20"/>
                <w:spacing w:val="5"/>
              </w:rPr>
              <w:t>例数</w:t>
            </w:r>
          </w:p>
        </w:tc>
        <w:tc>
          <w:tcPr>
            <w:tcW w:w="72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86"/>
              <w:spacing w:before="45" w:line="186" w:lineRule="auto"/>
              <w:rPr/>
            </w:pPr>
            <w:r>
              <w:rPr>
                <w:color w:val="231F20"/>
                <w:spacing w:val="5"/>
              </w:rPr>
              <w:t>恶心</w:t>
            </w:r>
          </w:p>
        </w:tc>
        <w:tc>
          <w:tcPr>
            <w:tcW w:w="7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7"/>
              <w:spacing w:before="45" w:line="186" w:lineRule="auto"/>
              <w:rPr/>
            </w:pPr>
            <w:r>
              <w:rPr>
                <w:color w:val="231F20"/>
                <w:spacing w:val="5"/>
              </w:rPr>
              <w:t>头晕</w:t>
            </w:r>
          </w:p>
        </w:tc>
        <w:tc>
          <w:tcPr>
            <w:tcW w:w="89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1"/>
              <w:spacing w:before="45" w:line="186" w:lineRule="auto"/>
              <w:rPr/>
            </w:pPr>
            <w:r>
              <w:rPr>
                <w:color w:val="231F20"/>
                <w:spacing w:val="8"/>
              </w:rPr>
              <w:t>皮肤瘙痒</w:t>
            </w:r>
          </w:p>
        </w:tc>
        <w:tc>
          <w:tcPr>
            <w:tcW w:w="125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4"/>
              <w:spacing w:before="45" w:line="186" w:lineRule="auto"/>
              <w:rPr/>
            </w:pPr>
            <w:r>
              <w:rPr>
                <w:color w:val="231F20"/>
                <w:spacing w:val="8"/>
              </w:rPr>
              <w:t>不良反应发生</w:t>
            </w:r>
          </w:p>
        </w:tc>
      </w:tr>
      <w:tr>
        <w:trPr>
          <w:trHeight w:val="283" w:hRule="atLeast"/>
        </w:trPr>
        <w:tc>
          <w:tcPr>
            <w:tcW w:w="67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"/>
              <w:spacing w:before="53" w:line="181" w:lineRule="auto"/>
              <w:rPr/>
            </w:pPr>
            <w:r>
              <w:rPr>
                <w:color w:val="231F20"/>
                <w:spacing w:val="8"/>
              </w:rPr>
              <w:t>试验组</w:t>
            </w:r>
          </w:p>
        </w:tc>
        <w:tc>
          <w:tcPr>
            <w:tcW w:w="5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4"/>
              <w:spacing w:before="56" w:line="178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72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3" w:line="181" w:lineRule="auto"/>
              <w:jc w:val="right"/>
              <w:rPr/>
            </w:pPr>
            <w:r>
              <w:rPr>
                <w:color w:val="231F20"/>
                <w:spacing w:val="-22"/>
              </w:rPr>
              <w:t>1（2.86）</w:t>
            </w:r>
          </w:p>
        </w:tc>
        <w:tc>
          <w:tcPr>
            <w:tcW w:w="7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53" w:line="181" w:lineRule="auto"/>
              <w:jc w:val="right"/>
              <w:rPr/>
            </w:pPr>
            <w:r>
              <w:rPr>
                <w:color w:val="231F20"/>
                <w:spacing w:val="-22"/>
              </w:rPr>
              <w:t>1（2.86）</w:t>
            </w:r>
          </w:p>
        </w:tc>
        <w:tc>
          <w:tcPr>
            <w:tcW w:w="8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1"/>
              <w:spacing w:before="56" w:line="178" w:lineRule="auto"/>
              <w:rPr/>
            </w:pPr>
            <w:r>
              <w:rPr>
                <w:color w:val="231F20"/>
              </w:rPr>
              <w:t>0</w:t>
            </w:r>
          </w:p>
        </w:tc>
        <w:tc>
          <w:tcPr>
            <w:tcW w:w="12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43"/>
              <w:spacing w:before="53" w:line="181" w:lineRule="auto"/>
              <w:rPr/>
            </w:pPr>
            <w:r>
              <w:rPr>
                <w:color w:val="231F20"/>
                <w:spacing w:val="-18"/>
              </w:rPr>
              <w:t>2（5.71）</w:t>
            </w:r>
          </w:p>
        </w:tc>
      </w:tr>
      <w:tr>
        <w:trPr>
          <w:trHeight w:val="297" w:hRule="atLeast"/>
        </w:trPr>
        <w:tc>
          <w:tcPr>
            <w:tcW w:w="67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/>
              <w:spacing w:before="63" w:line="184" w:lineRule="auto"/>
              <w:rPr/>
            </w:pPr>
            <w:r>
              <w:rPr>
                <w:color w:val="231F20"/>
                <w:spacing w:val="7"/>
              </w:rPr>
              <w:t>对照组</w:t>
            </w:r>
          </w:p>
        </w:tc>
        <w:tc>
          <w:tcPr>
            <w:tcW w:w="526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4"/>
              <w:spacing w:before="67" w:line="181" w:lineRule="auto"/>
              <w:rPr/>
            </w:pPr>
            <w:r>
              <w:rPr>
                <w:color w:val="231F20"/>
                <w:spacing w:val="-10"/>
              </w:rPr>
              <w:t>35</w:t>
            </w:r>
          </w:p>
        </w:tc>
        <w:tc>
          <w:tcPr>
            <w:tcW w:w="72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63" w:line="184" w:lineRule="auto"/>
              <w:jc w:val="right"/>
              <w:rPr/>
            </w:pPr>
            <w:r>
              <w:rPr>
                <w:color w:val="231F20"/>
                <w:spacing w:val="-22"/>
              </w:rPr>
              <w:t>1（2.86）</w:t>
            </w:r>
          </w:p>
        </w:tc>
        <w:tc>
          <w:tcPr>
            <w:tcW w:w="7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63" w:line="184" w:lineRule="auto"/>
              <w:jc w:val="right"/>
              <w:rPr/>
            </w:pPr>
            <w:r>
              <w:rPr>
                <w:color w:val="231F20"/>
                <w:spacing w:val="-22"/>
              </w:rPr>
              <w:t>1（2.86）</w:t>
            </w:r>
          </w:p>
        </w:tc>
        <w:tc>
          <w:tcPr>
            <w:tcW w:w="89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97"/>
              <w:spacing w:before="63" w:line="184" w:lineRule="auto"/>
              <w:rPr/>
            </w:pPr>
            <w:r>
              <w:rPr>
                <w:color w:val="231F20"/>
                <w:spacing w:val="-20"/>
              </w:rPr>
              <w:t>1（2.86）</w:t>
            </w:r>
          </w:p>
        </w:tc>
        <w:tc>
          <w:tcPr>
            <w:tcW w:w="125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45"/>
              <w:spacing w:before="63" w:line="184" w:lineRule="auto"/>
              <w:rPr/>
            </w:pPr>
            <w:r>
              <w:rPr>
                <w:color w:val="231F20"/>
                <w:spacing w:val="-18"/>
              </w:rPr>
              <w:t>3（8.57）</w:t>
            </w:r>
          </w:p>
        </w:tc>
      </w:tr>
    </w:tbl>
    <w:p>
      <w:pPr>
        <w:ind w:left="775"/>
        <w:spacing w:before="268" w:line="212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讨论</w:t>
      </w:r>
    </w:p>
    <w:p>
      <w:pPr>
        <w:ind w:left="770" w:right="278" w:firstLine="425"/>
        <w:spacing w:before="25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现代医学研究认为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盆腔炎是主要由于患者免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疫力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、抵抗力下降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，并受到葡萄球菌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、大肠杆菌等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细菌感染所引起的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；病理学改变主要有输卵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管阻塞、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子宫充血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、出现片状包块等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0"/>
          <w:position w:val="8"/>
        </w:rPr>
        <w:t>[8-9]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目前抗生素为主要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治疗方式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，如本研究使用的阿奇霉素便是常用抗生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，将其用于急性盆腔炎治疗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能抑制蛋白质的合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，起到抑菌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、杀菌的作用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，但大量使用抗菌药物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会使患者产生抗药性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，并引起诸多不良反应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8"/>
        </w:rPr>
        <w:t>[10-11]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性盆腔炎归属于中医癥瘕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、带下等范畴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中医学认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为该疾病主要以热毒为主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，并兼有湿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，发病机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制为湿热毒邪阻于下焦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营卫失调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，导致热毒炽盛、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气血壅滞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，若不及时治疗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，则可能导致热入营血和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热陷心包等疾病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；治疗以通经活络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、清热解毒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，兼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以凉血为主。</w:t>
      </w:r>
    </w:p>
    <w:p>
      <w:pPr>
        <w:ind w:left="771" w:right="360" w:firstLine="419"/>
        <w:spacing w:before="6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妇科千金片由千斤拔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、当归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、穿心莲和当归等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8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种药物组成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，具有凉血消肿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、清热祛湿等功效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不良反应少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[12]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；其中当归活血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、止痛调经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，穿心莲清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热解毒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、凉血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[13-14]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。现代医学研究证明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，妇科千金片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对大肠杆菌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、葡萄球菌等的生长有抑制作用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与阿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48" w:line="22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奇霉素一起使用后具有更显著的抗感染效果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[15]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。本研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究观察妇科千金片联合阿奇霉素治疗急性盆腔炎的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，研究显示试验组患者的总有效率高于对照组，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说明妇科千金片和阿奇霉素联合使用治疗效果更佳，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优于单独使用阿奇霉素的治疗效果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。这与既往的研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究结论相似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4"/>
          <w:position w:val="8"/>
        </w:rPr>
        <w:t>[16]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分析原因可能与妇科千金片通经活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络 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清热解毒之功效密切相关 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治疗后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2组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McCormack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量表评分明显降低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、炎性包块缩小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、盆腔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积液减少 ，且试验组的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McCormack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量表评分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、炎性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包块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、盆腔积液均小于对照组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，这说明妇科千金片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联合阿奇霉素对急性盆腔炎患者临床症状改善更显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可更有效的缩小炎性包块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，减少盆腔积液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析原因：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阿奇霉素有较好的抗菌作用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而妇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科千金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片当中的金樱根有排毒收敛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、活血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、除湿的功效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现代药理学证实妇科千金片可有效抑制促炎因子释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放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、促进抗炎因子释放来缓解子宫内膜炎性细胞增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，使病变的上皮细胞得以修复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，继而缓解浆膜充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、水肿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，从而起到减轻盆腔炎体征的效果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[17]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。</w:t>
      </w:r>
    </w:p>
    <w:p>
      <w:pPr>
        <w:ind w:firstLine="423"/>
        <w:spacing w:line="219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治疗后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组 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、PI 降低 ，Vmin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升高 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试验组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PI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低于对照组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Vmin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高于对照组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，这说明妇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</w:rPr>
        <w:t>科千金片联合阿奇霉素能够改善患者的子宫血流动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力学指标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。分析原因可能是妇科千金片不仅可以抑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制炎症因子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，其中当归还可以抑制血栓的形成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，从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而改善盆腔内部的微循环和子宫血流动力学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。同时，</w:t>
      </w:r>
    </w:p>
    <w:p>
      <w:pPr>
        <w:spacing w:line="219" w:lineRule="auto"/>
        <w:sectPr>
          <w:type w:val="continuous"/>
          <w:pgSz w:w="12473" w:h="16725"/>
          <w:pgMar w:top="1686" w:right="1126" w:bottom="0" w:left="424" w:header="1054" w:footer="0" w:gutter="0"/>
          <w:cols w:equalWidth="0" w:num="2">
            <w:col w:w="5944" w:space="100"/>
            <w:col w:w="487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1"/>
          <w:pgSz w:w="12473" w:h="16725"/>
          <w:pgMar w:top="1686" w:right="1113" w:bottom="0" w:left="424" w:header="1054" w:footer="0" w:gutter="0"/>
          <w:cols w:equalWidth="0" w:num="1">
            <w:col w:w="10935" w:space="0"/>
          </w:cols>
        </w:sectPr>
        <w:rPr/>
      </w:pPr>
    </w:p>
    <w:p>
      <w:pPr>
        <w:pStyle w:val="BodyText"/>
        <w:ind w:left="770" w:right="299" w:firstLine="1"/>
        <w:spacing w:before="50" w:line="22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15"/>
        </w:rPr>
        <w:t>人体的免疫系统是由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color w:val="231F20"/>
          <w:spacing w:val="15"/>
        </w:rPr>
        <w:t>T</w:t>
      </w:r>
      <w:r>
        <w:rPr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淋巴细胞来主导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，一般情况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4"/>
        </w:rPr>
        <w:t>下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，在机体内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4"/>
        </w:rPr>
        <w:t>4</w:t>
      </w:r>
      <w:r>
        <w:rPr>
          <w:sz w:val="10"/>
          <w:szCs w:val="10"/>
          <w:color w:val="231F20"/>
          <w:spacing w:val="4"/>
          <w:position w:val="8"/>
        </w:rPr>
        <w:t>+</w:t>
      </w:r>
      <w:r>
        <w:rPr>
          <w:sz w:val="10"/>
          <w:szCs w:val="10"/>
          <w:color w:val="231F20"/>
          <w:spacing w:val="-8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和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4"/>
        </w:rPr>
        <w:t>8</w:t>
      </w:r>
      <w:r>
        <w:rPr>
          <w:sz w:val="10"/>
          <w:szCs w:val="10"/>
          <w:color w:val="231F20"/>
          <w:spacing w:val="4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4"/>
        </w:rPr>
        <w:t>形成一定比例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，共同调节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免疫系统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当机体出现炎症时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，则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1"/>
        </w:rPr>
        <w:t>4</w:t>
      </w:r>
      <w:r>
        <w:rPr>
          <w:sz w:val="10"/>
          <w:szCs w:val="10"/>
          <w:color w:val="231F20"/>
          <w:spacing w:val="1"/>
          <w:position w:val="8"/>
        </w:rPr>
        <w:t>+</w:t>
      </w:r>
      <w:r>
        <w:rPr>
          <w:sz w:val="10"/>
          <w:szCs w:val="10"/>
          <w:color w:val="231F20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和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</w:rPr>
        <w:t>CD</w:t>
      </w:r>
      <w:r>
        <w:rPr>
          <w:color w:val="231F20"/>
          <w:spacing w:val="1"/>
        </w:rPr>
        <w:t>8</w:t>
      </w:r>
      <w:r>
        <w:rPr>
          <w:sz w:val="10"/>
          <w:szCs w:val="10"/>
          <w:color w:val="231F20"/>
          <w:spacing w:val="1"/>
          <w:position w:val="8"/>
        </w:rPr>
        <w:t>+ </w:t>
      </w:r>
      <w:r>
        <w:rPr>
          <w:rFonts w:ascii="Microsoft YaHei" w:hAnsi="Microsoft YaHei" w:eastAsia="Microsoft YaHei" w:cs="Microsoft YaHei"/>
          <w:color w:val="231F20"/>
          <w:spacing w:val="1"/>
        </w:rPr>
        <w:t>的数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值和比例会随之变化</w:t>
      </w:r>
      <w:r>
        <w:rPr>
          <w:sz w:val="10"/>
          <w:szCs w:val="10"/>
          <w:color w:val="231F20"/>
          <w:spacing w:val="6"/>
          <w:position w:val="8"/>
        </w:rPr>
        <w:t>[16]</w:t>
      </w:r>
      <w:r>
        <w:rPr>
          <w:sz w:val="10"/>
          <w:szCs w:val="10"/>
          <w:color w:val="231F20"/>
          <w:spacing w:val="9"/>
          <w:w w:val="103"/>
          <w:position w:val="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；</w:t>
      </w:r>
      <w:r>
        <w:rPr>
          <w:color w:val="231F20"/>
        </w:rPr>
        <w:t>CD</w:t>
      </w:r>
      <w:r>
        <w:rPr>
          <w:color w:val="231F20"/>
          <w:spacing w:val="6"/>
        </w:rPr>
        <w:t>4</w:t>
      </w:r>
      <w:r>
        <w:rPr>
          <w:sz w:val="10"/>
          <w:szCs w:val="10"/>
          <w:color w:val="231F20"/>
          <w:spacing w:val="6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6"/>
        </w:rPr>
        <w:t>数值越</w:t>
      </w:r>
      <w:r>
        <w:rPr>
          <w:rFonts w:ascii="Microsoft YaHei" w:hAnsi="Microsoft YaHei" w:eastAsia="Microsoft YaHei" w:cs="Microsoft YaHei"/>
          <w:color w:val="231F20"/>
          <w:spacing w:val="5"/>
        </w:rPr>
        <w:t>大说明免疫力越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12"/>
        </w:rPr>
        <w:t>好</w:t>
      </w:r>
      <w:r>
        <w:rPr>
          <w:rFonts w:ascii="Microsoft YaHei" w:hAnsi="Microsoft YaHei" w:eastAsia="Microsoft YaHei" w:cs="Microsoft YaHei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，</w:t>
      </w:r>
      <w:r>
        <w:rPr>
          <w:rFonts w:ascii="Microsoft YaHei" w:hAnsi="Microsoft YaHei" w:eastAsia="Microsoft YaHei" w:cs="Microsoft YaHei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而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-12"/>
        </w:rPr>
        <w:t>CD8</w:t>
      </w:r>
      <w:r>
        <w:rPr>
          <w:sz w:val="10"/>
          <w:szCs w:val="10"/>
          <w:color w:val="231F20"/>
          <w:spacing w:val="14"/>
          <w:position w:val="8"/>
        </w:rPr>
        <w:t>+</w:t>
      </w:r>
      <w:r>
        <w:rPr>
          <w:rFonts w:ascii="Microsoft YaHei" w:hAnsi="Microsoft YaHei" w:eastAsia="Microsoft YaHei" w:cs="Microsoft YaHei"/>
          <w:color w:val="231F20"/>
          <w:spacing w:val="14"/>
        </w:rPr>
        <w:t>对免疫系统起抑制作用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，故两者比值越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小说明机体免疫力越差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。急性盆腔炎疾病与宿主免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疫的关系也相对明确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</w:t>
      </w:r>
      <w:r>
        <w:rPr>
          <w:rFonts w:ascii="Microsoft YaHei" w:hAnsi="Microsoft YaHei" w:eastAsia="Microsoft YaHei" w:cs="Microsoft YaHei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因此本研究对</w:t>
      </w:r>
      <w:r>
        <w:rPr>
          <w:rFonts w:ascii="Microsoft YaHei" w:hAnsi="Microsoft YaHei" w:eastAsia="Microsoft YaHei" w:cs="Microsoft YaHei"/>
          <w:color w:val="231F20"/>
          <w:spacing w:val="-21"/>
        </w:rPr>
        <w:t xml:space="preserve"> </w:t>
      </w:r>
      <w:r>
        <w:rPr>
          <w:color w:val="231F20"/>
          <w:spacing w:val="7"/>
        </w:rPr>
        <w:t>2</w:t>
      </w:r>
      <w:r>
        <w:rPr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组免</w:t>
      </w:r>
      <w:r>
        <w:rPr>
          <w:rFonts w:ascii="Microsoft YaHei" w:hAnsi="Microsoft YaHei" w:eastAsia="Microsoft YaHei" w:cs="Microsoft YaHei"/>
          <w:color w:val="231F20"/>
          <w:spacing w:val="6"/>
        </w:rPr>
        <w:t>疫功能进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行比较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，结果显示试验组</w:t>
      </w:r>
      <w:r>
        <w:rPr>
          <w:rFonts w:ascii="Microsoft YaHei" w:hAnsi="Microsoft YaHei" w:eastAsia="Microsoft YaHei" w:cs="Microsoft YaHei"/>
          <w:color w:val="231F20"/>
          <w:spacing w:val="-18"/>
        </w:rPr>
        <w:t xml:space="preserve"> </w:t>
      </w:r>
      <w:r>
        <w:rPr>
          <w:color w:val="231F20"/>
          <w:spacing w:val="-3"/>
        </w:rPr>
        <w:t>CD4</w:t>
      </w:r>
      <w:r>
        <w:rPr>
          <w:sz w:val="10"/>
          <w:szCs w:val="10"/>
          <w:color w:val="231F20"/>
          <w:spacing w:val="-3"/>
          <w:position w:val="8"/>
        </w:rPr>
        <w:t>+ 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CD8</w:t>
      </w:r>
      <w:r>
        <w:rPr>
          <w:sz w:val="10"/>
          <w:szCs w:val="10"/>
          <w:color w:val="231F20"/>
          <w:spacing w:val="-3"/>
          <w:position w:val="8"/>
        </w:rPr>
        <w:t>+ </w:t>
      </w:r>
      <w:r>
        <w:rPr>
          <w:rFonts w:ascii="Microsoft YaHei" w:hAnsi="Microsoft YaHei" w:eastAsia="Microsoft YaHei" w:cs="Microsoft YaHei"/>
          <w:color w:val="231F20"/>
          <w:spacing w:val="-3"/>
        </w:rPr>
        <w:t>、</w:t>
      </w:r>
      <w:r>
        <w:rPr>
          <w:color w:val="231F20"/>
          <w:spacing w:val="-3"/>
        </w:rPr>
        <w:t>CD4</w:t>
      </w:r>
      <w:r>
        <w:rPr>
          <w:sz w:val="10"/>
          <w:szCs w:val="10"/>
          <w:color w:val="231F20"/>
          <w:spacing w:val="-3"/>
          <w:position w:val="8"/>
        </w:rPr>
        <w:t>+</w:t>
      </w:r>
      <w:r>
        <w:rPr>
          <w:color w:val="231F20"/>
          <w:spacing w:val="-3"/>
        </w:rPr>
        <w:t>/CD8</w:t>
      </w:r>
      <w:r>
        <w:rPr>
          <w:sz w:val="10"/>
          <w:szCs w:val="10"/>
          <w:color w:val="231F20"/>
          <w:spacing w:val="-3"/>
          <w:position w:val="8"/>
        </w:rPr>
        <w:t>+</w:t>
      </w:r>
      <w:r>
        <w:rPr>
          <w:sz w:val="10"/>
          <w:szCs w:val="10"/>
          <w:color w:val="231F20"/>
          <w:spacing w:val="10"/>
          <w:w w:val="103"/>
          <w:position w:val="8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的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6"/>
        </w:rPr>
        <w:t>水平优于对照组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6"/>
        </w:rPr>
        <w:t>，说明妇科千金片联合阿奇霉素治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疗能够改善急性盆腔炎患者的免疫功能</w:t>
      </w:r>
      <w:r>
        <w:rPr>
          <w:rFonts w:ascii="Microsoft YaHei" w:hAnsi="Microsoft YaHei" w:eastAsia="Microsoft YaHei" w:cs="Microsoft YaHei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。现代病理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0"/>
        </w:rPr>
        <w:t>学观点认为当机体受损时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，炎症因子就会大量释放，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从而使患者炎症加重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，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而妇科千金片可使机体内白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2"/>
        </w:rPr>
        <w:t>细胞介素</w:t>
      </w:r>
      <w:r>
        <w:rPr>
          <w:color w:val="231F20"/>
          <w:spacing w:val="12"/>
        </w:rPr>
        <w:t>-2</w:t>
      </w:r>
      <w:r>
        <w:rPr>
          <w:rFonts w:ascii="Microsoft YaHei" w:hAnsi="Microsoft YaHei" w:eastAsia="Microsoft YaHei" w:cs="Microsoft YaHei"/>
          <w:color w:val="231F20"/>
          <w:spacing w:val="12"/>
        </w:rPr>
        <w:t>（</w:t>
      </w:r>
      <w:r>
        <w:rPr>
          <w:color w:val="231F20"/>
        </w:rPr>
        <w:t>IL</w:t>
      </w:r>
      <w:r>
        <w:rPr>
          <w:color w:val="231F20"/>
          <w:spacing w:val="12"/>
        </w:rPr>
        <w:t>-2</w:t>
      </w:r>
      <w:r>
        <w:rPr>
          <w:rFonts w:ascii="Microsoft YaHei" w:hAnsi="Microsoft YaHei" w:eastAsia="Microsoft YaHei" w:cs="Microsoft YaHei"/>
          <w:color w:val="231F20"/>
          <w:spacing w:val="12"/>
        </w:rPr>
        <w:t>）、</w:t>
      </w:r>
      <w:r>
        <w:rPr>
          <w:color w:val="231F20"/>
        </w:rPr>
        <w:t>IL</w:t>
      </w:r>
      <w:r>
        <w:rPr>
          <w:color w:val="231F20"/>
          <w:spacing w:val="12"/>
        </w:rPr>
        <w:t>-6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2"/>
        </w:rPr>
        <w:t>水平处于正常状</w:t>
      </w:r>
      <w:r>
        <w:rPr>
          <w:rFonts w:ascii="Microsoft YaHei" w:hAnsi="Microsoft YaHei" w:eastAsia="Microsoft YaHei" w:cs="Microsoft YaHei"/>
          <w:color w:val="231F20"/>
          <w:spacing w:val="11"/>
        </w:rPr>
        <w:t>态</w:t>
      </w:r>
      <w:r>
        <w:rPr>
          <w:rFonts w:ascii="Microsoft YaHei" w:hAnsi="Microsoft YaHei" w:eastAsia="Microsoft YaHei" w:cs="Microsoft YaHei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1"/>
        </w:rPr>
        <w:t>，</w:t>
      </w:r>
      <w:r>
        <w:rPr>
          <w:rFonts w:ascii="Microsoft YaHei" w:hAnsi="Microsoft YaHei" w:eastAsia="Microsoft YaHei" w:cs="Microsoft YaHei"/>
          <w:color w:val="231F20"/>
          <w:spacing w:val="-37"/>
        </w:rPr>
        <w:t xml:space="preserve"> </w:t>
      </w:r>
      <w:r>
        <w:rPr>
          <w:color w:val="231F20"/>
        </w:rPr>
        <w:t>IL</w:t>
      </w:r>
      <w:r>
        <w:rPr>
          <w:color w:val="231F20"/>
          <w:spacing w:val="11"/>
        </w:rPr>
        <w:t>-2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7"/>
        </w:rPr>
        <w:t>具有抗炎作用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，</w:t>
      </w:r>
      <w:r>
        <w:rPr>
          <w:color w:val="231F20"/>
        </w:rPr>
        <w:t>IL</w:t>
      </w:r>
      <w:r>
        <w:rPr>
          <w:color w:val="231F20"/>
          <w:spacing w:val="17"/>
        </w:rPr>
        <w:t>-6</w:t>
      </w:r>
      <w:r>
        <w:rPr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7"/>
        </w:rPr>
        <w:t>在炎症诱导及组织修复等方面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9"/>
        </w:rPr>
        <w:t>有重要作用</w:t>
      </w:r>
      <w:r>
        <w:rPr>
          <w:rFonts w:ascii="Microsoft YaHei" w:hAnsi="Microsoft YaHei" w:eastAsia="Microsoft YaHei" w:cs="Microsoft YaHei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9"/>
        </w:rPr>
        <w:t>，从而提高机体免疫功能</w:t>
      </w:r>
      <w:r>
        <w:rPr>
          <w:sz w:val="10"/>
          <w:szCs w:val="10"/>
          <w:color w:val="231F20"/>
          <w:spacing w:val="9"/>
          <w:position w:val="8"/>
        </w:rPr>
        <w:t>[5] </w:t>
      </w:r>
      <w:r>
        <w:rPr>
          <w:rFonts w:ascii="Microsoft YaHei" w:hAnsi="Microsoft YaHei" w:eastAsia="Microsoft YaHei" w:cs="Microsoft YaHei"/>
          <w:color w:val="231F20"/>
          <w:spacing w:val="8"/>
        </w:rPr>
        <w:t>。本研究还显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示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</w:t>
      </w:r>
      <w:r>
        <w:rPr>
          <w:color w:val="231F20"/>
          <w:spacing w:val="7"/>
        </w:rPr>
        <w:t>2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组不良反应总发生率差异无统计学意义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，这说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6"/>
        </w:rPr>
        <w:t>明联合妇科千金片治疗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，安全性高。</w:t>
      </w:r>
    </w:p>
    <w:p>
      <w:pPr>
        <w:ind w:left="774" w:right="364" w:firstLine="416"/>
        <w:spacing w:line="23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综上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>，妇科千金片联合阿奇霉素治疗急性盆腔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炎效果较好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可改善患者子宫血流动力学指标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提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高免疫功能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，安全性高。</w:t>
      </w:r>
    </w:p>
    <w:p>
      <w:pPr>
        <w:ind w:left="695"/>
        <w:spacing w:before="297" w:line="266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［参考文献］</w:t>
      </w:r>
    </w:p>
    <w:p>
      <w:pPr>
        <w:pStyle w:val="BodyText"/>
        <w:ind w:left="1098" w:right="315" w:hanging="323"/>
        <w:spacing w:before="58" w:line="23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[1]</w:t>
      </w:r>
      <w:r>
        <w:rPr>
          <w:sz w:val="15"/>
          <w:szCs w:val="15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王零零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，张鑫．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雷火灸联合桂枝茯苓丸治疗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慢性盆腔炎的疗效及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对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</w:rPr>
        <w:t>TGF</w:t>
      </w:r>
      <w:r>
        <w:rPr>
          <w:sz w:val="15"/>
          <w:szCs w:val="15"/>
          <w:color w:val="231F20"/>
          <w:spacing w:val="5"/>
        </w:rPr>
        <w:t>-β1/</w:t>
      </w:r>
      <w:r>
        <w:rPr>
          <w:sz w:val="15"/>
          <w:szCs w:val="15"/>
          <w:color w:val="231F20"/>
        </w:rPr>
        <w:t>Smads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通路的影响</w:t>
      </w:r>
      <w:r>
        <w:rPr>
          <w:sz w:val="15"/>
          <w:szCs w:val="15"/>
          <w:color w:val="231F20"/>
          <w:spacing w:val="5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． 中国计划生育学杂志 ，</w:t>
      </w:r>
      <w:r>
        <w:rPr>
          <w:sz w:val="15"/>
          <w:szCs w:val="15"/>
          <w:color w:val="231F20"/>
          <w:spacing w:val="5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31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>）：</w:t>
      </w:r>
      <w:r>
        <w:rPr>
          <w:sz w:val="15"/>
          <w:szCs w:val="15"/>
          <w:color w:val="231F20"/>
          <w:spacing w:val="-7"/>
        </w:rPr>
        <w:t>515-521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．</w:t>
      </w:r>
    </w:p>
    <w:p>
      <w:pPr>
        <w:pStyle w:val="BodyText"/>
        <w:ind w:left="1100" w:right="315" w:hanging="325"/>
        <w:spacing w:before="54" w:line="23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[2]</w:t>
      </w:r>
      <w:r>
        <w:rPr>
          <w:sz w:val="15"/>
          <w:szCs w:val="15"/>
          <w:color w:val="231F20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李贺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，万秀英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，陈丽莉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，等． 中医定向透药通元推拿法治疗气滞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血瘀型慢性盆腔炎后的临床观察</w:t>
      </w:r>
      <w:r>
        <w:rPr>
          <w:sz w:val="15"/>
          <w:szCs w:val="15"/>
          <w:color w:val="231F20"/>
          <w:spacing w:val="10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． 护理实践与研究 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0"/>
        </w:rPr>
        <w:t>2021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>）：</w:t>
      </w:r>
      <w:r>
        <w:rPr>
          <w:sz w:val="15"/>
          <w:szCs w:val="15"/>
          <w:color w:val="231F20"/>
          <w:spacing w:val="-7"/>
        </w:rPr>
        <w:t>438-441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．</w:t>
      </w:r>
    </w:p>
    <w:p>
      <w:pPr>
        <w:pStyle w:val="BodyText"/>
        <w:ind w:left="1098" w:right="364" w:hanging="323"/>
        <w:spacing w:before="55" w:line="23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[3]</w:t>
      </w:r>
      <w:r>
        <w:rPr>
          <w:sz w:val="15"/>
          <w:szCs w:val="15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吴盼盼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，黄赣英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，沈小玲． 阿奇霉素单药或联合甲硝唑治疗急性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3"/>
        </w:rPr>
        <w:t>盆腔炎对患者症状缓解情况和生活质量的影响</w:t>
      </w:r>
      <w:r>
        <w:rPr>
          <w:sz w:val="15"/>
          <w:szCs w:val="15"/>
          <w:color w:val="231F20"/>
          <w:spacing w:val="12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2"/>
        </w:rPr>
        <w:t>． 中国妇幼保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2023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38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9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7"/>
        </w:rPr>
        <w:t>1199-1202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．</w:t>
      </w:r>
    </w:p>
    <w:p>
      <w:pPr>
        <w:pStyle w:val="BodyText"/>
        <w:ind w:left="1100" w:right="315" w:hanging="325"/>
        <w:spacing w:before="56" w:line="22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[4]</w:t>
      </w:r>
      <w:r>
        <w:rPr>
          <w:sz w:val="15"/>
          <w:szCs w:val="15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周肖英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，张金伟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，张阳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，等．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胸腺五肽联合阿奇霉素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治疗支原体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染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患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者 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 xml:space="preserve"> 国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药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理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杂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2022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38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195-198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．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2" w:right="75" w:hanging="323"/>
        <w:spacing w:before="45" w:line="23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[5]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吴梦瑶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，张鹏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，凌勇根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，等．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基于网络药理学研究妇科千金片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胶囊治疗盆腔炎性疾病后遗症的作用机制</w:t>
      </w:r>
      <w:r>
        <w:rPr>
          <w:sz w:val="15"/>
          <w:szCs w:val="15"/>
          <w:color w:val="231F20"/>
          <w:spacing w:val="8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湖南中医药大学学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2022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42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0"/>
        </w:rPr>
        <w:t>）：</w:t>
      </w:r>
      <w:r>
        <w:rPr>
          <w:sz w:val="15"/>
          <w:szCs w:val="15"/>
          <w:color w:val="231F20"/>
          <w:spacing w:val="-7"/>
        </w:rPr>
        <w:t>213-222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．</w:t>
      </w:r>
    </w:p>
    <w:p>
      <w:pPr>
        <w:pStyle w:val="BodyText"/>
        <w:spacing w:before="54" w:line="20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[6]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曹泽毅．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中华妇科产学</w:t>
      </w:r>
      <w:r>
        <w:rPr>
          <w:sz w:val="15"/>
          <w:szCs w:val="15"/>
          <w:color w:val="231F20"/>
          <w:spacing w:val="9"/>
        </w:rPr>
        <w:t>[M]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． 北京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人民卫生出版社 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9"/>
        </w:rPr>
        <w:t>1999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：</w:t>
      </w:r>
    </w:p>
    <w:p>
      <w:pPr>
        <w:pStyle w:val="BodyText"/>
        <w:ind w:left="338"/>
        <w:spacing w:before="62" w:line="22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1212-1213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．</w:t>
      </w:r>
    </w:p>
    <w:p>
      <w:pPr>
        <w:pStyle w:val="BodyText"/>
        <w:ind w:left="325" w:right="78" w:hanging="326"/>
        <w:spacing w:before="30" w:line="23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[7]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刘雁峰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，梁雪芳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，徐莲薇． 中医妇科学</w:t>
      </w:r>
      <w:r>
        <w:rPr>
          <w:sz w:val="15"/>
          <w:szCs w:val="15"/>
          <w:color w:val="231F20"/>
          <w:spacing w:val="6"/>
        </w:rPr>
        <w:t>[M]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北京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：人民卫生出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版社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  <w:spacing w:val="-2"/>
        </w:rPr>
        <w:t>33-34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．</w:t>
      </w:r>
    </w:p>
    <w:p>
      <w:pPr>
        <w:pStyle w:val="BodyText"/>
        <w:ind w:left="327" w:right="78" w:hanging="328"/>
        <w:spacing w:before="50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[8]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田彤彤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，胡耀宇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叶靖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，等．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腹盆腔炎性肌纤维细胞瘤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表现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与临床病理特征</w:t>
      </w:r>
      <w:r>
        <w:rPr>
          <w:sz w:val="15"/>
          <w:szCs w:val="15"/>
          <w:color w:val="231F20"/>
          <w:spacing w:val="-5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医学影像学杂志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2023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sz w:val="15"/>
          <w:szCs w:val="15"/>
          <w:color w:val="231F20"/>
          <w:spacing w:val="-5"/>
        </w:rPr>
        <w:t>33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（</w:t>
      </w:r>
      <w:r>
        <w:rPr>
          <w:sz w:val="15"/>
          <w:szCs w:val="15"/>
          <w:color w:val="231F20"/>
          <w:spacing w:val="-5"/>
        </w:rPr>
        <w:t>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</w:rPr>
        <w:t>）：</w:t>
      </w:r>
      <w:r>
        <w:rPr>
          <w:sz w:val="15"/>
          <w:szCs w:val="15"/>
          <w:color w:val="231F20"/>
          <w:spacing w:val="-5"/>
        </w:rPr>
        <w:t>1445-1</w:t>
      </w:r>
      <w:r>
        <w:rPr>
          <w:sz w:val="15"/>
          <w:szCs w:val="15"/>
          <w:color w:val="231F20"/>
          <w:spacing w:val="-6"/>
        </w:rPr>
        <w:t>448.</w:t>
      </w:r>
    </w:p>
    <w:p>
      <w:pPr>
        <w:pStyle w:val="BodyText"/>
        <w:ind w:left="324" w:right="31" w:hanging="324"/>
        <w:spacing w:before="62" w:line="24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[9]    FROCK-WELNAK  D  N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， </w:t>
      </w:r>
      <w:r>
        <w:rPr>
          <w:sz w:val="15"/>
          <w:szCs w:val="15"/>
          <w:color w:val="231F20"/>
          <w:spacing w:val="-2"/>
        </w:rPr>
        <w:t>T</w:t>
      </w:r>
      <w:r>
        <w:rPr>
          <w:sz w:val="15"/>
          <w:szCs w:val="15"/>
          <w:color w:val="231F20"/>
          <w:spacing w:val="-3"/>
        </w:rPr>
        <w:t>AM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J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Identification  and</w:t>
      </w:r>
      <w:r>
        <w:rPr>
          <w:sz w:val="15"/>
          <w:szCs w:val="15"/>
          <w:color w:val="231F20"/>
          <w:spacing w:val="34"/>
          <w:w w:val="101"/>
        </w:rPr>
        <w:t xml:space="preserve"> </w:t>
      </w:r>
      <w:r>
        <w:rPr>
          <w:sz w:val="15"/>
          <w:szCs w:val="15"/>
          <w:color w:val="231F20"/>
          <w:spacing w:val="-3"/>
        </w:rPr>
        <w:t>Treatment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sz w:val="15"/>
          <w:szCs w:val="15"/>
          <w:color w:val="231F20"/>
          <w:spacing w:val="-3"/>
        </w:rPr>
        <w:t>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Acute   Pelvic   Inflammatory </w:t>
      </w:r>
      <w:r>
        <w:rPr>
          <w:sz w:val="15"/>
          <w:szCs w:val="15"/>
          <w:color w:val="231F20"/>
          <w:spacing w:val="-5"/>
        </w:rPr>
        <w:t xml:space="preserve">   Disease   and    Associated   Sequela[J]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Obstetrics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and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Gynecology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Clinics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of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5"/>
        </w:rPr>
        <w:t>North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5"/>
        </w:rPr>
        <w:t>America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5"/>
        </w:rPr>
        <w:t>49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5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551-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579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．</w:t>
      </w:r>
    </w:p>
    <w:p>
      <w:pPr>
        <w:pStyle w:val="BodyText"/>
        <w:ind w:left="327" w:right="78" w:hanging="327"/>
        <w:spacing w:before="32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[10]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董艳双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，魏中平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，赵红霞．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桂枝茯苓胶囊联合阿奇霉素对盆腔炎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患者的疗效观察</w:t>
      </w:r>
      <w:r>
        <w:rPr>
          <w:sz w:val="15"/>
          <w:szCs w:val="15"/>
          <w:color w:val="231F20"/>
          <w:spacing w:val="-1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． 中国妇幼保健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2023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38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>）：</w:t>
      </w:r>
      <w:r>
        <w:rPr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2"/>
        </w:rPr>
        <w:t>0-33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．</w:t>
      </w:r>
    </w:p>
    <w:p>
      <w:pPr>
        <w:pStyle w:val="BodyText"/>
        <w:ind w:left="325" w:right="78" w:hanging="325"/>
        <w:spacing w:before="60" w:line="227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[11]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陶婉君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，李根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，龙旭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，等．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奥硝唑联合阿奇霉素治疗盆腔炎的系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统评价</w:t>
      </w:r>
      <w:r>
        <w:rPr>
          <w:sz w:val="15"/>
          <w:szCs w:val="15"/>
          <w:color w:val="231F20"/>
          <w:spacing w:val="-3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． 中国药房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36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7"/>
        </w:rPr>
        <w:t>）：</w:t>
      </w:r>
      <w:r>
        <w:rPr>
          <w:sz w:val="15"/>
          <w:szCs w:val="15"/>
          <w:color w:val="231F20"/>
          <w:spacing w:val="-4"/>
        </w:rPr>
        <w:t>5115-5117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．</w:t>
      </w:r>
    </w:p>
    <w:p>
      <w:pPr>
        <w:pStyle w:val="BodyText"/>
        <w:spacing w:before="59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[12]</w:t>
      </w:r>
      <w:r>
        <w:rPr>
          <w:sz w:val="15"/>
          <w:szCs w:val="15"/>
          <w:color w:val="231F20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俞璐沁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，杨琼艳．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妇科千金片辅助治疗慢性盆腔炎的疗效观察</w:t>
      </w:r>
      <w:r>
        <w:rPr>
          <w:sz w:val="15"/>
          <w:szCs w:val="15"/>
          <w:color w:val="231F20"/>
          <w:spacing w:val="5"/>
        </w:rPr>
        <w:t>[J].</w:t>
      </w:r>
    </w:p>
    <w:p>
      <w:pPr>
        <w:pStyle w:val="BodyText"/>
        <w:ind w:left="340"/>
        <w:spacing w:before="59" w:line="204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中国药物与临床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2021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6"/>
        </w:rPr>
        <w:t>）：</w:t>
      </w:r>
      <w:r>
        <w:rPr>
          <w:sz w:val="15"/>
          <w:szCs w:val="15"/>
          <w:color w:val="231F20"/>
          <w:spacing w:val="-3"/>
        </w:rPr>
        <w:t>3757-37</w:t>
      </w:r>
      <w:r>
        <w:rPr>
          <w:sz w:val="15"/>
          <w:szCs w:val="15"/>
          <w:color w:val="231F20"/>
          <w:spacing w:val="-4"/>
        </w:rPr>
        <w:t>59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．</w:t>
      </w:r>
    </w:p>
    <w:p>
      <w:pPr>
        <w:pStyle w:val="BodyText"/>
        <w:ind w:left="324" w:right="77" w:hanging="324"/>
        <w:spacing w:before="56" w:line="24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[13]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吴兰兰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，王芝英．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茜芷胶囊联合妇科千金胶囊治疗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IUD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置入后阴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道异常出血的临床观察</w:t>
      </w:r>
      <w:r>
        <w:rPr>
          <w:sz w:val="15"/>
          <w:szCs w:val="15"/>
          <w:color w:val="231F20"/>
          <w:spacing w:val="-1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． 中华全科医学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-1"/>
        </w:rPr>
        <w:t>2019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"/>
        </w:rPr>
        <w:t>17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</w:t>
      </w:r>
      <w:r>
        <w:rPr>
          <w:sz w:val="15"/>
          <w:szCs w:val="15"/>
          <w:color w:val="231F20"/>
          <w:spacing w:val="-1"/>
        </w:rPr>
        <w:t>7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0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1161-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1163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．</w:t>
      </w:r>
    </w:p>
    <w:p>
      <w:pPr>
        <w:pStyle w:val="BodyText"/>
        <w:ind w:left="322" w:right="29" w:hanging="322"/>
        <w:spacing w:before="36" w:line="26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[14]  SHAH  M  R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 </w:t>
      </w:r>
      <w:r>
        <w:rPr>
          <w:sz w:val="15"/>
          <w:szCs w:val="15"/>
          <w:color w:val="231F20"/>
          <w:spacing w:val="-5"/>
        </w:rPr>
        <w:t>KHAN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5"/>
        </w:rPr>
        <w:t>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5"/>
        </w:rPr>
        <w:t>N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5"/>
        </w:rPr>
        <w:t>FATIMA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5"/>
        </w:rPr>
        <w:t>S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5"/>
        </w:rPr>
        <w:t>et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al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．  </w:t>
      </w:r>
      <w:r>
        <w:rPr>
          <w:sz w:val="15"/>
          <w:szCs w:val="15"/>
          <w:color w:val="231F20"/>
          <w:spacing w:val="-5"/>
        </w:rPr>
        <w:t>A  randomized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</w:rPr>
        <w:t>double-blind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</w:rPr>
        <w:t>positive-c</w:t>
      </w:r>
      <w:r>
        <w:rPr>
          <w:sz w:val="15"/>
          <w:szCs w:val="15"/>
          <w:color w:val="231F20"/>
          <w:spacing w:val="-1"/>
        </w:rPr>
        <w:t>ontrolled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Phase-II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clinical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trial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"/>
        </w:rPr>
        <w:t>to</w:t>
      </w:r>
      <w:r>
        <w:rPr>
          <w:sz w:val="15"/>
          <w:szCs w:val="15"/>
          <w:color w:val="231F20"/>
          <w:spacing w:val="18"/>
        </w:rPr>
        <w:t xml:space="preserve"> </w:t>
      </w:r>
      <w:r>
        <w:rPr>
          <w:sz w:val="15"/>
          <w:szCs w:val="15"/>
          <w:color w:val="231F20"/>
          <w:spacing w:val="-1"/>
        </w:rPr>
        <w:t>evalu-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ate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4"/>
        </w:rPr>
        <w:t>efficacy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and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4"/>
        </w:rPr>
        <w:t>safety</w:t>
      </w:r>
      <w:r>
        <w:rPr>
          <w:sz w:val="15"/>
          <w:szCs w:val="15"/>
          <w:color w:val="231F20"/>
          <w:spacing w:val="26"/>
          <w:w w:val="102"/>
        </w:rPr>
        <w:t xml:space="preserve"> </w:t>
      </w:r>
      <w:r>
        <w:rPr>
          <w:sz w:val="15"/>
          <w:szCs w:val="15"/>
          <w:color w:val="231F20"/>
          <w:spacing w:val="-4"/>
        </w:rPr>
        <w:t>of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Fuke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4"/>
        </w:rPr>
        <w:t>Qianji</w:t>
      </w:r>
      <w:r>
        <w:rPr>
          <w:sz w:val="15"/>
          <w:szCs w:val="15"/>
          <w:color w:val="231F20"/>
          <w:spacing w:val="-5"/>
        </w:rPr>
        <w:t>n</w:t>
      </w:r>
      <w:r>
        <w:rPr>
          <w:sz w:val="15"/>
          <w:szCs w:val="15"/>
          <w:color w:val="231F20"/>
          <w:spacing w:val="27"/>
          <w:w w:val="102"/>
        </w:rPr>
        <w:t xml:space="preserve"> </w:t>
      </w:r>
      <w:r>
        <w:rPr>
          <w:sz w:val="15"/>
          <w:szCs w:val="15"/>
          <w:color w:val="231F20"/>
          <w:spacing w:val="-5"/>
        </w:rPr>
        <w:t>capsule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5"/>
        </w:rPr>
        <w:t>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Pakistani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5"/>
        </w:rPr>
        <w:t>patients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4"/>
        </w:rPr>
        <w:t>with</w:t>
      </w:r>
      <w:r>
        <w:rPr>
          <w:sz w:val="15"/>
          <w:szCs w:val="15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4"/>
        </w:rPr>
        <w:t>pelvic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4"/>
        </w:rPr>
        <w:t>inflammatory</w:t>
      </w:r>
      <w:r>
        <w:rPr>
          <w:sz w:val="15"/>
          <w:szCs w:val="15"/>
          <w:color w:val="231F20"/>
          <w:spacing w:val="14"/>
        </w:rPr>
        <w:t xml:space="preserve">  </w:t>
      </w:r>
      <w:r>
        <w:rPr>
          <w:sz w:val="15"/>
          <w:szCs w:val="15"/>
          <w:color w:val="231F20"/>
          <w:spacing w:val="-4"/>
        </w:rPr>
        <w:t>disease[J]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．  </w:t>
      </w:r>
      <w:r>
        <w:rPr>
          <w:sz w:val="15"/>
          <w:szCs w:val="15"/>
          <w:color w:val="231F20"/>
          <w:spacing w:val="-5"/>
        </w:rPr>
        <w:t>Frontiers   in   Pharmacology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2024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15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7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1"/>
        </w:rPr>
        <w:t>1287321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1"/>
        </w:rPr>
        <w:t>．</w:t>
      </w:r>
    </w:p>
    <w:p>
      <w:pPr>
        <w:pStyle w:val="BodyText"/>
        <w:ind w:left="325" w:right="30" w:hanging="325"/>
        <w:spacing w:before="56" w:line="24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[15]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李维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，邹亮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，龚云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，等．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妇科千金片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对阿奇霉素在慢性盆腔炎大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鼠体内药物动力学的影响</w:t>
      </w:r>
      <w:r>
        <w:rPr>
          <w:sz w:val="15"/>
          <w:szCs w:val="15"/>
          <w:color w:val="231F20"/>
          <w:spacing w:val="5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中国中药杂志 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5"/>
        </w:rPr>
        <w:t>2016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</w:t>
      </w:r>
      <w:r>
        <w:rPr>
          <w:sz w:val="15"/>
          <w:szCs w:val="15"/>
          <w:color w:val="231F20"/>
          <w:spacing w:val="5"/>
        </w:rPr>
        <w:t>41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（</w:t>
      </w:r>
      <w:r>
        <w:rPr>
          <w:sz w:val="15"/>
          <w:szCs w:val="15"/>
          <w:color w:val="231F20"/>
          <w:spacing w:val="5"/>
        </w:rPr>
        <w:t>12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3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2339-2343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．</w:t>
      </w:r>
    </w:p>
    <w:p>
      <w:pPr>
        <w:pStyle w:val="BodyText"/>
        <w:ind w:left="327" w:right="29" w:hanging="327"/>
        <w:spacing w:before="30" w:line="23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[16]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林淑媛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，范蔚芳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，谢雪玲．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妇科千金片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联合抗生素对慢性盆腔炎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患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液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流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变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及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免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疫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功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能 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影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响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3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． 世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界 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药 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3"/>
        </w:rPr>
        <w:t>2018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10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7"/>
        </w:rPr>
        <w:t>）：</w:t>
      </w:r>
      <w:r>
        <w:rPr>
          <w:sz w:val="15"/>
          <w:szCs w:val="15"/>
          <w:color w:val="231F20"/>
          <w:spacing w:val="-6"/>
        </w:rPr>
        <w:t>2510-2513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．</w:t>
      </w:r>
    </w:p>
    <w:p>
      <w:pPr>
        <w:pStyle w:val="BodyText"/>
        <w:ind w:left="325" w:right="29" w:hanging="325"/>
        <w:spacing w:before="55" w:line="23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[17]</w:t>
      </w:r>
      <w:r>
        <w:rPr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李艳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，张玮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，罗兰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，等．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>金刚藤联合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妇科千金片对慢性盆腔炎患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者血液流变学和炎症因子的影响</w:t>
      </w:r>
      <w:r>
        <w:rPr>
          <w:sz w:val="15"/>
          <w:szCs w:val="15"/>
          <w:color w:val="231F20"/>
          <w:spacing w:val="7"/>
        </w:rPr>
        <w:t>[J]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现代生物医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学进展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  <w:spacing w:val="6"/>
        </w:rPr>
        <w:t>2020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11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7"/>
        </w:rPr>
        <w:t>）：</w:t>
      </w:r>
      <w:r>
        <w:rPr>
          <w:sz w:val="15"/>
          <w:szCs w:val="15"/>
          <w:color w:val="231F20"/>
          <w:spacing w:val="-6"/>
        </w:rPr>
        <w:t>2072-2075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，</w:t>
      </w:r>
      <w:r>
        <w:rPr>
          <w:sz w:val="15"/>
          <w:szCs w:val="15"/>
          <w:color w:val="231F20"/>
          <w:spacing w:val="-6"/>
        </w:rPr>
        <w:t>2031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．</w:t>
      </w:r>
    </w:p>
    <w:p>
      <w:pPr>
        <w:spacing w:before="59" w:line="197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（责任编辑：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吴凌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，郭雨驰）</w:t>
      </w:r>
    </w:p>
    <w:sectPr>
      <w:type w:val="continuous"/>
      <w:pgSz w:w="12473" w:h="16725"/>
      <w:pgMar w:top="1686" w:right="1113" w:bottom="0" w:left="424" w:header="1054" w:footer="0" w:gutter="0"/>
      <w:cols w:equalWidth="0" w:num="2">
        <w:col w:w="5949" w:space="100"/>
        <w:col w:w="488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9"/>
      <w:spacing w:before="35" w:line="208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" style="position:absolute;margin-left:21.2pt;margin-top:806.0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756012</wp:posOffset>
          </wp:positionH>
          <wp:positionV relativeFrom="page">
            <wp:posOffset>1042616</wp:posOffset>
          </wp:positionV>
          <wp:extent cx="6408001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800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新中医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5"/>
        <w:w w:val="101"/>
      </w:rPr>
      <w:t xml:space="preserve">   </w:t>
    </w:r>
    <w:r>
      <w:rPr>
        <w:sz w:val="17"/>
        <w:szCs w:val="17"/>
        <w:color w:val="231F20"/>
        <w:spacing w:val="-3"/>
      </w:rPr>
      <w:t>2025</w:t>
    </w:r>
    <w:r>
      <w:rPr>
        <w:sz w:val="17"/>
        <w:szCs w:val="17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0"/>
      </w:rPr>
      <w:t xml:space="preserve"> </w:t>
    </w:r>
    <w:r>
      <w:rPr>
        <w:sz w:val="17"/>
        <w:szCs w:val="17"/>
        <w:color w:val="231F20"/>
        <w:spacing w:val="-3"/>
      </w:rPr>
      <w:t>2</w:t>
    </w:r>
    <w:r>
      <w:rPr>
        <w:sz w:val="17"/>
        <w:szCs w:val="17"/>
        <w:color w:val="231F20"/>
        <w:spacing w:val="-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月第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9"/>
      </w:rPr>
      <w:t xml:space="preserve"> </w:t>
    </w:r>
    <w:r>
      <w:rPr>
        <w:sz w:val="17"/>
        <w:szCs w:val="17"/>
        <w:color w:val="231F20"/>
        <w:spacing w:val="-3"/>
      </w:rPr>
      <w:t>57</w:t>
    </w:r>
    <w:r>
      <w:rPr>
        <w:sz w:val="17"/>
        <w:szCs w:val="17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7"/>
      </w:rPr>
      <w:t xml:space="preserve"> </w:t>
    </w:r>
    <w:r>
      <w:rPr>
        <w:sz w:val="17"/>
        <w:szCs w:val="17"/>
        <w:color w:val="231F20"/>
        <w:spacing w:val="-3"/>
      </w:rPr>
      <w:t>3</w:t>
    </w:r>
    <w:r>
      <w:rPr>
        <w:sz w:val="17"/>
        <w:szCs w:val="17"/>
        <w:color w:val="231F20"/>
        <w:spacing w:val="-2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期</w:t>
    </w:r>
  </w:p>
  <w:p>
    <w:pPr>
      <w:pStyle w:val="BodyText"/>
      <w:ind w:left="3654"/>
      <w:spacing w:before="34" w:line="197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7"/>
        <w:szCs w:val="17"/>
        <w:color w:val="231F20"/>
        <w:spacing w:val="-1"/>
      </w:rPr>
      <w:t>NEW  CHINESE  MEDICINE    February  2025  Vol.57  No.3                  </w:t>
    </w:r>
    <w:r>
      <w:rPr>
        <w:sz w:val="17"/>
        <w:szCs w:val="17"/>
        <w:color w:val="231F20"/>
        <w:spacing w:val="-2"/>
      </w:rPr>
      <w:t xml:space="preserve">                         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·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 xml:space="preserve">  </w:t>
    </w:r>
    <w:r>
      <w:rPr>
        <w:sz w:val="17"/>
        <w:szCs w:val="17"/>
        <w:color w:val="231F20"/>
        <w:spacing w:val="-2"/>
      </w:rPr>
      <w:t>95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77"/>
      <w:spacing w:before="35" w:line="208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4" style="position:absolute;margin-left:21.2pt;margin-top:806.02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756012</wp:posOffset>
          </wp:positionH>
          <wp:positionV relativeFrom="page">
            <wp:posOffset>1042616</wp:posOffset>
          </wp:positionV>
          <wp:extent cx="6408001" cy="6350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800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新中医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5"/>
        <w:w w:val="101"/>
      </w:rPr>
      <w:t xml:space="preserve">   </w:t>
    </w:r>
    <w:r>
      <w:rPr>
        <w:sz w:val="17"/>
        <w:szCs w:val="17"/>
        <w:color w:val="231F20"/>
        <w:spacing w:val="-3"/>
      </w:rPr>
      <w:t>2025</w:t>
    </w:r>
    <w:r>
      <w:rPr>
        <w:sz w:val="17"/>
        <w:szCs w:val="17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0"/>
      </w:rPr>
      <w:t xml:space="preserve"> </w:t>
    </w:r>
    <w:r>
      <w:rPr>
        <w:sz w:val="17"/>
        <w:szCs w:val="17"/>
        <w:color w:val="231F20"/>
        <w:spacing w:val="-3"/>
      </w:rPr>
      <w:t>2</w:t>
    </w:r>
    <w:r>
      <w:rPr>
        <w:sz w:val="17"/>
        <w:szCs w:val="17"/>
        <w:color w:val="231F20"/>
        <w:spacing w:val="-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月第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9"/>
      </w:rPr>
      <w:t xml:space="preserve"> </w:t>
    </w:r>
    <w:r>
      <w:rPr>
        <w:sz w:val="17"/>
        <w:szCs w:val="17"/>
        <w:color w:val="231F20"/>
        <w:spacing w:val="-3"/>
      </w:rPr>
      <w:t>57</w:t>
    </w:r>
    <w:r>
      <w:rPr>
        <w:sz w:val="17"/>
        <w:szCs w:val="17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7"/>
      </w:rPr>
      <w:t xml:space="preserve"> </w:t>
    </w:r>
    <w:r>
      <w:rPr>
        <w:sz w:val="17"/>
        <w:szCs w:val="17"/>
        <w:color w:val="231F20"/>
        <w:spacing w:val="-3"/>
      </w:rPr>
      <w:t>3</w:t>
    </w:r>
    <w:r>
      <w:rPr>
        <w:sz w:val="17"/>
        <w:szCs w:val="17"/>
        <w:color w:val="231F20"/>
        <w:spacing w:val="-2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期</w:t>
    </w:r>
  </w:p>
  <w:p>
    <w:pPr>
      <w:pStyle w:val="BodyText"/>
      <w:ind w:left="842"/>
      <w:spacing w:before="34" w:line="197" w:lineRule="auto"/>
      <w:rPr>
        <w:sz w:val="17"/>
        <w:szCs w:val="17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-1"/>
      </w:rPr>
      <w:t>·  </w:t>
    </w:r>
    <w:r>
      <w:rPr>
        <w:sz w:val="17"/>
        <w:szCs w:val="17"/>
        <w:color w:val="231F20"/>
        <w:spacing w:val="-1"/>
      </w:rPr>
      <w:t>96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"/>
      </w:rPr>
      <w:t>·                                           </w:t>
    </w:r>
    <w:r>
      <w:rPr>
        <w:sz w:val="17"/>
        <w:szCs w:val="17"/>
        <w:color w:val="231F20"/>
        <w:spacing w:val="-1"/>
      </w:rPr>
      <w:t>NEW  CHINESE  MEDICINE    </w:t>
    </w:r>
    <w:r>
      <w:rPr>
        <w:sz w:val="17"/>
        <w:szCs w:val="17"/>
        <w:color w:val="231F20"/>
        <w:spacing w:val="-2"/>
      </w:rPr>
      <w:t>February  2025  Vol.57</w:t>
    </w:r>
    <w:r>
      <w:rPr>
        <w:sz w:val="17"/>
        <w:szCs w:val="17"/>
        <w:color w:val="231F20"/>
        <w:spacing w:val="1"/>
      </w:rPr>
      <w:t xml:space="preserve">  </w:t>
    </w:r>
    <w:r>
      <w:rPr>
        <w:sz w:val="17"/>
        <w:szCs w:val="17"/>
        <w:color w:val="231F20"/>
        <w:spacing w:val="-2"/>
      </w:rPr>
      <w:t>No.3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before="35" w:line="208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6" style="position:absolute;margin-left:21.2pt;margin-top:806.02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756012</wp:posOffset>
          </wp:positionH>
          <wp:positionV relativeFrom="page">
            <wp:posOffset>1042616</wp:posOffset>
          </wp:positionV>
          <wp:extent cx="6408001" cy="6350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800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新中医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2025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2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月第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57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卷第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3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期</w:t>
    </w:r>
  </w:p>
  <w:p>
    <w:pPr>
      <w:ind w:left="3654"/>
      <w:spacing w:before="34" w:line="191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-6"/>
      </w:rPr>
      <w:t>NEW  CHINESE  MEDICINE    February  2025  Vol.57  N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7"/>
      </w:rPr>
      <w:t>o.3</w:t>
    </w:r>
    <w:r>
      <w:rPr>
        <w:rFonts w:ascii="Microsoft YaHei" w:hAnsi="Microsoft YaHei" w:eastAsia="Microsoft YaHei" w:cs="Microsoft YaHei"/>
        <w:sz w:val="17"/>
        <w:szCs w:val="17"/>
        <w:color w:val="231F20"/>
      </w:rPr>
      <w:t xml:space="preserve">                                       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9"/>
      </w:rPr>
      <w:t>·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3"/>
      </w:rPr>
      <w:t xml:space="preserve">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9"/>
      </w:rPr>
      <w:t>97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2"/>
        <w:w w:val="101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8"/>
        <w:w w:val="109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7"/>
      <w:spacing w:before="35" w:line="208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8" style="position:absolute;margin-left:21.2pt;margin-top:806.02pt;mso-position-vertical-relative:page;mso-position-horizontal-relative:page;width:168.95pt;height:12.5pt;z-index:-25165209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756012</wp:posOffset>
          </wp:positionH>
          <wp:positionV relativeFrom="page">
            <wp:posOffset>1042616</wp:posOffset>
          </wp:positionV>
          <wp:extent cx="6408001" cy="6350"/>
          <wp:effectExtent l="0" t="0" r="0" b="0"/>
          <wp:wrapNone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800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新中医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2025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2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8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月第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57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2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卷第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7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3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6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5"/>
      </w:rPr>
      <w:t>期</w:t>
    </w:r>
  </w:p>
  <w:p>
    <w:pPr>
      <w:ind w:left="842"/>
      <w:spacing w:before="34" w:line="191" w:lineRule="auto"/>
      <w:rPr>
        <w:rFonts w:ascii="Microsoft YaHei" w:hAnsi="Microsoft YaHei" w:eastAsia="Microsoft YaHei" w:cs="Microsoft YaHei"/>
        <w:sz w:val="17"/>
        <w:szCs w:val="17"/>
      </w:rPr>
    </w:pP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·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 xml:space="preserve">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98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3"/>
      </w:rPr>
      <w:t xml:space="preserve">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·               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 xml:space="preserve">                        NEW  CHINESE  MEDICINE    February  2025  Vol.57  No.3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499"/>
      <w:spacing w:before="35" w:line="208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12" style="position:absolute;margin-left:21.2pt;margin-top:806.02pt;mso-position-vertical-relative:page;mso-position-horizontal-relative:page;width:168.95pt;height:12.5pt;z-index:-251650048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756012</wp:posOffset>
          </wp:positionH>
          <wp:positionV relativeFrom="page">
            <wp:posOffset>1042616</wp:posOffset>
          </wp:positionV>
          <wp:extent cx="6408001" cy="6350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40800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新中医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5"/>
        <w:w w:val="101"/>
      </w:rPr>
      <w:t xml:space="preserve">   </w:t>
    </w:r>
    <w:r>
      <w:rPr>
        <w:sz w:val="17"/>
        <w:szCs w:val="17"/>
        <w:color w:val="231F20"/>
        <w:spacing w:val="-3"/>
      </w:rPr>
      <w:t>2025</w:t>
    </w:r>
    <w:r>
      <w:rPr>
        <w:sz w:val="17"/>
        <w:szCs w:val="17"/>
        <w:color w:val="231F20"/>
        <w:spacing w:val="-1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年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0"/>
      </w:rPr>
      <w:t xml:space="preserve"> </w:t>
    </w:r>
    <w:r>
      <w:rPr>
        <w:sz w:val="17"/>
        <w:szCs w:val="17"/>
        <w:color w:val="231F20"/>
        <w:spacing w:val="-3"/>
      </w:rPr>
      <w:t>2</w:t>
    </w:r>
    <w:r>
      <w:rPr>
        <w:sz w:val="17"/>
        <w:szCs w:val="17"/>
        <w:color w:val="231F20"/>
        <w:spacing w:val="-14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月第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9"/>
      </w:rPr>
      <w:t xml:space="preserve"> </w:t>
    </w:r>
    <w:r>
      <w:rPr>
        <w:sz w:val="17"/>
        <w:szCs w:val="17"/>
        <w:color w:val="231F20"/>
        <w:spacing w:val="-3"/>
      </w:rPr>
      <w:t>57</w:t>
    </w:r>
    <w:r>
      <w:rPr>
        <w:sz w:val="17"/>
        <w:szCs w:val="17"/>
        <w:color w:val="231F20"/>
        <w:spacing w:val="-19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卷第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17"/>
      </w:rPr>
      <w:t xml:space="preserve"> </w:t>
    </w:r>
    <w:r>
      <w:rPr>
        <w:sz w:val="17"/>
        <w:szCs w:val="17"/>
        <w:color w:val="231F20"/>
        <w:spacing w:val="-3"/>
      </w:rPr>
      <w:t>3</w:t>
    </w:r>
    <w:r>
      <w:rPr>
        <w:sz w:val="17"/>
        <w:szCs w:val="17"/>
        <w:color w:val="231F20"/>
        <w:spacing w:val="-23"/>
      </w:rPr>
      <w:t xml:space="preserve">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3"/>
      </w:rPr>
      <w:t>期</w:t>
    </w:r>
  </w:p>
  <w:p>
    <w:pPr>
      <w:pStyle w:val="BodyText"/>
      <w:ind w:left="3654"/>
      <w:spacing w:before="34" w:line="197" w:lineRule="auto"/>
      <w:rPr>
        <w:rFonts w:ascii="Microsoft YaHei" w:hAnsi="Microsoft YaHei" w:eastAsia="Microsoft YaHei" w:cs="Microsoft YaHei"/>
        <w:sz w:val="17"/>
        <w:szCs w:val="17"/>
      </w:rPr>
    </w:pPr>
    <w:r>
      <w:rPr>
        <w:sz w:val="17"/>
        <w:szCs w:val="17"/>
        <w:color w:val="231F20"/>
        <w:spacing w:val="-1"/>
      </w:rPr>
      <w:t>NEW  CHINESE  MEDICINE    February  2025  Vol.57  No.3                  </w:t>
    </w:r>
    <w:r>
      <w:rPr>
        <w:sz w:val="17"/>
        <w:szCs w:val="17"/>
        <w:color w:val="231F20"/>
        <w:spacing w:val="-2"/>
      </w:rPr>
      <w:t xml:space="preserve">                         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·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10"/>
      </w:rPr>
      <w:t xml:space="preserve">  </w:t>
    </w:r>
    <w:r>
      <w:rPr>
        <w:sz w:val="17"/>
        <w:szCs w:val="17"/>
        <w:color w:val="231F20"/>
        <w:spacing w:val="-2"/>
      </w:rPr>
      <w:t>99    </w:t>
    </w:r>
    <w:r>
      <w:rPr>
        <w:rFonts w:ascii="Microsoft YaHei" w:hAnsi="Microsoft YaHei" w:eastAsia="Microsoft YaHei" w:cs="Microsoft YaHei"/>
        <w:sz w:val="17"/>
        <w:szCs w:val="17"/>
        <w:color w:val="231F20"/>
        <w:spacing w:val="-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3.png"/><Relationship Id="rId8" Type="http://schemas.openxmlformats.org/officeDocument/2006/relationships/header" Target="header4.xml"/><Relationship Id="rId7" Type="http://schemas.openxmlformats.org/officeDocument/2006/relationships/image" Target="media/image10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3.png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eader" Target="header5.xml"/><Relationship Id="rId10" Type="http://schemas.openxmlformats.org/officeDocument/2006/relationships/image" Target="media/image14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2025-02-25T10:48:43Z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2025-10-28T21:30:09</vt:filetime>
  </property>
</Properties>
</file>