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97" w:right="45" w:firstLine="420"/>
        <w:spacing w:before="256" w:line="307" w:lineRule="auto"/>
        <w:jc w:val="both"/>
        <w:rPr/>
      </w:pPr>
      <w:r>
        <w:rPr>
          <w:spacing w:val="9"/>
        </w:rPr>
        <w:t>应注意的是，有研究认为</w:t>
      </w:r>
      <w:r>
        <w:rPr>
          <w:spacing w:val="-40"/>
        </w:rPr>
        <w:t xml:space="preserve"> </w:t>
      </w:r>
      <w:r>
        <w:rPr>
          <w:rFonts w:ascii="Times New Roman" w:hAnsi="Times New Roman" w:eastAsia="Times New Roman" w:cs="Times New Roman"/>
        </w:rPr>
        <w:t>EOS</w:t>
      </w:r>
      <w:r>
        <w:rPr>
          <w:rFonts w:ascii="Times New Roman" w:hAnsi="Times New Roman" w:eastAsia="Times New Roman" w:cs="Times New Roman"/>
          <w:spacing w:val="-26"/>
        </w:rPr>
        <w:t xml:space="preserve"> </w:t>
      </w:r>
      <w:r>
        <w:rPr>
          <w:spacing w:val="9"/>
        </w:rPr>
        <w:t>、</w:t>
      </w:r>
      <w:r>
        <w:rPr>
          <w:rFonts w:ascii="Times New Roman" w:hAnsi="Times New Roman" w:eastAsia="Times New Roman" w:cs="Times New Roman"/>
        </w:rPr>
        <w:t>IgE</w:t>
      </w:r>
      <w:r>
        <w:rPr>
          <w:rFonts w:ascii="Times New Roman" w:hAnsi="Times New Roman" w:eastAsia="Times New Roman" w:cs="Times New Roman"/>
          <w:spacing w:val="9"/>
        </w:rPr>
        <w:t xml:space="preserve"> </w:t>
      </w:r>
      <w:r>
        <w:rPr>
          <w:spacing w:val="9"/>
        </w:rPr>
        <w:t>水平对判断</w:t>
      </w:r>
      <w:r>
        <w:rPr>
          <w:spacing w:val="-37"/>
        </w:rPr>
        <w:t xml:space="preserve"> </w:t>
      </w:r>
      <w:r>
        <w:rPr>
          <w:rFonts w:ascii="Times New Roman" w:hAnsi="Times New Roman" w:eastAsia="Times New Roman" w:cs="Times New Roman"/>
        </w:rPr>
        <w:t>CVA</w:t>
      </w:r>
      <w:r>
        <w:rPr>
          <w:rFonts w:ascii="Times New Roman" w:hAnsi="Times New Roman" w:eastAsia="Times New Roman" w:cs="Times New Roman"/>
          <w:spacing w:val="9"/>
        </w:rPr>
        <w:t xml:space="preserve"> </w:t>
      </w:r>
      <w:r>
        <w:rPr>
          <w:spacing w:val="9"/>
        </w:rPr>
        <w:t>患儿治疗效果也具有一定价值。但本文存在</w:t>
      </w:r>
      <w:r>
        <w:rPr/>
        <w:t xml:space="preserve"> </w:t>
      </w:r>
      <w:r>
        <w:rPr>
          <w:spacing w:val="9"/>
        </w:rPr>
        <w:t>篇幅受限、纳入样本容量小等因素，因此未能够分析</w:t>
      </w:r>
      <w:r>
        <w:rPr>
          <w:spacing w:val="-32"/>
        </w:rPr>
        <w:t xml:space="preserve"> </w:t>
      </w:r>
      <w:r>
        <w:rPr>
          <w:rFonts w:ascii="Times New Roman" w:hAnsi="Times New Roman" w:eastAsia="Times New Roman" w:cs="Times New Roman"/>
        </w:rPr>
        <w:t>EOS</w:t>
      </w:r>
      <w:r>
        <w:rPr>
          <w:rFonts w:ascii="Times New Roman" w:hAnsi="Times New Roman" w:eastAsia="Times New Roman" w:cs="Times New Roman"/>
          <w:spacing w:val="-26"/>
        </w:rPr>
        <w:t xml:space="preserve"> </w:t>
      </w:r>
      <w:r>
        <w:rPr>
          <w:spacing w:val="9"/>
        </w:rPr>
        <w:t>、</w:t>
      </w:r>
      <w:r>
        <w:rPr>
          <w:rFonts w:ascii="Times New Roman" w:hAnsi="Times New Roman" w:eastAsia="Times New Roman" w:cs="Times New Roman"/>
        </w:rPr>
        <w:t>IgE</w:t>
      </w:r>
      <w:r>
        <w:rPr>
          <w:rFonts w:ascii="Times New Roman" w:hAnsi="Times New Roman" w:eastAsia="Times New Roman" w:cs="Times New Roman"/>
          <w:spacing w:val="9"/>
        </w:rPr>
        <w:t xml:space="preserve"> </w:t>
      </w:r>
      <w:r>
        <w:rPr>
          <w:spacing w:val="9"/>
        </w:rPr>
        <w:t>检测值对判断</w:t>
      </w:r>
      <w:r>
        <w:rPr>
          <w:spacing w:val="-37"/>
        </w:rPr>
        <w:t xml:space="preserve"> </w:t>
      </w:r>
      <w:r>
        <w:rPr>
          <w:rFonts w:ascii="Times New Roman" w:hAnsi="Times New Roman" w:eastAsia="Times New Roman" w:cs="Times New Roman"/>
        </w:rPr>
        <w:t>CVA</w:t>
      </w:r>
      <w:r>
        <w:rPr>
          <w:rFonts w:ascii="Times New Roman" w:hAnsi="Times New Roman" w:eastAsia="Times New Roman" w:cs="Times New Roman"/>
          <w:spacing w:val="9"/>
        </w:rPr>
        <w:t xml:space="preserve"> </w:t>
      </w:r>
      <w:r>
        <w:rPr>
          <w:spacing w:val="9"/>
        </w:rPr>
        <w:t>患儿疗效价值，以</w:t>
      </w:r>
      <w:r>
        <w:rPr/>
        <w:t xml:space="preserve"> </w:t>
      </w:r>
      <w:r>
        <w:rPr>
          <w:spacing w:val="9"/>
        </w:rPr>
        <w:t>及未能够通过多因素分析进一步明确</w:t>
      </w:r>
      <w:r>
        <w:rPr>
          <w:spacing w:val="-37"/>
        </w:rPr>
        <w:t xml:space="preserve"> </w:t>
      </w:r>
      <w:r>
        <w:rPr>
          <w:rFonts w:ascii="Times New Roman" w:hAnsi="Times New Roman" w:eastAsia="Times New Roman" w:cs="Times New Roman"/>
        </w:rPr>
        <w:t>EOS</w:t>
      </w:r>
      <w:r>
        <w:rPr>
          <w:rFonts w:ascii="Times New Roman" w:hAnsi="Times New Roman" w:eastAsia="Times New Roman" w:cs="Times New Roman"/>
          <w:spacing w:val="-23"/>
        </w:rPr>
        <w:t xml:space="preserve"> </w:t>
      </w:r>
      <w:r>
        <w:rPr>
          <w:spacing w:val="9"/>
        </w:rPr>
        <w:t>、</w:t>
      </w:r>
      <w:r>
        <w:rPr>
          <w:rFonts w:ascii="Times New Roman" w:hAnsi="Times New Roman" w:eastAsia="Times New Roman" w:cs="Times New Roman"/>
        </w:rPr>
        <w:t>IgE</w:t>
      </w:r>
      <w:r>
        <w:rPr>
          <w:rFonts w:ascii="Times New Roman" w:hAnsi="Times New Roman" w:eastAsia="Times New Roman" w:cs="Times New Roman"/>
          <w:spacing w:val="9"/>
        </w:rPr>
        <w:t xml:space="preserve"> </w:t>
      </w:r>
      <w:r>
        <w:rPr>
          <w:spacing w:val="9"/>
        </w:rPr>
        <w:t>水平与</w:t>
      </w:r>
      <w:r>
        <w:rPr>
          <w:spacing w:val="-40"/>
        </w:rPr>
        <w:t xml:space="preserve"> </w:t>
      </w:r>
      <w:r>
        <w:rPr>
          <w:rFonts w:ascii="Times New Roman" w:hAnsi="Times New Roman" w:eastAsia="Times New Roman" w:cs="Times New Roman"/>
        </w:rPr>
        <w:t>CVA</w:t>
      </w:r>
      <w:r>
        <w:rPr>
          <w:rFonts w:ascii="Times New Roman" w:hAnsi="Times New Roman" w:eastAsia="Times New Roman" w:cs="Times New Roman"/>
          <w:spacing w:val="9"/>
        </w:rPr>
        <w:t xml:space="preserve"> </w:t>
      </w:r>
      <w:r>
        <w:rPr>
          <w:spacing w:val="9"/>
        </w:rPr>
        <w:t>相关性，提示还需今后实际工作中深入研</w:t>
      </w:r>
      <w:r>
        <w:rPr/>
        <w:t xml:space="preserve"> </w:t>
      </w:r>
      <w:r>
        <w:rPr>
          <w:spacing w:val="5"/>
          <w:position w:val="-1"/>
        </w:rPr>
        <w:t>究</w:t>
      </w:r>
      <w:r>
        <w:rPr>
          <w:spacing w:val="-42"/>
          <w:position w:val="-1"/>
        </w:rPr>
        <w:t xml:space="preserve"> </w:t>
      </w:r>
      <w:r>
        <w:rPr>
          <w:rFonts w:ascii="Times New Roman" w:hAnsi="Times New Roman" w:eastAsia="Times New Roman" w:cs="Times New Roman"/>
          <w:position w:val="-1"/>
        </w:rPr>
        <w:t>EOS</w:t>
      </w:r>
      <w:r>
        <w:rPr>
          <w:rFonts w:ascii="Times New Roman" w:hAnsi="Times New Roman" w:eastAsia="Times New Roman" w:cs="Times New Roman"/>
          <w:spacing w:val="-23"/>
          <w:position w:val="-1"/>
        </w:rPr>
        <w:t xml:space="preserve"> </w:t>
      </w:r>
      <w:r>
        <w:rPr>
          <w:spacing w:val="5"/>
          <w:position w:val="-1"/>
        </w:rPr>
        <w:t>、</w:t>
      </w:r>
      <w:r>
        <w:rPr>
          <w:rFonts w:ascii="Times New Roman" w:hAnsi="Times New Roman" w:eastAsia="Times New Roman" w:cs="Times New Roman"/>
          <w:position w:val="-1"/>
        </w:rPr>
        <w:t>IgE</w:t>
      </w:r>
      <w:r>
        <w:rPr>
          <w:rFonts w:ascii="Times New Roman" w:hAnsi="Times New Roman" w:eastAsia="Times New Roman" w:cs="Times New Roman"/>
          <w:spacing w:val="5"/>
          <w:position w:val="-1"/>
        </w:rPr>
        <w:t xml:space="preserve"> </w:t>
      </w:r>
      <w:r>
        <w:rPr>
          <w:spacing w:val="5"/>
          <w:position w:val="-1"/>
        </w:rPr>
        <w:t>水平与</w:t>
      </w:r>
      <w:r>
        <w:rPr>
          <w:spacing w:val="-38"/>
          <w:position w:val="-1"/>
        </w:rPr>
        <w:t xml:space="preserve"> </w:t>
      </w:r>
      <w:r>
        <w:rPr>
          <w:rFonts w:ascii="Times New Roman" w:hAnsi="Times New Roman" w:eastAsia="Times New Roman" w:cs="Times New Roman"/>
          <w:position w:val="-1"/>
        </w:rPr>
        <w:t>CVA</w:t>
      </w:r>
      <w:r>
        <w:rPr>
          <w:rFonts w:ascii="Times New Roman" w:hAnsi="Times New Roman" w:eastAsia="Times New Roman" w:cs="Times New Roman"/>
          <w:spacing w:val="5"/>
          <w:position w:val="-1"/>
        </w:rPr>
        <w:t xml:space="preserve"> </w:t>
      </w:r>
      <w:r>
        <w:rPr>
          <w:spacing w:val="5"/>
          <w:position w:val="-1"/>
        </w:rPr>
        <w:t>关系</w:t>
      </w:r>
      <w:r>
        <w:rPr>
          <w:rFonts w:ascii="Times New Roman" w:hAnsi="Times New Roman" w:eastAsia="Times New Roman" w:cs="Times New Roman"/>
          <w:sz w:val="13"/>
          <w:szCs w:val="13"/>
          <w:spacing w:val="5"/>
          <w:position w:val="5"/>
        </w:rPr>
        <w:t>[6]</w:t>
      </w:r>
      <w:r>
        <w:rPr>
          <w:spacing w:val="5"/>
          <w:position w:val="-1"/>
        </w:rPr>
        <w:t>。</w:t>
      </w:r>
    </w:p>
    <w:p>
      <w:pPr>
        <w:pStyle w:val="BodyText"/>
        <w:ind w:left="904" w:right="45" w:firstLine="413"/>
        <w:spacing w:before="27" w:line="306" w:lineRule="auto"/>
        <w:rPr/>
      </w:pPr>
      <w:r>
        <w:rPr>
          <w:spacing w:val="7"/>
        </w:rPr>
        <w:t>综上，</w:t>
      </w:r>
      <w:r>
        <w:rPr>
          <w:rFonts w:ascii="Times New Roman" w:hAnsi="Times New Roman" w:eastAsia="Times New Roman" w:cs="Times New Roman"/>
        </w:rPr>
        <w:t>EOS</w:t>
      </w:r>
      <w:r>
        <w:rPr>
          <w:rFonts w:ascii="Times New Roman" w:hAnsi="Times New Roman" w:eastAsia="Times New Roman" w:cs="Times New Roman"/>
          <w:spacing w:val="-12"/>
        </w:rPr>
        <w:t xml:space="preserve"> </w:t>
      </w:r>
      <w:r>
        <w:rPr>
          <w:spacing w:val="7"/>
        </w:rPr>
        <w:t>、</w:t>
      </w:r>
      <w:r>
        <w:rPr>
          <w:rFonts w:ascii="Times New Roman" w:hAnsi="Times New Roman" w:eastAsia="Times New Roman" w:cs="Times New Roman"/>
        </w:rPr>
        <w:t>IgE</w:t>
      </w:r>
      <w:r>
        <w:rPr>
          <w:rFonts w:ascii="Times New Roman" w:hAnsi="Times New Roman" w:eastAsia="Times New Roman" w:cs="Times New Roman"/>
          <w:spacing w:val="7"/>
        </w:rPr>
        <w:t xml:space="preserve"> </w:t>
      </w:r>
      <w:r>
        <w:rPr>
          <w:spacing w:val="7"/>
        </w:rPr>
        <w:t>水平与</w:t>
      </w:r>
      <w:r>
        <w:rPr>
          <w:spacing w:val="-37"/>
        </w:rPr>
        <w:t xml:space="preserve"> </w:t>
      </w:r>
      <w:r>
        <w:rPr>
          <w:rFonts w:ascii="Times New Roman" w:hAnsi="Times New Roman" w:eastAsia="Times New Roman" w:cs="Times New Roman"/>
        </w:rPr>
        <w:t>CVA</w:t>
      </w:r>
      <w:r>
        <w:rPr>
          <w:rFonts w:ascii="Times New Roman" w:hAnsi="Times New Roman" w:eastAsia="Times New Roman" w:cs="Times New Roman"/>
          <w:spacing w:val="7"/>
        </w:rPr>
        <w:t xml:space="preserve"> </w:t>
      </w:r>
      <w:r>
        <w:rPr>
          <w:spacing w:val="7"/>
        </w:rPr>
        <w:t>患儿病情具有一定相关性，二者检测值可作为诊断</w:t>
      </w:r>
      <w:r>
        <w:rPr>
          <w:spacing w:val="-38"/>
        </w:rPr>
        <w:t xml:space="preserve"> </w:t>
      </w:r>
      <w:r>
        <w:rPr>
          <w:rFonts w:ascii="Times New Roman" w:hAnsi="Times New Roman" w:eastAsia="Times New Roman" w:cs="Times New Roman"/>
        </w:rPr>
        <w:t>CVA</w:t>
      </w:r>
      <w:r>
        <w:rPr>
          <w:rFonts w:ascii="Times New Roman" w:hAnsi="Times New Roman" w:eastAsia="Times New Roman" w:cs="Times New Roman"/>
          <w:spacing w:val="7"/>
        </w:rPr>
        <w:t xml:space="preserve"> </w:t>
      </w:r>
      <w:r>
        <w:rPr>
          <w:spacing w:val="7"/>
        </w:rPr>
        <w:t>疾病、评估</w:t>
      </w:r>
      <w:r>
        <w:rPr/>
        <w:t xml:space="preserve"> </w:t>
      </w:r>
      <w:r>
        <w:rPr>
          <w:spacing w:val="9"/>
        </w:rPr>
        <w:t>患儿病情有效参考指标，值得今后作为临床诊治此类患儿参考指标。</w:t>
      </w:r>
    </w:p>
    <w:p>
      <w:pPr>
        <w:ind w:left="905"/>
        <w:spacing w:before="17" w:line="226" w:lineRule="auto"/>
        <w:rPr>
          <w:rFonts w:ascii="SimHei" w:hAnsi="SimHei" w:eastAsia="SimHei" w:cs="SimHei"/>
          <w:sz w:val="20"/>
          <w:szCs w:val="20"/>
        </w:rPr>
      </w:pPr>
      <w:r>
        <w:rPr>
          <w:rFonts w:ascii="SimHei" w:hAnsi="SimHei" w:eastAsia="SimHei" w:cs="SimHei"/>
          <w:sz w:val="20"/>
          <w:szCs w:val="20"/>
          <w:spacing w:val="5"/>
        </w:rPr>
        <w:t>参考文献：</w:t>
      </w:r>
    </w:p>
    <w:p>
      <w:pPr>
        <w:pStyle w:val="BodyText"/>
        <w:ind w:left="892" w:right="52" w:firstLine="377"/>
        <w:spacing w:before="58" w:line="29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  </w:t>
      </w:r>
      <w:r>
        <w:rPr>
          <w:sz w:val="18"/>
          <w:szCs w:val="18"/>
          <w:spacing w:val="2"/>
        </w:rPr>
        <w:t>郑馨茹，孙立荣</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4"/>
        </w:rPr>
        <w:t xml:space="preserve"> </w:t>
      </w:r>
      <w:r>
        <w:rPr>
          <w:sz w:val="18"/>
          <w:szCs w:val="18"/>
          <w:spacing w:val="2"/>
        </w:rPr>
        <w:t>咳嗽变异性哮喘患儿血中嗜酸性粒细胞和免疫球蛋白的关系研究</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
        </w:rPr>
        <w:t>J].</w:t>
      </w:r>
      <w:r>
        <w:rPr>
          <w:sz w:val="18"/>
          <w:szCs w:val="18"/>
          <w:spacing w:val="1"/>
        </w:rPr>
        <w:t>世界复合医学，</w:t>
      </w:r>
      <w:r>
        <w:rPr>
          <w:rFonts w:ascii="Times New Roman" w:hAnsi="Times New Roman" w:eastAsia="Times New Roman" w:cs="Times New Roman"/>
          <w:sz w:val="18"/>
          <w:szCs w:val="18"/>
          <w:spacing w:val="1"/>
        </w:rPr>
        <w:t>2019</w:t>
      </w:r>
      <w:r>
        <w:rPr>
          <w:rFonts w:ascii="Times New Roman" w:hAnsi="Times New Roman" w:eastAsia="Times New Roman" w:cs="Times New Roman"/>
          <w:sz w:val="18"/>
          <w:szCs w:val="18"/>
          <w:spacing w:val="-11"/>
        </w:rPr>
        <w:t xml:space="preserve"> </w:t>
      </w:r>
      <w:r>
        <w:rPr>
          <w:sz w:val="18"/>
          <w:szCs w:val="18"/>
          <w:spacing w:val="1"/>
        </w:rPr>
        <w:t>，</w:t>
      </w: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rPr>
        <w:t xml:space="preserve"> </w:t>
      </w:r>
      <w:r>
        <w:rPr>
          <w:sz w:val="18"/>
          <w:szCs w:val="18"/>
          <w:spacing w:val="-2"/>
        </w:rPr>
        <w:t>（</w:t>
      </w:r>
      <w:r>
        <w:rPr>
          <w:rFonts w:ascii="Times New Roman" w:hAnsi="Times New Roman" w:eastAsia="Times New Roman" w:cs="Times New Roman"/>
          <w:sz w:val="18"/>
          <w:szCs w:val="18"/>
          <w:spacing w:val="-2"/>
        </w:rPr>
        <w:t>05 </w:t>
      </w:r>
      <w:r>
        <w:rPr>
          <w:sz w:val="18"/>
          <w:szCs w:val="18"/>
          <w:spacing w:val="-10"/>
        </w:rPr>
        <w:t>）：</w:t>
      </w:r>
      <w:r>
        <w:rPr>
          <w:rFonts w:ascii="Times New Roman" w:hAnsi="Times New Roman" w:eastAsia="Times New Roman" w:cs="Times New Roman"/>
          <w:sz w:val="18"/>
          <w:szCs w:val="18"/>
          <w:spacing w:val="-2"/>
        </w:rPr>
        <w:t>129-132.</w:t>
      </w:r>
    </w:p>
    <w:p>
      <w:pPr>
        <w:pStyle w:val="BodyText"/>
        <w:ind w:left="898" w:right="87" w:firstLine="370"/>
        <w:spacing w:before="18" w:line="29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  </w:t>
      </w:r>
      <w:r>
        <w:rPr>
          <w:sz w:val="18"/>
          <w:szCs w:val="18"/>
        </w:rPr>
        <w:t>廉建丽</w:t>
      </w:r>
      <w:r>
        <w:rPr>
          <w:rFonts w:ascii="Times New Roman" w:hAnsi="Times New Roman" w:eastAsia="Times New Roman" w:cs="Times New Roman"/>
          <w:sz w:val="18"/>
          <w:szCs w:val="18"/>
        </w:rPr>
        <w:t>.</w:t>
      </w:r>
      <w:r>
        <w:rPr>
          <w:sz w:val="18"/>
          <w:szCs w:val="18"/>
        </w:rPr>
        <w:t>强化免疫疗法辅助治疗对咳嗽变异性哮喘患儿免疫系统及嗜酸性粒细胞的影响</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5"/>
        </w:rPr>
        <w:t xml:space="preserve"> </w:t>
      </w:r>
      <w:r>
        <w:rPr>
          <w:sz w:val="18"/>
          <w:szCs w:val="18"/>
        </w:rPr>
        <w:t>中国合理用药探索， </w:t>
      </w:r>
      <w:r>
        <w:rPr>
          <w:rFonts w:ascii="Times New Roman" w:hAnsi="Times New Roman" w:eastAsia="Times New Roman" w:cs="Times New Roman"/>
          <w:sz w:val="18"/>
          <w:szCs w:val="18"/>
          <w:spacing w:val="-7"/>
        </w:rPr>
        <w:t>2018</w:t>
      </w:r>
      <w:r>
        <w:rPr>
          <w:rFonts w:ascii="Times New Roman" w:hAnsi="Times New Roman" w:eastAsia="Times New Roman" w:cs="Times New Roman"/>
          <w:sz w:val="18"/>
          <w:szCs w:val="18"/>
          <w:spacing w:val="-15"/>
        </w:rPr>
        <w:t xml:space="preserve"> </w:t>
      </w:r>
      <w:r>
        <w:rPr>
          <w:sz w:val="18"/>
          <w:szCs w:val="18"/>
          <w:spacing w:val="-7"/>
        </w:rPr>
        <w:t>，</w:t>
      </w:r>
      <w:r>
        <w:rPr>
          <w:rFonts w:ascii="Times New Roman" w:hAnsi="Times New Roman" w:eastAsia="Times New Roman" w:cs="Times New Roman"/>
          <w:sz w:val="18"/>
          <w:szCs w:val="18"/>
          <w:spacing w:val="-7"/>
        </w:rPr>
        <w:t>15</w:t>
      </w:r>
      <w:r>
        <w:rPr>
          <w:sz w:val="18"/>
          <w:szCs w:val="18"/>
          <w:spacing w:val="-7"/>
        </w:rPr>
        <w:t>（</w:t>
      </w:r>
      <w:r>
        <w:rPr>
          <w:sz w:val="18"/>
          <w:szCs w:val="18"/>
          <w:spacing w:val="-46"/>
        </w:rPr>
        <w:t xml:space="preserve"> </w:t>
      </w:r>
      <w:r>
        <w:rPr>
          <w:rFonts w:ascii="Times New Roman" w:hAnsi="Times New Roman" w:eastAsia="Times New Roman" w:cs="Times New Roman"/>
          <w:sz w:val="18"/>
          <w:szCs w:val="18"/>
          <w:spacing w:val="-7"/>
        </w:rPr>
        <w:t>12</w:t>
      </w:r>
      <w:r>
        <w:rPr>
          <w:sz w:val="18"/>
          <w:szCs w:val="18"/>
          <w:spacing w:val="18"/>
        </w:rPr>
        <w:t>）：</w:t>
      </w:r>
      <w:r>
        <w:rPr>
          <w:rFonts w:ascii="Times New Roman" w:hAnsi="Times New Roman" w:eastAsia="Times New Roman" w:cs="Times New Roman"/>
          <w:sz w:val="18"/>
          <w:szCs w:val="18"/>
          <w:spacing w:val="-7"/>
        </w:rPr>
        <w:t>115-119.</w:t>
      </w:r>
    </w:p>
    <w:p>
      <w:pPr>
        <w:pStyle w:val="BodyText"/>
        <w:ind w:left="900" w:right="50" w:firstLine="369"/>
        <w:spacing w:before="19" w:line="2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  </w:t>
      </w:r>
      <w:r>
        <w:rPr>
          <w:sz w:val="18"/>
          <w:szCs w:val="18"/>
          <w:spacing w:val="-1"/>
        </w:rPr>
        <w:t>韩俊凤，冯雨，姜冰，董雪，张强</w:t>
      </w:r>
      <w:r>
        <w:rPr>
          <w:rFonts w:ascii="Times New Roman" w:hAnsi="Times New Roman" w:eastAsia="Times New Roman" w:cs="Times New Roman"/>
          <w:sz w:val="18"/>
          <w:szCs w:val="18"/>
          <w:spacing w:val="-1"/>
        </w:rPr>
        <w:t>.</w:t>
      </w:r>
      <w:r>
        <w:rPr>
          <w:sz w:val="18"/>
          <w:szCs w:val="18"/>
          <w:spacing w:val="-1"/>
        </w:rPr>
        <w:t>酮替芬联合沙丁胺醇气雾剂喷吸对咳嗽变异性哮喘患者嗜酸性粒</w:t>
      </w:r>
      <w:r>
        <w:rPr>
          <w:sz w:val="18"/>
          <w:szCs w:val="18"/>
          <w:spacing w:val="-2"/>
        </w:rPr>
        <w:t>细胞趋化因</w:t>
      </w:r>
      <w:r>
        <w:rPr>
          <w:sz w:val="18"/>
          <w:szCs w:val="18"/>
        </w:rPr>
        <w:t xml:space="preserve"> </w:t>
      </w:r>
      <w:r>
        <w:rPr>
          <w:sz w:val="18"/>
          <w:szCs w:val="18"/>
          <w:spacing w:val="-1"/>
        </w:rPr>
        <w:t>子与肺功能的影响</w:t>
      </w:r>
      <w:r>
        <w:rPr>
          <w:rFonts w:ascii="Times New Roman" w:hAnsi="Times New Roman" w:eastAsia="Times New Roman" w:cs="Times New Roman"/>
          <w:sz w:val="18"/>
          <w:szCs w:val="18"/>
          <w:spacing w:val="-1"/>
        </w:rPr>
        <w:t>[J].</w:t>
      </w:r>
      <w:r>
        <w:rPr>
          <w:sz w:val="18"/>
          <w:szCs w:val="18"/>
          <w:spacing w:val="-1"/>
        </w:rPr>
        <w:t>现代生物医学进展，</w:t>
      </w:r>
      <w:r>
        <w:rPr>
          <w:rFonts w:ascii="Times New Roman" w:hAnsi="Times New Roman" w:eastAsia="Times New Roman" w:cs="Times New Roman"/>
          <w:sz w:val="18"/>
          <w:szCs w:val="18"/>
          <w:spacing w:val="-1"/>
        </w:rPr>
        <w:t>2018</w:t>
      </w:r>
      <w:r>
        <w:rPr>
          <w:rFonts w:ascii="Times New Roman" w:hAnsi="Times New Roman" w:eastAsia="Times New Roman" w:cs="Times New Roman"/>
          <w:sz w:val="18"/>
          <w:szCs w:val="18"/>
          <w:spacing w:val="-15"/>
        </w:rPr>
        <w:t xml:space="preserve"> </w:t>
      </w:r>
      <w:r>
        <w:rPr>
          <w:sz w:val="18"/>
          <w:szCs w:val="18"/>
          <w:spacing w:val="-1"/>
        </w:rPr>
        <w:t>，</w:t>
      </w:r>
      <w:r>
        <w:rPr>
          <w:rFonts w:ascii="Times New Roman" w:hAnsi="Times New Roman" w:eastAsia="Times New Roman" w:cs="Times New Roman"/>
          <w:sz w:val="18"/>
          <w:szCs w:val="18"/>
          <w:spacing w:val="-1"/>
        </w:rPr>
        <w:t>18</w:t>
      </w:r>
      <w:r>
        <w:rPr>
          <w:sz w:val="18"/>
          <w:szCs w:val="18"/>
          <w:spacing w:val="-1"/>
        </w:rPr>
        <w:t>（</w:t>
      </w:r>
      <w:r>
        <w:rPr>
          <w:rFonts w:ascii="Times New Roman" w:hAnsi="Times New Roman" w:eastAsia="Times New Roman" w:cs="Times New Roman"/>
          <w:sz w:val="18"/>
          <w:szCs w:val="18"/>
          <w:spacing w:val="-1"/>
        </w:rPr>
        <w:t>20</w:t>
      </w:r>
      <w:r>
        <w:rPr>
          <w:sz w:val="18"/>
          <w:szCs w:val="18"/>
          <w:spacing w:val="3"/>
        </w:rPr>
        <w:t>）：</w:t>
      </w:r>
      <w:r>
        <w:rPr>
          <w:rFonts w:ascii="Times New Roman" w:hAnsi="Times New Roman" w:eastAsia="Times New Roman" w:cs="Times New Roman"/>
          <w:sz w:val="18"/>
          <w:szCs w:val="18"/>
          <w:spacing w:val="-1"/>
        </w:rPr>
        <w:t>3917-3921.</w:t>
      </w:r>
    </w:p>
    <w:p>
      <w:pPr>
        <w:pStyle w:val="BodyText"/>
        <w:ind w:left="900" w:right="50" w:firstLine="369"/>
        <w:spacing w:before="48" w:line="2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  </w:t>
      </w:r>
      <w:r>
        <w:rPr>
          <w:sz w:val="18"/>
          <w:szCs w:val="18"/>
          <w:spacing w:val="1"/>
        </w:rPr>
        <w:t>马莹，李竹英</w:t>
      </w:r>
      <w:r>
        <w:rPr>
          <w:rFonts w:ascii="Times New Roman" w:hAnsi="Times New Roman" w:eastAsia="Times New Roman" w:cs="Times New Roman"/>
          <w:sz w:val="18"/>
          <w:szCs w:val="18"/>
          <w:spacing w:val="1"/>
        </w:rPr>
        <w:t>.</w:t>
      </w:r>
      <w:r>
        <w:rPr>
          <w:sz w:val="18"/>
          <w:szCs w:val="18"/>
          <w:spacing w:val="1"/>
        </w:rPr>
        <w:t>疏风肃肺方对咳嗽变异性哮喘风盛挛急夹痰热证疗效及对嗜酸性粒细胞的影响</w:t>
      </w:r>
      <w:r>
        <w:rPr>
          <w:rFonts w:ascii="Times New Roman" w:hAnsi="Times New Roman" w:eastAsia="Times New Roman" w:cs="Times New Roman"/>
          <w:sz w:val="18"/>
          <w:szCs w:val="18"/>
          <w:spacing w:val="1"/>
        </w:rPr>
        <w:t>[J].</w:t>
      </w:r>
      <w:r>
        <w:rPr>
          <w:sz w:val="18"/>
          <w:szCs w:val="18"/>
          <w:spacing w:val="1"/>
        </w:rPr>
        <w:t>长春中医药大</w:t>
      </w:r>
      <w:r>
        <w:rPr>
          <w:sz w:val="18"/>
          <w:szCs w:val="18"/>
          <w:spacing w:val="10"/>
        </w:rPr>
        <w:t xml:space="preserve"> </w:t>
      </w:r>
      <w:r>
        <w:rPr>
          <w:sz w:val="18"/>
          <w:szCs w:val="18"/>
          <w:spacing w:val="-2"/>
        </w:rPr>
        <w:t>学学报，</w:t>
      </w:r>
      <w:r>
        <w:rPr>
          <w:rFonts w:ascii="Times New Roman" w:hAnsi="Times New Roman" w:eastAsia="Times New Roman" w:cs="Times New Roman"/>
          <w:sz w:val="18"/>
          <w:szCs w:val="18"/>
          <w:spacing w:val="-2"/>
        </w:rPr>
        <w:t>2018</w:t>
      </w:r>
      <w:r>
        <w:rPr>
          <w:rFonts w:ascii="Times New Roman" w:hAnsi="Times New Roman" w:eastAsia="Times New Roman" w:cs="Times New Roman"/>
          <w:sz w:val="18"/>
          <w:szCs w:val="18"/>
          <w:spacing w:val="-14"/>
        </w:rPr>
        <w:t xml:space="preserve"> </w:t>
      </w:r>
      <w:r>
        <w:rPr>
          <w:sz w:val="18"/>
          <w:szCs w:val="18"/>
          <w:spacing w:val="-2"/>
        </w:rPr>
        <w:t>，</w:t>
      </w:r>
      <w:r>
        <w:rPr>
          <w:rFonts w:ascii="Times New Roman" w:hAnsi="Times New Roman" w:eastAsia="Times New Roman" w:cs="Times New Roman"/>
          <w:sz w:val="18"/>
          <w:szCs w:val="18"/>
          <w:spacing w:val="-2"/>
        </w:rPr>
        <w:t>34</w:t>
      </w:r>
      <w:r>
        <w:rPr>
          <w:sz w:val="18"/>
          <w:szCs w:val="18"/>
          <w:spacing w:val="-2"/>
        </w:rPr>
        <w:t>（</w:t>
      </w:r>
      <w:r>
        <w:rPr>
          <w:rFonts w:ascii="Times New Roman" w:hAnsi="Times New Roman" w:eastAsia="Times New Roman" w:cs="Times New Roman"/>
          <w:sz w:val="18"/>
          <w:szCs w:val="18"/>
          <w:spacing w:val="-2"/>
        </w:rPr>
        <w:t>03</w:t>
      </w:r>
      <w:r>
        <w:rPr>
          <w:sz w:val="18"/>
          <w:szCs w:val="18"/>
          <w:spacing w:val="4"/>
        </w:rPr>
        <w:t>）：</w:t>
      </w:r>
      <w:r>
        <w:rPr>
          <w:rFonts w:ascii="Times New Roman" w:hAnsi="Times New Roman" w:eastAsia="Times New Roman" w:cs="Times New Roman"/>
          <w:sz w:val="18"/>
          <w:szCs w:val="18"/>
          <w:spacing w:val="-2"/>
        </w:rPr>
        <w:t>498-500.</w:t>
      </w:r>
    </w:p>
    <w:p>
      <w:pPr>
        <w:pStyle w:val="BodyText"/>
        <w:ind w:left="901" w:right="48" w:firstLine="368"/>
        <w:spacing w:before="31" w:line="2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[5]  </w:t>
      </w:r>
      <w:r>
        <w:rPr>
          <w:sz w:val="18"/>
          <w:szCs w:val="18"/>
          <w:spacing w:val="1"/>
        </w:rPr>
        <w:t>王超</w:t>
      </w:r>
      <w:r>
        <w:rPr>
          <w:rFonts w:ascii="Times New Roman" w:hAnsi="Times New Roman" w:eastAsia="Times New Roman" w:cs="Times New Roman"/>
          <w:sz w:val="18"/>
          <w:szCs w:val="18"/>
          <w:spacing w:val="1"/>
        </w:rPr>
        <w:t>.</w:t>
      </w:r>
      <w:r>
        <w:rPr>
          <w:sz w:val="18"/>
          <w:szCs w:val="18"/>
          <w:spacing w:val="1"/>
        </w:rPr>
        <w:t>典型哮喘与咳嗽变异性哮喘患者肺功能、气道嗜酸性粒细胞炎症及</w:t>
      </w:r>
      <w:r>
        <w:rPr>
          <w:sz w:val="18"/>
          <w:szCs w:val="18"/>
          <w:spacing w:val="-39"/>
        </w:rPr>
        <w:t xml:space="preserve"> </w:t>
      </w:r>
      <w:r>
        <w:rPr>
          <w:rFonts w:ascii="Times New Roman" w:hAnsi="Times New Roman" w:eastAsia="Times New Roman" w:cs="Times New Roman"/>
          <w:sz w:val="18"/>
          <w:szCs w:val="18"/>
        </w:rPr>
        <w:t>FeNO</w:t>
      </w:r>
      <w:r>
        <w:rPr>
          <w:rFonts w:ascii="Times New Roman" w:hAnsi="Times New Roman" w:eastAsia="Times New Roman" w:cs="Times New Roman"/>
          <w:sz w:val="18"/>
          <w:szCs w:val="18"/>
          <w:spacing w:val="1"/>
        </w:rPr>
        <w:t xml:space="preserve"> </w:t>
      </w:r>
      <w:r>
        <w:rPr>
          <w:sz w:val="18"/>
          <w:szCs w:val="18"/>
          <w:spacing w:val="1"/>
        </w:rPr>
        <w:t>水平差异分析</w:t>
      </w:r>
      <w:r>
        <w:rPr>
          <w:rFonts w:ascii="Times New Roman" w:hAnsi="Times New Roman" w:eastAsia="Times New Roman" w:cs="Times New Roman"/>
          <w:sz w:val="18"/>
          <w:szCs w:val="18"/>
          <w:spacing w:val="1"/>
        </w:rPr>
        <w:t>[J].</w:t>
      </w:r>
      <w:r>
        <w:rPr>
          <w:rFonts w:ascii="Times New Roman" w:hAnsi="Times New Roman" w:eastAsia="Times New Roman" w:cs="Times New Roman"/>
          <w:sz w:val="18"/>
          <w:szCs w:val="18"/>
          <w:spacing w:val="-22"/>
        </w:rPr>
        <w:t xml:space="preserve"> </w:t>
      </w:r>
      <w:r>
        <w:rPr>
          <w:sz w:val="18"/>
          <w:szCs w:val="18"/>
          <w:spacing w:val="1"/>
        </w:rPr>
        <w:t>国际</w:t>
      </w:r>
      <w:r>
        <w:rPr>
          <w:sz w:val="18"/>
          <w:szCs w:val="18"/>
        </w:rPr>
        <w:t>检验医学 </w:t>
      </w:r>
      <w:r>
        <w:rPr>
          <w:sz w:val="18"/>
          <w:szCs w:val="18"/>
          <w:spacing w:val="-3"/>
        </w:rPr>
        <w:t>杂志，</w:t>
      </w:r>
      <w:r>
        <w:rPr>
          <w:rFonts w:ascii="Times New Roman" w:hAnsi="Times New Roman" w:eastAsia="Times New Roman" w:cs="Times New Roman"/>
          <w:sz w:val="18"/>
          <w:szCs w:val="18"/>
          <w:spacing w:val="-3"/>
        </w:rPr>
        <w:t>2018</w:t>
      </w:r>
      <w:r>
        <w:rPr>
          <w:rFonts w:ascii="Times New Roman" w:hAnsi="Times New Roman" w:eastAsia="Times New Roman" w:cs="Times New Roman"/>
          <w:sz w:val="18"/>
          <w:szCs w:val="18"/>
          <w:spacing w:val="-14"/>
        </w:rPr>
        <w:t xml:space="preserve"> </w:t>
      </w:r>
      <w:r>
        <w:rPr>
          <w:sz w:val="18"/>
          <w:szCs w:val="18"/>
          <w:spacing w:val="-3"/>
        </w:rPr>
        <w:t>，</w:t>
      </w:r>
      <w:r>
        <w:rPr>
          <w:rFonts w:ascii="Times New Roman" w:hAnsi="Times New Roman" w:eastAsia="Times New Roman" w:cs="Times New Roman"/>
          <w:sz w:val="18"/>
          <w:szCs w:val="18"/>
          <w:spacing w:val="-3"/>
        </w:rPr>
        <w:t>39</w:t>
      </w:r>
      <w:r>
        <w:rPr>
          <w:sz w:val="18"/>
          <w:szCs w:val="18"/>
          <w:spacing w:val="-3"/>
        </w:rPr>
        <w:t>（</w:t>
      </w:r>
      <w:r>
        <w:rPr>
          <w:rFonts w:ascii="Times New Roman" w:hAnsi="Times New Roman" w:eastAsia="Times New Roman" w:cs="Times New Roman"/>
          <w:sz w:val="18"/>
          <w:szCs w:val="18"/>
          <w:spacing w:val="-3"/>
        </w:rPr>
        <w:t>09</w:t>
      </w:r>
      <w:r>
        <w:rPr>
          <w:sz w:val="18"/>
          <w:szCs w:val="18"/>
          <w:spacing w:val="9"/>
        </w:rPr>
        <w:t>）：</w:t>
      </w:r>
      <w:r>
        <w:rPr>
          <w:rFonts w:ascii="Times New Roman" w:hAnsi="Times New Roman" w:eastAsia="Times New Roman" w:cs="Times New Roman"/>
          <w:sz w:val="18"/>
          <w:szCs w:val="18"/>
          <w:spacing w:val="-3"/>
        </w:rPr>
        <w:t>1137-1139.</w:t>
      </w:r>
    </w:p>
    <w:p>
      <w:pPr>
        <w:spacing w:line="312" w:lineRule="auto"/>
        <w:rPr>
          <w:rFonts w:ascii="Arial"/>
          <w:sz w:val="21"/>
        </w:rPr>
      </w:pPr>
      <w:r/>
    </w:p>
    <w:p>
      <w:pPr>
        <w:spacing w:line="312" w:lineRule="auto"/>
        <w:rPr>
          <w:rFonts w:ascii="Arial"/>
          <w:sz w:val="21"/>
        </w:rPr>
      </w:pPr>
      <w:r/>
    </w:p>
    <w:p>
      <w:pPr>
        <w:pStyle w:val="BodyText"/>
        <w:ind w:left="1771"/>
        <w:spacing w:before="114" w:line="223" w:lineRule="auto"/>
        <w:outlineLvl w:val="0"/>
        <w:rPr>
          <w:sz w:val="35"/>
          <w:szCs w:val="35"/>
        </w:rPr>
      </w:pPr>
      <w:r>
        <w:rPr>
          <w:sz w:val="35"/>
          <w:szCs w:val="35"/>
          <w:b/>
          <w:bCs/>
          <w:spacing w:val="6"/>
        </w:rPr>
        <w:t>急性盆腔炎患者开展系统护理对疼痛的影响分析</w:t>
      </w:r>
    </w:p>
    <w:p>
      <w:pPr>
        <w:ind w:left="5241"/>
        <w:spacing w:before="235" w:line="229" w:lineRule="auto"/>
        <w:rPr>
          <w:rFonts w:ascii="KaiTi" w:hAnsi="KaiTi" w:eastAsia="KaiTi" w:cs="KaiTi"/>
          <w:sz w:val="20"/>
          <w:szCs w:val="20"/>
        </w:rPr>
      </w:pPr>
      <w:r>
        <w:rPr>
          <w:rFonts w:ascii="KaiTi" w:hAnsi="KaiTi" w:eastAsia="KaiTi" w:cs="KaiTi"/>
          <w:sz w:val="20"/>
          <w:szCs w:val="20"/>
          <w:spacing w:val="5"/>
        </w:rPr>
        <w:t>方幼芳</w:t>
      </w:r>
    </w:p>
    <w:p>
      <w:pPr>
        <w:ind w:left="4605"/>
        <w:spacing w:before="93" w:line="226" w:lineRule="auto"/>
        <w:rPr>
          <w:rFonts w:ascii="KaiTi" w:hAnsi="KaiTi" w:eastAsia="KaiTi" w:cs="KaiTi"/>
          <w:sz w:val="20"/>
          <w:szCs w:val="20"/>
        </w:rPr>
      </w:pPr>
      <w:r>
        <w:rPr>
          <w:rFonts w:ascii="KaiTi" w:hAnsi="KaiTi" w:eastAsia="KaiTi" w:cs="KaiTi"/>
          <w:sz w:val="20"/>
          <w:szCs w:val="20"/>
          <w:spacing w:val="2"/>
        </w:rPr>
        <w:t>（</w:t>
      </w:r>
      <w:r>
        <w:rPr>
          <w:rFonts w:ascii="KaiTi" w:hAnsi="KaiTi" w:eastAsia="KaiTi" w:cs="KaiTi"/>
          <w:sz w:val="20"/>
          <w:szCs w:val="20"/>
          <w:spacing w:val="-39"/>
        </w:rPr>
        <w:t xml:space="preserve"> </w:t>
      </w:r>
      <w:r>
        <w:rPr>
          <w:rFonts w:ascii="KaiTi" w:hAnsi="KaiTi" w:eastAsia="KaiTi" w:cs="KaiTi"/>
          <w:sz w:val="20"/>
          <w:szCs w:val="20"/>
          <w:spacing w:val="2"/>
        </w:rPr>
        <w:t>慈溪市龙山医院）</w:t>
      </w:r>
    </w:p>
    <w:p>
      <w:pPr>
        <w:spacing w:line="367" w:lineRule="auto"/>
        <w:rPr>
          <w:rFonts w:ascii="Arial"/>
          <w:sz w:val="21"/>
        </w:rPr>
      </w:pPr>
      <w:r/>
    </w:p>
    <w:p>
      <w:pPr>
        <w:ind w:left="899" w:firstLine="37"/>
        <w:spacing w:before="66" w:line="313" w:lineRule="auto"/>
        <w:rPr>
          <w:rFonts w:ascii="KaiTi" w:hAnsi="KaiTi" w:eastAsia="KaiTi" w:cs="KaiTi"/>
          <w:sz w:val="20"/>
          <w:szCs w:val="20"/>
        </w:rPr>
      </w:pPr>
      <w:r>
        <w:rPr>
          <w:rFonts w:ascii="SimHei" w:hAnsi="SimHei" w:eastAsia="SimHei" w:cs="SimHei"/>
          <w:sz w:val="20"/>
          <w:szCs w:val="20"/>
          <w:spacing w:val="7"/>
        </w:rPr>
        <w:t>[摘要]</w:t>
      </w:r>
      <w:r>
        <w:rPr>
          <w:rFonts w:ascii="SimHei" w:hAnsi="SimHei" w:eastAsia="SimHei" w:cs="SimHei"/>
          <w:sz w:val="20"/>
          <w:szCs w:val="20"/>
          <w:spacing w:val="7"/>
        </w:rPr>
        <w:t xml:space="preserve">  </w:t>
      </w:r>
      <w:r>
        <w:rPr>
          <w:rFonts w:ascii="SimHei" w:hAnsi="SimHei" w:eastAsia="SimHei" w:cs="SimHei"/>
          <w:sz w:val="20"/>
          <w:szCs w:val="20"/>
          <w:spacing w:val="7"/>
        </w:rPr>
        <w:t>目的：</w:t>
      </w:r>
      <w:r>
        <w:rPr>
          <w:rFonts w:ascii="KaiTi" w:hAnsi="KaiTi" w:eastAsia="KaiTi" w:cs="KaiTi"/>
          <w:sz w:val="20"/>
          <w:szCs w:val="20"/>
          <w:spacing w:val="7"/>
        </w:rPr>
        <w:t>分析系统护理对急性盆腔炎患者疼痛的影响。</w:t>
      </w:r>
      <w:r>
        <w:rPr>
          <w:rFonts w:ascii="SimHei" w:hAnsi="SimHei" w:eastAsia="SimHei" w:cs="SimHei"/>
          <w:sz w:val="20"/>
          <w:szCs w:val="20"/>
          <w:spacing w:val="7"/>
        </w:rPr>
        <w:t>方法：</w:t>
      </w:r>
      <w:r>
        <w:rPr>
          <w:rFonts w:ascii="KaiTi" w:hAnsi="KaiTi" w:eastAsia="KaiTi" w:cs="KaiTi"/>
          <w:sz w:val="20"/>
          <w:szCs w:val="20"/>
          <w:spacing w:val="7"/>
        </w:rPr>
        <w:t>选取</w:t>
      </w:r>
      <w:r>
        <w:rPr>
          <w:rFonts w:ascii="KaiTi" w:hAnsi="KaiTi" w:eastAsia="KaiTi" w:cs="KaiTi"/>
          <w:sz w:val="20"/>
          <w:szCs w:val="20"/>
          <w:spacing w:val="-30"/>
        </w:rPr>
        <w:t xml:space="preserve"> </w:t>
      </w:r>
      <w:r>
        <w:rPr>
          <w:rFonts w:ascii="KaiTi" w:hAnsi="KaiTi" w:eastAsia="KaiTi" w:cs="KaiTi"/>
          <w:sz w:val="20"/>
          <w:szCs w:val="20"/>
          <w:spacing w:val="7"/>
        </w:rPr>
        <w:t>90</w:t>
      </w:r>
      <w:r>
        <w:rPr>
          <w:rFonts w:ascii="KaiTi" w:hAnsi="KaiTi" w:eastAsia="KaiTi" w:cs="KaiTi"/>
          <w:sz w:val="20"/>
          <w:szCs w:val="20"/>
          <w:spacing w:val="-39"/>
        </w:rPr>
        <w:t xml:space="preserve"> </w:t>
      </w:r>
      <w:r>
        <w:rPr>
          <w:rFonts w:ascii="KaiTi" w:hAnsi="KaiTi" w:eastAsia="KaiTi" w:cs="KaiTi"/>
          <w:sz w:val="20"/>
          <w:szCs w:val="20"/>
          <w:spacing w:val="7"/>
        </w:rPr>
        <w:t>例急性盆腔炎</w:t>
      </w:r>
      <w:r>
        <w:rPr>
          <w:rFonts w:ascii="KaiTi" w:hAnsi="KaiTi" w:eastAsia="KaiTi" w:cs="KaiTi"/>
          <w:sz w:val="20"/>
          <w:szCs w:val="20"/>
          <w:spacing w:val="6"/>
        </w:rPr>
        <w:t>患者作为本</w:t>
      </w:r>
      <w:r>
        <w:rPr>
          <w:rFonts w:ascii="KaiTi" w:hAnsi="KaiTi" w:eastAsia="KaiTi" w:cs="KaiTi"/>
          <w:sz w:val="20"/>
          <w:szCs w:val="20"/>
        </w:rPr>
        <w:t xml:space="preserve"> </w:t>
      </w:r>
      <w:r>
        <w:rPr>
          <w:rFonts w:ascii="KaiTi" w:hAnsi="KaiTi" w:eastAsia="KaiTi" w:cs="KaiTi"/>
          <w:sz w:val="20"/>
          <w:szCs w:val="20"/>
          <w:spacing w:val="8"/>
        </w:rPr>
        <w:t>次研究对象，将其分为常规组与实验组，每组</w:t>
      </w:r>
      <w:r>
        <w:rPr>
          <w:rFonts w:ascii="KaiTi" w:hAnsi="KaiTi" w:eastAsia="KaiTi" w:cs="KaiTi"/>
          <w:sz w:val="20"/>
          <w:szCs w:val="20"/>
          <w:spacing w:val="-31"/>
        </w:rPr>
        <w:t xml:space="preserve"> </w:t>
      </w:r>
      <w:r>
        <w:rPr>
          <w:rFonts w:ascii="KaiTi" w:hAnsi="KaiTi" w:eastAsia="KaiTi" w:cs="KaiTi"/>
          <w:sz w:val="20"/>
          <w:szCs w:val="20"/>
          <w:spacing w:val="8"/>
        </w:rPr>
        <w:t>45</w:t>
      </w:r>
      <w:r>
        <w:rPr>
          <w:rFonts w:ascii="KaiTi" w:hAnsi="KaiTi" w:eastAsia="KaiTi" w:cs="KaiTi"/>
          <w:sz w:val="20"/>
          <w:szCs w:val="20"/>
          <w:spacing w:val="-37"/>
        </w:rPr>
        <w:t xml:space="preserve"> </w:t>
      </w:r>
      <w:r>
        <w:rPr>
          <w:rFonts w:ascii="KaiTi" w:hAnsi="KaiTi" w:eastAsia="KaiTi" w:cs="KaiTi"/>
          <w:sz w:val="20"/>
          <w:szCs w:val="20"/>
          <w:spacing w:val="8"/>
        </w:rPr>
        <w:t>例。常规组患者实施常规护理，实验组患者实施系统</w:t>
      </w:r>
      <w:r>
        <w:rPr>
          <w:rFonts w:ascii="KaiTi" w:hAnsi="KaiTi" w:eastAsia="KaiTi" w:cs="KaiTi"/>
          <w:sz w:val="20"/>
          <w:szCs w:val="20"/>
        </w:rPr>
        <w:t xml:space="preserve"> </w:t>
      </w:r>
      <w:r>
        <w:rPr>
          <w:rFonts w:ascii="KaiTi" w:hAnsi="KaiTi" w:eastAsia="KaiTi" w:cs="KaiTi"/>
          <w:sz w:val="20"/>
          <w:szCs w:val="20"/>
          <w:spacing w:val="10"/>
        </w:rPr>
        <w:t>护理，对比两组患者疼痛缓解情况。</w:t>
      </w:r>
      <w:r>
        <w:rPr>
          <w:rFonts w:ascii="SimHei" w:hAnsi="SimHei" w:eastAsia="SimHei" w:cs="SimHei"/>
          <w:sz w:val="20"/>
          <w:szCs w:val="20"/>
          <w:spacing w:val="10"/>
        </w:rPr>
        <w:t>结果：</w:t>
      </w:r>
      <w:r>
        <w:rPr>
          <w:rFonts w:ascii="SimHei" w:hAnsi="SimHei" w:eastAsia="SimHei" w:cs="SimHei"/>
          <w:sz w:val="20"/>
          <w:szCs w:val="20"/>
          <w:spacing w:val="-51"/>
        </w:rPr>
        <w:t xml:space="preserve"> </w:t>
      </w:r>
      <w:r>
        <w:rPr>
          <w:rFonts w:ascii="KaiTi" w:hAnsi="KaiTi" w:eastAsia="KaiTi" w:cs="KaiTi"/>
          <w:sz w:val="20"/>
          <w:szCs w:val="20"/>
          <w:spacing w:val="10"/>
        </w:rPr>
        <w:t>实验组患者疼痛缓解率明显高于常规组，实验组患者护理</w:t>
      </w:r>
      <w:r>
        <w:rPr>
          <w:rFonts w:ascii="KaiTi" w:hAnsi="KaiTi" w:eastAsia="KaiTi" w:cs="KaiTi"/>
          <w:sz w:val="20"/>
          <w:szCs w:val="20"/>
        </w:rPr>
        <w:t xml:space="preserve"> </w:t>
      </w:r>
      <w:r>
        <w:rPr>
          <w:rFonts w:ascii="KaiTi" w:hAnsi="KaiTi" w:eastAsia="KaiTi" w:cs="KaiTi"/>
          <w:sz w:val="20"/>
          <w:szCs w:val="20"/>
          <w:spacing w:val="5"/>
        </w:rPr>
        <w:t>满意度为</w:t>
      </w:r>
      <w:r>
        <w:rPr>
          <w:rFonts w:ascii="KaiTi" w:hAnsi="KaiTi" w:eastAsia="KaiTi" w:cs="KaiTi"/>
          <w:sz w:val="20"/>
          <w:szCs w:val="20"/>
          <w:spacing w:val="-29"/>
        </w:rPr>
        <w:t xml:space="preserve"> </w:t>
      </w:r>
      <w:r>
        <w:rPr>
          <w:rFonts w:ascii="KaiTi" w:hAnsi="KaiTi" w:eastAsia="KaiTi" w:cs="KaiTi"/>
          <w:sz w:val="20"/>
          <w:szCs w:val="20"/>
          <w:spacing w:val="5"/>
        </w:rPr>
        <w:t>95.6%，明显高于常规组</w:t>
      </w:r>
      <w:r>
        <w:rPr>
          <w:rFonts w:ascii="KaiTi" w:hAnsi="KaiTi" w:eastAsia="KaiTi" w:cs="KaiTi"/>
          <w:sz w:val="20"/>
          <w:szCs w:val="20"/>
          <w:spacing w:val="-27"/>
        </w:rPr>
        <w:t xml:space="preserve"> </w:t>
      </w:r>
      <w:r>
        <w:rPr>
          <w:rFonts w:ascii="KaiTi" w:hAnsi="KaiTi" w:eastAsia="KaiTi" w:cs="KaiTi"/>
          <w:sz w:val="20"/>
          <w:szCs w:val="20"/>
          <w:spacing w:val="5"/>
        </w:rPr>
        <w:t>80.0%，P＜</w:t>
      </w:r>
      <w:r>
        <w:rPr>
          <w:rFonts w:ascii="KaiTi" w:hAnsi="KaiTi" w:eastAsia="KaiTi" w:cs="KaiTi"/>
          <w:sz w:val="20"/>
          <w:szCs w:val="20"/>
          <w:spacing w:val="-47"/>
        </w:rPr>
        <w:t xml:space="preserve"> </w:t>
      </w:r>
      <w:r>
        <w:rPr>
          <w:rFonts w:ascii="KaiTi" w:hAnsi="KaiTi" w:eastAsia="KaiTi" w:cs="KaiTi"/>
          <w:sz w:val="20"/>
          <w:szCs w:val="20"/>
          <w:spacing w:val="5"/>
        </w:rPr>
        <w:t>0.05，两组数据组间差异明显，具有</w:t>
      </w:r>
      <w:r>
        <w:rPr>
          <w:rFonts w:ascii="KaiTi" w:hAnsi="KaiTi" w:eastAsia="KaiTi" w:cs="KaiTi"/>
          <w:sz w:val="20"/>
          <w:szCs w:val="20"/>
          <w:spacing w:val="4"/>
        </w:rPr>
        <w:t>统计学意义。</w:t>
      </w:r>
      <w:r>
        <w:rPr>
          <w:rFonts w:ascii="SimHei" w:hAnsi="SimHei" w:eastAsia="SimHei" w:cs="SimHei"/>
          <w:sz w:val="20"/>
          <w:szCs w:val="20"/>
          <w:spacing w:val="4"/>
        </w:rPr>
        <w:t>结论：</w:t>
      </w:r>
      <w:r>
        <w:rPr>
          <w:rFonts w:ascii="SimHei" w:hAnsi="SimHei" w:eastAsia="SimHei" w:cs="SimHei"/>
          <w:sz w:val="20"/>
          <w:szCs w:val="20"/>
        </w:rPr>
        <w:t xml:space="preserve"> </w:t>
      </w:r>
      <w:r>
        <w:rPr>
          <w:rFonts w:ascii="KaiTi" w:hAnsi="KaiTi" w:eastAsia="KaiTi" w:cs="KaiTi"/>
          <w:sz w:val="20"/>
          <w:szCs w:val="20"/>
          <w:spacing w:val="10"/>
        </w:rPr>
        <w:t>在急性盆腔炎患者护理中应用系统护理干预，能够有效缓</w:t>
      </w:r>
      <w:r>
        <w:rPr>
          <w:rFonts w:ascii="KaiTi" w:hAnsi="KaiTi" w:eastAsia="KaiTi" w:cs="KaiTi"/>
          <w:sz w:val="20"/>
          <w:szCs w:val="20"/>
          <w:spacing w:val="9"/>
        </w:rPr>
        <w:t>解患者疼痛，可广泛应用在临床护理中。</w:t>
      </w:r>
    </w:p>
    <w:p>
      <w:pPr>
        <w:ind w:left="936"/>
        <w:spacing w:before="2" w:line="223" w:lineRule="auto"/>
        <w:rPr>
          <w:rFonts w:ascii="KaiTi" w:hAnsi="KaiTi" w:eastAsia="KaiTi" w:cs="KaiTi"/>
          <w:sz w:val="20"/>
          <w:szCs w:val="20"/>
        </w:rPr>
      </w:pPr>
      <w:r>
        <w:rPr>
          <w:rFonts w:ascii="SimHei" w:hAnsi="SimHei" w:eastAsia="SimHei" w:cs="SimHei"/>
          <w:sz w:val="20"/>
          <w:szCs w:val="20"/>
          <w:spacing w:val="4"/>
        </w:rPr>
        <w:t>[关键词]</w:t>
      </w:r>
      <w:r>
        <w:rPr>
          <w:rFonts w:ascii="SimHei" w:hAnsi="SimHei" w:eastAsia="SimHei" w:cs="SimHei"/>
          <w:sz w:val="20"/>
          <w:szCs w:val="20"/>
          <w:spacing w:val="4"/>
        </w:rPr>
        <w:t xml:space="preserve">  </w:t>
      </w:r>
      <w:r>
        <w:rPr>
          <w:rFonts w:ascii="KaiTi" w:hAnsi="KaiTi" w:eastAsia="KaiTi" w:cs="KaiTi"/>
          <w:sz w:val="20"/>
          <w:szCs w:val="20"/>
          <w:spacing w:val="4"/>
        </w:rPr>
        <w:t>急性盆腔炎；</w:t>
      </w:r>
      <w:r>
        <w:rPr>
          <w:rFonts w:ascii="KaiTi" w:hAnsi="KaiTi" w:eastAsia="KaiTi" w:cs="KaiTi"/>
          <w:sz w:val="20"/>
          <w:szCs w:val="20"/>
          <w:spacing w:val="-31"/>
        </w:rPr>
        <w:t xml:space="preserve"> </w:t>
      </w:r>
      <w:r>
        <w:rPr>
          <w:rFonts w:ascii="KaiTi" w:hAnsi="KaiTi" w:eastAsia="KaiTi" w:cs="KaiTi"/>
          <w:sz w:val="20"/>
          <w:szCs w:val="20"/>
          <w:spacing w:val="4"/>
        </w:rPr>
        <w:t>系统护理；疼痛程度</w:t>
      </w:r>
    </w:p>
    <w:p>
      <w:pPr>
        <w:spacing w:line="370" w:lineRule="auto"/>
        <w:rPr>
          <w:rFonts w:ascii="Arial"/>
          <w:sz w:val="21"/>
        </w:rPr>
      </w:pPr>
      <w:r/>
    </w:p>
    <w:p>
      <w:pPr>
        <w:pStyle w:val="BodyText"/>
        <w:ind w:left="896" w:right="55" w:firstLine="423"/>
        <w:spacing w:before="66" w:line="314" w:lineRule="auto"/>
        <w:jc w:val="both"/>
        <w:rPr/>
      </w:pPr>
      <w:r>
        <w:rPr>
          <w:spacing w:val="10"/>
        </w:rPr>
        <w:t>在临床妇科疾病中，急性盆腔炎是较为常见的一种疾病，该疾病具有发病急、时间短等特点</w:t>
      </w:r>
      <w:r>
        <w:rPr>
          <w:spacing w:val="-50"/>
        </w:rPr>
        <w:t xml:space="preserve"> </w:t>
      </w:r>
      <w:r>
        <w:rPr>
          <w:spacing w:val="10"/>
        </w:rPr>
        <w:t>，主</w:t>
      </w:r>
      <w:r>
        <w:rPr/>
        <w:t xml:space="preserve"> </w:t>
      </w:r>
      <w:r>
        <w:rPr>
          <w:spacing w:val="9"/>
        </w:rPr>
        <w:t>要临床症状为疼痛、发热</w:t>
      </w:r>
      <w:r>
        <w:rPr>
          <w:rFonts w:ascii="Times New Roman" w:hAnsi="Times New Roman" w:eastAsia="Times New Roman" w:cs="Times New Roman"/>
          <w:sz w:val="13"/>
          <w:szCs w:val="13"/>
          <w:spacing w:val="9"/>
          <w:position w:val="6"/>
        </w:rPr>
        <w:t>[1-2]</w:t>
      </w:r>
      <w:r>
        <w:rPr>
          <w:rFonts w:ascii="Times New Roman" w:hAnsi="Times New Roman" w:eastAsia="Times New Roman" w:cs="Times New Roman"/>
          <w:sz w:val="13"/>
          <w:szCs w:val="13"/>
          <w:spacing w:val="-9"/>
          <w:position w:val="6"/>
        </w:rPr>
        <w:t xml:space="preserve"> </w:t>
      </w:r>
      <w:r>
        <w:rPr>
          <w:spacing w:val="9"/>
        </w:rPr>
        <w:t>。在多种表征当中，疼痛</w:t>
      </w:r>
      <w:r>
        <w:rPr>
          <w:spacing w:val="8"/>
        </w:rPr>
        <w:t>症状是患者很难忍受并需要得到快速缓解，故而</w:t>
      </w:r>
      <w:r>
        <w:rPr/>
        <w:t xml:space="preserve"> </w:t>
      </w:r>
      <w:r>
        <w:rPr>
          <w:spacing w:val="11"/>
        </w:rPr>
        <w:t>在护理过程中，应当重视缓解患者疼痛感，实施有效、科学的护理措施，对于提高患者治疗效果与依</w:t>
      </w:r>
      <w:r>
        <w:rPr>
          <w:spacing w:val="10"/>
        </w:rPr>
        <w:t xml:space="preserve"> </w:t>
      </w:r>
      <w:r>
        <w:rPr>
          <w:spacing w:val="10"/>
        </w:rPr>
        <w:t>从性有很大作用。本次研究主要分析系统护理对急性盆腔</w:t>
      </w:r>
      <w:r>
        <w:rPr>
          <w:spacing w:val="9"/>
        </w:rPr>
        <w:t>炎患者疼痛的影响，具体报道如下：</w:t>
      </w:r>
    </w:p>
    <w:p>
      <w:pPr>
        <w:ind w:left="915"/>
        <w:spacing w:before="1" w:line="225" w:lineRule="auto"/>
        <w:outlineLvl w:val="0"/>
        <w:rPr>
          <w:rFonts w:ascii="SimHei" w:hAnsi="SimHei" w:eastAsia="SimHei" w:cs="SimHei"/>
          <w:sz w:val="20"/>
          <w:szCs w:val="20"/>
        </w:rPr>
      </w:pPr>
      <w:r>
        <w:rPr>
          <w:rFonts w:ascii="SimHei" w:hAnsi="SimHei" w:eastAsia="SimHei" w:cs="SimHei"/>
          <w:sz w:val="20"/>
          <w:szCs w:val="20"/>
          <w:spacing w:val="3"/>
        </w:rPr>
        <w:t>1</w:t>
      </w:r>
      <w:r>
        <w:rPr>
          <w:rFonts w:ascii="SimHei" w:hAnsi="SimHei" w:eastAsia="SimHei" w:cs="SimHei"/>
          <w:sz w:val="20"/>
          <w:szCs w:val="20"/>
          <w:spacing w:val="13"/>
        </w:rPr>
        <w:t xml:space="preserve">  </w:t>
      </w:r>
      <w:r>
        <w:rPr>
          <w:rFonts w:ascii="SimHei" w:hAnsi="SimHei" w:eastAsia="SimHei" w:cs="SimHei"/>
          <w:sz w:val="20"/>
          <w:szCs w:val="20"/>
          <w:spacing w:val="3"/>
        </w:rPr>
        <w:t>资料与方法</w:t>
      </w:r>
    </w:p>
    <w:p>
      <w:pPr>
        <w:pStyle w:val="BodyText"/>
        <w:ind w:left="919"/>
        <w:spacing w:before="65" w:line="274" w:lineRule="exact"/>
        <w:rPr/>
      </w:pPr>
      <w:r>
        <w:rPr>
          <w:rFonts w:ascii="Times New Roman" w:hAnsi="Times New Roman" w:eastAsia="Times New Roman" w:cs="Times New Roman"/>
          <w:spacing w:val="3"/>
          <w:position w:val="1"/>
        </w:rPr>
        <w:t>1.1    </w:t>
      </w:r>
      <w:r>
        <w:rPr>
          <w:spacing w:val="3"/>
          <w:position w:val="1"/>
        </w:rPr>
        <w:t>一般资料</w:t>
      </w:r>
    </w:p>
    <w:p>
      <w:pPr>
        <w:pStyle w:val="BodyText"/>
        <w:ind w:left="898" w:right="53" w:firstLine="420"/>
        <w:spacing w:before="66" w:line="311" w:lineRule="auto"/>
        <w:jc w:val="both"/>
        <w:rPr/>
      </w:pPr>
      <w:r>
        <w:rPr>
          <w:spacing w:val="7"/>
        </w:rPr>
        <w:t>选取我院在</w:t>
      </w:r>
      <w:r>
        <w:rPr>
          <w:spacing w:val="-41"/>
        </w:rPr>
        <w:t xml:space="preserve"> </w:t>
      </w:r>
      <w:r>
        <w:rPr>
          <w:rFonts w:ascii="Times New Roman" w:hAnsi="Times New Roman" w:eastAsia="Times New Roman" w:cs="Times New Roman"/>
          <w:spacing w:val="7"/>
        </w:rPr>
        <w:t>2018 </w:t>
      </w:r>
      <w:r>
        <w:rPr>
          <w:spacing w:val="7"/>
        </w:rPr>
        <w:t>年</w:t>
      </w:r>
      <w:r>
        <w:rPr>
          <w:spacing w:val="-20"/>
        </w:rPr>
        <w:t xml:space="preserve"> </w:t>
      </w:r>
      <w:r>
        <w:rPr>
          <w:rFonts w:ascii="Times New Roman" w:hAnsi="Times New Roman" w:eastAsia="Times New Roman" w:cs="Times New Roman"/>
          <w:spacing w:val="7"/>
        </w:rPr>
        <w:t>1 </w:t>
      </w:r>
      <w:r>
        <w:rPr>
          <w:spacing w:val="7"/>
        </w:rPr>
        <w:t>月至</w:t>
      </w:r>
      <w:r>
        <w:rPr>
          <w:spacing w:val="-41"/>
        </w:rPr>
        <w:t xml:space="preserve"> </w:t>
      </w:r>
      <w:r>
        <w:rPr>
          <w:rFonts w:ascii="Times New Roman" w:hAnsi="Times New Roman" w:eastAsia="Times New Roman" w:cs="Times New Roman"/>
          <w:spacing w:val="7"/>
        </w:rPr>
        <w:t>2019 </w:t>
      </w:r>
      <w:r>
        <w:rPr>
          <w:spacing w:val="7"/>
        </w:rPr>
        <w:t>年</w:t>
      </w:r>
      <w:r>
        <w:rPr>
          <w:spacing w:val="-21"/>
        </w:rPr>
        <w:t xml:space="preserve"> </w:t>
      </w:r>
      <w:r>
        <w:rPr>
          <w:rFonts w:ascii="Times New Roman" w:hAnsi="Times New Roman" w:eastAsia="Times New Roman" w:cs="Times New Roman"/>
          <w:spacing w:val="7"/>
        </w:rPr>
        <w:t>10 </w:t>
      </w:r>
      <w:r>
        <w:rPr>
          <w:spacing w:val="7"/>
        </w:rPr>
        <w:t>月期间</w:t>
      </w:r>
      <w:r>
        <w:rPr>
          <w:spacing w:val="-59"/>
        </w:rPr>
        <w:t xml:space="preserve"> </w:t>
      </w:r>
      <w:r>
        <w:rPr>
          <w:spacing w:val="7"/>
        </w:rPr>
        <w:t>，共收治</w:t>
      </w:r>
      <w:r>
        <w:rPr>
          <w:spacing w:val="-37"/>
        </w:rPr>
        <w:t xml:space="preserve"> </w:t>
      </w:r>
      <w:r>
        <w:rPr>
          <w:rFonts w:ascii="Times New Roman" w:hAnsi="Times New Roman" w:eastAsia="Times New Roman" w:cs="Times New Roman"/>
          <w:spacing w:val="7"/>
        </w:rPr>
        <w:t>90 </w:t>
      </w:r>
      <w:r>
        <w:rPr>
          <w:spacing w:val="7"/>
        </w:rPr>
        <w:t>例急性盆</w:t>
      </w:r>
      <w:r>
        <w:rPr>
          <w:spacing w:val="6"/>
        </w:rPr>
        <w:t>腔炎患者作为本次研究对象，</w:t>
      </w:r>
      <w:r>
        <w:rPr/>
        <w:t xml:space="preserve"> </w:t>
      </w:r>
      <w:r>
        <w:rPr>
          <w:spacing w:val="10"/>
        </w:rPr>
        <w:t>按照不同护理措施，将其分为常规组与实验组，每组</w:t>
      </w:r>
      <w:r>
        <w:rPr>
          <w:spacing w:val="-41"/>
        </w:rPr>
        <w:t xml:space="preserve"> </w:t>
      </w:r>
      <w:r>
        <w:rPr>
          <w:rFonts w:ascii="Times New Roman" w:hAnsi="Times New Roman" w:eastAsia="Times New Roman" w:cs="Times New Roman"/>
          <w:spacing w:val="10"/>
        </w:rPr>
        <w:t>45 </w:t>
      </w:r>
      <w:r>
        <w:rPr>
          <w:spacing w:val="10"/>
        </w:rPr>
        <w:t>例。常规组患者最高年龄为</w:t>
      </w:r>
      <w:r>
        <w:rPr>
          <w:spacing w:val="-36"/>
        </w:rPr>
        <w:t xml:space="preserve"> </w:t>
      </w:r>
      <w:r>
        <w:rPr>
          <w:rFonts w:ascii="Times New Roman" w:hAnsi="Times New Roman" w:eastAsia="Times New Roman" w:cs="Times New Roman"/>
          <w:spacing w:val="10"/>
        </w:rPr>
        <w:t>60 </w:t>
      </w:r>
      <w:r>
        <w:rPr>
          <w:spacing w:val="10"/>
        </w:rPr>
        <w:t>岁，最低年龄</w:t>
      </w:r>
      <w:r>
        <w:rPr/>
        <w:t xml:space="preserve"> </w:t>
      </w:r>
      <w:r>
        <w:rPr>
          <w:spacing w:val="7"/>
        </w:rPr>
        <w:t>为</w:t>
      </w:r>
      <w:r>
        <w:rPr>
          <w:spacing w:val="-43"/>
        </w:rPr>
        <w:t xml:space="preserve"> </w:t>
      </w:r>
      <w:r>
        <w:rPr>
          <w:rFonts w:ascii="Times New Roman" w:hAnsi="Times New Roman" w:eastAsia="Times New Roman" w:cs="Times New Roman"/>
          <w:spacing w:val="7"/>
        </w:rPr>
        <w:t>22 </w:t>
      </w:r>
      <w:r>
        <w:rPr>
          <w:spacing w:val="7"/>
        </w:rPr>
        <w:t>岁，平均年龄为（</w:t>
      </w:r>
      <w:r>
        <w:rPr>
          <w:rFonts w:ascii="Times New Roman" w:hAnsi="Times New Roman" w:eastAsia="Times New Roman" w:cs="Times New Roman"/>
          <w:spacing w:val="7"/>
        </w:rPr>
        <w:t>37.9 </w:t>
      </w:r>
      <w:r>
        <w:rPr>
          <w:spacing w:val="7"/>
        </w:rPr>
        <w:t>±</w:t>
      </w:r>
      <w:r>
        <w:rPr>
          <w:rFonts w:ascii="Times New Roman" w:hAnsi="Times New Roman" w:eastAsia="Times New Roman" w:cs="Times New Roman"/>
          <w:spacing w:val="7"/>
        </w:rPr>
        <w:t>2.4</w:t>
      </w:r>
      <w:r>
        <w:rPr>
          <w:spacing w:val="7"/>
        </w:rPr>
        <w:t>）岁，其中有</w:t>
      </w:r>
      <w:r>
        <w:rPr>
          <w:spacing w:val="-39"/>
        </w:rPr>
        <w:t xml:space="preserve"> </w:t>
      </w:r>
      <w:r>
        <w:rPr>
          <w:rFonts w:ascii="Times New Roman" w:hAnsi="Times New Roman" w:eastAsia="Times New Roman" w:cs="Times New Roman"/>
          <w:spacing w:val="7"/>
        </w:rPr>
        <w:t>30 </w:t>
      </w:r>
      <w:r>
        <w:rPr>
          <w:spacing w:val="7"/>
        </w:rPr>
        <w:t>例患者是由于妇科手术而引发的疼痛，</w:t>
      </w:r>
      <w:r>
        <w:rPr>
          <w:rFonts w:ascii="Times New Roman" w:hAnsi="Times New Roman" w:eastAsia="Times New Roman" w:cs="Times New Roman"/>
          <w:spacing w:val="7"/>
        </w:rPr>
        <w:t>15 </w:t>
      </w:r>
      <w:r>
        <w:rPr>
          <w:spacing w:val="7"/>
        </w:rPr>
        <w:t>例患者未</w:t>
      </w:r>
    </w:p>
    <w:p>
      <w:pPr>
        <w:spacing w:line="311" w:lineRule="auto"/>
        <w:sectPr>
          <w:headerReference w:type="default" r:id="rId1"/>
          <w:footerReference w:type="default" r:id="rId2"/>
          <w:pgSz w:w="11906" w:h="16839"/>
          <w:pgMar w:top="1653" w:right="1249" w:bottom="1483" w:left="407" w:header="1228" w:footer="1209" w:gutter="0"/>
        </w:sectPr>
        <w:rPr/>
      </w:pPr>
    </w:p>
    <w:p>
      <w:pPr>
        <w:pStyle w:val="BodyText"/>
        <w:ind w:left="896" w:firstLine="19"/>
        <w:spacing w:before="221" w:line="311" w:lineRule="auto"/>
        <w:jc w:val="both"/>
        <w:rPr/>
      </w:pPr>
      <w:r>
        <w:rPr>
          <w:spacing w:val="5"/>
        </w:rPr>
        <w:t>明原因；实验组患者最高年龄为</w:t>
      </w:r>
      <w:r>
        <w:rPr>
          <w:spacing w:val="-33"/>
        </w:rPr>
        <w:t xml:space="preserve"> </w:t>
      </w:r>
      <w:r>
        <w:rPr>
          <w:rFonts w:ascii="Times New Roman" w:hAnsi="Times New Roman" w:eastAsia="Times New Roman" w:cs="Times New Roman"/>
          <w:spacing w:val="5"/>
        </w:rPr>
        <w:t>62 </w:t>
      </w:r>
      <w:r>
        <w:rPr>
          <w:spacing w:val="5"/>
        </w:rPr>
        <w:t>岁，最低年龄为</w:t>
      </w:r>
      <w:r>
        <w:rPr>
          <w:spacing w:val="-43"/>
        </w:rPr>
        <w:t xml:space="preserve"> </w:t>
      </w:r>
      <w:r>
        <w:rPr>
          <w:rFonts w:ascii="Times New Roman" w:hAnsi="Times New Roman" w:eastAsia="Times New Roman" w:cs="Times New Roman"/>
          <w:spacing w:val="5"/>
        </w:rPr>
        <w:t>25 </w:t>
      </w:r>
      <w:r>
        <w:rPr>
          <w:spacing w:val="5"/>
        </w:rPr>
        <w:t>岁，平均年龄为（</w:t>
      </w:r>
      <w:r>
        <w:rPr>
          <w:rFonts w:ascii="Times New Roman" w:hAnsi="Times New Roman" w:eastAsia="Times New Roman" w:cs="Times New Roman"/>
          <w:spacing w:val="5"/>
        </w:rPr>
        <w:t>38.8 </w:t>
      </w:r>
      <w:r>
        <w:rPr>
          <w:spacing w:val="5"/>
        </w:rPr>
        <w:t>±</w:t>
      </w:r>
      <w:r>
        <w:rPr>
          <w:rFonts w:ascii="Times New Roman" w:hAnsi="Times New Roman" w:eastAsia="Times New Roman" w:cs="Times New Roman"/>
          <w:spacing w:val="5"/>
        </w:rPr>
        <w:t>3.1</w:t>
      </w:r>
      <w:r>
        <w:rPr>
          <w:rFonts w:ascii="Times New Roman" w:hAnsi="Times New Roman" w:eastAsia="Times New Roman" w:cs="Times New Roman"/>
          <w:spacing w:val="-21"/>
        </w:rPr>
        <w:t xml:space="preserve"> </w:t>
      </w:r>
      <w:r>
        <w:rPr>
          <w:spacing w:val="5"/>
        </w:rPr>
        <w:t>）岁，其中</w:t>
      </w:r>
      <w:r>
        <w:rPr>
          <w:spacing w:val="-43"/>
        </w:rPr>
        <w:t xml:space="preserve"> </w:t>
      </w:r>
      <w:r>
        <w:rPr>
          <w:rFonts w:ascii="Times New Roman" w:hAnsi="Times New Roman" w:eastAsia="Times New Roman" w:cs="Times New Roman"/>
          <w:spacing w:val="5"/>
        </w:rPr>
        <w:t>28 </w:t>
      </w:r>
      <w:r>
        <w:rPr>
          <w:spacing w:val="5"/>
        </w:rPr>
        <w:t>例患</w:t>
      </w:r>
      <w:r>
        <w:rPr/>
        <w:t xml:space="preserve"> </w:t>
      </w:r>
      <w:r>
        <w:rPr>
          <w:spacing w:val="7"/>
        </w:rPr>
        <w:t>者是由于妇科手术而引发的疼痛，</w:t>
      </w:r>
      <w:r>
        <w:rPr>
          <w:rFonts w:ascii="Times New Roman" w:hAnsi="Times New Roman" w:eastAsia="Times New Roman" w:cs="Times New Roman"/>
          <w:spacing w:val="7"/>
        </w:rPr>
        <w:t>17 </w:t>
      </w:r>
      <w:r>
        <w:rPr>
          <w:spacing w:val="7"/>
        </w:rPr>
        <w:t>例患者未明原因。纳入标准</w:t>
      </w:r>
      <w:r>
        <w:rPr>
          <w:spacing w:val="-25"/>
        </w:rPr>
        <w:t>：（</w:t>
      </w:r>
      <w:r>
        <w:rPr>
          <w:spacing w:val="-47"/>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20"/>
        </w:rPr>
        <w:t xml:space="preserve"> </w:t>
      </w:r>
      <w:r>
        <w:rPr>
          <w:spacing w:val="7"/>
        </w:rPr>
        <w:t>）本次研究经我院医学伦</w:t>
      </w:r>
      <w:r>
        <w:rPr>
          <w:spacing w:val="6"/>
        </w:rPr>
        <w:t>理委员</w:t>
      </w:r>
      <w:r>
        <w:rPr/>
        <w:t xml:space="preserve"> </w:t>
      </w:r>
      <w:r>
        <w:rPr>
          <w:spacing w:val="9"/>
        </w:rPr>
        <w:t>会批准</w:t>
      </w:r>
      <w:r>
        <w:rPr>
          <w:spacing w:val="-49"/>
          <w:w w:val="91"/>
        </w:rPr>
        <w:t>；（</w:t>
      </w:r>
      <w:r>
        <w:rPr>
          <w:rFonts w:ascii="Times New Roman" w:hAnsi="Times New Roman" w:eastAsia="Times New Roman" w:cs="Times New Roman"/>
          <w:spacing w:val="9"/>
        </w:rPr>
        <w:t>2</w:t>
      </w:r>
      <w:r>
        <w:rPr>
          <w:spacing w:val="9"/>
        </w:rPr>
        <w:t>）经我院医学伦理委员会批准，患者及患者家属均知晓本次研究内容，自愿加入到研究中；</w:t>
      </w:r>
    </w:p>
    <w:p>
      <w:pPr>
        <w:pStyle w:val="BodyText"/>
        <w:ind w:left="900" w:right="64" w:hanging="10"/>
        <w:spacing w:before="10" w:line="309" w:lineRule="auto"/>
        <w:rPr/>
      </w:pPr>
      <w:r>
        <w:rPr>
          <w:spacing w:val="10"/>
        </w:rPr>
        <w:t>（</w:t>
      </w:r>
      <w:r>
        <w:rPr>
          <w:rFonts w:ascii="Times New Roman" w:hAnsi="Times New Roman" w:eastAsia="Times New Roman" w:cs="Times New Roman"/>
          <w:spacing w:val="10"/>
        </w:rPr>
        <w:t>3</w:t>
      </w:r>
      <w:r>
        <w:rPr>
          <w:spacing w:val="10"/>
        </w:rPr>
        <w:t>）均确诊为急性盆腔炎。排除标准</w:t>
      </w:r>
      <w:r>
        <w:rPr>
          <w:spacing w:val="-24"/>
        </w:rPr>
        <w:t>：（</w:t>
      </w:r>
      <w:r>
        <w:rPr>
          <w:spacing w:val="-45"/>
        </w:rPr>
        <w:t xml:space="preserve"> </w:t>
      </w:r>
      <w:r>
        <w:rPr>
          <w:rFonts w:ascii="Times New Roman" w:hAnsi="Times New Roman" w:eastAsia="Times New Roman" w:cs="Times New Roman"/>
          <w:spacing w:val="10"/>
        </w:rPr>
        <w:t>1</w:t>
      </w:r>
      <w:r>
        <w:rPr>
          <w:rFonts w:ascii="Times New Roman" w:hAnsi="Times New Roman" w:eastAsia="Times New Roman" w:cs="Times New Roman"/>
          <w:spacing w:val="-23"/>
        </w:rPr>
        <w:t xml:space="preserve"> </w:t>
      </w:r>
      <w:r>
        <w:rPr>
          <w:spacing w:val="10"/>
        </w:rPr>
        <w:t>）严重精神疾病者</w:t>
      </w:r>
      <w:r>
        <w:rPr>
          <w:spacing w:val="-24"/>
        </w:rPr>
        <w:t>；（</w:t>
      </w:r>
      <w:r>
        <w:rPr>
          <w:rFonts w:ascii="Times New Roman" w:hAnsi="Times New Roman" w:eastAsia="Times New Roman" w:cs="Times New Roman"/>
          <w:spacing w:val="10"/>
        </w:rPr>
        <w:t>2</w:t>
      </w:r>
      <w:r>
        <w:rPr>
          <w:spacing w:val="10"/>
        </w:rPr>
        <w:t>）妊娠期或哺乳期者。对比两组患</w:t>
      </w:r>
      <w:r>
        <w:rPr/>
        <w:t xml:space="preserve"> </w:t>
      </w:r>
      <w:r>
        <w:rPr>
          <w:spacing w:val="4"/>
        </w:rPr>
        <w:t>者一般资料</w:t>
      </w:r>
      <w:r>
        <w:rPr>
          <w:spacing w:val="-51"/>
        </w:rPr>
        <w:t xml:space="preserve"> </w:t>
      </w:r>
      <w:r>
        <w:rPr>
          <w:rFonts w:ascii="Times New Roman" w:hAnsi="Times New Roman" w:eastAsia="Times New Roman" w:cs="Times New Roman"/>
          <w:i/>
          <w:iCs/>
          <w:spacing w:val="4"/>
        </w:rPr>
        <w:t>P</w:t>
      </w:r>
      <w:r>
        <w:rPr>
          <w:rFonts w:ascii="Times New Roman" w:hAnsi="Times New Roman" w:eastAsia="Times New Roman" w:cs="Times New Roman"/>
          <w:i/>
          <w:iCs/>
          <w:spacing w:val="-20"/>
        </w:rPr>
        <w:t xml:space="preserve"> </w:t>
      </w:r>
      <w:r>
        <w:rPr>
          <w:spacing w:val="4"/>
        </w:rPr>
        <w:t>＞</w:t>
      </w:r>
      <w:r>
        <w:rPr>
          <w:rFonts w:ascii="Times New Roman" w:hAnsi="Times New Roman" w:eastAsia="Times New Roman" w:cs="Times New Roman"/>
          <w:spacing w:val="4"/>
        </w:rPr>
        <w:t>0.05</w:t>
      </w:r>
      <w:r>
        <w:rPr>
          <w:rFonts w:ascii="Times New Roman" w:hAnsi="Times New Roman" w:eastAsia="Times New Roman" w:cs="Times New Roman"/>
          <w:spacing w:val="-13"/>
        </w:rPr>
        <w:t xml:space="preserve"> </w:t>
      </w:r>
      <w:r>
        <w:rPr>
          <w:spacing w:val="4"/>
        </w:rPr>
        <w:t>，可进行对比。</w:t>
      </w:r>
    </w:p>
    <w:p>
      <w:pPr>
        <w:pStyle w:val="BodyText"/>
        <w:ind w:left="919"/>
        <w:spacing w:before="9" w:line="274" w:lineRule="exact"/>
        <w:rPr/>
      </w:pPr>
      <w:r>
        <w:rPr>
          <w:rFonts w:ascii="Times New Roman" w:hAnsi="Times New Roman" w:eastAsia="Times New Roman" w:cs="Times New Roman"/>
          <w:spacing w:val="2"/>
          <w:position w:val="1"/>
        </w:rPr>
        <w:t>1.2</w:t>
      </w:r>
      <w:r>
        <w:rPr>
          <w:rFonts w:ascii="Times New Roman" w:hAnsi="Times New Roman" w:eastAsia="Times New Roman" w:cs="Times New Roman"/>
          <w:spacing w:val="5"/>
          <w:position w:val="1"/>
        </w:rPr>
        <w:t xml:space="preserve">    </w:t>
      </w:r>
      <w:r>
        <w:rPr>
          <w:spacing w:val="2"/>
          <w:position w:val="1"/>
        </w:rPr>
        <w:t>护理方法</w:t>
      </w:r>
    </w:p>
    <w:p>
      <w:pPr>
        <w:pStyle w:val="BodyText"/>
        <w:ind w:left="1325"/>
        <w:spacing w:before="96" w:line="278" w:lineRule="exact"/>
        <w:rPr/>
      </w:pPr>
      <w:r>
        <w:rPr>
          <w:spacing w:val="9"/>
          <w:position w:val="1"/>
        </w:rPr>
        <w:t>常规组：实施常规护理措施，其中包括指导患者用药、血压检测等。</w:t>
      </w:r>
    </w:p>
    <w:p>
      <w:pPr>
        <w:pStyle w:val="BodyText"/>
        <w:ind w:left="898" w:right="62" w:firstLine="423"/>
        <w:spacing w:before="30" w:line="314" w:lineRule="auto"/>
        <w:jc w:val="both"/>
        <w:rPr/>
      </w:pPr>
      <w:r>
        <w:rPr>
          <w:spacing w:val="8"/>
        </w:rPr>
        <w:t>实验组：实施系统护理干预措施，主要操作如下</w:t>
      </w:r>
      <w:r>
        <w:rPr>
          <w:spacing w:val="-12"/>
        </w:rPr>
        <w:t>：（</w:t>
      </w:r>
      <w:r>
        <w:rPr>
          <w:spacing w:val="-44"/>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21"/>
        </w:rPr>
        <w:t xml:space="preserve"> </w:t>
      </w:r>
      <w:r>
        <w:rPr>
          <w:spacing w:val="8"/>
        </w:rPr>
        <w:t>）</w:t>
      </w:r>
      <w:r>
        <w:rPr>
          <w:spacing w:val="7"/>
        </w:rPr>
        <w:t>在患者休息时，调整其体位为半卧位，便</w:t>
      </w:r>
      <w:r>
        <w:rPr/>
        <w:t xml:space="preserve"> </w:t>
      </w:r>
      <w:r>
        <w:rPr>
          <w:spacing w:val="11"/>
        </w:rPr>
        <w:t>于积聚脓液，防止炎症向着周围组织扩散，将其局限于子宫直肠陷窝</w:t>
      </w:r>
      <w:r>
        <w:rPr>
          <w:spacing w:val="-37"/>
        </w:rPr>
        <w:t>；（</w:t>
      </w:r>
      <w:r>
        <w:rPr>
          <w:rFonts w:ascii="Times New Roman" w:hAnsi="Times New Roman" w:eastAsia="Times New Roman" w:cs="Times New Roman"/>
          <w:spacing w:val="11"/>
        </w:rPr>
        <w:t>2</w:t>
      </w:r>
      <w:r>
        <w:rPr>
          <w:spacing w:val="11"/>
        </w:rPr>
        <w:t>）重视对外阴部进行清洗，</w:t>
      </w:r>
      <w:r>
        <w:rPr>
          <w:spacing w:val="1"/>
        </w:rPr>
        <w:t xml:space="preserve"> </w:t>
      </w:r>
      <w:r>
        <w:rPr>
          <w:spacing w:val="10"/>
        </w:rPr>
        <w:t>特别是阴道存在流血症状者，应每天擦洗外阴，清洗温度略高于体</w:t>
      </w:r>
      <w:r>
        <w:rPr>
          <w:spacing w:val="9"/>
        </w:rPr>
        <w:t>温，在</w:t>
      </w:r>
      <w:r>
        <w:rPr>
          <w:spacing w:val="-41"/>
        </w:rPr>
        <w:t xml:space="preserve"> </w:t>
      </w:r>
      <w:r>
        <w:rPr>
          <w:rFonts w:ascii="Times New Roman" w:hAnsi="Times New Roman" w:eastAsia="Times New Roman" w:cs="Times New Roman"/>
          <w:spacing w:val="9"/>
        </w:rPr>
        <w:t>42</w:t>
      </w:r>
      <w:r>
        <w:rPr>
          <w:spacing w:val="9"/>
        </w:rPr>
        <w:t>℃即可，为了防止出现感</w:t>
      </w:r>
      <w:r>
        <w:rPr/>
        <w:t xml:space="preserve"> </w:t>
      </w:r>
      <w:r>
        <w:rPr>
          <w:spacing w:val="11"/>
        </w:rPr>
        <w:t>染现象，在实施冲洗前，应将阴道口堵住，可使用医用棉球来保护阴道，防止冲洗液进入阴道中；重</w:t>
      </w:r>
      <w:r>
        <w:rPr>
          <w:spacing w:val="8"/>
        </w:rPr>
        <w:t xml:space="preserve"> </w:t>
      </w:r>
      <w:r>
        <w:rPr>
          <w:spacing w:val="11"/>
        </w:rPr>
        <w:t>视会阴部护理工作，尤其是对于会阴部有伤口患者，应仔细观察期伤口周围情况，检查伤口有无出现</w:t>
      </w:r>
      <w:r>
        <w:rPr>
          <w:spacing w:val="8"/>
        </w:rPr>
        <w:t xml:space="preserve"> </w:t>
      </w:r>
      <w:r>
        <w:rPr>
          <w:spacing w:val="11"/>
        </w:rPr>
        <w:t>红肿现象</w:t>
      </w:r>
      <w:r>
        <w:rPr>
          <w:spacing w:val="-40"/>
        </w:rPr>
        <w:t>；（</w:t>
      </w:r>
      <w:r>
        <w:rPr>
          <w:rFonts w:ascii="Times New Roman" w:hAnsi="Times New Roman" w:eastAsia="Times New Roman" w:cs="Times New Roman"/>
          <w:spacing w:val="11"/>
        </w:rPr>
        <w:t>3</w:t>
      </w:r>
      <w:r>
        <w:rPr>
          <w:spacing w:val="11"/>
        </w:rPr>
        <w:t>）密切监测患者各项指标变化，观察患者的用药反应，一旦患者出现任何异常现象，及</w:t>
      </w:r>
      <w:r>
        <w:rPr/>
        <w:t xml:space="preserve"> </w:t>
      </w:r>
      <w:r>
        <w:rPr>
          <w:spacing w:val="10"/>
        </w:rPr>
        <w:t>时告知医师采取相应处理措施；热敷患者下腹部，对患</w:t>
      </w:r>
      <w:r>
        <w:rPr>
          <w:spacing w:val="9"/>
        </w:rPr>
        <w:t>者采取抗感染治疗，定期更换敷料。</w:t>
      </w:r>
    </w:p>
    <w:p>
      <w:pPr>
        <w:pStyle w:val="BodyText"/>
        <w:ind w:left="919"/>
        <w:spacing w:line="274" w:lineRule="exact"/>
        <w:rPr/>
      </w:pPr>
      <w:r>
        <w:rPr>
          <w:rFonts w:ascii="Times New Roman" w:hAnsi="Times New Roman" w:eastAsia="Times New Roman" w:cs="Times New Roman"/>
          <w:spacing w:val="5"/>
          <w:position w:val="1"/>
        </w:rPr>
        <w:t>1.3  </w:t>
      </w:r>
      <w:r>
        <w:rPr>
          <w:spacing w:val="5"/>
          <w:position w:val="1"/>
        </w:rPr>
        <w:t>观察指标及评价标准</w:t>
      </w:r>
    </w:p>
    <w:p>
      <w:pPr>
        <w:pStyle w:val="BodyText"/>
        <w:ind w:left="897" w:right="66" w:firstLine="420"/>
        <w:spacing w:before="69" w:line="313" w:lineRule="auto"/>
        <w:jc w:val="both"/>
        <w:rPr/>
      </w:pPr>
      <w:r>
        <w:rPr>
          <w:spacing w:val="9"/>
        </w:rPr>
        <w:t>对比两组患者护理后疼痛缓解情况及护理满意度</w:t>
      </w:r>
      <w:r>
        <w:rPr>
          <w:spacing w:val="-34"/>
        </w:rPr>
        <w:t>，（</w:t>
      </w:r>
      <w:r>
        <w:rPr>
          <w:spacing w:val="-47"/>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21"/>
        </w:rPr>
        <w:t xml:space="preserve"> </w:t>
      </w:r>
      <w:r>
        <w:rPr>
          <w:spacing w:val="9"/>
        </w:rPr>
        <w:t>）疼痛缓解分为无效</w:t>
      </w:r>
      <w:r>
        <w:rPr>
          <w:spacing w:val="8"/>
        </w:rPr>
        <w:t>、疼痛减轻以及基本缓</w:t>
      </w:r>
      <w:r>
        <w:rPr/>
        <w:t xml:space="preserve"> </w:t>
      </w:r>
      <w:r>
        <w:rPr>
          <w:spacing w:val="11"/>
        </w:rPr>
        <w:t>解，①无效指的是患者疼痛情况并未得到改善；②疼痛减轻指的是患者疼痛感偶发或者是部分消失，</w:t>
      </w:r>
      <w:r>
        <w:rPr>
          <w:spacing w:val="12"/>
        </w:rPr>
        <w:t xml:space="preserve"> </w:t>
      </w:r>
      <w:r>
        <w:rPr>
          <w:spacing w:val="9"/>
        </w:rPr>
        <w:t>能够正常休息；③彻底缓解指的是患者疼痛感基本消失。（</w:t>
      </w:r>
      <w:r>
        <w:rPr>
          <w:rFonts w:ascii="Times New Roman" w:hAnsi="Times New Roman" w:eastAsia="Times New Roman" w:cs="Times New Roman"/>
          <w:spacing w:val="9"/>
        </w:rPr>
        <w:t>2</w:t>
      </w:r>
      <w:r>
        <w:rPr>
          <w:spacing w:val="9"/>
        </w:rPr>
        <w:t>）护理满意度：采取</w:t>
      </w:r>
      <w:r>
        <w:rPr>
          <w:spacing w:val="8"/>
        </w:rPr>
        <w:t>我院自制调查表来评</w:t>
      </w:r>
      <w:r>
        <w:rPr/>
        <w:t xml:space="preserve"> </w:t>
      </w:r>
      <w:r>
        <w:rPr>
          <w:spacing w:val="8"/>
        </w:rPr>
        <w:t>价患者满意度，总分为</w:t>
      </w:r>
      <w:r>
        <w:rPr>
          <w:spacing w:val="-21"/>
        </w:rPr>
        <w:t xml:space="preserve"> </w:t>
      </w:r>
      <w:r>
        <w:rPr>
          <w:rFonts w:ascii="Times New Roman" w:hAnsi="Times New Roman" w:eastAsia="Times New Roman" w:cs="Times New Roman"/>
          <w:spacing w:val="8"/>
        </w:rPr>
        <w:t>100 </w:t>
      </w:r>
      <w:r>
        <w:rPr>
          <w:spacing w:val="8"/>
        </w:rPr>
        <w:t>分，分值越高，则代表患者满意度越高。</w:t>
      </w:r>
    </w:p>
    <w:p>
      <w:pPr>
        <w:pStyle w:val="BodyText"/>
        <w:ind w:left="919"/>
        <w:spacing w:line="274" w:lineRule="exact"/>
        <w:rPr/>
      </w:pPr>
      <w:r>
        <w:rPr>
          <w:rFonts w:ascii="Times New Roman" w:hAnsi="Times New Roman" w:eastAsia="Times New Roman" w:cs="Times New Roman"/>
          <w:spacing w:val="1"/>
          <w:position w:val="1"/>
        </w:rPr>
        <w:t>1.4</w:t>
      </w:r>
      <w:r>
        <w:rPr>
          <w:rFonts w:ascii="Times New Roman" w:hAnsi="Times New Roman" w:eastAsia="Times New Roman" w:cs="Times New Roman"/>
          <w:spacing w:val="7"/>
          <w:position w:val="1"/>
        </w:rPr>
        <w:t xml:space="preserve">  </w:t>
      </w:r>
      <w:r>
        <w:rPr>
          <w:spacing w:val="1"/>
          <w:position w:val="1"/>
        </w:rPr>
        <w:t>统计学</w:t>
      </w:r>
    </w:p>
    <w:p>
      <w:pPr>
        <w:pStyle w:val="BodyText"/>
        <w:ind w:left="890" w:right="64" w:firstLine="427"/>
        <w:spacing w:before="66" w:line="311" w:lineRule="auto"/>
        <w:rPr/>
      </w:pPr>
      <w:r>
        <w:rPr>
          <w:spacing w:val="9"/>
        </w:rPr>
        <w:t>对本次研究中的测量和统计数据使用</w:t>
      </w:r>
      <w:r>
        <w:rPr>
          <w:spacing w:val="-31"/>
        </w:rPr>
        <w:t xml:space="preserve"> </w:t>
      </w:r>
      <w:r>
        <w:rPr>
          <w:rFonts w:ascii="Times New Roman" w:hAnsi="Times New Roman" w:eastAsia="Times New Roman" w:cs="Times New Roman"/>
        </w:rPr>
        <w:t>SPSS</w:t>
      </w:r>
      <w:r>
        <w:rPr>
          <w:rFonts w:ascii="Times New Roman" w:hAnsi="Times New Roman" w:eastAsia="Times New Roman" w:cs="Times New Roman"/>
          <w:spacing w:val="9"/>
        </w:rPr>
        <w:t>19.0</w:t>
      </w:r>
      <w:r>
        <w:rPr>
          <w:rFonts w:ascii="Times New Roman" w:hAnsi="Times New Roman" w:eastAsia="Times New Roman" w:cs="Times New Roman"/>
          <w:spacing w:val="8"/>
        </w:rPr>
        <w:t xml:space="preserve"> </w:t>
      </w:r>
      <w:r>
        <w:rPr>
          <w:spacing w:val="8"/>
        </w:rPr>
        <w:t>统计软件进行计算处理，对其统计的计数资料采用</w:t>
      </w:r>
      <w:r>
        <w:rPr/>
        <w:t xml:space="preserve"> </w:t>
      </w:r>
      <w:r>
        <w:rPr>
          <w:spacing w:val="8"/>
        </w:rPr>
        <w:t>（</w:t>
      </w:r>
      <w:r>
        <w:rPr>
          <w:rFonts w:ascii="Times New Roman" w:hAnsi="Times New Roman" w:eastAsia="Times New Roman" w:cs="Times New Roman"/>
          <w:spacing w:val="8"/>
        </w:rPr>
        <w:t>%</w:t>
      </w:r>
      <w:r>
        <w:rPr>
          <w:spacing w:val="8"/>
        </w:rPr>
        <w:t>）表示，使用（</w:t>
      </w:r>
      <w:r>
        <w:rPr>
          <w:rFonts w:ascii="Times New Roman" w:hAnsi="Times New Roman" w:eastAsia="Times New Roman" w:cs="Times New Roman"/>
          <w:spacing w:val="8"/>
        </w:rPr>
        <w:t>x2</w:t>
      </w:r>
      <w:r>
        <w:rPr>
          <w:spacing w:val="8"/>
        </w:rPr>
        <w:t>）进行数据检测校验，</w:t>
      </w:r>
      <w:r>
        <w:rPr>
          <w:rFonts w:ascii="Times New Roman" w:hAnsi="Times New Roman" w:eastAsia="Times New Roman" w:cs="Times New Roman"/>
          <w:spacing w:val="8"/>
        </w:rPr>
        <w:t>P</w:t>
      </w:r>
      <w:r>
        <w:rPr>
          <w:spacing w:val="8"/>
        </w:rPr>
        <w:t>＜</w:t>
      </w:r>
      <w:r>
        <w:rPr>
          <w:spacing w:val="-58"/>
        </w:rPr>
        <w:t xml:space="preserve"> </w:t>
      </w:r>
      <w:r>
        <w:rPr>
          <w:rFonts w:ascii="Times New Roman" w:hAnsi="Times New Roman" w:eastAsia="Times New Roman" w:cs="Times New Roman"/>
          <w:spacing w:val="8"/>
        </w:rPr>
        <w:t>0.</w:t>
      </w:r>
      <w:r>
        <w:rPr>
          <w:rFonts w:ascii="Times New Roman" w:hAnsi="Times New Roman" w:eastAsia="Times New Roman" w:cs="Times New Roman"/>
          <w:spacing w:val="7"/>
        </w:rPr>
        <w:t>05 </w:t>
      </w:r>
      <w:r>
        <w:rPr>
          <w:spacing w:val="7"/>
        </w:rPr>
        <w:t>表示差异具有统计学意义。</w:t>
      </w:r>
    </w:p>
    <w:p>
      <w:pPr>
        <w:ind w:left="905"/>
        <w:spacing w:before="38" w:line="230" w:lineRule="auto"/>
        <w:outlineLvl w:val="0"/>
        <w:rPr>
          <w:rFonts w:ascii="SimHei" w:hAnsi="SimHei" w:eastAsia="SimHei" w:cs="SimHei"/>
          <w:sz w:val="20"/>
          <w:szCs w:val="20"/>
        </w:rPr>
      </w:pPr>
      <w:r>
        <w:rPr>
          <w:rFonts w:ascii="SimHei" w:hAnsi="SimHei" w:eastAsia="SimHei" w:cs="SimHei"/>
          <w:sz w:val="20"/>
          <w:szCs w:val="20"/>
        </w:rPr>
        <w:t>2</w:t>
      </w:r>
      <w:r>
        <w:rPr>
          <w:rFonts w:ascii="SimHei" w:hAnsi="SimHei" w:eastAsia="SimHei" w:cs="SimHei"/>
          <w:sz w:val="20"/>
          <w:szCs w:val="20"/>
          <w:spacing w:val="12"/>
        </w:rPr>
        <w:t xml:space="preserve">  </w:t>
      </w:r>
      <w:r>
        <w:rPr>
          <w:rFonts w:ascii="SimHei" w:hAnsi="SimHei" w:eastAsia="SimHei" w:cs="SimHei"/>
          <w:sz w:val="20"/>
          <w:szCs w:val="20"/>
        </w:rPr>
        <w:t>结果</w:t>
      </w:r>
    </w:p>
    <w:p>
      <w:pPr>
        <w:pStyle w:val="BodyText"/>
        <w:ind w:left="899"/>
        <w:spacing w:before="59" w:line="275" w:lineRule="exact"/>
        <w:rPr/>
      </w:pPr>
      <w:r>
        <w:rPr>
          <w:rFonts w:ascii="Times New Roman" w:hAnsi="Times New Roman" w:eastAsia="Times New Roman" w:cs="Times New Roman"/>
          <w:spacing w:val="8"/>
          <w:position w:val="1"/>
        </w:rPr>
        <w:t>2.1  </w:t>
      </w:r>
      <w:r>
        <w:rPr>
          <w:spacing w:val="8"/>
          <w:position w:val="1"/>
        </w:rPr>
        <w:t>对比两组急性盆腔炎患者疼痛缓解情况</w:t>
      </w:r>
    </w:p>
    <w:p>
      <w:pPr>
        <w:pStyle w:val="BodyText"/>
        <w:ind w:left="900" w:right="66" w:firstLine="421"/>
        <w:spacing w:before="67" w:line="309" w:lineRule="auto"/>
        <w:rPr/>
      </w:pPr>
      <w:r>
        <w:rPr>
          <w:spacing w:val="8"/>
        </w:rPr>
        <w:t>实验组患者疼痛缓解率明显高于常规组，</w:t>
      </w:r>
      <w:r>
        <w:rPr>
          <w:rFonts w:ascii="Times New Roman" w:hAnsi="Times New Roman" w:eastAsia="Times New Roman" w:cs="Times New Roman"/>
          <w:spacing w:val="8"/>
        </w:rPr>
        <w:t>P</w:t>
      </w:r>
      <w:r>
        <w:rPr>
          <w:rFonts w:ascii="Times New Roman" w:hAnsi="Times New Roman" w:eastAsia="Times New Roman" w:cs="Times New Roman"/>
          <w:spacing w:val="-16"/>
        </w:rPr>
        <w:t xml:space="preserve"> </w:t>
      </w:r>
      <w:r>
        <w:rPr>
          <w:spacing w:val="8"/>
        </w:rPr>
        <w:t>＜</w:t>
      </w:r>
      <w:r>
        <w:rPr>
          <w:rFonts w:ascii="Times New Roman" w:hAnsi="Times New Roman" w:eastAsia="Times New Roman" w:cs="Times New Roman"/>
          <w:spacing w:val="8"/>
        </w:rPr>
        <w:t>0.05</w:t>
      </w:r>
      <w:r>
        <w:rPr>
          <w:rFonts w:ascii="Times New Roman" w:hAnsi="Times New Roman" w:eastAsia="Times New Roman" w:cs="Times New Roman"/>
          <w:spacing w:val="-15"/>
        </w:rPr>
        <w:t xml:space="preserve"> </w:t>
      </w:r>
      <w:r>
        <w:rPr>
          <w:spacing w:val="8"/>
        </w:rPr>
        <w:t>，两</w:t>
      </w:r>
      <w:r>
        <w:rPr>
          <w:spacing w:val="7"/>
        </w:rPr>
        <w:t>组数据组间差异明显，具有统计学意义，见</w:t>
      </w:r>
      <w:r>
        <w:rPr/>
        <w:t xml:space="preserve"> </w:t>
      </w:r>
      <w:r>
        <w:rPr>
          <w:spacing w:val="-6"/>
        </w:rPr>
        <w:t>表</w:t>
      </w:r>
      <w:r>
        <w:rPr>
          <w:spacing w:val="-23"/>
        </w:rPr>
        <w:t xml:space="preserve"> </w:t>
      </w:r>
      <w:r>
        <w:rPr>
          <w:rFonts w:ascii="Times New Roman" w:hAnsi="Times New Roman" w:eastAsia="Times New Roman" w:cs="Times New Roman"/>
          <w:spacing w:val="-6"/>
        </w:rPr>
        <w:t>1</w:t>
      </w:r>
      <w:r>
        <w:rPr>
          <w:spacing w:val="-6"/>
        </w:rPr>
        <w:t>。</w:t>
      </w:r>
    </w:p>
    <w:p>
      <w:pPr>
        <w:ind w:left="3061"/>
        <w:spacing w:before="41" w:line="217" w:lineRule="auto"/>
        <w:outlineLvl w:val="1"/>
        <w:rPr>
          <w:rFonts w:ascii="SimHei" w:hAnsi="SimHei" w:eastAsia="SimHei" w:cs="SimHei"/>
          <w:sz w:val="20"/>
          <w:szCs w:val="20"/>
        </w:rPr>
      </w:pPr>
      <w:r>
        <w:rPr>
          <w:rFonts w:ascii="SimHei" w:hAnsi="SimHei" w:eastAsia="SimHei" w:cs="SimHei"/>
          <w:sz w:val="20"/>
          <w:szCs w:val="20"/>
          <w:spacing w:val="5"/>
        </w:rPr>
        <w:t>表</w:t>
      </w:r>
      <w:r>
        <w:rPr>
          <w:rFonts w:ascii="SimHei" w:hAnsi="SimHei" w:eastAsia="SimHei" w:cs="SimHei"/>
          <w:sz w:val="20"/>
          <w:szCs w:val="20"/>
          <w:spacing w:val="-10"/>
        </w:rPr>
        <w:t xml:space="preserve"> </w:t>
      </w:r>
      <w:r>
        <w:rPr>
          <w:rFonts w:ascii="SimHei" w:hAnsi="SimHei" w:eastAsia="SimHei" w:cs="SimHei"/>
          <w:sz w:val="20"/>
          <w:szCs w:val="20"/>
          <w:spacing w:val="5"/>
        </w:rPr>
        <w:t>1</w:t>
      </w:r>
      <w:r>
        <w:rPr>
          <w:rFonts w:ascii="SimHei" w:hAnsi="SimHei" w:eastAsia="SimHei" w:cs="SimHei"/>
          <w:sz w:val="20"/>
          <w:szCs w:val="20"/>
          <w:spacing w:val="5"/>
        </w:rPr>
        <w:t xml:space="preserve">  </w:t>
      </w:r>
      <w:r>
        <w:rPr>
          <w:rFonts w:ascii="SimHei" w:hAnsi="SimHei" w:eastAsia="SimHei" w:cs="SimHei"/>
          <w:sz w:val="20"/>
          <w:szCs w:val="20"/>
          <w:spacing w:val="5"/>
        </w:rPr>
        <w:t>对比两组急性盆腔炎患者疼痛缓解情况（</w:t>
      </w:r>
      <w:r>
        <w:rPr>
          <w:rFonts w:ascii="SimHei" w:hAnsi="SimHei" w:eastAsia="SimHei" w:cs="SimHei"/>
          <w:sz w:val="20"/>
          <w:szCs w:val="20"/>
          <w:spacing w:val="-55"/>
        </w:rPr>
        <w:t xml:space="preserve"> </w:t>
      </w:r>
      <w:r>
        <w:rPr>
          <w:rFonts w:ascii="SimHei" w:hAnsi="SimHei" w:eastAsia="SimHei" w:cs="SimHei"/>
          <w:sz w:val="20"/>
          <w:szCs w:val="20"/>
          <w:spacing w:val="5"/>
        </w:rPr>
        <w:t>n，%）</w:t>
      </w:r>
    </w:p>
    <w:p>
      <w:pPr>
        <w:spacing w:line="122" w:lineRule="auto"/>
        <w:rPr>
          <w:rFonts w:ascii="Arial"/>
          <w:sz w:val="2"/>
        </w:rPr>
      </w:pPr>
      <w:r>
        <w:rPr>
          <w:rFonts w:ascii="Arial"/>
          <w:sz w:val="2"/>
        </w:rPr>
      </w:r>
    </w:p>
    <w:tbl>
      <w:tblPr>
        <w:tblStyle w:val="TableNormal"/>
        <w:tblW w:w="9353" w:type="dxa"/>
        <w:tblInd w:w="86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4"/>
        <w:gridCol w:w="1014"/>
        <w:gridCol w:w="1539"/>
        <w:gridCol w:w="1790"/>
        <w:gridCol w:w="1819"/>
        <w:gridCol w:w="1867"/>
      </w:tblGrid>
      <w:tr>
        <w:trPr>
          <w:trHeight w:val="354" w:hRule="atLeast"/>
        </w:trPr>
        <w:tc>
          <w:tcPr>
            <w:tcW w:w="1324" w:type="dxa"/>
            <w:vAlign w:val="top"/>
            <w:tcBorders>
              <w:bottom w:val="single" w:color="000000" w:sz="10" w:space="0"/>
              <w:top w:val="single" w:color="000000" w:sz="10" w:space="0"/>
            </w:tcBorders>
          </w:tcPr>
          <w:p>
            <w:pPr>
              <w:pStyle w:val="TableText"/>
              <w:ind w:left="539"/>
              <w:spacing w:before="62" w:line="212" w:lineRule="auto"/>
              <w:rPr/>
            </w:pPr>
            <w:r>
              <w:rPr>
                <w:spacing w:val="-2"/>
              </w:rPr>
              <w:t>组别</w:t>
            </w:r>
          </w:p>
        </w:tc>
        <w:tc>
          <w:tcPr>
            <w:tcW w:w="1014" w:type="dxa"/>
            <w:vAlign w:val="top"/>
            <w:tcBorders>
              <w:bottom w:val="single" w:color="000000" w:sz="10" w:space="0"/>
              <w:top w:val="single" w:color="000000" w:sz="10" w:space="0"/>
            </w:tcBorders>
          </w:tcPr>
          <w:p>
            <w:pPr>
              <w:pStyle w:val="TableText"/>
              <w:ind w:left="344"/>
              <w:spacing w:before="62" w:line="212" w:lineRule="auto"/>
              <w:rPr/>
            </w:pPr>
            <w:r>
              <w:rPr>
                <w:spacing w:val="-3"/>
              </w:rPr>
              <w:t>例数</w:t>
            </w:r>
          </w:p>
        </w:tc>
        <w:tc>
          <w:tcPr>
            <w:tcW w:w="1539" w:type="dxa"/>
            <w:vAlign w:val="top"/>
            <w:tcBorders>
              <w:bottom w:val="single" w:color="000000" w:sz="10" w:space="0"/>
              <w:top w:val="single" w:color="000000" w:sz="10" w:space="0"/>
            </w:tcBorders>
          </w:tcPr>
          <w:p>
            <w:pPr>
              <w:pStyle w:val="TableText"/>
              <w:ind w:left="542"/>
              <w:spacing w:before="63" w:line="211" w:lineRule="auto"/>
              <w:rPr/>
            </w:pPr>
            <w:r>
              <w:rPr>
                <w:spacing w:val="-2"/>
              </w:rPr>
              <w:t>无效</w:t>
            </w:r>
          </w:p>
        </w:tc>
        <w:tc>
          <w:tcPr>
            <w:tcW w:w="1790" w:type="dxa"/>
            <w:vAlign w:val="top"/>
            <w:tcBorders>
              <w:bottom w:val="single" w:color="000000" w:sz="10" w:space="0"/>
              <w:top w:val="single" w:color="000000" w:sz="10" w:space="0"/>
            </w:tcBorders>
          </w:tcPr>
          <w:p>
            <w:pPr>
              <w:pStyle w:val="TableText"/>
              <w:ind w:left="545"/>
              <w:spacing w:before="62" w:line="212" w:lineRule="auto"/>
              <w:rPr/>
            </w:pPr>
            <w:r>
              <w:rPr>
                <w:spacing w:val="-1"/>
              </w:rPr>
              <w:t>疼痛减轻</w:t>
            </w:r>
          </w:p>
        </w:tc>
        <w:tc>
          <w:tcPr>
            <w:tcW w:w="1819" w:type="dxa"/>
            <w:vAlign w:val="top"/>
            <w:tcBorders>
              <w:bottom w:val="single" w:color="000000" w:sz="10" w:space="0"/>
              <w:top w:val="single" w:color="000000" w:sz="10" w:space="0"/>
            </w:tcBorders>
          </w:tcPr>
          <w:p>
            <w:pPr>
              <w:pStyle w:val="TableText"/>
              <w:ind w:left="584"/>
              <w:spacing w:before="64" w:line="208" w:lineRule="auto"/>
              <w:rPr/>
            </w:pPr>
            <w:r>
              <w:rPr>
                <w:spacing w:val="-1"/>
              </w:rPr>
              <w:t>彻底缓解</w:t>
            </w:r>
          </w:p>
        </w:tc>
        <w:tc>
          <w:tcPr>
            <w:tcW w:w="1867" w:type="dxa"/>
            <w:vAlign w:val="top"/>
            <w:tcBorders>
              <w:bottom w:val="single" w:color="000000" w:sz="10" w:space="0"/>
              <w:top w:val="single" w:color="000000" w:sz="10" w:space="0"/>
            </w:tcBorders>
          </w:tcPr>
          <w:p>
            <w:pPr>
              <w:pStyle w:val="TableText"/>
              <w:ind w:left="685"/>
              <w:spacing w:before="61" w:line="214" w:lineRule="auto"/>
              <w:rPr/>
            </w:pPr>
            <w:r>
              <w:rPr>
                <w:spacing w:val="-2"/>
              </w:rPr>
              <w:t>缓解率</w:t>
            </w:r>
          </w:p>
        </w:tc>
      </w:tr>
      <w:tr>
        <w:trPr>
          <w:trHeight w:val="301" w:hRule="atLeast"/>
        </w:trPr>
        <w:tc>
          <w:tcPr>
            <w:tcW w:w="1324" w:type="dxa"/>
            <w:vAlign w:val="top"/>
            <w:tcBorders>
              <w:top w:val="single" w:color="000000" w:sz="10" w:space="0"/>
            </w:tcBorders>
          </w:tcPr>
          <w:p>
            <w:pPr>
              <w:pStyle w:val="TableText"/>
              <w:ind w:left="456"/>
              <w:spacing w:before="54" w:line="211" w:lineRule="auto"/>
              <w:rPr/>
            </w:pPr>
            <w:r>
              <w:rPr>
                <w:spacing w:val="-4"/>
              </w:rPr>
              <w:t>常规组</w:t>
            </w:r>
          </w:p>
        </w:tc>
        <w:tc>
          <w:tcPr>
            <w:tcW w:w="1014" w:type="dxa"/>
            <w:vAlign w:val="top"/>
            <w:tcBorders>
              <w:top w:val="single" w:color="000000" w:sz="10" w:space="0"/>
            </w:tcBorders>
          </w:tcPr>
          <w:p>
            <w:pPr>
              <w:ind w:left="431"/>
              <w:spacing w:before="2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tc>
        <w:tc>
          <w:tcPr>
            <w:tcW w:w="1539" w:type="dxa"/>
            <w:vAlign w:val="top"/>
            <w:tcBorders>
              <w:top w:val="single" w:color="000000" w:sz="10" w:space="0"/>
            </w:tcBorders>
          </w:tcPr>
          <w:p>
            <w:pPr>
              <w:pStyle w:val="TableText"/>
              <w:ind w:left="319"/>
              <w:spacing w:before="23" w:line="267" w:lineRule="exact"/>
              <w:rPr/>
            </w:pPr>
            <w:r>
              <w:rPr>
                <w:rFonts w:ascii="Times New Roman" w:hAnsi="Times New Roman" w:eastAsia="Times New Roman" w:cs="Times New Roman"/>
                <w:spacing w:val="-4"/>
                <w:position w:val="1"/>
              </w:rPr>
              <w:t>11</w:t>
            </w:r>
            <w:r>
              <w:rPr>
                <w:spacing w:val="-4"/>
                <w:position w:val="1"/>
              </w:rPr>
              <w:t>（</w:t>
            </w:r>
            <w:r>
              <w:rPr>
                <w:rFonts w:ascii="Times New Roman" w:hAnsi="Times New Roman" w:eastAsia="Times New Roman" w:cs="Times New Roman"/>
                <w:spacing w:val="-4"/>
                <w:position w:val="1"/>
              </w:rPr>
              <w:t>24.4</w:t>
            </w:r>
            <w:r>
              <w:rPr>
                <w:spacing w:val="-4"/>
                <w:position w:val="1"/>
              </w:rPr>
              <w:t>）</w:t>
            </w:r>
          </w:p>
        </w:tc>
        <w:tc>
          <w:tcPr>
            <w:tcW w:w="1790" w:type="dxa"/>
            <w:vAlign w:val="top"/>
            <w:tcBorders>
              <w:top w:val="single" w:color="000000" w:sz="10" w:space="0"/>
            </w:tcBorders>
          </w:tcPr>
          <w:p>
            <w:pPr>
              <w:pStyle w:val="TableText"/>
              <w:ind w:left="478"/>
              <w:spacing w:before="23" w:line="267" w:lineRule="exact"/>
              <w:rPr/>
            </w:pPr>
            <w:r>
              <w:rPr>
                <w:rFonts w:ascii="Times New Roman" w:hAnsi="Times New Roman" w:eastAsia="Times New Roman" w:cs="Times New Roman"/>
                <w:spacing w:val="-1"/>
                <w:position w:val="1"/>
              </w:rPr>
              <w:t>25</w:t>
            </w:r>
            <w:r>
              <w:rPr>
                <w:spacing w:val="-1"/>
                <w:position w:val="1"/>
              </w:rPr>
              <w:t>（</w:t>
            </w:r>
            <w:r>
              <w:rPr>
                <w:rFonts w:ascii="Times New Roman" w:hAnsi="Times New Roman" w:eastAsia="Times New Roman" w:cs="Times New Roman"/>
                <w:spacing w:val="-1"/>
                <w:position w:val="1"/>
              </w:rPr>
              <w:t>55.6</w:t>
            </w:r>
            <w:r>
              <w:rPr>
                <w:spacing w:val="-1"/>
                <w:position w:val="1"/>
              </w:rPr>
              <w:t>）</w:t>
            </w:r>
          </w:p>
        </w:tc>
        <w:tc>
          <w:tcPr>
            <w:tcW w:w="1819" w:type="dxa"/>
            <w:vAlign w:val="top"/>
            <w:tcBorders>
              <w:top w:val="single" w:color="000000" w:sz="10" w:space="0"/>
            </w:tcBorders>
          </w:tcPr>
          <w:p>
            <w:pPr>
              <w:pStyle w:val="TableText"/>
              <w:ind w:left="566"/>
              <w:spacing w:before="23" w:line="267" w:lineRule="exact"/>
              <w:rPr/>
            </w:pPr>
            <w:r>
              <w:rPr>
                <w:rFonts w:ascii="Times New Roman" w:hAnsi="Times New Roman" w:eastAsia="Times New Roman" w:cs="Times New Roman"/>
                <w:spacing w:val="-1"/>
                <w:position w:val="1"/>
              </w:rPr>
              <w:t>9</w:t>
            </w:r>
            <w:r>
              <w:rPr>
                <w:spacing w:val="-1"/>
                <w:position w:val="1"/>
              </w:rPr>
              <w:t>（</w:t>
            </w:r>
            <w:r>
              <w:rPr>
                <w:rFonts w:ascii="Times New Roman" w:hAnsi="Times New Roman" w:eastAsia="Times New Roman" w:cs="Times New Roman"/>
                <w:spacing w:val="-1"/>
                <w:position w:val="1"/>
              </w:rPr>
              <w:t>20.0</w:t>
            </w:r>
            <w:r>
              <w:rPr>
                <w:spacing w:val="-1"/>
                <w:position w:val="1"/>
              </w:rPr>
              <w:t>）</w:t>
            </w:r>
          </w:p>
        </w:tc>
        <w:tc>
          <w:tcPr>
            <w:tcW w:w="1867" w:type="dxa"/>
            <w:vAlign w:val="top"/>
            <w:tcBorders>
              <w:top w:val="single" w:color="000000" w:sz="10" w:space="0"/>
            </w:tcBorders>
          </w:tcPr>
          <w:p>
            <w:pPr>
              <w:pStyle w:val="TableText"/>
              <w:ind w:left="533"/>
              <w:spacing w:before="23" w:line="267" w:lineRule="exact"/>
              <w:rPr/>
            </w:pPr>
            <w:r>
              <w:rPr>
                <w:rFonts w:ascii="Times New Roman" w:hAnsi="Times New Roman" w:eastAsia="Times New Roman" w:cs="Times New Roman"/>
                <w:spacing w:val="-1"/>
                <w:position w:val="1"/>
              </w:rPr>
              <w:t>34</w:t>
            </w:r>
            <w:r>
              <w:rPr>
                <w:spacing w:val="-1"/>
                <w:position w:val="1"/>
              </w:rPr>
              <w:t>（</w:t>
            </w:r>
            <w:r>
              <w:rPr>
                <w:rFonts w:ascii="Times New Roman" w:hAnsi="Times New Roman" w:eastAsia="Times New Roman" w:cs="Times New Roman"/>
                <w:spacing w:val="-1"/>
                <w:position w:val="1"/>
              </w:rPr>
              <w:t>75.6</w:t>
            </w:r>
            <w:r>
              <w:rPr>
                <w:spacing w:val="-1"/>
                <w:position w:val="1"/>
              </w:rPr>
              <w:t>）</w:t>
            </w:r>
          </w:p>
        </w:tc>
      </w:tr>
      <w:tr>
        <w:trPr>
          <w:trHeight w:val="332" w:hRule="atLeast"/>
        </w:trPr>
        <w:tc>
          <w:tcPr>
            <w:tcW w:w="1324" w:type="dxa"/>
            <w:vAlign w:val="top"/>
          </w:tcPr>
          <w:p>
            <w:pPr>
              <w:pStyle w:val="TableText"/>
              <w:ind w:left="453"/>
              <w:spacing w:before="95" w:line="208" w:lineRule="auto"/>
              <w:rPr/>
            </w:pPr>
            <w:r>
              <w:rPr>
                <w:spacing w:val="-3"/>
              </w:rPr>
              <w:t>实验组</w:t>
            </w:r>
          </w:p>
        </w:tc>
        <w:tc>
          <w:tcPr>
            <w:tcW w:w="1014" w:type="dxa"/>
            <w:vAlign w:val="top"/>
          </w:tcPr>
          <w:p>
            <w:pPr>
              <w:ind w:left="431"/>
              <w:spacing w:before="60"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tc>
        <w:tc>
          <w:tcPr>
            <w:tcW w:w="1539" w:type="dxa"/>
            <w:vAlign w:val="top"/>
          </w:tcPr>
          <w:p>
            <w:pPr>
              <w:pStyle w:val="TableText"/>
              <w:ind w:left="403"/>
              <w:spacing w:before="60" w:line="262" w:lineRule="exact"/>
              <w:rPr/>
            </w:pPr>
            <w:r>
              <w:rPr>
                <w:rFonts w:ascii="Times New Roman" w:hAnsi="Times New Roman" w:eastAsia="Times New Roman" w:cs="Times New Roman"/>
                <w:spacing w:val="-3"/>
                <w:position w:val="1"/>
              </w:rPr>
              <w:t>1</w:t>
            </w:r>
            <w:r>
              <w:rPr>
                <w:spacing w:val="-3"/>
                <w:position w:val="1"/>
              </w:rPr>
              <w:t>（</w:t>
            </w:r>
            <w:r>
              <w:rPr>
                <w:rFonts w:ascii="Times New Roman" w:hAnsi="Times New Roman" w:eastAsia="Times New Roman" w:cs="Times New Roman"/>
                <w:spacing w:val="-3"/>
                <w:position w:val="1"/>
              </w:rPr>
              <w:t>2.2</w:t>
            </w:r>
            <w:r>
              <w:rPr>
                <w:spacing w:val="-3"/>
                <w:position w:val="1"/>
              </w:rPr>
              <w:t>）</w:t>
            </w:r>
          </w:p>
        </w:tc>
        <w:tc>
          <w:tcPr>
            <w:tcW w:w="1790" w:type="dxa"/>
            <w:vAlign w:val="top"/>
          </w:tcPr>
          <w:p>
            <w:pPr>
              <w:pStyle w:val="TableText"/>
              <w:ind w:left="478"/>
              <w:spacing w:before="60" w:line="262" w:lineRule="exact"/>
              <w:rPr/>
            </w:pPr>
            <w:r>
              <w:rPr>
                <w:rFonts w:ascii="Times New Roman" w:hAnsi="Times New Roman" w:eastAsia="Times New Roman" w:cs="Times New Roman"/>
                <w:spacing w:val="-1"/>
                <w:position w:val="1"/>
              </w:rPr>
              <w:t>27</w:t>
            </w:r>
            <w:r>
              <w:rPr>
                <w:spacing w:val="-1"/>
                <w:position w:val="1"/>
              </w:rPr>
              <w:t>（</w:t>
            </w:r>
            <w:r>
              <w:rPr>
                <w:rFonts w:ascii="Times New Roman" w:hAnsi="Times New Roman" w:eastAsia="Times New Roman" w:cs="Times New Roman"/>
                <w:spacing w:val="-1"/>
                <w:position w:val="1"/>
              </w:rPr>
              <w:t>60.0</w:t>
            </w:r>
            <w:r>
              <w:rPr>
                <w:spacing w:val="-1"/>
                <w:position w:val="1"/>
              </w:rPr>
              <w:t>）</w:t>
            </w:r>
          </w:p>
        </w:tc>
        <w:tc>
          <w:tcPr>
            <w:tcW w:w="1819" w:type="dxa"/>
            <w:vAlign w:val="top"/>
          </w:tcPr>
          <w:p>
            <w:pPr>
              <w:pStyle w:val="TableText"/>
              <w:ind w:left="534"/>
              <w:spacing w:before="60" w:line="262" w:lineRule="exact"/>
              <w:rPr/>
            </w:pPr>
            <w:r>
              <w:rPr>
                <w:rFonts w:ascii="Times New Roman" w:hAnsi="Times New Roman" w:eastAsia="Times New Roman" w:cs="Times New Roman"/>
                <w:spacing w:val="-3"/>
                <w:position w:val="1"/>
              </w:rPr>
              <w:t>17</w:t>
            </w:r>
            <w:r>
              <w:rPr>
                <w:spacing w:val="-3"/>
                <w:position w:val="1"/>
              </w:rPr>
              <w:t>（</w:t>
            </w:r>
            <w:r>
              <w:rPr>
                <w:rFonts w:ascii="Times New Roman" w:hAnsi="Times New Roman" w:eastAsia="Times New Roman" w:cs="Times New Roman"/>
                <w:spacing w:val="-3"/>
                <w:position w:val="1"/>
              </w:rPr>
              <w:t>37.8</w:t>
            </w:r>
            <w:r>
              <w:rPr>
                <w:spacing w:val="-3"/>
                <w:position w:val="1"/>
              </w:rPr>
              <w:t>）</w:t>
            </w:r>
          </w:p>
        </w:tc>
        <w:tc>
          <w:tcPr>
            <w:tcW w:w="1867" w:type="dxa"/>
            <w:vAlign w:val="top"/>
          </w:tcPr>
          <w:p>
            <w:pPr>
              <w:pStyle w:val="TableText"/>
              <w:ind w:left="528"/>
              <w:spacing w:before="60" w:line="262" w:lineRule="exact"/>
              <w:rPr/>
            </w:pPr>
            <w:r>
              <w:rPr>
                <w:rFonts w:ascii="Times New Roman" w:hAnsi="Times New Roman" w:eastAsia="Times New Roman" w:cs="Times New Roman"/>
                <w:spacing w:val="-1"/>
                <w:position w:val="1"/>
              </w:rPr>
              <w:t>44</w:t>
            </w:r>
            <w:r>
              <w:rPr>
                <w:spacing w:val="-1"/>
                <w:position w:val="1"/>
              </w:rPr>
              <w:t>（</w:t>
            </w:r>
            <w:r>
              <w:rPr>
                <w:rFonts w:ascii="Times New Roman" w:hAnsi="Times New Roman" w:eastAsia="Times New Roman" w:cs="Times New Roman"/>
                <w:spacing w:val="-1"/>
                <w:position w:val="1"/>
              </w:rPr>
              <w:t>97.8</w:t>
            </w:r>
            <w:r>
              <w:rPr>
                <w:spacing w:val="-1"/>
                <w:position w:val="1"/>
              </w:rPr>
              <w:t>）</w:t>
            </w:r>
          </w:p>
        </w:tc>
      </w:tr>
      <w:tr>
        <w:trPr>
          <w:trHeight w:val="336" w:hRule="atLeast"/>
        </w:trPr>
        <w:tc>
          <w:tcPr>
            <w:tcW w:w="1324" w:type="dxa"/>
            <w:vAlign w:val="top"/>
          </w:tcPr>
          <w:p>
            <w:pPr>
              <w:pStyle w:val="TableText"/>
              <w:ind w:left="537"/>
              <w:spacing w:before="75" w:line="238" w:lineRule="auto"/>
              <w:rPr/>
            </w:pPr>
            <w:r>
              <w:rPr>
                <w:rFonts w:ascii="Times New Roman" w:hAnsi="Times New Roman" w:eastAsia="Times New Roman" w:cs="Times New Roman"/>
                <w:i/>
                <w:iCs/>
                <w:spacing w:val="2"/>
                <w:position w:val="-2"/>
              </w:rPr>
              <w:t>x</w:t>
            </w:r>
            <w:r>
              <w:rPr>
                <w:rFonts w:ascii="Times New Roman" w:hAnsi="Times New Roman" w:eastAsia="Times New Roman" w:cs="Times New Roman"/>
                <w:sz w:val="11"/>
                <w:szCs w:val="11"/>
                <w:spacing w:val="2"/>
                <w:position w:val="3"/>
              </w:rPr>
              <w:t>2 </w:t>
            </w:r>
            <w:r>
              <w:rPr>
                <w:spacing w:val="2"/>
                <w:position w:val="-2"/>
              </w:rPr>
              <w:t>值</w:t>
            </w:r>
          </w:p>
        </w:tc>
        <w:tc>
          <w:tcPr>
            <w:tcW w:w="1014" w:type="dxa"/>
            <w:vAlign w:val="top"/>
          </w:tcPr>
          <w:p>
            <w:pPr>
              <w:rPr>
                <w:rFonts w:ascii="Arial"/>
                <w:sz w:val="21"/>
              </w:rPr>
            </w:pPr>
            <w:r/>
          </w:p>
        </w:tc>
        <w:tc>
          <w:tcPr>
            <w:tcW w:w="1539" w:type="dxa"/>
            <w:vAlign w:val="top"/>
          </w:tcPr>
          <w:p>
            <w:pPr>
              <w:rPr>
                <w:rFonts w:ascii="Arial"/>
                <w:sz w:val="21"/>
              </w:rPr>
            </w:pPr>
            <w:r/>
          </w:p>
        </w:tc>
        <w:tc>
          <w:tcPr>
            <w:tcW w:w="1790" w:type="dxa"/>
            <w:vAlign w:val="top"/>
          </w:tcPr>
          <w:p>
            <w:pPr>
              <w:rPr>
                <w:rFonts w:ascii="Arial"/>
                <w:sz w:val="21"/>
              </w:rPr>
            </w:pPr>
            <w:r/>
          </w:p>
        </w:tc>
        <w:tc>
          <w:tcPr>
            <w:tcW w:w="1819" w:type="dxa"/>
            <w:vAlign w:val="top"/>
          </w:tcPr>
          <w:p>
            <w:pPr>
              <w:rPr>
                <w:rFonts w:ascii="Arial"/>
                <w:sz w:val="21"/>
              </w:rPr>
            </w:pPr>
            <w:r/>
          </w:p>
        </w:tc>
        <w:tc>
          <w:tcPr>
            <w:tcW w:w="1867" w:type="dxa"/>
            <w:vAlign w:val="top"/>
          </w:tcPr>
          <w:p>
            <w:pPr>
              <w:ind w:left="713"/>
              <w:spacing w:before="6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9.6154</w:t>
            </w:r>
          </w:p>
        </w:tc>
      </w:tr>
      <w:tr>
        <w:trPr>
          <w:trHeight w:val="390" w:hRule="atLeast"/>
        </w:trPr>
        <w:tc>
          <w:tcPr>
            <w:tcW w:w="1324" w:type="dxa"/>
            <w:vAlign w:val="top"/>
            <w:tcBorders>
              <w:bottom w:val="single" w:color="000000" w:sz="10" w:space="0"/>
            </w:tcBorders>
          </w:tcPr>
          <w:p>
            <w:pPr>
              <w:pStyle w:val="TableText"/>
              <w:ind w:left="546"/>
              <w:spacing w:before="103" w:line="214" w:lineRule="auto"/>
              <w:rPr/>
            </w:pPr>
            <w:r>
              <w:rPr>
                <w:rFonts w:ascii="Times New Roman" w:hAnsi="Times New Roman" w:eastAsia="Times New Roman" w:cs="Times New Roman"/>
                <w:i/>
                <w:iCs/>
                <w:spacing w:val="1"/>
              </w:rPr>
              <w:t>P </w:t>
            </w:r>
            <w:r>
              <w:rPr>
                <w:spacing w:val="1"/>
              </w:rPr>
              <w:t>值</w:t>
            </w:r>
          </w:p>
        </w:tc>
        <w:tc>
          <w:tcPr>
            <w:tcW w:w="1014" w:type="dxa"/>
            <w:vAlign w:val="top"/>
            <w:tcBorders>
              <w:bottom w:val="single" w:color="000000" w:sz="10" w:space="0"/>
            </w:tcBorders>
          </w:tcPr>
          <w:p>
            <w:pPr>
              <w:rPr>
                <w:rFonts w:ascii="Arial"/>
                <w:sz w:val="21"/>
              </w:rPr>
            </w:pPr>
            <w:r/>
          </w:p>
        </w:tc>
        <w:tc>
          <w:tcPr>
            <w:tcW w:w="1539" w:type="dxa"/>
            <w:vAlign w:val="top"/>
            <w:tcBorders>
              <w:bottom w:val="single" w:color="000000" w:sz="10" w:space="0"/>
            </w:tcBorders>
          </w:tcPr>
          <w:p>
            <w:pPr>
              <w:rPr>
                <w:rFonts w:ascii="Arial"/>
                <w:sz w:val="21"/>
              </w:rPr>
            </w:pPr>
            <w:r/>
          </w:p>
        </w:tc>
        <w:tc>
          <w:tcPr>
            <w:tcW w:w="1790" w:type="dxa"/>
            <w:vAlign w:val="top"/>
            <w:tcBorders>
              <w:bottom w:val="single" w:color="000000" w:sz="10" w:space="0"/>
            </w:tcBorders>
          </w:tcPr>
          <w:p>
            <w:pPr>
              <w:rPr>
                <w:rFonts w:ascii="Arial"/>
                <w:sz w:val="21"/>
              </w:rPr>
            </w:pPr>
            <w:r/>
          </w:p>
        </w:tc>
        <w:tc>
          <w:tcPr>
            <w:tcW w:w="1819" w:type="dxa"/>
            <w:vAlign w:val="top"/>
            <w:tcBorders>
              <w:bottom w:val="single" w:color="000000" w:sz="10" w:space="0"/>
            </w:tcBorders>
          </w:tcPr>
          <w:p>
            <w:pPr>
              <w:rPr>
                <w:rFonts w:ascii="Arial"/>
                <w:sz w:val="21"/>
              </w:rPr>
            </w:pPr>
            <w:r/>
          </w:p>
        </w:tc>
        <w:tc>
          <w:tcPr>
            <w:tcW w:w="1867" w:type="dxa"/>
            <w:vAlign w:val="top"/>
            <w:tcBorders>
              <w:bottom w:val="single" w:color="000000" w:sz="10" w:space="0"/>
            </w:tcBorders>
          </w:tcPr>
          <w:p>
            <w:pPr>
              <w:ind w:left="712"/>
              <w:spacing w:before="7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0.0019</w:t>
            </w:r>
          </w:p>
        </w:tc>
      </w:tr>
    </w:tbl>
    <w:p>
      <w:pPr>
        <w:spacing w:line="335" w:lineRule="auto"/>
        <w:rPr>
          <w:rFonts w:ascii="Arial"/>
          <w:sz w:val="21"/>
        </w:rPr>
      </w:pPr>
      <w:r/>
    </w:p>
    <w:p>
      <w:pPr>
        <w:pStyle w:val="BodyText"/>
        <w:ind w:left="899"/>
        <w:spacing w:before="65" w:line="274" w:lineRule="exact"/>
        <w:rPr/>
      </w:pPr>
      <w:r>
        <w:rPr>
          <w:rFonts w:ascii="Times New Roman" w:hAnsi="Times New Roman" w:eastAsia="Times New Roman" w:cs="Times New Roman"/>
          <w:spacing w:val="7"/>
          <w:position w:val="1"/>
        </w:rPr>
        <w:t>2.2    </w:t>
      </w:r>
      <w:r>
        <w:rPr>
          <w:spacing w:val="7"/>
          <w:position w:val="1"/>
        </w:rPr>
        <w:t>对比两组急性盆腔炎患者护理满意度</w:t>
      </w:r>
    </w:p>
    <w:p>
      <w:pPr>
        <w:pStyle w:val="BodyText"/>
        <w:ind w:left="899" w:right="66" w:firstLine="423"/>
        <w:spacing w:before="67" w:line="311" w:lineRule="auto"/>
        <w:rPr/>
      </w:pPr>
      <w:r>
        <w:rPr>
          <w:spacing w:val="5"/>
        </w:rPr>
        <w:t>实验组患者护理满意度为</w:t>
      </w:r>
      <w:r>
        <w:rPr>
          <w:spacing w:val="-26"/>
        </w:rPr>
        <w:t xml:space="preserve"> </w:t>
      </w:r>
      <w:r>
        <w:rPr>
          <w:rFonts w:ascii="Times New Roman" w:hAnsi="Times New Roman" w:eastAsia="Times New Roman" w:cs="Times New Roman"/>
          <w:spacing w:val="5"/>
        </w:rPr>
        <w:t>95.6%</w:t>
      </w:r>
      <w:r>
        <w:rPr>
          <w:rFonts w:ascii="Times New Roman" w:hAnsi="Times New Roman" w:eastAsia="Times New Roman" w:cs="Times New Roman"/>
          <w:spacing w:val="-13"/>
        </w:rPr>
        <w:t xml:space="preserve"> </w:t>
      </w:r>
      <w:r>
        <w:rPr>
          <w:spacing w:val="5"/>
        </w:rPr>
        <w:t>，明显高于常规组</w:t>
      </w:r>
      <w:r>
        <w:rPr>
          <w:spacing w:val="-32"/>
        </w:rPr>
        <w:t xml:space="preserve"> </w:t>
      </w:r>
      <w:r>
        <w:rPr>
          <w:rFonts w:ascii="Times New Roman" w:hAnsi="Times New Roman" w:eastAsia="Times New Roman" w:cs="Times New Roman"/>
          <w:spacing w:val="5"/>
        </w:rPr>
        <w:t>80.0%</w:t>
      </w:r>
      <w:r>
        <w:rPr>
          <w:rFonts w:ascii="Times New Roman" w:hAnsi="Times New Roman" w:eastAsia="Times New Roman" w:cs="Times New Roman"/>
          <w:spacing w:val="-10"/>
        </w:rPr>
        <w:t xml:space="preserve"> </w:t>
      </w:r>
      <w:r>
        <w:rPr>
          <w:spacing w:val="5"/>
        </w:rPr>
        <w:t>，</w:t>
      </w:r>
      <w:r>
        <w:rPr>
          <w:rFonts w:ascii="Times New Roman" w:hAnsi="Times New Roman" w:eastAsia="Times New Roman" w:cs="Times New Roman"/>
          <w:spacing w:val="5"/>
        </w:rPr>
        <w:t>P</w:t>
      </w:r>
      <w:r>
        <w:rPr>
          <w:rFonts w:ascii="Times New Roman" w:hAnsi="Times New Roman" w:eastAsia="Times New Roman" w:cs="Times New Roman"/>
          <w:spacing w:val="-16"/>
        </w:rPr>
        <w:t xml:space="preserve"> </w:t>
      </w:r>
      <w:r>
        <w:rPr>
          <w:spacing w:val="5"/>
        </w:rPr>
        <w:t>＜</w:t>
      </w:r>
      <w:r>
        <w:rPr>
          <w:spacing w:val="-56"/>
        </w:rPr>
        <w:t xml:space="preserve"> </w:t>
      </w:r>
      <w:r>
        <w:rPr>
          <w:rFonts w:ascii="Times New Roman" w:hAnsi="Times New Roman" w:eastAsia="Times New Roman" w:cs="Times New Roman"/>
          <w:spacing w:val="5"/>
        </w:rPr>
        <w:t>0.05</w:t>
      </w:r>
      <w:r>
        <w:rPr>
          <w:rFonts w:ascii="Times New Roman" w:hAnsi="Times New Roman" w:eastAsia="Times New Roman" w:cs="Times New Roman"/>
          <w:spacing w:val="-15"/>
        </w:rPr>
        <w:t xml:space="preserve"> </w:t>
      </w:r>
      <w:r>
        <w:rPr>
          <w:spacing w:val="5"/>
        </w:rPr>
        <w:t>，两组数据组间差异明显，具</w:t>
      </w:r>
      <w:r>
        <w:rPr/>
        <w:t xml:space="preserve"> </w:t>
      </w:r>
      <w:r>
        <w:rPr>
          <w:spacing w:val="12"/>
        </w:rPr>
        <w:t>有统计学意义，见表</w:t>
      </w:r>
      <w:r>
        <w:rPr>
          <w:rFonts w:ascii="Times New Roman" w:hAnsi="Times New Roman" w:eastAsia="Times New Roman" w:cs="Times New Roman"/>
          <w:spacing w:val="12"/>
        </w:rPr>
        <w:t>2</w:t>
      </w:r>
      <w:r>
        <w:rPr>
          <w:spacing w:val="12"/>
        </w:rPr>
        <w:t>。</w:t>
      </w:r>
    </w:p>
    <w:p>
      <w:pPr>
        <w:spacing w:line="311" w:lineRule="auto"/>
        <w:sectPr>
          <w:headerReference w:type="default" r:id="rId3"/>
          <w:footerReference w:type="default" r:id="rId4"/>
          <w:pgSz w:w="11906" w:h="16839"/>
          <w:pgMar w:top="1653" w:right="1235" w:bottom="1483" w:left="407" w:header="1228" w:footer="1209" w:gutter="0"/>
        </w:sectPr>
        <w:rPr/>
      </w:pPr>
    </w:p>
    <w:p>
      <w:pPr>
        <w:ind w:left="3113"/>
        <w:spacing w:before="254" w:line="217" w:lineRule="auto"/>
        <w:outlineLvl w:val="1"/>
        <w:rPr>
          <w:rFonts w:ascii="SimHei" w:hAnsi="SimHei" w:eastAsia="SimHei" w:cs="SimHei"/>
          <w:sz w:val="20"/>
          <w:szCs w:val="20"/>
        </w:rPr>
      </w:pPr>
      <w:r>
        <w:rPr>
          <w:rFonts w:ascii="SimHei" w:hAnsi="SimHei" w:eastAsia="SimHei" w:cs="SimHei"/>
          <w:sz w:val="20"/>
          <w:szCs w:val="20"/>
          <w:spacing w:val="6"/>
        </w:rPr>
        <w:t>表</w:t>
      </w:r>
      <w:r>
        <w:rPr>
          <w:rFonts w:ascii="SimHei" w:hAnsi="SimHei" w:eastAsia="SimHei" w:cs="SimHei"/>
          <w:sz w:val="20"/>
          <w:szCs w:val="20"/>
          <w:spacing w:val="-35"/>
        </w:rPr>
        <w:t xml:space="preserve"> </w:t>
      </w:r>
      <w:r>
        <w:rPr>
          <w:rFonts w:ascii="SimHei" w:hAnsi="SimHei" w:eastAsia="SimHei" w:cs="SimHei"/>
          <w:sz w:val="20"/>
          <w:szCs w:val="20"/>
          <w:spacing w:val="6"/>
        </w:rPr>
        <w:t>2</w:t>
      </w:r>
      <w:r>
        <w:rPr>
          <w:rFonts w:ascii="SimHei" w:hAnsi="SimHei" w:eastAsia="SimHei" w:cs="SimHei"/>
          <w:sz w:val="20"/>
          <w:szCs w:val="20"/>
          <w:spacing w:val="6"/>
        </w:rPr>
        <w:t xml:space="preserve"> </w:t>
      </w:r>
      <w:r>
        <w:rPr>
          <w:rFonts w:ascii="SimHei" w:hAnsi="SimHei" w:eastAsia="SimHei" w:cs="SimHei"/>
          <w:sz w:val="20"/>
          <w:szCs w:val="20"/>
          <w:spacing w:val="6"/>
        </w:rPr>
        <w:t>对比两组急性盆腔炎患者疼痛缓解情况（</w:t>
      </w:r>
      <w:r>
        <w:rPr>
          <w:rFonts w:ascii="SimHei" w:hAnsi="SimHei" w:eastAsia="SimHei" w:cs="SimHei"/>
          <w:sz w:val="20"/>
          <w:szCs w:val="20"/>
          <w:spacing w:val="-55"/>
        </w:rPr>
        <w:t xml:space="preserve"> </w:t>
      </w:r>
      <w:r>
        <w:rPr>
          <w:rFonts w:ascii="SimHei" w:hAnsi="SimHei" w:eastAsia="SimHei" w:cs="SimHei"/>
          <w:sz w:val="20"/>
          <w:szCs w:val="20"/>
          <w:spacing w:val="6"/>
        </w:rPr>
        <w:t>n，%）</w:t>
      </w:r>
    </w:p>
    <w:p>
      <w:pPr>
        <w:spacing w:line="109" w:lineRule="auto"/>
        <w:rPr>
          <w:rFonts w:ascii="Arial"/>
          <w:sz w:val="2"/>
        </w:rPr>
      </w:pPr>
      <w:r>
        <w:rPr>
          <w:rFonts w:ascii="Arial"/>
          <w:sz w:val="2"/>
        </w:rPr>
      </w:r>
    </w:p>
    <w:tbl>
      <w:tblPr>
        <w:tblStyle w:val="TableNormal"/>
        <w:tblW w:w="9354" w:type="dxa"/>
        <w:tblInd w:w="10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4"/>
        <w:gridCol w:w="1027"/>
        <w:gridCol w:w="1505"/>
        <w:gridCol w:w="1812"/>
        <w:gridCol w:w="1815"/>
        <w:gridCol w:w="1871"/>
      </w:tblGrid>
      <w:tr>
        <w:trPr>
          <w:trHeight w:val="354" w:hRule="atLeast"/>
        </w:trPr>
        <w:tc>
          <w:tcPr>
            <w:tcW w:w="1324" w:type="dxa"/>
            <w:vAlign w:val="top"/>
            <w:tcBorders>
              <w:bottom w:val="single" w:color="000000" w:sz="10" w:space="0"/>
              <w:top w:val="single" w:color="000000" w:sz="10" w:space="0"/>
            </w:tcBorders>
          </w:tcPr>
          <w:p>
            <w:pPr>
              <w:pStyle w:val="TableText"/>
              <w:ind w:left="540"/>
              <w:spacing w:before="63" w:line="212" w:lineRule="auto"/>
              <w:rPr/>
            </w:pPr>
            <w:r>
              <w:rPr>
                <w:spacing w:val="-2"/>
              </w:rPr>
              <w:t>组别</w:t>
            </w:r>
          </w:p>
        </w:tc>
        <w:tc>
          <w:tcPr>
            <w:tcW w:w="1027" w:type="dxa"/>
            <w:vAlign w:val="top"/>
            <w:tcBorders>
              <w:bottom w:val="single" w:color="000000" w:sz="10" w:space="0"/>
              <w:top w:val="single" w:color="000000" w:sz="10" w:space="0"/>
            </w:tcBorders>
          </w:tcPr>
          <w:p>
            <w:pPr>
              <w:pStyle w:val="TableText"/>
              <w:ind w:left="345"/>
              <w:spacing w:before="63" w:line="212" w:lineRule="auto"/>
              <w:rPr/>
            </w:pPr>
            <w:r>
              <w:rPr>
                <w:spacing w:val="-3"/>
              </w:rPr>
              <w:t>例数</w:t>
            </w:r>
          </w:p>
        </w:tc>
        <w:tc>
          <w:tcPr>
            <w:tcW w:w="1505" w:type="dxa"/>
            <w:vAlign w:val="top"/>
            <w:tcBorders>
              <w:bottom w:val="single" w:color="000000" w:sz="10" w:space="0"/>
              <w:top w:val="single" w:color="000000" w:sz="10" w:space="0"/>
            </w:tcBorders>
          </w:tcPr>
          <w:p>
            <w:pPr>
              <w:pStyle w:val="TableText"/>
              <w:ind w:left="443"/>
              <w:spacing w:before="64" w:line="210" w:lineRule="auto"/>
              <w:rPr/>
            </w:pPr>
            <w:r>
              <w:rPr>
                <w:spacing w:val="-2"/>
              </w:rPr>
              <w:t>不满意</w:t>
            </w:r>
          </w:p>
        </w:tc>
        <w:tc>
          <w:tcPr>
            <w:tcW w:w="1812" w:type="dxa"/>
            <w:vAlign w:val="top"/>
            <w:tcBorders>
              <w:bottom w:val="single" w:color="000000" w:sz="10" w:space="0"/>
              <w:top w:val="single" w:color="000000" w:sz="10" w:space="0"/>
            </w:tcBorders>
          </w:tcPr>
          <w:p>
            <w:pPr>
              <w:pStyle w:val="TableText"/>
              <w:ind w:left="567"/>
              <w:spacing w:before="64" w:line="210" w:lineRule="auto"/>
              <w:rPr/>
            </w:pPr>
            <w:r>
              <w:rPr>
                <w:spacing w:val="-2"/>
              </w:rPr>
              <w:t>较为满意</w:t>
            </w:r>
          </w:p>
        </w:tc>
        <w:tc>
          <w:tcPr>
            <w:tcW w:w="1815" w:type="dxa"/>
            <w:vAlign w:val="top"/>
            <w:tcBorders>
              <w:bottom w:val="single" w:color="000000" w:sz="10" w:space="0"/>
              <w:top w:val="single" w:color="000000" w:sz="10" w:space="0"/>
            </w:tcBorders>
          </w:tcPr>
          <w:p>
            <w:pPr>
              <w:pStyle w:val="TableText"/>
              <w:ind w:left="764"/>
              <w:spacing w:before="64" w:line="210" w:lineRule="auto"/>
              <w:rPr/>
            </w:pPr>
            <w:r>
              <w:rPr>
                <w:spacing w:val="-3"/>
              </w:rPr>
              <w:t>满意</w:t>
            </w:r>
          </w:p>
        </w:tc>
        <w:tc>
          <w:tcPr>
            <w:tcW w:w="1871" w:type="dxa"/>
            <w:vAlign w:val="top"/>
            <w:tcBorders>
              <w:bottom w:val="single" w:color="000000" w:sz="10" w:space="0"/>
              <w:top w:val="single" w:color="000000" w:sz="10" w:space="0"/>
            </w:tcBorders>
          </w:tcPr>
          <w:p>
            <w:pPr>
              <w:pStyle w:val="TableText"/>
              <w:ind w:left="607"/>
              <w:spacing w:before="64" w:line="210" w:lineRule="auto"/>
              <w:rPr/>
            </w:pPr>
            <w:r>
              <w:rPr>
                <w:spacing w:val="-3"/>
              </w:rPr>
              <w:t>总满意度</w:t>
            </w:r>
          </w:p>
        </w:tc>
      </w:tr>
      <w:tr>
        <w:trPr>
          <w:trHeight w:val="300" w:hRule="atLeast"/>
        </w:trPr>
        <w:tc>
          <w:tcPr>
            <w:tcW w:w="1324" w:type="dxa"/>
            <w:vAlign w:val="top"/>
            <w:tcBorders>
              <w:top w:val="single" w:color="000000" w:sz="10" w:space="0"/>
            </w:tcBorders>
          </w:tcPr>
          <w:p>
            <w:pPr>
              <w:pStyle w:val="TableText"/>
              <w:ind w:left="456"/>
              <w:spacing w:before="55" w:line="211" w:lineRule="auto"/>
              <w:rPr/>
            </w:pPr>
            <w:r>
              <w:rPr>
                <w:spacing w:val="-4"/>
              </w:rPr>
              <w:t>常规组</w:t>
            </w:r>
          </w:p>
        </w:tc>
        <w:tc>
          <w:tcPr>
            <w:tcW w:w="1027" w:type="dxa"/>
            <w:vAlign w:val="top"/>
            <w:tcBorders>
              <w:top w:val="single" w:color="000000" w:sz="10" w:space="0"/>
            </w:tcBorders>
          </w:tcPr>
          <w:p>
            <w:pPr>
              <w:ind w:left="432"/>
              <w:spacing w:before="2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tc>
        <w:tc>
          <w:tcPr>
            <w:tcW w:w="1505" w:type="dxa"/>
            <w:vAlign w:val="top"/>
            <w:tcBorders>
              <w:top w:val="single" w:color="000000" w:sz="10" w:space="0"/>
            </w:tcBorders>
          </w:tcPr>
          <w:p>
            <w:pPr>
              <w:pStyle w:val="TableText"/>
              <w:ind w:left="330"/>
              <w:spacing w:before="21" w:line="268" w:lineRule="exact"/>
              <w:rPr/>
            </w:pPr>
            <w:r>
              <w:rPr>
                <w:rFonts w:ascii="Times New Roman" w:hAnsi="Times New Roman" w:eastAsia="Times New Roman" w:cs="Times New Roman"/>
                <w:spacing w:val="-1"/>
                <w:position w:val="1"/>
              </w:rPr>
              <w:t>9</w:t>
            </w:r>
            <w:r>
              <w:rPr>
                <w:spacing w:val="-1"/>
                <w:position w:val="1"/>
              </w:rPr>
              <w:t>（</w:t>
            </w:r>
            <w:r>
              <w:rPr>
                <w:rFonts w:ascii="Times New Roman" w:hAnsi="Times New Roman" w:eastAsia="Times New Roman" w:cs="Times New Roman"/>
                <w:spacing w:val="-1"/>
                <w:position w:val="1"/>
              </w:rPr>
              <w:t>20.0</w:t>
            </w:r>
            <w:r>
              <w:rPr>
                <w:spacing w:val="-1"/>
                <w:position w:val="1"/>
              </w:rPr>
              <w:t>）</w:t>
            </w:r>
          </w:p>
        </w:tc>
        <w:tc>
          <w:tcPr>
            <w:tcW w:w="1812" w:type="dxa"/>
            <w:vAlign w:val="top"/>
            <w:tcBorders>
              <w:top w:val="single" w:color="000000" w:sz="10" w:space="0"/>
            </w:tcBorders>
          </w:tcPr>
          <w:p>
            <w:pPr>
              <w:pStyle w:val="TableText"/>
              <w:ind w:left="497"/>
              <w:spacing w:before="21" w:line="268" w:lineRule="exact"/>
              <w:rPr/>
            </w:pPr>
            <w:r>
              <w:rPr>
                <w:rFonts w:ascii="Times New Roman" w:hAnsi="Times New Roman" w:eastAsia="Times New Roman" w:cs="Times New Roman"/>
                <w:spacing w:val="-1"/>
                <w:position w:val="1"/>
              </w:rPr>
              <w:t>23</w:t>
            </w:r>
            <w:r>
              <w:rPr>
                <w:spacing w:val="-1"/>
                <w:position w:val="1"/>
              </w:rPr>
              <w:t>（</w:t>
            </w:r>
            <w:r>
              <w:rPr>
                <w:rFonts w:ascii="Times New Roman" w:hAnsi="Times New Roman" w:eastAsia="Times New Roman" w:cs="Times New Roman"/>
                <w:spacing w:val="-1"/>
                <w:position w:val="1"/>
              </w:rPr>
              <w:t>51.1</w:t>
            </w:r>
            <w:r>
              <w:rPr>
                <w:rFonts w:ascii="Times New Roman" w:hAnsi="Times New Roman" w:eastAsia="Times New Roman" w:cs="Times New Roman"/>
                <w:spacing w:val="-17"/>
                <w:position w:val="1"/>
              </w:rPr>
              <w:t xml:space="preserve"> </w:t>
            </w:r>
            <w:r>
              <w:rPr>
                <w:spacing w:val="-1"/>
                <w:position w:val="1"/>
              </w:rPr>
              <w:t>）</w:t>
            </w:r>
          </w:p>
        </w:tc>
        <w:tc>
          <w:tcPr>
            <w:tcW w:w="1815" w:type="dxa"/>
            <w:vAlign w:val="top"/>
            <w:tcBorders>
              <w:top w:val="single" w:color="000000" w:sz="10" w:space="0"/>
            </w:tcBorders>
          </w:tcPr>
          <w:p>
            <w:pPr>
              <w:pStyle w:val="TableText"/>
              <w:ind w:left="534"/>
              <w:spacing w:before="21" w:line="268" w:lineRule="exact"/>
              <w:rPr/>
            </w:pPr>
            <w:r>
              <w:rPr>
                <w:rFonts w:ascii="Times New Roman" w:hAnsi="Times New Roman" w:eastAsia="Times New Roman" w:cs="Times New Roman"/>
                <w:spacing w:val="-3"/>
                <w:position w:val="1"/>
              </w:rPr>
              <w:t>13</w:t>
            </w:r>
            <w:r>
              <w:rPr>
                <w:spacing w:val="-3"/>
                <w:position w:val="1"/>
              </w:rPr>
              <w:t>（</w:t>
            </w:r>
            <w:r>
              <w:rPr>
                <w:rFonts w:ascii="Times New Roman" w:hAnsi="Times New Roman" w:eastAsia="Times New Roman" w:cs="Times New Roman"/>
                <w:spacing w:val="-3"/>
                <w:position w:val="1"/>
              </w:rPr>
              <w:t>28.9</w:t>
            </w:r>
            <w:r>
              <w:rPr>
                <w:spacing w:val="-3"/>
                <w:position w:val="1"/>
              </w:rPr>
              <w:t>）</w:t>
            </w:r>
          </w:p>
        </w:tc>
        <w:tc>
          <w:tcPr>
            <w:tcW w:w="1871" w:type="dxa"/>
            <w:vAlign w:val="top"/>
            <w:tcBorders>
              <w:top w:val="single" w:color="000000" w:sz="10" w:space="0"/>
            </w:tcBorders>
          </w:tcPr>
          <w:p>
            <w:pPr>
              <w:pStyle w:val="TableText"/>
              <w:ind w:left="534"/>
              <w:spacing w:before="21" w:line="268" w:lineRule="exact"/>
              <w:rPr/>
            </w:pPr>
            <w:r>
              <w:rPr>
                <w:rFonts w:ascii="Times New Roman" w:hAnsi="Times New Roman" w:eastAsia="Times New Roman" w:cs="Times New Roman"/>
                <w:spacing w:val="-1"/>
                <w:position w:val="1"/>
              </w:rPr>
              <w:t>36</w:t>
            </w:r>
            <w:r>
              <w:rPr>
                <w:spacing w:val="-1"/>
                <w:position w:val="1"/>
              </w:rPr>
              <w:t>（</w:t>
            </w:r>
            <w:r>
              <w:rPr>
                <w:rFonts w:ascii="Times New Roman" w:hAnsi="Times New Roman" w:eastAsia="Times New Roman" w:cs="Times New Roman"/>
                <w:spacing w:val="-1"/>
                <w:position w:val="1"/>
              </w:rPr>
              <w:t>80.0</w:t>
            </w:r>
            <w:r>
              <w:rPr>
                <w:spacing w:val="-1"/>
                <w:position w:val="1"/>
              </w:rPr>
              <w:t>）</w:t>
            </w:r>
          </w:p>
        </w:tc>
      </w:tr>
      <w:tr>
        <w:trPr>
          <w:trHeight w:val="333" w:hRule="atLeast"/>
        </w:trPr>
        <w:tc>
          <w:tcPr>
            <w:tcW w:w="1324" w:type="dxa"/>
            <w:vAlign w:val="top"/>
          </w:tcPr>
          <w:p>
            <w:pPr>
              <w:pStyle w:val="TableText"/>
              <w:ind w:left="453"/>
              <w:spacing w:before="95" w:line="208" w:lineRule="auto"/>
              <w:rPr/>
            </w:pPr>
            <w:r>
              <w:rPr>
                <w:spacing w:val="-3"/>
              </w:rPr>
              <w:t>实验组</w:t>
            </w:r>
          </w:p>
        </w:tc>
        <w:tc>
          <w:tcPr>
            <w:tcW w:w="1027" w:type="dxa"/>
            <w:vAlign w:val="top"/>
          </w:tcPr>
          <w:p>
            <w:pPr>
              <w:ind w:left="432"/>
              <w:spacing w:before="6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tc>
        <w:tc>
          <w:tcPr>
            <w:tcW w:w="1505" w:type="dxa"/>
            <w:vAlign w:val="top"/>
          </w:tcPr>
          <w:p>
            <w:pPr>
              <w:pStyle w:val="TableText"/>
              <w:ind w:left="373"/>
              <w:spacing w:before="62" w:line="261" w:lineRule="exact"/>
              <w:rPr/>
            </w:pPr>
            <w:r>
              <w:rPr>
                <w:rFonts w:ascii="Times New Roman" w:hAnsi="Times New Roman" w:eastAsia="Times New Roman" w:cs="Times New Roman"/>
                <w:spacing w:val="-1"/>
                <w:position w:val="1"/>
              </w:rPr>
              <w:t>2</w:t>
            </w:r>
            <w:r>
              <w:rPr>
                <w:spacing w:val="-1"/>
                <w:position w:val="1"/>
              </w:rPr>
              <w:t>（</w:t>
            </w:r>
            <w:r>
              <w:rPr>
                <w:rFonts w:ascii="Times New Roman" w:hAnsi="Times New Roman" w:eastAsia="Times New Roman" w:cs="Times New Roman"/>
                <w:spacing w:val="-1"/>
                <w:position w:val="1"/>
              </w:rPr>
              <w:t>4.4</w:t>
            </w:r>
            <w:r>
              <w:rPr>
                <w:spacing w:val="-1"/>
                <w:position w:val="1"/>
              </w:rPr>
              <w:t>）</w:t>
            </w:r>
          </w:p>
        </w:tc>
        <w:tc>
          <w:tcPr>
            <w:tcW w:w="1812" w:type="dxa"/>
            <w:vAlign w:val="top"/>
          </w:tcPr>
          <w:p>
            <w:pPr>
              <w:pStyle w:val="TableText"/>
              <w:ind w:left="497"/>
              <w:spacing w:before="62" w:line="261" w:lineRule="exact"/>
              <w:rPr/>
            </w:pPr>
            <w:r>
              <w:rPr>
                <w:rFonts w:ascii="Times New Roman" w:hAnsi="Times New Roman" w:eastAsia="Times New Roman" w:cs="Times New Roman"/>
                <w:position w:val="1"/>
              </w:rPr>
              <w:t>25</w:t>
            </w:r>
            <w:r>
              <w:rPr>
                <w:position w:val="1"/>
              </w:rPr>
              <w:t>（</w:t>
            </w:r>
            <w:r>
              <w:rPr>
                <w:rFonts w:ascii="Times New Roman" w:hAnsi="Times New Roman" w:eastAsia="Times New Roman" w:cs="Times New Roman"/>
                <w:position w:val="1"/>
              </w:rPr>
              <w:t>55.6</w:t>
            </w:r>
            <w:r>
              <w:rPr>
                <w:position w:val="1"/>
              </w:rPr>
              <w:t>）</w:t>
            </w:r>
          </w:p>
        </w:tc>
        <w:tc>
          <w:tcPr>
            <w:tcW w:w="1815" w:type="dxa"/>
            <w:vAlign w:val="top"/>
          </w:tcPr>
          <w:p>
            <w:pPr>
              <w:pStyle w:val="TableText"/>
              <w:ind w:left="534"/>
              <w:spacing w:before="62" w:line="261" w:lineRule="exact"/>
              <w:rPr/>
            </w:pPr>
            <w:r>
              <w:rPr>
                <w:rFonts w:ascii="Times New Roman" w:hAnsi="Times New Roman" w:eastAsia="Times New Roman" w:cs="Times New Roman"/>
                <w:spacing w:val="-3"/>
                <w:position w:val="1"/>
              </w:rPr>
              <w:t>18</w:t>
            </w:r>
            <w:r>
              <w:rPr>
                <w:spacing w:val="-3"/>
                <w:position w:val="1"/>
              </w:rPr>
              <w:t>（</w:t>
            </w:r>
            <w:r>
              <w:rPr>
                <w:rFonts w:ascii="Times New Roman" w:hAnsi="Times New Roman" w:eastAsia="Times New Roman" w:cs="Times New Roman"/>
                <w:spacing w:val="-3"/>
                <w:position w:val="1"/>
              </w:rPr>
              <w:t>40.0</w:t>
            </w:r>
            <w:r>
              <w:rPr>
                <w:spacing w:val="-3"/>
                <w:position w:val="1"/>
              </w:rPr>
              <w:t>）</w:t>
            </w:r>
          </w:p>
        </w:tc>
        <w:tc>
          <w:tcPr>
            <w:tcW w:w="1871" w:type="dxa"/>
            <w:vAlign w:val="top"/>
          </w:tcPr>
          <w:p>
            <w:pPr>
              <w:pStyle w:val="TableText"/>
              <w:ind w:left="529"/>
              <w:spacing w:before="62" w:line="261" w:lineRule="exact"/>
              <w:rPr/>
            </w:pPr>
            <w:r>
              <w:rPr>
                <w:rFonts w:ascii="Times New Roman" w:hAnsi="Times New Roman" w:eastAsia="Times New Roman" w:cs="Times New Roman"/>
                <w:position w:val="1"/>
              </w:rPr>
              <w:t>43</w:t>
            </w:r>
            <w:r>
              <w:rPr>
                <w:position w:val="1"/>
              </w:rPr>
              <w:t>（</w:t>
            </w:r>
            <w:r>
              <w:rPr>
                <w:rFonts w:ascii="Times New Roman" w:hAnsi="Times New Roman" w:eastAsia="Times New Roman" w:cs="Times New Roman"/>
                <w:position w:val="1"/>
              </w:rPr>
              <w:t>95.6</w:t>
            </w:r>
            <w:r>
              <w:rPr>
                <w:position w:val="1"/>
              </w:rPr>
              <w:t>）</w:t>
            </w:r>
          </w:p>
        </w:tc>
      </w:tr>
      <w:tr>
        <w:trPr>
          <w:trHeight w:val="337" w:hRule="atLeast"/>
        </w:trPr>
        <w:tc>
          <w:tcPr>
            <w:tcW w:w="1324" w:type="dxa"/>
            <w:vAlign w:val="top"/>
          </w:tcPr>
          <w:p>
            <w:pPr>
              <w:pStyle w:val="TableText"/>
              <w:ind w:left="537"/>
              <w:spacing w:before="75" w:line="238" w:lineRule="auto"/>
              <w:rPr/>
            </w:pPr>
            <w:r>
              <w:rPr>
                <w:rFonts w:ascii="Times New Roman" w:hAnsi="Times New Roman" w:eastAsia="Times New Roman" w:cs="Times New Roman"/>
                <w:i/>
                <w:iCs/>
                <w:spacing w:val="2"/>
                <w:position w:val="-2"/>
              </w:rPr>
              <w:t>x</w:t>
            </w:r>
            <w:r>
              <w:rPr>
                <w:rFonts w:ascii="Times New Roman" w:hAnsi="Times New Roman" w:eastAsia="Times New Roman" w:cs="Times New Roman"/>
                <w:sz w:val="11"/>
                <w:szCs w:val="11"/>
                <w:spacing w:val="2"/>
                <w:position w:val="3"/>
              </w:rPr>
              <w:t>2 </w:t>
            </w:r>
            <w:r>
              <w:rPr>
                <w:spacing w:val="2"/>
                <w:position w:val="-2"/>
              </w:rPr>
              <w:t>值</w:t>
            </w:r>
          </w:p>
        </w:tc>
        <w:tc>
          <w:tcPr>
            <w:tcW w:w="1027" w:type="dxa"/>
            <w:vAlign w:val="top"/>
          </w:tcPr>
          <w:p>
            <w:pPr>
              <w:rPr>
                <w:rFonts w:ascii="Arial"/>
                <w:sz w:val="21"/>
              </w:rPr>
            </w:pPr>
            <w:r/>
          </w:p>
        </w:tc>
        <w:tc>
          <w:tcPr>
            <w:tcW w:w="1505" w:type="dxa"/>
            <w:vAlign w:val="top"/>
          </w:tcPr>
          <w:p>
            <w:pPr>
              <w:rPr>
                <w:rFonts w:ascii="Arial"/>
                <w:sz w:val="21"/>
              </w:rPr>
            </w:pPr>
            <w:r/>
          </w:p>
        </w:tc>
        <w:tc>
          <w:tcPr>
            <w:tcW w:w="1812" w:type="dxa"/>
            <w:vAlign w:val="top"/>
          </w:tcPr>
          <w:p>
            <w:pPr>
              <w:rPr>
                <w:rFonts w:ascii="Arial"/>
                <w:sz w:val="21"/>
              </w:rPr>
            </w:pPr>
            <w:r/>
          </w:p>
        </w:tc>
        <w:tc>
          <w:tcPr>
            <w:tcW w:w="1815" w:type="dxa"/>
            <w:vAlign w:val="top"/>
          </w:tcPr>
          <w:p>
            <w:pPr>
              <w:rPr>
                <w:rFonts w:ascii="Arial"/>
                <w:sz w:val="21"/>
              </w:rPr>
            </w:pPr>
            <w:r/>
          </w:p>
        </w:tc>
        <w:tc>
          <w:tcPr>
            <w:tcW w:w="1871" w:type="dxa"/>
            <w:vAlign w:val="top"/>
          </w:tcPr>
          <w:p>
            <w:pPr>
              <w:ind w:left="715"/>
              <w:spacing w:before="7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
              </w:rPr>
              <w:t>5.0748</w:t>
            </w:r>
          </w:p>
        </w:tc>
      </w:tr>
      <w:tr>
        <w:trPr>
          <w:trHeight w:val="389" w:hRule="atLeast"/>
        </w:trPr>
        <w:tc>
          <w:tcPr>
            <w:tcW w:w="1324" w:type="dxa"/>
            <w:vAlign w:val="top"/>
            <w:tcBorders>
              <w:bottom w:val="single" w:color="000000" w:sz="10" w:space="0"/>
            </w:tcBorders>
          </w:tcPr>
          <w:p>
            <w:pPr>
              <w:pStyle w:val="TableText"/>
              <w:ind w:left="546"/>
              <w:spacing w:before="103" w:line="214" w:lineRule="auto"/>
              <w:rPr/>
            </w:pPr>
            <w:r>
              <w:rPr>
                <w:rFonts w:ascii="Times New Roman" w:hAnsi="Times New Roman" w:eastAsia="Times New Roman" w:cs="Times New Roman"/>
                <w:i/>
                <w:iCs/>
                <w:spacing w:val="1"/>
              </w:rPr>
              <w:t>P </w:t>
            </w:r>
            <w:r>
              <w:rPr>
                <w:spacing w:val="1"/>
              </w:rPr>
              <w:t>值</w:t>
            </w:r>
          </w:p>
        </w:tc>
        <w:tc>
          <w:tcPr>
            <w:tcW w:w="1027" w:type="dxa"/>
            <w:vAlign w:val="top"/>
            <w:tcBorders>
              <w:bottom w:val="single" w:color="000000" w:sz="10" w:space="0"/>
            </w:tcBorders>
          </w:tcPr>
          <w:p>
            <w:pPr>
              <w:rPr>
                <w:rFonts w:ascii="Arial"/>
                <w:sz w:val="21"/>
              </w:rPr>
            </w:pPr>
            <w:r/>
          </w:p>
        </w:tc>
        <w:tc>
          <w:tcPr>
            <w:tcW w:w="1505" w:type="dxa"/>
            <w:vAlign w:val="top"/>
            <w:tcBorders>
              <w:bottom w:val="single" w:color="000000" w:sz="10" w:space="0"/>
            </w:tcBorders>
          </w:tcPr>
          <w:p>
            <w:pPr>
              <w:rPr>
                <w:rFonts w:ascii="Arial"/>
                <w:sz w:val="21"/>
              </w:rPr>
            </w:pPr>
            <w:r/>
          </w:p>
        </w:tc>
        <w:tc>
          <w:tcPr>
            <w:tcW w:w="1812" w:type="dxa"/>
            <w:vAlign w:val="top"/>
            <w:tcBorders>
              <w:bottom w:val="single" w:color="000000" w:sz="10" w:space="0"/>
            </w:tcBorders>
          </w:tcPr>
          <w:p>
            <w:pPr>
              <w:rPr>
                <w:rFonts w:ascii="Arial"/>
                <w:sz w:val="21"/>
              </w:rPr>
            </w:pPr>
            <w:r/>
          </w:p>
        </w:tc>
        <w:tc>
          <w:tcPr>
            <w:tcW w:w="1815" w:type="dxa"/>
            <w:vAlign w:val="top"/>
            <w:tcBorders>
              <w:bottom w:val="single" w:color="000000" w:sz="10" w:space="0"/>
            </w:tcBorders>
          </w:tcPr>
          <w:p>
            <w:pPr>
              <w:rPr>
                <w:rFonts w:ascii="Arial"/>
                <w:sz w:val="21"/>
              </w:rPr>
            </w:pPr>
            <w:r/>
          </w:p>
        </w:tc>
        <w:tc>
          <w:tcPr>
            <w:tcW w:w="1871" w:type="dxa"/>
            <w:vAlign w:val="top"/>
            <w:tcBorders>
              <w:bottom w:val="single" w:color="000000" w:sz="10" w:space="0"/>
            </w:tcBorders>
          </w:tcPr>
          <w:p>
            <w:pPr>
              <w:ind w:left="713"/>
              <w:spacing w:before="7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0.0242</w:t>
            </w:r>
          </w:p>
        </w:tc>
      </w:tr>
    </w:tbl>
    <w:p>
      <w:pPr>
        <w:ind w:left="904"/>
        <w:spacing w:before="94" w:line="228" w:lineRule="auto"/>
        <w:outlineLvl w:val="0"/>
        <w:rPr>
          <w:rFonts w:ascii="SimHei" w:hAnsi="SimHei" w:eastAsia="SimHei" w:cs="SimHei"/>
          <w:sz w:val="20"/>
          <w:szCs w:val="20"/>
        </w:rPr>
      </w:pPr>
      <w:r>
        <w:rPr>
          <w:rFonts w:ascii="SimHei" w:hAnsi="SimHei" w:eastAsia="SimHei" w:cs="SimHei"/>
          <w:sz w:val="20"/>
          <w:szCs w:val="20"/>
          <w:spacing w:val="-3"/>
        </w:rPr>
        <w:t>3</w:t>
      </w:r>
      <w:r>
        <w:rPr>
          <w:rFonts w:ascii="SimHei" w:hAnsi="SimHei" w:eastAsia="SimHei" w:cs="SimHei"/>
          <w:sz w:val="20"/>
          <w:szCs w:val="20"/>
          <w:spacing w:val="12"/>
        </w:rPr>
        <w:t xml:space="preserve">  </w:t>
      </w:r>
      <w:r>
        <w:rPr>
          <w:rFonts w:ascii="SimHei" w:hAnsi="SimHei" w:eastAsia="SimHei" w:cs="SimHei"/>
          <w:sz w:val="20"/>
          <w:szCs w:val="20"/>
          <w:spacing w:val="-3"/>
        </w:rPr>
        <w:t>讨</w:t>
      </w:r>
      <w:r>
        <w:rPr>
          <w:rFonts w:ascii="SimHei" w:hAnsi="SimHei" w:eastAsia="SimHei" w:cs="SimHei"/>
          <w:sz w:val="20"/>
          <w:szCs w:val="20"/>
          <w:spacing w:val="16"/>
        </w:rPr>
        <w:t xml:space="preserve"> </w:t>
      </w:r>
      <w:r>
        <w:rPr>
          <w:rFonts w:ascii="SimHei" w:hAnsi="SimHei" w:eastAsia="SimHei" w:cs="SimHei"/>
          <w:sz w:val="20"/>
          <w:szCs w:val="20"/>
          <w:spacing w:val="-3"/>
        </w:rPr>
        <w:t>论</w:t>
      </w:r>
    </w:p>
    <w:p>
      <w:pPr>
        <w:pStyle w:val="BodyText"/>
        <w:ind w:left="899" w:right="182" w:firstLine="421"/>
        <w:spacing w:before="96" w:line="309" w:lineRule="auto"/>
        <w:jc w:val="both"/>
        <w:rPr/>
      </w:pPr>
      <w:r>
        <w:rPr>
          <w:spacing w:val="11"/>
        </w:rPr>
        <w:t>在临床妇科诊疗中，急性盆腔炎是较为常见的一种急性病症，该病症发病因素较多，如月经期间</w:t>
      </w:r>
      <w:r>
        <w:rPr>
          <w:spacing w:val="8"/>
        </w:rPr>
        <w:t xml:space="preserve"> </w:t>
      </w:r>
      <w:r>
        <w:rPr>
          <w:spacing w:val="7"/>
        </w:rPr>
        <w:t>卫生习惯较差、产后发生感染现象等，这些因素都会导致患者患上急性盆腔炎</w:t>
      </w:r>
      <w:r>
        <w:rPr>
          <w:rFonts w:ascii="Times New Roman" w:hAnsi="Times New Roman" w:eastAsia="Times New Roman" w:cs="Times New Roman"/>
          <w:sz w:val="13"/>
          <w:szCs w:val="13"/>
          <w:spacing w:val="7"/>
          <w:position w:val="6"/>
        </w:rPr>
        <w:t>[5]</w:t>
      </w:r>
      <w:r>
        <w:rPr>
          <w:rFonts w:ascii="Times New Roman" w:hAnsi="Times New Roman" w:eastAsia="Times New Roman" w:cs="Times New Roman"/>
          <w:sz w:val="13"/>
          <w:szCs w:val="13"/>
          <w:spacing w:val="-9"/>
          <w:position w:val="6"/>
        </w:rPr>
        <w:t xml:space="preserve"> </w:t>
      </w:r>
      <w:r>
        <w:rPr>
          <w:spacing w:val="7"/>
        </w:rPr>
        <w:t>。患者</w:t>
      </w:r>
      <w:r>
        <w:rPr>
          <w:spacing w:val="6"/>
        </w:rPr>
        <w:t>在发病后，下腹</w:t>
      </w:r>
      <w:r>
        <w:rPr/>
        <w:t xml:space="preserve"> </w:t>
      </w:r>
      <w:r>
        <w:rPr>
          <w:spacing w:val="11"/>
        </w:rPr>
        <w:t>部或者是腰部会出现疼痛症状，不仅会严重影响到患者生活质量，病情严重时还会危及到患者生命安</w:t>
      </w:r>
      <w:r>
        <w:rPr>
          <w:spacing w:val="8"/>
        </w:rPr>
        <w:t xml:space="preserve"> </w:t>
      </w:r>
      <w:r>
        <w:rPr>
          <w:spacing w:val="10"/>
        </w:rPr>
        <w:t>全。</w:t>
      </w:r>
      <w:r>
        <w:rPr>
          <w:spacing w:val="-48"/>
        </w:rPr>
        <w:t xml:space="preserve"> </w:t>
      </w:r>
      <w:r>
        <w:rPr>
          <w:spacing w:val="10"/>
        </w:rPr>
        <w:t>目前，临床上常采用药物治疗与手术治疗方式，具有一定治疗效果，但是由于患者受到疼痛因素</w:t>
      </w:r>
      <w:r>
        <w:rPr/>
        <w:t xml:space="preserve"> </w:t>
      </w:r>
      <w:r>
        <w:rPr>
          <w:spacing w:val="11"/>
        </w:rPr>
        <w:t>的影响，会出现一系列负面情绪，因此在治疗过程中还应当加入合理、有效的护理措施，能够对缓解</w:t>
      </w:r>
      <w:r>
        <w:rPr>
          <w:spacing w:val="8"/>
        </w:rPr>
        <w:t xml:space="preserve"> </w:t>
      </w:r>
      <w:r>
        <w:rPr>
          <w:spacing w:val="8"/>
        </w:rPr>
        <w:t>患者不良情绪，提高治疗效果。</w:t>
      </w:r>
    </w:p>
    <w:p>
      <w:pPr>
        <w:pStyle w:val="BodyText"/>
        <w:ind w:left="899" w:right="184" w:firstLine="417"/>
        <w:spacing w:before="2" w:line="323" w:lineRule="auto"/>
        <w:jc w:val="both"/>
        <w:rPr/>
      </w:pPr>
      <w:r>
        <w:rPr>
          <w:spacing w:val="7"/>
        </w:rPr>
        <w:t>衡晓华</w:t>
      </w:r>
      <w:r>
        <w:rPr>
          <w:rFonts w:ascii="Times New Roman" w:hAnsi="Times New Roman" w:eastAsia="Times New Roman" w:cs="Times New Roman"/>
          <w:sz w:val="13"/>
          <w:szCs w:val="13"/>
          <w:spacing w:val="7"/>
          <w:position w:val="6"/>
        </w:rPr>
        <w:t>[6]</w:t>
      </w:r>
      <w:r>
        <w:rPr>
          <w:spacing w:val="7"/>
        </w:rPr>
        <w:t>经研究后发现，相较于对照组，实验组患者护理满意度较高，说明应用护理干预措施能够</w:t>
      </w:r>
      <w:r>
        <w:rPr>
          <w:spacing w:val="10"/>
        </w:rPr>
        <w:t xml:space="preserve"> </w:t>
      </w:r>
      <w:r>
        <w:rPr>
          <w:spacing w:val="11"/>
        </w:rPr>
        <w:t>有效提高患者护理满意度，与本文研究结果一致。在本次研究结果还显示，实验组患者疼痛有效缓解</w:t>
      </w:r>
      <w:r>
        <w:rPr>
          <w:spacing w:val="8"/>
        </w:rPr>
        <w:t xml:space="preserve"> </w:t>
      </w:r>
      <w:r>
        <w:rPr>
          <w:spacing w:val="10"/>
        </w:rPr>
        <w:t>率明显高于常规组，说明应用系统护理干预措施能够有效</w:t>
      </w:r>
      <w:r>
        <w:rPr>
          <w:spacing w:val="9"/>
        </w:rPr>
        <w:t>缓解患者疼痛感，减少患者不良情绪。</w:t>
      </w:r>
    </w:p>
    <w:p>
      <w:pPr>
        <w:pStyle w:val="BodyText"/>
        <w:ind w:left="911" w:right="187" w:firstLine="406"/>
        <w:spacing w:line="312" w:lineRule="auto"/>
        <w:rPr/>
      </w:pPr>
      <w:r>
        <w:rPr>
          <w:spacing w:val="11"/>
        </w:rPr>
        <w:t>综上所述，在急性盆腔炎患者护理中应用系统护理干预，能够有效缓解患者疼痛，可广泛应用在 </w:t>
      </w:r>
      <w:r>
        <w:rPr>
          <w:spacing w:val="5"/>
        </w:rPr>
        <w:t>临床护理中。</w:t>
      </w:r>
    </w:p>
    <w:p>
      <w:pPr>
        <w:ind w:left="905"/>
        <w:spacing w:line="226" w:lineRule="auto"/>
        <w:rPr>
          <w:rFonts w:ascii="SimHei" w:hAnsi="SimHei" w:eastAsia="SimHei" w:cs="SimHei"/>
          <w:sz w:val="20"/>
          <w:szCs w:val="20"/>
        </w:rPr>
      </w:pPr>
      <w:r>
        <w:rPr>
          <w:rFonts w:ascii="SimHei" w:hAnsi="SimHei" w:eastAsia="SimHei" w:cs="SimHei"/>
          <w:sz w:val="20"/>
          <w:szCs w:val="20"/>
          <w:spacing w:val="5"/>
        </w:rPr>
        <w:t>参考文献：</w:t>
      </w:r>
    </w:p>
    <w:p>
      <w:pPr>
        <w:pStyle w:val="BodyText"/>
        <w:ind w:left="1269"/>
        <w:spacing w:before="62" w:line="25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2"/>
        </w:rPr>
        <w:t>[1]</w:t>
      </w:r>
      <w:r>
        <w:rPr>
          <w:sz w:val="18"/>
          <w:szCs w:val="18"/>
          <w:spacing w:val="-2"/>
          <w:position w:val="2"/>
        </w:rPr>
        <w:t>李丹</w:t>
      </w:r>
      <w:r>
        <w:rPr>
          <w:rFonts w:ascii="Times New Roman" w:hAnsi="Times New Roman" w:eastAsia="Times New Roman" w:cs="Times New Roman"/>
          <w:sz w:val="18"/>
          <w:szCs w:val="18"/>
          <w:spacing w:val="-2"/>
          <w:position w:val="2"/>
        </w:rPr>
        <w:t>.</w:t>
      </w:r>
      <w:r>
        <w:rPr>
          <w:rFonts w:ascii="Times New Roman" w:hAnsi="Times New Roman" w:eastAsia="Times New Roman" w:cs="Times New Roman"/>
          <w:sz w:val="18"/>
          <w:szCs w:val="18"/>
          <w:spacing w:val="-23"/>
          <w:position w:val="2"/>
        </w:rPr>
        <w:t xml:space="preserve"> </w:t>
      </w:r>
      <w:r>
        <w:rPr>
          <w:sz w:val="18"/>
          <w:szCs w:val="18"/>
          <w:spacing w:val="-2"/>
          <w:position w:val="2"/>
        </w:rPr>
        <w:t>中医综合护理对急性盆腔炎的应用效果及有效率影响观察</w:t>
      </w:r>
      <w:r>
        <w:rPr>
          <w:rFonts w:ascii="Times New Roman" w:hAnsi="Times New Roman" w:eastAsia="Times New Roman" w:cs="Times New Roman"/>
          <w:sz w:val="18"/>
          <w:szCs w:val="18"/>
          <w:spacing w:val="-2"/>
          <w:position w:val="2"/>
        </w:rPr>
        <w:t>[J].</w:t>
      </w:r>
      <w:r>
        <w:rPr>
          <w:sz w:val="18"/>
          <w:szCs w:val="18"/>
          <w:spacing w:val="-2"/>
          <w:position w:val="2"/>
        </w:rPr>
        <w:t>世界最新医学信息文摘</w:t>
      </w:r>
      <w:r>
        <w:rPr>
          <w:rFonts w:ascii="Times New Roman" w:hAnsi="Times New Roman" w:eastAsia="Times New Roman" w:cs="Times New Roman"/>
          <w:sz w:val="18"/>
          <w:szCs w:val="18"/>
          <w:spacing w:val="-2"/>
          <w:position w:val="2"/>
        </w:rPr>
        <w:t>,2019,</w:t>
      </w:r>
      <w:r>
        <w:rPr>
          <w:rFonts w:ascii="Times New Roman" w:hAnsi="Times New Roman" w:eastAsia="Times New Roman" w:cs="Times New Roman"/>
          <w:sz w:val="18"/>
          <w:szCs w:val="18"/>
          <w:spacing w:val="-23"/>
          <w:position w:val="2"/>
        </w:rPr>
        <w:t xml:space="preserve"> </w:t>
      </w:r>
      <w:r>
        <w:rPr>
          <w:rFonts w:ascii="Times New Roman" w:hAnsi="Times New Roman" w:eastAsia="Times New Roman" w:cs="Times New Roman"/>
          <w:sz w:val="18"/>
          <w:szCs w:val="18"/>
          <w:spacing w:val="-2"/>
          <w:position w:val="2"/>
        </w:rPr>
        <w:t>19</w:t>
      </w:r>
      <w:r>
        <w:rPr>
          <w:sz w:val="18"/>
          <w:szCs w:val="18"/>
          <w:spacing w:val="-2"/>
          <w:position w:val="2"/>
        </w:rPr>
        <w:t>（</w:t>
      </w:r>
      <w:r>
        <w:rPr>
          <w:sz w:val="18"/>
          <w:szCs w:val="18"/>
          <w:spacing w:val="-46"/>
          <w:position w:val="2"/>
        </w:rPr>
        <w:t xml:space="preserve"> </w:t>
      </w:r>
      <w:r>
        <w:rPr>
          <w:rFonts w:ascii="Times New Roman" w:hAnsi="Times New Roman" w:eastAsia="Times New Roman" w:cs="Times New Roman"/>
          <w:sz w:val="18"/>
          <w:szCs w:val="18"/>
          <w:spacing w:val="-2"/>
          <w:position w:val="2"/>
        </w:rPr>
        <w:t>19</w:t>
      </w:r>
      <w:r>
        <w:rPr>
          <w:sz w:val="18"/>
          <w:szCs w:val="18"/>
          <w:spacing w:val="9"/>
          <w:position w:val="2"/>
        </w:rPr>
        <w:t>）：</w:t>
      </w:r>
      <w:r>
        <w:rPr>
          <w:rFonts w:ascii="Times New Roman" w:hAnsi="Times New Roman" w:eastAsia="Times New Roman" w:cs="Times New Roman"/>
          <w:sz w:val="18"/>
          <w:szCs w:val="18"/>
          <w:spacing w:val="-2"/>
          <w:position w:val="2"/>
        </w:rPr>
        <w:t>244.</w:t>
      </w:r>
    </w:p>
    <w:p>
      <w:pPr>
        <w:pStyle w:val="BodyText"/>
        <w:ind w:left="1269"/>
        <w:spacing w:before="47" w:line="25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2"/>
        </w:rPr>
        <w:t>[2]</w:t>
      </w:r>
      <w:r>
        <w:rPr>
          <w:sz w:val="18"/>
          <w:szCs w:val="18"/>
          <w:spacing w:val="-2"/>
          <w:position w:val="2"/>
        </w:rPr>
        <w:t>武洪玲</w:t>
      </w:r>
      <w:r>
        <w:rPr>
          <w:rFonts w:ascii="Times New Roman" w:hAnsi="Times New Roman" w:eastAsia="Times New Roman" w:cs="Times New Roman"/>
          <w:sz w:val="18"/>
          <w:szCs w:val="18"/>
          <w:spacing w:val="-2"/>
          <w:position w:val="2"/>
        </w:rPr>
        <w:t>.</w:t>
      </w:r>
      <w:r>
        <w:rPr>
          <w:rFonts w:ascii="Times New Roman" w:hAnsi="Times New Roman" w:eastAsia="Times New Roman" w:cs="Times New Roman"/>
          <w:sz w:val="18"/>
          <w:szCs w:val="18"/>
          <w:spacing w:val="-23"/>
          <w:position w:val="2"/>
        </w:rPr>
        <w:t xml:space="preserve"> </w:t>
      </w:r>
      <w:r>
        <w:rPr>
          <w:sz w:val="18"/>
          <w:szCs w:val="18"/>
          <w:spacing w:val="-2"/>
          <w:position w:val="2"/>
        </w:rPr>
        <w:t>中医综合护理对急性盆腔炎的疗效观察</w:t>
      </w:r>
      <w:r>
        <w:rPr>
          <w:rFonts w:ascii="Times New Roman" w:hAnsi="Times New Roman" w:eastAsia="Times New Roman" w:cs="Times New Roman"/>
          <w:sz w:val="18"/>
          <w:szCs w:val="18"/>
          <w:spacing w:val="-2"/>
          <w:position w:val="2"/>
        </w:rPr>
        <w:t>[J].</w:t>
      </w:r>
      <w:r>
        <w:rPr>
          <w:rFonts w:ascii="Times New Roman" w:hAnsi="Times New Roman" w:eastAsia="Times New Roman" w:cs="Times New Roman"/>
          <w:sz w:val="18"/>
          <w:szCs w:val="18"/>
          <w:spacing w:val="-25"/>
          <w:position w:val="2"/>
        </w:rPr>
        <w:t xml:space="preserve"> </w:t>
      </w:r>
      <w:r>
        <w:rPr>
          <w:sz w:val="18"/>
          <w:szCs w:val="18"/>
          <w:spacing w:val="-2"/>
          <w:position w:val="2"/>
        </w:rPr>
        <w:t>中国现代药物应用</w:t>
      </w:r>
      <w:r>
        <w:rPr>
          <w:rFonts w:ascii="Times New Roman" w:hAnsi="Times New Roman" w:eastAsia="Times New Roman" w:cs="Times New Roman"/>
          <w:sz w:val="18"/>
          <w:szCs w:val="18"/>
          <w:spacing w:val="-2"/>
          <w:position w:val="2"/>
        </w:rPr>
        <w:t>,2019,</w:t>
      </w:r>
      <w:r>
        <w:rPr>
          <w:rFonts w:ascii="Times New Roman" w:hAnsi="Times New Roman" w:eastAsia="Times New Roman" w:cs="Times New Roman"/>
          <w:sz w:val="18"/>
          <w:szCs w:val="18"/>
          <w:spacing w:val="-23"/>
          <w:position w:val="2"/>
        </w:rPr>
        <w:t xml:space="preserve"> </w:t>
      </w:r>
      <w:r>
        <w:rPr>
          <w:rFonts w:ascii="Times New Roman" w:hAnsi="Times New Roman" w:eastAsia="Times New Roman" w:cs="Times New Roman"/>
          <w:sz w:val="18"/>
          <w:szCs w:val="18"/>
          <w:spacing w:val="-2"/>
          <w:position w:val="2"/>
        </w:rPr>
        <w:t>13</w:t>
      </w:r>
      <w:r>
        <w:rPr>
          <w:sz w:val="18"/>
          <w:szCs w:val="18"/>
          <w:spacing w:val="-2"/>
          <w:position w:val="2"/>
        </w:rPr>
        <w:t>（</w:t>
      </w:r>
      <w:r>
        <w:rPr>
          <w:rFonts w:ascii="Times New Roman" w:hAnsi="Times New Roman" w:eastAsia="Times New Roman" w:cs="Times New Roman"/>
          <w:sz w:val="18"/>
          <w:szCs w:val="18"/>
          <w:spacing w:val="-2"/>
          <w:position w:val="2"/>
        </w:rPr>
        <w:t>04</w:t>
      </w:r>
      <w:r>
        <w:rPr>
          <w:sz w:val="18"/>
          <w:szCs w:val="18"/>
          <w:spacing w:val="16"/>
          <w:position w:val="2"/>
        </w:rPr>
        <w:t>）：</w:t>
      </w:r>
      <w:r>
        <w:rPr>
          <w:rFonts w:ascii="Times New Roman" w:hAnsi="Times New Roman" w:eastAsia="Times New Roman" w:cs="Times New Roman"/>
          <w:sz w:val="18"/>
          <w:szCs w:val="18"/>
          <w:spacing w:val="-2"/>
          <w:position w:val="2"/>
        </w:rPr>
        <w:t>199-200.</w:t>
      </w:r>
    </w:p>
    <w:p>
      <w:pPr>
        <w:pStyle w:val="BodyText"/>
        <w:ind w:left="900" w:right="182" w:firstLine="369"/>
        <w:spacing w:before="48" w:line="2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[3]</w:t>
      </w:r>
      <w:r>
        <w:rPr>
          <w:sz w:val="18"/>
          <w:szCs w:val="18"/>
          <w:spacing w:val="12"/>
        </w:rPr>
        <w:t>张俊君</w:t>
      </w:r>
      <w:r>
        <w:rPr>
          <w:rFonts w:ascii="Times New Roman" w:hAnsi="Times New Roman" w:eastAsia="Times New Roman" w:cs="Times New Roman"/>
          <w:sz w:val="18"/>
          <w:szCs w:val="18"/>
          <w:spacing w:val="12"/>
        </w:rPr>
        <w:t>,</w:t>
      </w:r>
      <w:r>
        <w:rPr>
          <w:sz w:val="18"/>
          <w:szCs w:val="18"/>
          <w:spacing w:val="12"/>
        </w:rPr>
        <w:t>谢妍</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17"/>
        </w:rPr>
        <w:t xml:space="preserve"> </w:t>
      </w:r>
      <w:r>
        <w:rPr>
          <w:sz w:val="18"/>
          <w:szCs w:val="18"/>
          <w:spacing w:val="12"/>
        </w:rPr>
        <w:t>蔡立义</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23"/>
        </w:rPr>
        <w:t xml:space="preserve"> </w:t>
      </w:r>
      <w:r>
        <w:rPr>
          <w:sz w:val="18"/>
          <w:szCs w:val="18"/>
          <w:spacing w:val="12"/>
        </w:rPr>
        <w:t>王家俊</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22"/>
        </w:rPr>
        <w:t xml:space="preserve"> </w:t>
      </w:r>
      <w:r>
        <w:rPr>
          <w:sz w:val="18"/>
          <w:szCs w:val="18"/>
          <w:spacing w:val="12"/>
        </w:rPr>
        <w:t>动机访谈干预对急性盆腔炎患者自我效能及生活质量的影响</w:t>
      </w:r>
      <w:r>
        <w:rPr>
          <w:rFonts w:ascii="Times New Roman" w:hAnsi="Times New Roman" w:eastAsia="Times New Roman" w:cs="Times New Roman"/>
          <w:sz w:val="18"/>
          <w:szCs w:val="18"/>
          <w:spacing w:val="12"/>
        </w:rPr>
        <w:t>[J].</w:t>
      </w:r>
      <w:r>
        <w:rPr>
          <w:rFonts w:ascii="Times New Roman" w:hAnsi="Times New Roman" w:eastAsia="Times New Roman" w:cs="Times New Roman"/>
          <w:sz w:val="18"/>
          <w:szCs w:val="18"/>
          <w:spacing w:val="-13"/>
        </w:rPr>
        <w:t xml:space="preserve"> </w:t>
      </w:r>
      <w:r>
        <w:rPr>
          <w:sz w:val="18"/>
          <w:szCs w:val="18"/>
          <w:spacing w:val="12"/>
        </w:rPr>
        <w:t>山西医药杂</w:t>
      </w:r>
      <w:r>
        <w:rPr>
          <w:sz w:val="18"/>
          <w:szCs w:val="18"/>
        </w:rPr>
        <w:t xml:space="preserve"> </w:t>
      </w:r>
      <w:r>
        <w:rPr>
          <w:sz w:val="18"/>
          <w:szCs w:val="18"/>
          <w:spacing w:val="-1"/>
        </w:rPr>
        <w:t>志</w:t>
      </w:r>
      <w:r>
        <w:rPr>
          <w:rFonts w:ascii="Times New Roman" w:hAnsi="Times New Roman" w:eastAsia="Times New Roman" w:cs="Times New Roman"/>
          <w:sz w:val="18"/>
          <w:szCs w:val="18"/>
          <w:spacing w:val="-1"/>
        </w:rPr>
        <w:t>,2019,48</w:t>
      </w:r>
      <w:r>
        <w:rPr>
          <w:sz w:val="18"/>
          <w:szCs w:val="18"/>
          <w:spacing w:val="-1"/>
        </w:rPr>
        <w:t>（</w:t>
      </w:r>
      <w:r>
        <w:rPr>
          <w:rFonts w:ascii="Times New Roman" w:hAnsi="Times New Roman" w:eastAsia="Times New Roman" w:cs="Times New Roman"/>
          <w:sz w:val="18"/>
          <w:szCs w:val="18"/>
          <w:spacing w:val="-1"/>
        </w:rPr>
        <w:t>05 </w:t>
      </w:r>
      <w:r>
        <w:rPr>
          <w:sz w:val="18"/>
          <w:szCs w:val="18"/>
          <w:spacing w:val="-14"/>
        </w:rPr>
        <w:t>）：</w:t>
      </w:r>
      <w:r>
        <w:rPr>
          <w:rFonts w:ascii="Times New Roman" w:hAnsi="Times New Roman" w:eastAsia="Times New Roman" w:cs="Times New Roman"/>
          <w:sz w:val="18"/>
          <w:szCs w:val="18"/>
          <w:spacing w:val="-1"/>
        </w:rPr>
        <w:t>617-619.</w:t>
      </w:r>
    </w:p>
    <w:p>
      <w:pPr>
        <w:pStyle w:val="BodyText"/>
        <w:ind w:left="1269"/>
        <w:spacing w:before="41" w:line="25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[4]</w:t>
      </w:r>
      <w:r>
        <w:rPr>
          <w:sz w:val="18"/>
          <w:szCs w:val="18"/>
          <w:spacing w:val="-1"/>
          <w:position w:val="2"/>
        </w:rPr>
        <w:t>覃玉玲</w:t>
      </w:r>
      <w:r>
        <w:rPr>
          <w:rFonts w:ascii="Times New Roman" w:hAnsi="Times New Roman" w:eastAsia="Times New Roman" w:cs="Times New Roman"/>
          <w:sz w:val="18"/>
          <w:szCs w:val="18"/>
          <w:spacing w:val="-1"/>
          <w:position w:val="2"/>
        </w:rPr>
        <w:t>.</w:t>
      </w:r>
      <w:r>
        <w:rPr>
          <w:sz w:val="18"/>
          <w:szCs w:val="18"/>
          <w:spacing w:val="-1"/>
          <w:position w:val="2"/>
        </w:rPr>
        <w:t>慢性盆腔炎妇科门诊治疗体会</w:t>
      </w:r>
      <w:r>
        <w:rPr>
          <w:rFonts w:ascii="Times New Roman" w:hAnsi="Times New Roman" w:eastAsia="Times New Roman" w:cs="Times New Roman"/>
          <w:sz w:val="18"/>
          <w:szCs w:val="18"/>
          <w:spacing w:val="-1"/>
          <w:position w:val="2"/>
        </w:rPr>
        <w:t>[J].</w:t>
      </w:r>
      <w:r>
        <w:rPr>
          <w:sz w:val="18"/>
          <w:szCs w:val="18"/>
          <w:spacing w:val="-1"/>
          <w:position w:val="2"/>
        </w:rPr>
        <w:t>世界最新医</w:t>
      </w:r>
      <w:r>
        <w:rPr>
          <w:sz w:val="18"/>
          <w:szCs w:val="18"/>
          <w:spacing w:val="-2"/>
          <w:position w:val="2"/>
        </w:rPr>
        <w:t>学信息文摘</w:t>
      </w:r>
      <w:r>
        <w:rPr>
          <w:rFonts w:ascii="Times New Roman" w:hAnsi="Times New Roman" w:eastAsia="Times New Roman" w:cs="Times New Roman"/>
          <w:sz w:val="18"/>
          <w:szCs w:val="18"/>
          <w:spacing w:val="-2"/>
          <w:position w:val="2"/>
        </w:rPr>
        <w:t>,2018,</w:t>
      </w:r>
      <w:r>
        <w:rPr>
          <w:rFonts w:ascii="Times New Roman" w:hAnsi="Times New Roman" w:eastAsia="Times New Roman" w:cs="Times New Roman"/>
          <w:sz w:val="18"/>
          <w:szCs w:val="18"/>
          <w:spacing w:val="-23"/>
          <w:position w:val="2"/>
        </w:rPr>
        <w:t xml:space="preserve"> </w:t>
      </w:r>
      <w:r>
        <w:rPr>
          <w:rFonts w:ascii="Times New Roman" w:hAnsi="Times New Roman" w:eastAsia="Times New Roman" w:cs="Times New Roman"/>
          <w:sz w:val="18"/>
          <w:szCs w:val="18"/>
          <w:spacing w:val="-2"/>
          <w:position w:val="2"/>
        </w:rPr>
        <w:t>18</w:t>
      </w:r>
      <w:r>
        <w:rPr>
          <w:sz w:val="18"/>
          <w:szCs w:val="18"/>
          <w:spacing w:val="-2"/>
          <w:position w:val="2"/>
        </w:rPr>
        <w:t>（</w:t>
      </w:r>
      <w:r>
        <w:rPr>
          <w:rFonts w:ascii="Times New Roman" w:hAnsi="Times New Roman" w:eastAsia="Times New Roman" w:cs="Times New Roman"/>
          <w:sz w:val="18"/>
          <w:szCs w:val="18"/>
          <w:spacing w:val="-2"/>
          <w:position w:val="2"/>
        </w:rPr>
        <w:t>86</w:t>
      </w:r>
      <w:r>
        <w:rPr>
          <w:sz w:val="18"/>
          <w:szCs w:val="18"/>
          <w:spacing w:val="10"/>
          <w:position w:val="2"/>
        </w:rPr>
        <w:t>）：</w:t>
      </w:r>
      <w:r>
        <w:rPr>
          <w:rFonts w:ascii="Times New Roman" w:hAnsi="Times New Roman" w:eastAsia="Times New Roman" w:cs="Times New Roman"/>
          <w:sz w:val="18"/>
          <w:szCs w:val="18"/>
          <w:spacing w:val="-2"/>
          <w:position w:val="2"/>
        </w:rPr>
        <w:t>160+</w:t>
      </w:r>
      <w:r>
        <w:rPr>
          <w:rFonts w:ascii="Times New Roman" w:hAnsi="Times New Roman" w:eastAsia="Times New Roman" w:cs="Times New Roman"/>
          <w:sz w:val="18"/>
          <w:szCs w:val="18"/>
          <w:spacing w:val="-25"/>
          <w:position w:val="2"/>
        </w:rPr>
        <w:t xml:space="preserve"> </w:t>
      </w:r>
      <w:r>
        <w:rPr>
          <w:rFonts w:ascii="Times New Roman" w:hAnsi="Times New Roman" w:eastAsia="Times New Roman" w:cs="Times New Roman"/>
          <w:sz w:val="18"/>
          <w:szCs w:val="18"/>
          <w:spacing w:val="-2"/>
          <w:position w:val="2"/>
        </w:rPr>
        <w:t>162.</w:t>
      </w:r>
    </w:p>
    <w:p>
      <w:pPr>
        <w:pStyle w:val="BodyText"/>
        <w:ind w:left="1269"/>
        <w:spacing w:before="47" w:line="25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2"/>
        </w:rPr>
        <w:t>[5]</w:t>
      </w:r>
      <w:r>
        <w:rPr>
          <w:sz w:val="18"/>
          <w:szCs w:val="18"/>
          <w:spacing w:val="-2"/>
          <w:position w:val="2"/>
        </w:rPr>
        <w:t>邵志芳</w:t>
      </w:r>
      <w:r>
        <w:rPr>
          <w:rFonts w:ascii="Times New Roman" w:hAnsi="Times New Roman" w:eastAsia="Times New Roman" w:cs="Times New Roman"/>
          <w:sz w:val="18"/>
          <w:szCs w:val="18"/>
          <w:spacing w:val="-2"/>
          <w:position w:val="2"/>
        </w:rPr>
        <w:t>.</w:t>
      </w:r>
      <w:r>
        <w:rPr>
          <w:sz w:val="18"/>
          <w:szCs w:val="18"/>
          <w:spacing w:val="-2"/>
          <w:position w:val="2"/>
        </w:rPr>
        <w:t>探讨急性盆腔炎的护理措施</w:t>
      </w:r>
      <w:r>
        <w:rPr>
          <w:rFonts w:ascii="Times New Roman" w:hAnsi="Times New Roman" w:eastAsia="Times New Roman" w:cs="Times New Roman"/>
          <w:sz w:val="18"/>
          <w:szCs w:val="18"/>
          <w:spacing w:val="-2"/>
          <w:position w:val="2"/>
        </w:rPr>
        <w:t>[J].</w:t>
      </w:r>
      <w:r>
        <w:rPr>
          <w:rFonts w:ascii="Times New Roman" w:hAnsi="Times New Roman" w:eastAsia="Times New Roman" w:cs="Times New Roman"/>
          <w:sz w:val="18"/>
          <w:szCs w:val="18"/>
          <w:spacing w:val="-24"/>
          <w:position w:val="2"/>
        </w:rPr>
        <w:t xml:space="preserve"> </w:t>
      </w:r>
      <w:r>
        <w:rPr>
          <w:sz w:val="18"/>
          <w:szCs w:val="18"/>
          <w:spacing w:val="-2"/>
          <w:position w:val="2"/>
        </w:rPr>
        <w:t>中国医药指南</w:t>
      </w:r>
      <w:r>
        <w:rPr>
          <w:rFonts w:ascii="Times New Roman" w:hAnsi="Times New Roman" w:eastAsia="Times New Roman" w:cs="Times New Roman"/>
          <w:sz w:val="18"/>
          <w:szCs w:val="18"/>
          <w:spacing w:val="-2"/>
          <w:position w:val="2"/>
        </w:rPr>
        <w:t>,2018,</w:t>
      </w:r>
      <w:r>
        <w:rPr>
          <w:rFonts w:ascii="Times New Roman" w:hAnsi="Times New Roman" w:eastAsia="Times New Roman" w:cs="Times New Roman"/>
          <w:sz w:val="18"/>
          <w:szCs w:val="18"/>
          <w:spacing w:val="-23"/>
          <w:position w:val="2"/>
        </w:rPr>
        <w:t xml:space="preserve"> </w:t>
      </w:r>
      <w:r>
        <w:rPr>
          <w:rFonts w:ascii="Times New Roman" w:hAnsi="Times New Roman" w:eastAsia="Times New Roman" w:cs="Times New Roman"/>
          <w:sz w:val="18"/>
          <w:szCs w:val="18"/>
          <w:spacing w:val="-2"/>
          <w:position w:val="2"/>
        </w:rPr>
        <w:t>16</w:t>
      </w:r>
      <w:r>
        <w:rPr>
          <w:sz w:val="18"/>
          <w:szCs w:val="18"/>
          <w:spacing w:val="-2"/>
          <w:position w:val="2"/>
        </w:rPr>
        <w:t>（</w:t>
      </w:r>
      <w:r>
        <w:rPr>
          <w:sz w:val="18"/>
          <w:szCs w:val="18"/>
          <w:spacing w:val="-46"/>
          <w:position w:val="2"/>
        </w:rPr>
        <w:t xml:space="preserve"> </w:t>
      </w:r>
      <w:r>
        <w:rPr>
          <w:rFonts w:ascii="Times New Roman" w:hAnsi="Times New Roman" w:eastAsia="Times New Roman" w:cs="Times New Roman"/>
          <w:sz w:val="18"/>
          <w:szCs w:val="18"/>
          <w:spacing w:val="-2"/>
          <w:position w:val="2"/>
        </w:rPr>
        <w:t>15 </w:t>
      </w:r>
      <w:r>
        <w:rPr>
          <w:sz w:val="18"/>
          <w:szCs w:val="18"/>
          <w:spacing w:val="-23"/>
          <w:position w:val="2"/>
        </w:rPr>
        <w:t>）：</w:t>
      </w:r>
      <w:r>
        <w:rPr>
          <w:rFonts w:ascii="Times New Roman" w:hAnsi="Times New Roman" w:eastAsia="Times New Roman" w:cs="Times New Roman"/>
          <w:sz w:val="18"/>
          <w:szCs w:val="18"/>
          <w:spacing w:val="-2"/>
          <w:position w:val="2"/>
        </w:rPr>
        <w:t>260-26</w:t>
      </w:r>
      <w:r>
        <w:rPr>
          <w:rFonts w:ascii="Times New Roman" w:hAnsi="Times New Roman" w:eastAsia="Times New Roman" w:cs="Times New Roman"/>
          <w:sz w:val="18"/>
          <w:szCs w:val="18"/>
          <w:spacing w:val="-3"/>
          <w:position w:val="2"/>
        </w:rPr>
        <w:t>1.</w:t>
      </w:r>
    </w:p>
    <w:p>
      <w:pPr>
        <w:spacing w:line="320" w:lineRule="auto"/>
        <w:rPr>
          <w:rFonts w:ascii="Arial"/>
          <w:sz w:val="21"/>
        </w:rPr>
      </w:pPr>
      <w:r/>
    </w:p>
    <w:p>
      <w:pPr>
        <w:spacing w:line="321" w:lineRule="auto"/>
        <w:rPr>
          <w:rFonts w:ascii="Arial"/>
          <w:sz w:val="21"/>
        </w:rPr>
      </w:pPr>
      <w:r/>
    </w:p>
    <w:p>
      <w:pPr>
        <w:pStyle w:val="BodyText"/>
        <w:ind w:left="3239"/>
        <w:spacing w:before="114" w:line="222" w:lineRule="auto"/>
        <w:outlineLvl w:val="1"/>
        <w:rPr>
          <w:sz w:val="35"/>
          <w:szCs w:val="35"/>
        </w:rPr>
      </w:pPr>
      <w:r>
        <w:rPr>
          <w:sz w:val="35"/>
          <w:szCs w:val="35"/>
          <w:b/>
          <w:bCs/>
          <w:spacing w:val="3"/>
        </w:rPr>
        <w:t>内镜室内镜清洗的规范化管理</w:t>
      </w:r>
    </w:p>
    <w:p>
      <w:pPr>
        <w:ind w:left="5242"/>
        <w:spacing w:before="238" w:line="224" w:lineRule="auto"/>
        <w:rPr>
          <w:rFonts w:ascii="KaiTi" w:hAnsi="KaiTi" w:eastAsia="KaiTi" w:cs="KaiTi"/>
          <w:sz w:val="20"/>
          <w:szCs w:val="20"/>
        </w:rPr>
      </w:pPr>
      <w:r>
        <w:rPr>
          <w:rFonts w:ascii="KaiTi" w:hAnsi="KaiTi" w:eastAsia="KaiTi" w:cs="KaiTi"/>
          <w:sz w:val="20"/>
          <w:szCs w:val="20"/>
          <w:spacing w:val="5"/>
        </w:rPr>
        <w:t>华密丹</w:t>
      </w:r>
    </w:p>
    <w:p>
      <w:pPr>
        <w:ind w:left="4605"/>
        <w:spacing w:before="96" w:line="226" w:lineRule="auto"/>
        <w:rPr>
          <w:rFonts w:ascii="KaiTi" w:hAnsi="KaiTi" w:eastAsia="KaiTi" w:cs="KaiTi"/>
          <w:sz w:val="20"/>
          <w:szCs w:val="20"/>
        </w:rPr>
      </w:pPr>
      <w:r>
        <w:rPr>
          <w:rFonts w:ascii="KaiTi" w:hAnsi="KaiTi" w:eastAsia="KaiTi" w:cs="KaiTi"/>
          <w:sz w:val="20"/>
          <w:szCs w:val="20"/>
          <w:spacing w:val="2"/>
        </w:rPr>
        <w:t>（</w:t>
      </w:r>
      <w:r>
        <w:rPr>
          <w:rFonts w:ascii="KaiTi" w:hAnsi="KaiTi" w:eastAsia="KaiTi" w:cs="KaiTi"/>
          <w:sz w:val="20"/>
          <w:szCs w:val="20"/>
          <w:spacing w:val="-39"/>
        </w:rPr>
        <w:t xml:space="preserve"> </w:t>
      </w:r>
      <w:r>
        <w:rPr>
          <w:rFonts w:ascii="KaiTi" w:hAnsi="KaiTi" w:eastAsia="KaiTi" w:cs="KaiTi"/>
          <w:sz w:val="20"/>
          <w:szCs w:val="20"/>
          <w:spacing w:val="2"/>
        </w:rPr>
        <w:t>慈溪市龙山医院）</w:t>
      </w:r>
    </w:p>
    <w:p>
      <w:pPr>
        <w:spacing w:line="370" w:lineRule="auto"/>
        <w:rPr>
          <w:rFonts w:ascii="Arial"/>
          <w:sz w:val="21"/>
        </w:rPr>
      </w:pPr>
      <w:r/>
    </w:p>
    <w:p>
      <w:pPr>
        <w:ind w:left="905" w:right="187" w:firstLine="30"/>
        <w:spacing w:before="65" w:line="310" w:lineRule="auto"/>
        <w:jc w:val="both"/>
        <w:rPr>
          <w:rFonts w:ascii="KaiTi" w:hAnsi="KaiTi" w:eastAsia="KaiTi" w:cs="KaiTi"/>
          <w:sz w:val="20"/>
          <w:szCs w:val="20"/>
        </w:rPr>
      </w:pPr>
      <w:r>
        <w:rPr>
          <w:rFonts w:ascii="SimHei" w:hAnsi="SimHei" w:eastAsia="SimHei" w:cs="SimHei"/>
          <w:sz w:val="20"/>
          <w:szCs w:val="20"/>
          <w:spacing w:val="7"/>
        </w:rPr>
        <w:t>[摘要]</w:t>
      </w:r>
      <w:r>
        <w:rPr>
          <w:rFonts w:ascii="SimHei" w:hAnsi="SimHei" w:eastAsia="SimHei" w:cs="SimHei"/>
          <w:sz w:val="20"/>
          <w:szCs w:val="20"/>
          <w:spacing w:val="48"/>
        </w:rPr>
        <w:t xml:space="preserve"> </w:t>
      </w:r>
      <w:r>
        <w:rPr>
          <w:rFonts w:ascii="SimHei" w:hAnsi="SimHei" w:eastAsia="SimHei" w:cs="SimHei"/>
          <w:sz w:val="20"/>
          <w:szCs w:val="20"/>
          <w:spacing w:val="7"/>
        </w:rPr>
        <w:t>目的：</w:t>
      </w:r>
      <w:r>
        <w:rPr>
          <w:rFonts w:ascii="KaiTi" w:hAnsi="KaiTi" w:eastAsia="KaiTi" w:cs="KaiTi"/>
          <w:sz w:val="20"/>
          <w:szCs w:val="20"/>
          <w:spacing w:val="7"/>
        </w:rPr>
        <w:t>制定内镜清洗规范化管理方案，提高内镜清洗质量。</w:t>
      </w:r>
      <w:r>
        <w:rPr>
          <w:rFonts w:ascii="SimHei" w:hAnsi="SimHei" w:eastAsia="SimHei" w:cs="SimHei"/>
          <w:sz w:val="20"/>
          <w:szCs w:val="20"/>
          <w:spacing w:val="7"/>
        </w:rPr>
        <w:t>方法：</w:t>
      </w:r>
      <w:r>
        <w:rPr>
          <w:rFonts w:ascii="SimHei" w:hAnsi="SimHei" w:eastAsia="SimHei" w:cs="SimHei"/>
          <w:sz w:val="20"/>
          <w:szCs w:val="20"/>
          <w:spacing w:val="-26"/>
        </w:rPr>
        <w:t xml:space="preserve"> </w:t>
      </w:r>
      <w:r>
        <w:rPr>
          <w:rFonts w:ascii="KaiTi" w:hAnsi="KaiTi" w:eastAsia="KaiTi" w:cs="KaiTi"/>
          <w:sz w:val="20"/>
          <w:szCs w:val="20"/>
          <w:spacing w:val="7"/>
        </w:rPr>
        <w:t>自</w:t>
      </w:r>
      <w:r>
        <w:rPr>
          <w:rFonts w:ascii="KaiTi" w:hAnsi="KaiTi" w:eastAsia="KaiTi" w:cs="KaiTi"/>
          <w:sz w:val="20"/>
          <w:szCs w:val="20"/>
          <w:spacing w:val="-29"/>
        </w:rPr>
        <w:t xml:space="preserve"> </w:t>
      </w:r>
      <w:r>
        <w:rPr>
          <w:rFonts w:ascii="KaiTi" w:hAnsi="KaiTi" w:eastAsia="KaiTi" w:cs="KaiTi"/>
          <w:sz w:val="20"/>
          <w:szCs w:val="20"/>
          <w:spacing w:val="7"/>
        </w:rPr>
        <w:t>20</w:t>
      </w:r>
      <w:r>
        <w:rPr>
          <w:rFonts w:ascii="KaiTi" w:hAnsi="KaiTi" w:eastAsia="KaiTi" w:cs="KaiTi"/>
          <w:sz w:val="20"/>
          <w:szCs w:val="20"/>
          <w:spacing w:val="6"/>
        </w:rPr>
        <w:t>19年</w:t>
      </w:r>
      <w:r>
        <w:rPr>
          <w:rFonts w:ascii="KaiTi" w:hAnsi="KaiTi" w:eastAsia="KaiTi" w:cs="KaiTi"/>
          <w:sz w:val="20"/>
          <w:szCs w:val="20"/>
          <w:spacing w:val="-24"/>
        </w:rPr>
        <w:t xml:space="preserve"> </w:t>
      </w:r>
      <w:r>
        <w:rPr>
          <w:rFonts w:ascii="KaiTi" w:hAnsi="KaiTi" w:eastAsia="KaiTi" w:cs="KaiTi"/>
          <w:sz w:val="20"/>
          <w:szCs w:val="20"/>
          <w:spacing w:val="6"/>
        </w:rPr>
        <w:t>1</w:t>
      </w:r>
      <w:r>
        <w:rPr>
          <w:rFonts w:ascii="KaiTi" w:hAnsi="KaiTi" w:eastAsia="KaiTi" w:cs="KaiTi"/>
          <w:sz w:val="20"/>
          <w:szCs w:val="20"/>
          <w:spacing w:val="-26"/>
        </w:rPr>
        <w:t xml:space="preserve"> </w:t>
      </w:r>
      <w:r>
        <w:rPr>
          <w:rFonts w:ascii="KaiTi" w:hAnsi="KaiTi" w:eastAsia="KaiTi" w:cs="KaiTi"/>
          <w:sz w:val="20"/>
          <w:szCs w:val="20"/>
          <w:spacing w:val="6"/>
        </w:rPr>
        <w:t>月起制定内镜</w:t>
      </w:r>
      <w:r>
        <w:rPr>
          <w:rFonts w:ascii="KaiTi" w:hAnsi="KaiTi" w:eastAsia="KaiTi" w:cs="KaiTi"/>
          <w:sz w:val="20"/>
          <w:szCs w:val="20"/>
        </w:rPr>
        <w:t xml:space="preserve"> </w:t>
      </w:r>
      <w:r>
        <w:rPr>
          <w:rFonts w:ascii="KaiTi" w:hAnsi="KaiTi" w:eastAsia="KaiTi" w:cs="KaiTi"/>
          <w:sz w:val="20"/>
          <w:szCs w:val="20"/>
          <w:spacing w:val="11"/>
        </w:rPr>
        <w:t>清洗规范化管理方案，实行专人清洗制度，清洗人员接受岗前培训，配备专业的清洗设备，制定内镜</w:t>
      </w:r>
      <w:r>
        <w:rPr>
          <w:rFonts w:ascii="KaiTi" w:hAnsi="KaiTi" w:eastAsia="KaiTi" w:cs="KaiTi"/>
          <w:sz w:val="20"/>
          <w:szCs w:val="20"/>
          <w:spacing w:val="1"/>
        </w:rPr>
        <w:t xml:space="preserve"> </w:t>
      </w:r>
      <w:r>
        <w:rPr>
          <w:rFonts w:ascii="KaiTi" w:hAnsi="KaiTi" w:eastAsia="KaiTi" w:cs="KaiTi"/>
          <w:sz w:val="20"/>
          <w:szCs w:val="20"/>
          <w:spacing w:val="11"/>
        </w:rPr>
        <w:t>清洗规范化流程，强调清洗过程中的注意事项，实行自评管理制度，分别统计管理方案调整前后半年</w:t>
      </w:r>
      <w:r>
        <w:rPr>
          <w:rFonts w:ascii="KaiTi" w:hAnsi="KaiTi" w:eastAsia="KaiTi" w:cs="KaiTi"/>
          <w:sz w:val="20"/>
          <w:szCs w:val="20"/>
          <w:spacing w:val="1"/>
        </w:rPr>
        <w:t xml:space="preserve"> </w:t>
      </w:r>
      <w:r>
        <w:rPr>
          <w:rFonts w:ascii="KaiTi" w:hAnsi="KaiTi" w:eastAsia="KaiTi" w:cs="KaiTi"/>
          <w:sz w:val="20"/>
          <w:szCs w:val="20"/>
          <w:spacing w:val="11"/>
        </w:rPr>
        <w:t>内的内镜清洗合格率、消毒合格率、保养合格率进行对比。</w:t>
      </w:r>
      <w:r>
        <w:rPr>
          <w:rFonts w:ascii="SimHei" w:hAnsi="SimHei" w:eastAsia="SimHei" w:cs="SimHei"/>
          <w:sz w:val="20"/>
          <w:szCs w:val="20"/>
          <w:spacing w:val="11"/>
        </w:rPr>
        <w:t>结果：</w:t>
      </w:r>
      <w:r>
        <w:rPr>
          <w:rFonts w:ascii="KaiTi" w:hAnsi="KaiTi" w:eastAsia="KaiTi" w:cs="KaiTi"/>
          <w:sz w:val="20"/>
          <w:szCs w:val="20"/>
          <w:spacing w:val="11"/>
        </w:rPr>
        <w:t>调整后内镜清洗合格率、消毒合格</w:t>
      </w:r>
      <w:r>
        <w:rPr>
          <w:rFonts w:ascii="KaiTi" w:hAnsi="KaiTi" w:eastAsia="KaiTi" w:cs="KaiTi"/>
          <w:sz w:val="20"/>
          <w:szCs w:val="20"/>
          <w:spacing w:val="1"/>
        </w:rPr>
        <w:t xml:space="preserve"> </w:t>
      </w:r>
      <w:r>
        <w:rPr>
          <w:rFonts w:ascii="KaiTi" w:hAnsi="KaiTi" w:eastAsia="KaiTi" w:cs="KaiTi"/>
          <w:sz w:val="20"/>
          <w:szCs w:val="20"/>
          <w:spacing w:val="6"/>
        </w:rPr>
        <w:t>率、保养合格率均显著高于调整前，差异具有统计学</w:t>
      </w:r>
      <w:r>
        <w:rPr>
          <w:rFonts w:ascii="KaiTi" w:hAnsi="KaiTi" w:eastAsia="KaiTi" w:cs="KaiTi"/>
          <w:sz w:val="20"/>
          <w:szCs w:val="20"/>
          <w:spacing w:val="5"/>
        </w:rPr>
        <w:t>意义（</w:t>
      </w:r>
      <w:r>
        <w:rPr>
          <w:rFonts w:ascii="KaiTi" w:hAnsi="KaiTi" w:eastAsia="KaiTi" w:cs="KaiTi"/>
          <w:sz w:val="20"/>
          <w:szCs w:val="20"/>
          <w:spacing w:val="-30"/>
        </w:rPr>
        <w:t xml:space="preserve"> </w:t>
      </w:r>
      <w:r>
        <w:rPr>
          <w:rFonts w:ascii="KaiTi" w:hAnsi="KaiTi" w:eastAsia="KaiTi" w:cs="KaiTi"/>
          <w:sz w:val="21"/>
          <w:szCs w:val="21"/>
          <w:i/>
          <w:iCs/>
          <w:spacing w:val="5"/>
        </w:rPr>
        <w:t>P</w:t>
      </w:r>
      <w:r>
        <w:rPr>
          <w:rFonts w:ascii="KaiTi" w:hAnsi="KaiTi" w:eastAsia="KaiTi" w:cs="KaiTi"/>
          <w:sz w:val="20"/>
          <w:szCs w:val="20"/>
          <w:spacing w:val="5"/>
        </w:rPr>
        <w:t>＜</w:t>
      </w:r>
      <w:r>
        <w:rPr>
          <w:rFonts w:ascii="KaiTi" w:hAnsi="KaiTi" w:eastAsia="KaiTi" w:cs="KaiTi"/>
          <w:sz w:val="20"/>
          <w:szCs w:val="20"/>
          <w:spacing w:val="-47"/>
        </w:rPr>
        <w:t xml:space="preserve"> </w:t>
      </w:r>
      <w:r>
        <w:rPr>
          <w:rFonts w:ascii="KaiTi" w:hAnsi="KaiTi" w:eastAsia="KaiTi" w:cs="KaiTi"/>
          <w:sz w:val="20"/>
          <w:szCs w:val="20"/>
          <w:spacing w:val="5"/>
        </w:rPr>
        <w:t>0.05）。</w:t>
      </w:r>
      <w:r>
        <w:rPr>
          <w:rFonts w:ascii="SimHei" w:hAnsi="SimHei" w:eastAsia="SimHei" w:cs="SimHei"/>
          <w:sz w:val="20"/>
          <w:szCs w:val="20"/>
          <w:spacing w:val="5"/>
        </w:rPr>
        <w:t>结论：</w:t>
      </w:r>
      <w:r>
        <w:rPr>
          <w:rFonts w:ascii="KaiTi" w:hAnsi="KaiTi" w:eastAsia="KaiTi" w:cs="KaiTi"/>
          <w:sz w:val="20"/>
          <w:szCs w:val="20"/>
          <w:spacing w:val="5"/>
        </w:rPr>
        <w:t>实施内镜清洗的规范化</w:t>
      </w:r>
      <w:r>
        <w:rPr>
          <w:rFonts w:ascii="KaiTi" w:hAnsi="KaiTi" w:eastAsia="KaiTi" w:cs="KaiTi"/>
          <w:sz w:val="20"/>
          <w:szCs w:val="20"/>
        </w:rPr>
        <w:t xml:space="preserve"> </w:t>
      </w:r>
      <w:r>
        <w:rPr>
          <w:rFonts w:ascii="KaiTi" w:hAnsi="KaiTi" w:eastAsia="KaiTi" w:cs="KaiTi"/>
          <w:sz w:val="20"/>
          <w:szCs w:val="20"/>
          <w:spacing w:val="9"/>
        </w:rPr>
        <w:t>管理能够有效提高内镜清洗质量，值得在临床上推广和应用。</w:t>
      </w:r>
    </w:p>
    <w:p>
      <w:pPr>
        <w:ind w:left="936"/>
        <w:spacing w:before="7" w:line="223" w:lineRule="auto"/>
        <w:rPr>
          <w:rFonts w:ascii="KaiTi" w:hAnsi="KaiTi" w:eastAsia="KaiTi" w:cs="KaiTi"/>
          <w:sz w:val="20"/>
          <w:szCs w:val="20"/>
        </w:rPr>
      </w:pPr>
      <w:r>
        <w:rPr>
          <w:rFonts w:ascii="SimHei" w:hAnsi="SimHei" w:eastAsia="SimHei" w:cs="SimHei"/>
          <w:sz w:val="20"/>
          <w:szCs w:val="20"/>
          <w:spacing w:val="4"/>
        </w:rPr>
        <w:t>[关键词]</w:t>
      </w:r>
      <w:r>
        <w:rPr>
          <w:rFonts w:ascii="SimHei" w:hAnsi="SimHei" w:eastAsia="SimHei" w:cs="SimHei"/>
          <w:sz w:val="20"/>
          <w:szCs w:val="20"/>
          <w:spacing w:val="39"/>
        </w:rPr>
        <w:t xml:space="preserve"> </w:t>
      </w:r>
      <w:r>
        <w:rPr>
          <w:rFonts w:ascii="KaiTi" w:hAnsi="KaiTi" w:eastAsia="KaiTi" w:cs="KaiTi"/>
          <w:sz w:val="20"/>
          <w:szCs w:val="20"/>
          <w:spacing w:val="4"/>
        </w:rPr>
        <w:t>内镜室；</w:t>
      </w:r>
      <w:r>
        <w:rPr>
          <w:rFonts w:ascii="KaiTi" w:hAnsi="KaiTi" w:eastAsia="KaiTi" w:cs="KaiTi"/>
          <w:sz w:val="20"/>
          <w:szCs w:val="20"/>
          <w:spacing w:val="-39"/>
        </w:rPr>
        <w:t xml:space="preserve"> </w:t>
      </w:r>
      <w:r>
        <w:rPr>
          <w:rFonts w:ascii="KaiTi" w:hAnsi="KaiTi" w:eastAsia="KaiTi" w:cs="KaiTi"/>
          <w:sz w:val="20"/>
          <w:szCs w:val="20"/>
          <w:spacing w:val="4"/>
        </w:rPr>
        <w:t>内镜清洗；护理管理；</w:t>
      </w:r>
      <w:r>
        <w:rPr>
          <w:rFonts w:ascii="KaiTi" w:hAnsi="KaiTi" w:eastAsia="KaiTi" w:cs="KaiTi"/>
          <w:sz w:val="20"/>
          <w:szCs w:val="20"/>
          <w:spacing w:val="3"/>
        </w:rPr>
        <w:t>规范化管理</w:t>
      </w:r>
    </w:p>
    <w:sectPr>
      <w:headerReference w:type="default" r:id="rId5"/>
      <w:footerReference w:type="default" r:id="rId6"/>
      <w:pgSz w:w="11906" w:h="16839"/>
      <w:pgMar w:top="1653" w:right="1117" w:bottom="1483" w:left="407" w:header="1228" w:footer="120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02"/>
      <w:spacing w:line="2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1"/>
      </w:rPr>
      <w:t>143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9"/>
      <w:spacing w:line="2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1"/>
      </w:rPr>
      <w:t>144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02"/>
      <w:spacing w:line="2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1"/>
      </w:rPr>
      <w:t>145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1"/>
      <w:spacing w:before="59" w:line="221" w:lineRule="auto"/>
      <w:rPr/>
    </w:pPr>
    <w:r>
      <w:pict>
        <v:shape id="WordPictureWatermark2" style="position:absolute;margin-left:20.4pt;margin-top:814.5pt;mso-position-vertical-relative:page;mso-position-horizontal-relative:page;width:475.5pt;height:9.7pt;z-index:-251658240;" o:allowincell="f" filled="false" stroked="false" type="#_x0000_t75">
          <v:imagedata o:title="" r:id="rId1"/>
        </v:shape>
      </w:pict>
    </w:r>
    <w:r>
      <w:pict>
        <v:shape id="_x0000_s4" style="position:absolute;margin-left:65.2pt;margin-top:79pt;mso-position-vertical-relative:page;mso-position-horizontal-relative:page;width:464.9pt;height:0.75pt;z-index:251659264;" o:allowincell="f" fillcolor="#000000" filled="true" stroked="false" coordsize="9297,15" coordorigin="0,0" path="m,l9297,0l9297,14l0,14l0,0xe"/>
      </w:pict>
    </w:r>
    <w:r>
      <w:rPr>
        <w:spacing w:val="7"/>
      </w:rPr>
      <w:t>临床研究                                  浙江省第二十八届</w:t>
    </w:r>
    <w:r>
      <w:rPr>
        <w:spacing w:val="6"/>
      </w:rPr>
      <w:t>基层卫生改革与发展学术会议</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87"/>
      <w:spacing w:before="59" w:line="221" w:lineRule="auto"/>
      <w:rPr/>
    </w:pPr>
    <w:r>
      <w:pict>
        <v:shape id="WordPictureWatermark6" style="position:absolute;margin-left:20.4pt;margin-top:814.5pt;mso-position-vertical-relative:page;mso-position-horizontal-relative:page;width:475.5pt;height:9.7pt;z-index:-251656192;" o:allowincell="f" filled="false" stroked="false" type="#_x0000_t75">
          <v:imagedata o:title="" r:id="rId1"/>
        </v:shape>
      </w:pict>
    </w:r>
    <w:r>
      <w:pict>
        <v:shape id="_x0000_s8" style="position:absolute;margin-left:65.2pt;margin-top:79pt;mso-position-vertical-relative:page;mso-position-horizontal-relative:page;width:464.9pt;height:0.75pt;z-index:251661312;" o:allowincell="f" fillcolor="#000000" filled="true" stroked="false" coordsize="9297,15" coordorigin="0,0" path="m,l9297,0l9297,14l0,14l0,0xe"/>
      </w:pict>
    </w:r>
    <w:r>
      <w:rPr>
        <w:spacing w:val="7"/>
      </w:rPr>
      <w:t>浙江省第二十八届基层卫生改革与发展学术会议                                   临</w:t>
    </w:r>
    <w:r>
      <w:rPr>
        <w:spacing w:val="6"/>
      </w:rPr>
      <w:t>床研究</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51"/>
      <w:spacing w:before="59" w:line="221" w:lineRule="auto"/>
      <w:rPr/>
    </w:pPr>
    <w:r>
      <w:pict>
        <v:shape id="WordPictureWatermark10" style="position:absolute;margin-left:20.4pt;margin-top:814.5pt;mso-position-vertical-relative:page;mso-position-horizontal-relative:page;width:475.5pt;height:9.7pt;z-index:-251654144;" o:allowincell="f" filled="false" stroked="false" type="#_x0000_t75">
          <v:imagedata o:title="" r:id="rId1"/>
        </v:shape>
      </w:pict>
    </w:r>
    <w:r>
      <w:pict>
        <v:shape id="_x0000_s12" style="position:absolute;margin-left:65.2pt;margin-top:79pt;mso-position-vertical-relative:page;mso-position-horizontal-relative:page;width:464.9pt;height:0.75pt;z-index:251663360;" o:allowincell="f" fillcolor="#000000" filled="true" stroked="false" coordsize="9297,15" coordorigin="0,0" path="m,l9297,0l9297,14l0,14l0,0xe"/>
      </w:pict>
    </w:r>
    <w:r>
      <w:rPr>
        <w:spacing w:val="7"/>
      </w:rPr>
      <w:t>临床研究                                  浙江省第二十八届</w:t>
    </w:r>
    <w:r>
      <w:rPr>
        <w:spacing w:val="6"/>
      </w:rPr>
      <w:t>基层卫生改革与发展学术会议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2023-07-10T16:22:00Z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2025-10-28T21:30:01</vt:filetime>
  </property>
</Properties>
</file>