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821"/>
        <w:spacing w:before="209" w:line="580" w:lineRule="exact"/>
        <w:outlineLvl w:val="0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color w:val="231F20"/>
          <w:spacing w:val="-10"/>
          <w:position w:val="2"/>
        </w:rPr>
        <w:t>急性盆腔炎患者心理弹性现状、影响因素及干预对策</w:t>
      </w:r>
    </w:p>
    <w:p>
      <w:pPr>
        <w:pStyle w:val="BodyText"/>
        <w:ind w:left="4807"/>
        <w:spacing w:before="217" w:line="201" w:lineRule="auto"/>
        <w:rPr/>
      </w:pPr>
      <w:r>
        <w:rPr>
          <w:color w:val="231F20"/>
          <w:spacing w:val="-2"/>
        </w:rPr>
        <w:t>涂永红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-2"/>
        </w:rPr>
        <w:t>万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-2"/>
        </w:rPr>
        <w:t>芳</w:t>
      </w:r>
    </w:p>
    <w:p>
      <w:pPr>
        <w:pStyle w:val="BodyText"/>
        <w:ind w:left="620"/>
        <w:spacing w:before="272" w:line="183" w:lineRule="auto"/>
        <w:rPr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4"/>
        </w:rPr>
        <w:t>【中图分类号】</w:t>
      </w:r>
      <w:r>
        <w:rPr>
          <w:rFonts w:ascii="SimHei" w:hAnsi="SimHei" w:eastAsia="SimHei" w:cs="SimHei"/>
          <w:sz w:val="18"/>
          <w:szCs w:val="18"/>
          <w:color w:val="231F20"/>
          <w:spacing w:val="-4"/>
        </w:rPr>
        <w:t xml:space="preserve">  </w:t>
      </w:r>
      <w:r>
        <w:rPr>
          <w:sz w:val="18"/>
          <w:szCs w:val="18"/>
          <w:color w:val="231F20"/>
          <w:spacing w:val="-4"/>
        </w:rPr>
        <w:t>R473.71       </w:t>
      </w:r>
      <w:r>
        <w:rPr>
          <w:rFonts w:ascii="SimHei" w:hAnsi="SimHei" w:eastAsia="SimHei" w:cs="SimHei"/>
          <w:sz w:val="18"/>
          <w:szCs w:val="18"/>
          <w:color w:val="231F20"/>
          <w:spacing w:val="-4"/>
        </w:rPr>
        <w:t>【文献标识码】</w:t>
      </w:r>
      <w:r>
        <w:rPr>
          <w:rFonts w:ascii="SimHei" w:hAnsi="SimHei" w:eastAsia="SimHei" w:cs="SimHei"/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-4"/>
        </w:rPr>
        <w:t>A       </w:t>
      </w:r>
      <w:r>
        <w:rPr>
          <w:rFonts w:ascii="SimHei" w:hAnsi="SimHei" w:eastAsia="SimHei" w:cs="SimHei"/>
          <w:sz w:val="18"/>
          <w:szCs w:val="18"/>
          <w:color w:val="231F20"/>
          <w:spacing w:val="-4"/>
        </w:rPr>
        <w:t>【文章编</w:t>
      </w:r>
      <w:r>
        <w:rPr>
          <w:rFonts w:ascii="SimHei" w:hAnsi="SimHei" w:eastAsia="SimHei" w:cs="SimHei"/>
          <w:sz w:val="18"/>
          <w:szCs w:val="18"/>
          <w:color w:val="231F20"/>
          <w:spacing w:val="-5"/>
        </w:rPr>
        <w:t>号】</w:t>
      </w:r>
      <w:r>
        <w:rPr>
          <w:rFonts w:ascii="SimHei" w:hAnsi="SimHei" w:eastAsia="SimHei" w:cs="SimHei"/>
          <w:sz w:val="18"/>
          <w:szCs w:val="18"/>
          <w:color w:val="231F20"/>
          <w:spacing w:val="-5"/>
        </w:rPr>
        <w:t xml:space="preserve">  </w:t>
      </w:r>
      <w:r>
        <w:rPr>
          <w:sz w:val="18"/>
          <w:szCs w:val="18"/>
          <w:color w:val="231F20"/>
          <w:spacing w:val="-5"/>
        </w:rPr>
        <w:t>2097-0196（2024）03-0126-03</w:t>
      </w:r>
    </w:p>
    <w:p>
      <w:pPr>
        <w:pStyle w:val="BodyText"/>
        <w:ind w:left="620"/>
        <w:spacing w:line="196" w:lineRule="auto"/>
        <w:rPr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7"/>
        </w:rPr>
        <w:t>【摘</w:t>
      </w:r>
      <w:r>
        <w:rPr>
          <w:rFonts w:ascii="SimHei" w:hAnsi="SimHei" w:eastAsia="SimHei" w:cs="SimHei"/>
          <w:sz w:val="18"/>
          <w:szCs w:val="18"/>
          <w:color w:val="231F20"/>
          <w:spacing w:val="-7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231F20"/>
          <w:spacing w:val="-7"/>
        </w:rPr>
        <w:t>要】</w:t>
      </w:r>
      <w:r>
        <w:rPr>
          <w:rFonts w:ascii="SimHei" w:hAnsi="SimHei" w:eastAsia="SimHei" w:cs="SimHei"/>
          <w:sz w:val="18"/>
          <w:szCs w:val="18"/>
          <w:color w:val="231F20"/>
          <w:spacing w:val="-7"/>
        </w:rPr>
        <w:t xml:space="preserve">  </w:t>
      </w:r>
      <w:r>
        <w:rPr>
          <w:sz w:val="18"/>
          <w:szCs w:val="18"/>
          <w:color w:val="231F20"/>
          <w:spacing w:val="-7"/>
        </w:rPr>
        <w:t>目的：调查急性盆腔炎（APID）患者心理弹性现状，对其影响因素进行分析，探讨科学的干预对策。方法：选取医</w:t>
      </w:r>
    </w:p>
    <w:p>
      <w:pPr>
        <w:pStyle w:val="BodyText"/>
        <w:ind w:left="1712" w:right="13" w:firstLine="16"/>
        <w:spacing w:before="10" w:line="193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5"/>
        </w:rPr>
        <w:t>院收治的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sz w:val="18"/>
          <w:szCs w:val="18"/>
          <w:color w:val="231F20"/>
          <w:spacing w:val="-5"/>
        </w:rPr>
        <w:t>845</w:t>
      </w:r>
      <w:r>
        <w:rPr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-5"/>
        </w:rPr>
        <w:t>例APID患者，以问卷的方式收集患者基本资料，采用心理弹性量表（CD-RI</w:t>
      </w:r>
      <w:r>
        <w:rPr>
          <w:sz w:val="18"/>
          <w:szCs w:val="18"/>
          <w:color w:val="231F20"/>
          <w:spacing w:val="-6"/>
        </w:rPr>
        <w:t>SC）对患者心理弹性现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6"/>
        </w:rPr>
        <w:t>状进行调查，并进行单因素分析与多元线性回归分析、Pea</w:t>
      </w:r>
      <w:r>
        <w:rPr>
          <w:sz w:val="18"/>
          <w:szCs w:val="18"/>
          <w:color w:val="231F20"/>
          <w:spacing w:val="-7"/>
        </w:rPr>
        <w:t>rson相关性分析。结果：822</w:t>
      </w:r>
      <w:r>
        <w:rPr>
          <w:sz w:val="18"/>
          <w:szCs w:val="18"/>
          <w:color w:val="231F20"/>
          <w:spacing w:val="-26"/>
        </w:rPr>
        <w:t xml:space="preserve"> </w:t>
      </w:r>
      <w:r>
        <w:rPr>
          <w:sz w:val="18"/>
          <w:szCs w:val="18"/>
          <w:color w:val="231F20"/>
          <w:spacing w:val="-7"/>
        </w:rPr>
        <w:t>例APID患者CD-RISC评分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11"/>
        </w:rPr>
        <w:t>平均为（57.95±6.34）分；初中及以下文化程度、居住地为农村</w:t>
      </w:r>
      <w:r>
        <w:rPr>
          <w:sz w:val="18"/>
          <w:szCs w:val="18"/>
          <w:color w:val="231F20"/>
          <w:spacing w:val="-12"/>
        </w:rPr>
        <w:t>、≥</w:t>
      </w:r>
      <w:r>
        <w:rPr>
          <w:sz w:val="18"/>
          <w:szCs w:val="18"/>
          <w:color w:val="231F20"/>
          <w:spacing w:val="-29"/>
        </w:rPr>
        <w:t xml:space="preserve"> </w:t>
      </w:r>
      <w:r>
        <w:rPr>
          <w:sz w:val="18"/>
          <w:szCs w:val="18"/>
          <w:color w:val="231F20"/>
          <w:spacing w:val="-12"/>
        </w:rPr>
        <w:t>2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12"/>
        </w:rPr>
        <w:t>次复发次数、家庭经济收入＜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2"/>
        </w:rPr>
        <w:t>5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12"/>
        </w:rPr>
        <w:t>万元/年、社会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7"/>
        </w:rPr>
        <w:t>支持低下、自我效能低下患者的CD-RISC评分更低（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>P</w:t>
      </w:r>
      <w:r>
        <w:rPr>
          <w:sz w:val="18"/>
          <w:szCs w:val="18"/>
          <w:color w:val="231F20"/>
          <w:spacing w:val="-7"/>
        </w:rPr>
        <w:t>＜</w:t>
      </w:r>
      <w:r>
        <w:rPr>
          <w:sz w:val="18"/>
          <w:szCs w:val="18"/>
          <w:color w:val="231F20"/>
          <w:spacing w:val="-32"/>
        </w:rPr>
        <w:t xml:space="preserve"> </w:t>
      </w:r>
      <w:r>
        <w:rPr>
          <w:sz w:val="18"/>
          <w:szCs w:val="18"/>
          <w:color w:val="231F20"/>
          <w:spacing w:val="-7"/>
        </w:rPr>
        <w:t>0.05</w:t>
      </w:r>
      <w:r>
        <w:rPr>
          <w:sz w:val="18"/>
          <w:szCs w:val="18"/>
          <w:color w:val="231F20"/>
          <w:spacing w:val="-41"/>
          <w:w w:val="96"/>
        </w:rPr>
        <w:t>）；</w:t>
      </w:r>
      <w:r>
        <w:rPr>
          <w:sz w:val="18"/>
          <w:szCs w:val="18"/>
          <w:color w:val="231F20"/>
          <w:spacing w:val="-7"/>
        </w:rPr>
        <w:t>Pearson相关性分析显示，社会支持、自我效能与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5"/>
        </w:rPr>
        <w:t>APID患者CD-RISC评分呈正相关（r=0.385、0.356，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</w:rPr>
        <w:t>P</w:t>
      </w:r>
      <w:r>
        <w:rPr>
          <w:sz w:val="18"/>
          <w:szCs w:val="18"/>
          <w:color w:val="231F20"/>
          <w:spacing w:val="-5"/>
        </w:rPr>
        <w:t>＜</w:t>
      </w:r>
      <w:r>
        <w:rPr>
          <w:sz w:val="18"/>
          <w:szCs w:val="18"/>
          <w:color w:val="231F20"/>
          <w:spacing w:val="-29"/>
        </w:rPr>
        <w:t xml:space="preserve"> </w:t>
      </w:r>
      <w:r>
        <w:rPr>
          <w:sz w:val="18"/>
          <w:szCs w:val="18"/>
          <w:color w:val="231F20"/>
          <w:spacing w:val="-5"/>
        </w:rPr>
        <w:t>0.05</w:t>
      </w:r>
      <w:r>
        <w:rPr>
          <w:sz w:val="18"/>
          <w:szCs w:val="18"/>
          <w:color w:val="231F20"/>
          <w:spacing w:val="-37"/>
          <w:w w:val="87"/>
        </w:rPr>
        <w:t>）；</w:t>
      </w:r>
      <w:r>
        <w:rPr>
          <w:sz w:val="18"/>
          <w:szCs w:val="18"/>
          <w:color w:val="231F20"/>
          <w:spacing w:val="-5"/>
        </w:rPr>
        <w:t>多元线性回归分析结果显示，初</w:t>
      </w:r>
      <w:r>
        <w:rPr>
          <w:sz w:val="18"/>
          <w:szCs w:val="18"/>
          <w:color w:val="231F20"/>
          <w:spacing w:val="-6"/>
        </w:rPr>
        <w:t>中及以下文化程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5"/>
        </w:rPr>
        <w:t>度、≥</w:t>
      </w:r>
      <w:r>
        <w:rPr>
          <w:sz w:val="18"/>
          <w:szCs w:val="18"/>
          <w:color w:val="231F20"/>
          <w:spacing w:val="-29"/>
        </w:rPr>
        <w:t xml:space="preserve"> </w:t>
      </w:r>
      <w:r>
        <w:rPr>
          <w:sz w:val="18"/>
          <w:szCs w:val="18"/>
          <w:color w:val="231F20"/>
          <w:spacing w:val="-5"/>
        </w:rPr>
        <w:t>2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5"/>
        </w:rPr>
        <w:t>次复发次数、家庭经济收入＜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5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5"/>
        </w:rPr>
        <w:t>万元/年</w:t>
      </w:r>
      <w:r>
        <w:rPr>
          <w:sz w:val="18"/>
          <w:szCs w:val="18"/>
          <w:color w:val="231F20"/>
          <w:spacing w:val="-6"/>
        </w:rPr>
        <w:t>、社会支持低下、自我效能低下是影响APID患者CD-RISC评分的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9"/>
        </w:rPr>
        <w:t>独立危险因素（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>P</w:t>
      </w:r>
      <w:r>
        <w:rPr>
          <w:sz w:val="18"/>
          <w:szCs w:val="18"/>
          <w:color w:val="231F20"/>
          <w:spacing w:val="-9"/>
        </w:rPr>
        <w:t>＜</w:t>
      </w:r>
      <w:r>
        <w:rPr>
          <w:sz w:val="18"/>
          <w:szCs w:val="18"/>
          <w:color w:val="231F20"/>
          <w:spacing w:val="-32"/>
        </w:rPr>
        <w:t xml:space="preserve"> </w:t>
      </w:r>
      <w:r>
        <w:rPr>
          <w:sz w:val="18"/>
          <w:szCs w:val="18"/>
          <w:color w:val="231F20"/>
          <w:spacing w:val="-9"/>
        </w:rPr>
        <w:t>0.05）。结论：APID患者的心理弹性处于较低状态，与社会支持</w:t>
      </w:r>
      <w:r>
        <w:rPr>
          <w:sz w:val="18"/>
          <w:szCs w:val="18"/>
          <w:color w:val="231F20"/>
          <w:spacing w:val="-10"/>
        </w:rPr>
        <w:t>、自我效能呈正比，文化程度、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  <w:w w:val="97"/>
        </w:rPr>
        <w:t>居住地、复发次数、家庭经济收入、社会支持、自我效能均会对其造成影响。</w:t>
      </w:r>
    </w:p>
    <w:p>
      <w:pPr>
        <w:pStyle w:val="BodyText"/>
        <w:ind w:left="620"/>
        <w:spacing w:before="1" w:line="201" w:lineRule="auto"/>
        <w:rPr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</w:rPr>
        <w:t>【关键词】</w:t>
      </w:r>
      <w:r>
        <w:rPr>
          <w:rFonts w:ascii="SimHei" w:hAnsi="SimHei" w:eastAsia="SimHei" w:cs="SimHei"/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</w:rPr>
        <w:t>急性盆腔炎    心理弹性   现状调</w:t>
      </w:r>
      <w:r>
        <w:rPr>
          <w:sz w:val="18"/>
          <w:szCs w:val="18"/>
          <w:color w:val="231F20"/>
          <w:spacing w:val="-1"/>
        </w:rPr>
        <w:t>查    影响因素   干预对策</w:t>
      </w:r>
    </w:p>
    <w:p>
      <w:pPr>
        <w:pStyle w:val="BodyText"/>
        <w:ind w:left="725"/>
        <w:spacing w:before="1" w:line="185" w:lineRule="auto"/>
        <w:rPr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13"/>
        </w:rPr>
        <w:t>doi：</w:t>
      </w:r>
      <w:r>
        <w:rPr>
          <w:sz w:val="18"/>
          <w:szCs w:val="18"/>
          <w:color w:val="231F20"/>
          <w:spacing w:val="-13"/>
        </w:rPr>
        <w:t>10.20072/j.cnki.issn2097-0196.2024.</w:t>
      </w:r>
      <w:r>
        <w:rPr>
          <w:sz w:val="18"/>
          <w:szCs w:val="18"/>
          <w:color w:val="231F20"/>
          <w:spacing w:val="-14"/>
        </w:rPr>
        <w:t>03.040</w:t>
      </w:r>
    </w:p>
    <w:p>
      <w:pPr>
        <w:spacing w:before="27"/>
        <w:rPr/>
      </w:pPr>
      <w:r/>
    </w:p>
    <w:p>
      <w:pPr>
        <w:sectPr>
          <w:headerReference w:type="default" r:id="rId1"/>
          <w:pgSz w:w="11906" w:h="16838"/>
          <w:pgMar w:top="1528" w:right="1057" w:bottom="0" w:left="407" w:header="1205" w:footer="0" w:gutter="0"/>
          <w:cols w:equalWidth="0" w:num="1">
            <w:col w:w="10441" w:space="0"/>
          </w:cols>
        </w:sectPr>
        <w:rPr/>
      </w:pPr>
    </w:p>
    <w:p>
      <w:pPr>
        <w:pStyle w:val="BodyText"/>
        <w:ind w:left="722" w:right="321" w:firstLine="458"/>
        <w:spacing w:before="49" w:line="195" w:lineRule="auto"/>
        <w:jc w:val="both"/>
        <w:rPr/>
      </w:pPr>
      <w:r>
        <w:rPr>
          <w:color w:val="231F20"/>
          <w:spacing w:val="4"/>
        </w:rPr>
        <w:t>急性盆腔炎（</w:t>
      </w:r>
      <w:r>
        <w:rPr>
          <w:color w:val="231F20"/>
        </w:rPr>
        <w:t>APID</w:t>
      </w:r>
      <w:r>
        <w:rPr>
          <w:color w:val="231F20"/>
          <w:spacing w:val="4"/>
        </w:rPr>
        <w:t>）作为一种常见的妇科疾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病，发病原因较为复杂，可能与流产、炎症治疗不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彻底等原因有关，且容易出现反复发作情况，使患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者产生烦躁、焦虑等负性情绪，对治疗积极性造成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影响，难以保证疾病康复效果，会对患者的日常生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2"/>
        </w:rPr>
        <w:t>活及身心健康造成严重影响</w:t>
      </w:r>
      <w:r>
        <w:rPr>
          <w:sz w:val="12"/>
          <w:szCs w:val="12"/>
          <w:color w:val="231F20"/>
          <w:spacing w:val="2"/>
          <w:position w:val="9"/>
        </w:rPr>
        <w:t>[1]</w:t>
      </w:r>
      <w:r>
        <w:rPr>
          <w:color w:val="231F20"/>
          <w:spacing w:val="2"/>
        </w:rPr>
        <w:t>。因此，尽</w:t>
      </w:r>
      <w:r>
        <w:rPr>
          <w:color w:val="231F20"/>
          <w:spacing w:val="1"/>
        </w:rPr>
        <w:t>早发现可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能影响</w:t>
      </w:r>
      <w:r>
        <w:rPr>
          <w:color w:val="231F20"/>
        </w:rPr>
        <w:t>APID</w:t>
      </w:r>
      <w:r>
        <w:rPr>
          <w:color w:val="231F20"/>
          <w:spacing w:val="6"/>
        </w:rPr>
        <w:t>患者心理弹性的相关因素，实施专业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的干预对策，可保证患者恢复效果。心理弹性作为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9"/>
        </w:rPr>
        <w:t>一种内在动态性能力，能够在压力或困难的环境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下，保证提高患者心理、生理健康程度，能够使患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9"/>
        </w:rPr>
        <w:t>者受到不良事件刺激后表现出的心理承受能力及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适应能力得到准确反映，心理弹性越大，其个体对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6"/>
        </w:rPr>
        <w:t>外界环境调控能力越强</w:t>
      </w:r>
      <w:r>
        <w:rPr>
          <w:sz w:val="12"/>
          <w:szCs w:val="12"/>
          <w:color w:val="231F20"/>
          <w:spacing w:val="6"/>
          <w:position w:val="9"/>
        </w:rPr>
        <w:t>[2]</w:t>
      </w:r>
      <w:r>
        <w:rPr>
          <w:color w:val="231F20"/>
          <w:spacing w:val="6"/>
        </w:rPr>
        <w:t>。本研究对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6"/>
        </w:rPr>
        <w:t>822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例</w:t>
      </w:r>
      <w:r>
        <w:rPr>
          <w:color w:val="231F20"/>
        </w:rPr>
        <w:t>APID </w:t>
      </w:r>
      <w:r>
        <w:rPr>
          <w:color w:val="231F20"/>
          <w:spacing w:val="-1"/>
        </w:rPr>
        <w:t>患者进行分析，旨在调查探讨心理弹性现状，分析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其影响因素及干预对策，详情报道如下：</w:t>
      </w:r>
    </w:p>
    <w:p>
      <w:pPr>
        <w:ind w:left="740"/>
        <w:spacing w:before="1" w:line="23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4"/>
        </w:rPr>
        <w:t>1</w:t>
      </w:r>
      <w:r>
        <w:rPr>
          <w:rFonts w:ascii="SimHei" w:hAnsi="SimHei" w:eastAsia="SimHei" w:cs="SimHei"/>
          <w:sz w:val="21"/>
          <w:szCs w:val="21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21"/>
          <w:szCs w:val="21"/>
          <w:color w:val="231F20"/>
          <w:spacing w:val="-4"/>
        </w:rPr>
        <w:t>资料与方法</w:t>
      </w:r>
    </w:p>
    <w:p>
      <w:pPr>
        <w:pStyle w:val="BodyText"/>
        <w:ind w:left="721" w:right="208" w:firstLine="12"/>
        <w:spacing w:before="23" w:line="195" w:lineRule="auto"/>
        <w:rPr/>
      </w:pPr>
      <w:r>
        <w:rPr>
          <w:color w:val="231F20"/>
          <w:spacing w:val="-4"/>
        </w:rPr>
        <w:t>1.1</w:t>
      </w:r>
      <w:r>
        <w:rPr>
          <w:color w:val="231F20"/>
          <w:spacing w:val="17"/>
          <w:w w:val="101"/>
        </w:rPr>
        <w:t xml:space="preserve">   </w:t>
      </w:r>
      <w:r>
        <w:rPr>
          <w:color w:val="231F20"/>
          <w:spacing w:val="-4"/>
        </w:rPr>
        <w:t>一般资料</w:t>
      </w:r>
      <w:r>
        <w:rPr>
          <w:color w:val="231F20"/>
          <w:spacing w:val="17"/>
        </w:rPr>
        <w:t xml:space="preserve">   </w:t>
      </w:r>
      <w:r>
        <w:rPr>
          <w:color w:val="231F20"/>
          <w:spacing w:val="-4"/>
        </w:rPr>
        <w:t>选取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2020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年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9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月-20</w:t>
      </w:r>
      <w:r>
        <w:rPr>
          <w:color w:val="231F20"/>
          <w:spacing w:val="-5"/>
        </w:rPr>
        <w:t>23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年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6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月我</w:t>
      </w:r>
      <w:r>
        <w:rPr>
          <w:color w:val="231F20"/>
        </w:rPr>
        <w:t xml:space="preserve">   </w:t>
      </w:r>
      <w:r>
        <w:rPr>
          <w:color w:val="231F20"/>
          <w:spacing w:val="4"/>
        </w:rPr>
        <w:t>院收治的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845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例</w:t>
      </w:r>
      <w:r>
        <w:rPr>
          <w:color w:val="231F20"/>
        </w:rPr>
        <w:t>APID</w:t>
      </w:r>
      <w:r>
        <w:rPr>
          <w:color w:val="231F20"/>
          <w:spacing w:val="4"/>
        </w:rPr>
        <w:t>患者，以问卷的方式收集患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者基本资料，共发放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7"/>
        </w:rPr>
        <w:t>845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份调查问卷，回收有效</w:t>
      </w:r>
      <w:r>
        <w:rPr>
          <w:color w:val="231F20"/>
        </w:rPr>
        <w:t xml:space="preserve">   </w:t>
      </w:r>
      <w:r>
        <w:rPr>
          <w:color w:val="231F20"/>
        </w:rPr>
        <w:t>问卷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822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份，问卷有效回收率为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97.28%。患者年   </w:t>
      </w:r>
      <w:r>
        <w:rPr>
          <w:color w:val="231F20"/>
          <w:spacing w:val="-7"/>
        </w:rPr>
        <w:t>龄 21~61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岁，平均年龄（36.53±4.27）岁，体质量</w:t>
      </w:r>
      <w:r>
        <w:rPr>
          <w:color w:val="231F20"/>
        </w:rPr>
        <w:t xml:space="preserve">   </w:t>
      </w:r>
      <w:r>
        <w:rPr>
          <w:color w:val="231F20"/>
          <w:spacing w:val="-9"/>
        </w:rPr>
        <w:t>指 数（BMI）18.29~25.03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9"/>
        </w:rPr>
        <w:t>kg/m</w:t>
      </w:r>
      <w:r>
        <w:rPr>
          <w:sz w:val="12"/>
          <w:szCs w:val="12"/>
          <w:color w:val="231F20"/>
          <w:position w:val="9"/>
        </w:rPr>
        <w:t>2</w:t>
      </w:r>
      <w:r>
        <w:rPr>
          <w:color w:val="231F20"/>
          <w:spacing w:val="-3"/>
        </w:rPr>
        <w:t>，平 均（23.17±</w:t>
      </w:r>
      <w:r>
        <w:rPr>
          <w:color w:val="231F20"/>
        </w:rPr>
        <w:t xml:space="preserve">   </w:t>
      </w:r>
      <w:r>
        <w:rPr>
          <w:color w:val="231F20"/>
          <w:spacing w:val="-15"/>
        </w:rPr>
        <w:t>1.08）kg/m</w:t>
      </w:r>
      <w:r>
        <w:rPr>
          <w:sz w:val="12"/>
          <w:szCs w:val="12"/>
          <w:color w:val="231F20"/>
          <w:spacing w:val="3"/>
          <w:position w:val="10"/>
        </w:rPr>
        <w:t>2</w:t>
      </w:r>
      <w:r>
        <w:rPr>
          <w:color w:val="231F20"/>
          <w:spacing w:val="-9"/>
        </w:rPr>
        <w:t>，病程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9"/>
        </w:rPr>
        <w:t>5~24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9"/>
        </w:rPr>
        <w:t>个月，平均（13.76±0.92）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个月。本研究获本医院医学伦理委员会批准。</w:t>
      </w:r>
    </w:p>
    <w:p>
      <w:pPr>
        <w:pStyle w:val="BodyText"/>
        <w:ind w:left="721" w:right="321" w:firstLine="13"/>
        <w:spacing w:before="3" w:line="194" w:lineRule="auto"/>
        <w:rPr/>
      </w:pPr>
      <w:r>
        <w:rPr>
          <w:color w:val="231F20"/>
        </w:rPr>
        <w:t>1.2</w:t>
      </w:r>
      <w:r>
        <w:rPr>
          <w:color w:val="231F20"/>
          <w:spacing w:val="25"/>
          <w:w w:val="101"/>
        </w:rPr>
        <w:t xml:space="preserve">   </w:t>
      </w:r>
      <w:r>
        <w:rPr>
          <w:color w:val="231F20"/>
        </w:rPr>
        <w:t>纳入与排除标准</w:t>
      </w:r>
      <w:r>
        <w:rPr>
          <w:color w:val="231F20"/>
          <w:spacing w:val="18"/>
        </w:rPr>
        <w:t xml:space="preserve">   </w:t>
      </w:r>
      <w:r>
        <w:rPr>
          <w:color w:val="231F20"/>
        </w:rPr>
        <w:t>①纳入标准：符合《妇产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科学》</w:t>
      </w:r>
      <w:r>
        <w:rPr>
          <w:color w:val="231F20"/>
          <w:spacing w:val="-23"/>
        </w:rPr>
        <w:t xml:space="preserve"> </w:t>
      </w:r>
      <w:r>
        <w:rPr>
          <w:sz w:val="12"/>
          <w:szCs w:val="12"/>
          <w:color w:val="231F20"/>
          <w:spacing w:val="-6"/>
          <w:position w:val="9"/>
        </w:rPr>
        <w:t>[3] </w:t>
      </w:r>
      <w:r>
        <w:rPr>
          <w:color w:val="231F20"/>
          <w:spacing w:val="-6"/>
        </w:rPr>
        <w:t>中的诊断标准；经B超、妇科检</w:t>
      </w:r>
      <w:r>
        <w:rPr>
          <w:color w:val="231F20"/>
          <w:spacing w:val="-7"/>
        </w:rPr>
        <w:t>查确诊；具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备基础阅读能力；患者知情同意。②排除标准：合</w:t>
      </w:r>
    </w:p>
    <w:p>
      <w:pPr>
        <w:pStyle w:val="BodyText"/>
        <w:ind w:left="721"/>
        <w:spacing w:before="3" w:line="234" w:lineRule="exact"/>
        <w:rPr/>
      </w:pPr>
      <w:r>
        <w:pict>
          <v:shape id="_x0000_s4" style="position:absolute;margin-left:34.9465pt;margin-top:7.29666pt;mso-position-vertical-relative:text;mso-position-horizontal-relative:text;width:114pt;height:14.1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tabs>
                      <w:tab w:val="left" w:pos="2258"/>
                    </w:tabs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231F20"/>
                    </w:rPr>
                    <w:tab/>
                  </w:r>
                </w:p>
              </w:txbxContent>
            </v:textbox>
          </v:shape>
        </w:pict>
      </w:r>
      <w:r>
        <w:rPr>
          <w:color w:val="231F20"/>
          <w:spacing w:val="-1"/>
        </w:rPr>
        <w:t>并心、肝、肾重要器官功能障碍者；存在精神系统</w:t>
      </w:r>
    </w:p>
    <w:p>
      <w:pPr>
        <w:pStyle w:val="BodyText"/>
        <w:ind w:left="721"/>
        <w:spacing w:before="232" w:line="201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作者单位：南昌市新建区中医医院</w:t>
      </w:r>
      <w:r>
        <w:rPr>
          <w:sz w:val="16"/>
          <w:szCs w:val="16"/>
          <w:color w:val="231F20"/>
          <w:spacing w:val="15"/>
          <w:w w:val="101"/>
        </w:rPr>
        <w:t xml:space="preserve">   </w:t>
      </w:r>
      <w:r>
        <w:rPr>
          <w:sz w:val="16"/>
          <w:szCs w:val="16"/>
          <w:color w:val="231F20"/>
        </w:rPr>
        <w:t>江西南昌</w:t>
      </w:r>
      <w:r>
        <w:rPr>
          <w:sz w:val="16"/>
          <w:szCs w:val="16"/>
          <w:color w:val="231F20"/>
          <w:spacing w:val="12"/>
          <w:w w:val="102"/>
        </w:rPr>
        <w:t xml:space="preserve">   </w:t>
      </w:r>
      <w:r>
        <w:rPr>
          <w:sz w:val="16"/>
          <w:szCs w:val="16"/>
          <w:color w:val="231F20"/>
        </w:rPr>
        <w:t>330103</w:t>
      </w:r>
    </w:p>
    <w:p>
      <w:pPr>
        <w:pStyle w:val="BodyText"/>
        <w:ind w:left="722"/>
        <w:spacing w:before="9" w:line="20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0"/>
        </w:rPr>
        <w:t>通信作者：万芳，女，主管护师</w:t>
      </w:r>
    </w:p>
    <w:p>
      <w:pPr>
        <w:pStyle w:val="BodyText"/>
        <w:ind w:left="724"/>
        <w:spacing w:before="11" w:line="178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2024-03-29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-3"/>
        </w:rPr>
        <w:t>收稿，2024-05-11</w:t>
      </w:r>
      <w:r>
        <w:rPr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-3"/>
        </w:rPr>
        <w:t>修回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6" w:line="195" w:lineRule="auto"/>
        <w:rPr/>
      </w:pPr>
      <w:r>
        <w:rPr>
          <w:color w:val="231F20"/>
          <w:spacing w:val="-1"/>
        </w:rPr>
        <w:t>疾病者；合并其他免疫系统疾病者。</w:t>
      </w:r>
    </w:p>
    <w:p>
      <w:pPr>
        <w:pStyle w:val="BodyText"/>
        <w:ind w:right="15" w:firstLine="13"/>
        <w:spacing w:before="3" w:line="195" w:lineRule="auto"/>
        <w:rPr/>
      </w:pPr>
      <w:r>
        <w:rPr>
          <w:color w:val="231F20"/>
          <w:spacing w:val="-3"/>
        </w:rPr>
        <w:t>1.3</w:t>
      </w:r>
      <w:r>
        <w:rPr>
          <w:color w:val="231F20"/>
          <w:spacing w:val="16"/>
        </w:rPr>
        <w:t xml:space="preserve">   </w:t>
      </w:r>
      <w:r>
        <w:rPr>
          <w:color w:val="231F20"/>
          <w:spacing w:val="-3"/>
        </w:rPr>
        <w:t>研究方法</w:t>
      </w:r>
      <w:r>
        <w:rPr>
          <w:color w:val="231F20"/>
          <w:spacing w:val="16"/>
          <w:w w:val="101"/>
        </w:rPr>
        <w:t xml:space="preserve">   </w:t>
      </w:r>
      <w:r>
        <w:rPr>
          <w:color w:val="231F20"/>
          <w:spacing w:val="-3"/>
        </w:rPr>
        <w:t>①心理弹性评估：采用由Connor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K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M等</w:t>
      </w:r>
      <w:r>
        <w:rPr>
          <w:sz w:val="12"/>
          <w:szCs w:val="12"/>
          <w:color w:val="231F20"/>
          <w:spacing w:val="-5"/>
          <w:position w:val="9"/>
        </w:rPr>
        <w:t>[4]</w:t>
      </w:r>
      <w:r>
        <w:rPr>
          <w:color w:val="231F20"/>
          <w:spacing w:val="-5"/>
        </w:rPr>
        <w:t>编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制 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心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理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弹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性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量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表（CD-RISC）进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行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评 估，Cronbach's  α=0.910，该 量 表 包 含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0"/>
        </w:rPr>
        <w:t>3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0"/>
        </w:rPr>
        <w:t>个 维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度，分别为坚韧性（Cronbach's  α=0.906）、乐观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性（Cronbach's  α=0.8</w:t>
      </w:r>
      <w:r>
        <w:rPr>
          <w:color w:val="231F20"/>
          <w:spacing w:val="-8"/>
        </w:rPr>
        <w:t>93）、力量性（Cronbach's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α=0.922</w:t>
      </w:r>
      <w:r>
        <w:rPr>
          <w:color w:val="231F20"/>
          <w:spacing w:val="-40"/>
        </w:rPr>
        <w:t>），</w:t>
      </w:r>
      <w:r>
        <w:rPr>
          <w:color w:val="231F20"/>
          <w:spacing w:val="7"/>
        </w:rPr>
        <w:t>共包括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7"/>
        </w:rPr>
        <w:t>25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个条目，每个条目分值为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0~4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分，量表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总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分为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100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分，得分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越高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则表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示心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理弹性越高。②社会支持评估：采用社会支持评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定量表进行评估，此量表包括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3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6"/>
        </w:rPr>
        <w:t>个维度，10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个项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目，总分为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9"/>
        </w:rPr>
        <w:t>40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9"/>
        </w:rPr>
        <w:t>分，20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9"/>
        </w:rPr>
        <w:t>分以下表示社会支持度底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下，20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6"/>
        </w:rPr>
        <w:t>分及以上表示社会支持度良好。Cronbach's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α=0.891。③自我效能评估：采用由王才康等编制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5"/>
        </w:rPr>
        <w:t>的一般自我效能感量表（</w:t>
      </w:r>
      <w:r>
        <w:rPr>
          <w:color w:val="231F20"/>
        </w:rPr>
        <w:t>GSES</w:t>
      </w:r>
      <w:r>
        <w:rPr>
          <w:color w:val="231F20"/>
          <w:spacing w:val="5"/>
        </w:rPr>
        <w:t>）进行评估，包括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9"/>
        </w:rPr>
        <w:t>10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9"/>
        </w:rPr>
        <w:t>个项目，每个项目分值在 1~4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分，总分为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40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分，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20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分以下表示自我效能底下，20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分及以上</w:t>
      </w:r>
      <w:r>
        <w:rPr>
          <w:color w:val="231F20"/>
          <w:spacing w:val="1"/>
        </w:rPr>
        <w:t>表示自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我效能良好。Cronbach's</w:t>
      </w:r>
      <w:r>
        <w:rPr>
          <w:color w:val="231F20"/>
          <w:spacing w:val="57"/>
        </w:rPr>
        <w:t xml:space="preserve"> </w:t>
      </w:r>
      <w:r>
        <w:rPr>
          <w:color w:val="231F20"/>
          <w:spacing w:val="-7"/>
        </w:rPr>
        <w:t>α系数为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0.870。</w:t>
      </w:r>
    </w:p>
    <w:p>
      <w:pPr>
        <w:pStyle w:val="BodyText"/>
        <w:ind w:firstLine="12"/>
        <w:spacing w:before="1" w:line="195" w:lineRule="auto"/>
        <w:rPr/>
      </w:pPr>
      <w:r>
        <w:rPr>
          <w:color w:val="231F20"/>
          <w:spacing w:val="1"/>
        </w:rPr>
        <w:t>1.4    资料收集    收集患者的年龄、</w:t>
      </w:r>
      <w:r>
        <w:rPr>
          <w:color w:val="231F20"/>
        </w:rPr>
        <w:t>BMI</w:t>
      </w:r>
      <w:r>
        <w:rPr>
          <w:color w:val="231F20"/>
          <w:spacing w:val="1"/>
        </w:rPr>
        <w:t>、文化程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度、药物不良反应、婚姻状况、居住地、复发次数、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家庭经济收入、医疗付费方式进行记录。调查人员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"/>
        </w:rPr>
        <w:t>均接受专业培训，在发放问卷前，向患者详细说明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"/>
        </w:rPr>
        <w:t>本调查的目的、意义，调查遵循保密原则，采用不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"/>
        </w:rPr>
        <w:t>记名方式，若患者无法填写，则由其口述，工作人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"/>
        </w:rPr>
        <w:t>员代笔填写，当场回收问卷，仔细核对，以保证问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8"/>
        </w:rPr>
        <w:t>卷完整性、有效性。</w:t>
      </w:r>
    </w:p>
    <w:p>
      <w:pPr>
        <w:pStyle w:val="BodyText"/>
        <w:ind w:left="1" w:right="15" w:firstLine="11"/>
        <w:spacing w:before="9" w:line="189" w:lineRule="auto"/>
        <w:rPr/>
      </w:pPr>
      <w:r>
        <w:pict>
          <v:shape id="_x0000_s6" style="position:absolute;margin-left:107.686pt;margin-top:17.7157pt;mso-position-vertical-relative:text;mso-position-horizontal-relative:text;width:5.1pt;height:0.5pt;z-index:-251658240;" filled="false" strokecolor="#231F20" strokeweight="0.50pt" coordsize="101,10" coordorigin="0,0" path="m0,5l101,5e">
            <v:stroke joinstyle="miter" miterlimit="10"/>
          </v:shape>
        </w:pict>
      </w:r>
      <w:r>
        <w:rPr>
          <w:color w:val="231F20"/>
          <w:spacing w:val="2"/>
        </w:rPr>
        <w:t>1.5</w:t>
      </w:r>
      <w:r>
        <w:rPr>
          <w:color w:val="231F20"/>
          <w:spacing w:val="18"/>
        </w:rPr>
        <w:t xml:space="preserve">   </w:t>
      </w:r>
      <w:r>
        <w:rPr>
          <w:color w:val="231F20"/>
          <w:spacing w:val="2"/>
        </w:rPr>
        <w:t>统计学方法</w:t>
      </w:r>
      <w:r>
        <w:rPr>
          <w:color w:val="231F20"/>
          <w:spacing w:val="17"/>
        </w:rPr>
        <w:t xml:space="preserve">   </w:t>
      </w:r>
      <w:r>
        <w:rPr>
          <w:color w:val="231F20"/>
          <w:spacing w:val="2"/>
        </w:rPr>
        <w:t>采用</w:t>
      </w:r>
      <w:r>
        <w:rPr>
          <w:color w:val="231F20"/>
        </w:rPr>
        <w:t>SPSS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2"/>
        </w:rPr>
        <w:t>25.0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统计学软件处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理数据，计量资料用（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x</w:t>
      </w:r>
      <w:r>
        <w:rPr>
          <w:rFonts w:ascii="Times New Roman" w:hAnsi="Times New Roman" w:eastAsia="Times New Roman" w:cs="Times New Roman"/>
          <w:color w:val="231F20"/>
          <w:spacing w:val="-2"/>
        </w:rPr>
        <w:t xml:space="preserve"> </w:t>
      </w:r>
      <w:r>
        <w:rPr>
          <w:color w:val="231F20"/>
          <w:spacing w:val="-2"/>
        </w:rPr>
        <w:t>±s）描述，组间比较采用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独立样本</w:t>
      </w:r>
      <w:r>
        <w:rPr>
          <w:rFonts w:ascii="Times New Roman" w:hAnsi="Times New Roman" w:eastAsia="Times New Roman" w:cs="Times New Roman"/>
          <w:color w:val="231F20"/>
          <w:spacing w:val="8"/>
        </w:rPr>
        <w:t>t</w:t>
      </w:r>
      <w:r>
        <w:rPr>
          <w:color w:val="231F20"/>
          <w:spacing w:val="8"/>
        </w:rPr>
        <w:t>检验；计数资料用相对数描述即</w:t>
      </w:r>
      <w:r>
        <w:rPr>
          <w:rFonts w:ascii="Times New Roman" w:hAnsi="Times New Roman" w:eastAsia="Times New Roman" w:cs="Times New Roman"/>
          <w:color w:val="231F20"/>
          <w:spacing w:val="8"/>
        </w:rPr>
        <w:t>n</w:t>
      </w:r>
      <w:r>
        <w:rPr>
          <w:color w:val="231F20"/>
          <w:spacing w:val="8"/>
        </w:rPr>
        <w:t>(%)，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组间比较行</w:t>
      </w:r>
      <w:r>
        <w:rPr>
          <w:rFonts w:ascii="Times New Roman" w:hAnsi="Times New Roman" w:eastAsia="Times New Roman" w:cs="Times New Roman"/>
          <w:color w:val="231F20"/>
          <w:spacing w:val="9"/>
        </w:rPr>
        <w:t>χ</w:t>
      </w:r>
      <w:r>
        <w:rPr>
          <w:sz w:val="12"/>
          <w:szCs w:val="12"/>
          <w:color w:val="231F20"/>
          <w:spacing w:val="9"/>
          <w:position w:val="9"/>
        </w:rPr>
        <w:t>2 </w:t>
      </w:r>
      <w:r>
        <w:rPr>
          <w:color w:val="231F20"/>
          <w:spacing w:val="9"/>
        </w:rPr>
        <w:t>检验，影响因素采用单因素与</w:t>
      </w:r>
      <w:r>
        <w:rPr>
          <w:color w:val="231F20"/>
          <w:spacing w:val="8"/>
        </w:rPr>
        <w:t>多元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线性回归分析，相关性采用Pearson相关性分析，</w:t>
      </w:r>
      <w:r>
        <w:rPr>
          <w:rFonts w:ascii="Times New Roman" w:hAnsi="Times New Roman" w:eastAsia="Times New Roman" w:cs="Times New Roman"/>
          <w:color w:val="231F20"/>
          <w:spacing w:val="-4"/>
        </w:rPr>
        <w:t>P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 </w:t>
      </w:r>
      <w:r>
        <w:rPr>
          <w:color w:val="231F20"/>
          <w:spacing w:val="1"/>
        </w:rPr>
        <w:t>&lt;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1"/>
        </w:rPr>
        <w:t>0.05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表明差异有统计学意义。</w:t>
      </w:r>
    </w:p>
    <w:p>
      <w:pPr>
        <w:spacing w:line="189" w:lineRule="auto"/>
        <w:sectPr>
          <w:type w:val="continuous"/>
          <w:pgSz w:w="11906" w:h="16838"/>
          <w:pgMar w:top="1528" w:right="1057" w:bottom="0" w:left="407" w:header="1205" w:footer="0" w:gutter="0"/>
          <w:cols w:equalWidth="0" w:num="2">
            <w:col w:w="5651" w:space="100"/>
            <w:col w:w="4690" w:space="0"/>
          </w:cols>
        </w:sectPr>
        <w:rPr/>
      </w:pPr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ectPr>
          <w:headerReference w:type="default" r:id="rId2"/>
          <w:pgSz w:w="11906" w:h="16838"/>
          <w:pgMar w:top="400" w:right="1026" w:bottom="0" w:left="407" w:header="0" w:footer="0" w:gutter="0"/>
          <w:cols w:equalWidth="0" w:num="1">
            <w:col w:w="10471" w:space="0"/>
          </w:cols>
        </w:sectPr>
        <w:rPr/>
      </w:pPr>
    </w:p>
    <w:p>
      <w:pPr>
        <w:pStyle w:val="BodyText"/>
        <w:ind w:left="723"/>
        <w:spacing w:before="78" w:line="200" w:lineRule="auto"/>
        <w:rPr>
          <w:sz w:val="18"/>
          <w:szCs w:val="18"/>
        </w:rPr>
      </w:pPr>
      <w:r>
        <w:rPr>
          <w:sz w:val="18"/>
          <w:szCs w:val="18"/>
          <w:u w:val="single" w:color="auto"/>
          <w:color w:val="231F20"/>
          <w:spacing w:val="-8"/>
        </w:rPr>
        <w:t>安徽医专学报</w:t>
      </w:r>
      <w:r>
        <w:rPr>
          <w:sz w:val="18"/>
          <w:szCs w:val="18"/>
          <w:u w:val="single" w:color="auto"/>
          <w:color w:val="231F20"/>
          <w:spacing w:val="14"/>
          <w:w w:val="101"/>
        </w:rPr>
        <w:t xml:space="preserve">   </w:t>
      </w:r>
      <w:r>
        <w:rPr>
          <w:sz w:val="18"/>
          <w:szCs w:val="18"/>
          <w:u w:val="single" w:color="auto"/>
          <w:color w:val="231F20"/>
          <w:spacing w:val="-8"/>
        </w:rPr>
        <w:t>2024 年 23 卷第 3 期</w:t>
      </w:r>
    </w:p>
    <w:p>
      <w:pPr>
        <w:ind w:left="725"/>
        <w:spacing w:before="211" w:line="278" w:lineRule="exact"/>
        <w:outlineLvl w:val="1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3"/>
          <w:position w:val="1"/>
        </w:rPr>
        <w:t>2</w:t>
      </w:r>
      <w:r>
        <w:rPr>
          <w:rFonts w:ascii="SimHei" w:hAnsi="SimHei" w:eastAsia="SimHei" w:cs="SimHei"/>
          <w:sz w:val="21"/>
          <w:szCs w:val="21"/>
          <w:color w:val="231F20"/>
          <w:spacing w:val="6"/>
          <w:position w:val="1"/>
        </w:rPr>
        <w:t xml:space="preserve">  </w:t>
      </w:r>
      <w:r>
        <w:rPr>
          <w:rFonts w:ascii="SimHei" w:hAnsi="SimHei" w:eastAsia="SimHei" w:cs="SimHei"/>
          <w:sz w:val="21"/>
          <w:szCs w:val="21"/>
          <w:color w:val="231F20"/>
          <w:spacing w:val="-3"/>
          <w:position w:val="1"/>
        </w:rPr>
        <w:t>结</w:t>
      </w:r>
      <w:r>
        <w:rPr>
          <w:rFonts w:ascii="SimHei" w:hAnsi="SimHei" w:eastAsia="SimHei" w:cs="SimHei"/>
          <w:sz w:val="21"/>
          <w:szCs w:val="21"/>
          <w:color w:val="231F20"/>
          <w:spacing w:val="5"/>
          <w:position w:val="1"/>
        </w:rPr>
        <w:t xml:space="preserve">  </w:t>
      </w:r>
      <w:r>
        <w:rPr>
          <w:rFonts w:ascii="SimHei" w:hAnsi="SimHei" w:eastAsia="SimHei" w:cs="SimHei"/>
          <w:sz w:val="21"/>
          <w:szCs w:val="21"/>
          <w:color w:val="231F20"/>
          <w:spacing w:val="-3"/>
          <w:position w:val="1"/>
        </w:rPr>
        <w:t>果</w:t>
      </w:r>
    </w:p>
    <w:p>
      <w:pPr>
        <w:pStyle w:val="BodyText"/>
        <w:ind w:left="722" w:right="206" w:firstLine="3"/>
        <w:spacing w:before="17" w:line="195" w:lineRule="auto"/>
        <w:rPr/>
      </w:pPr>
      <w:r>
        <w:rPr>
          <w:color w:val="231F20"/>
          <w:spacing w:val="1"/>
        </w:rPr>
        <w:t>2.1</w:t>
      </w:r>
      <w:r>
        <w:rPr>
          <w:color w:val="231F20"/>
          <w:spacing w:val="17"/>
        </w:rPr>
        <w:t xml:space="preserve">   </w:t>
      </w:r>
      <w:r>
        <w:rPr>
          <w:color w:val="231F20"/>
        </w:rPr>
        <w:t>APID</w:t>
      </w:r>
      <w:r>
        <w:rPr>
          <w:color w:val="231F20"/>
          <w:spacing w:val="1"/>
        </w:rPr>
        <w:t>患者</w:t>
      </w:r>
      <w:r>
        <w:rPr>
          <w:color w:val="231F20"/>
        </w:rPr>
        <w:t>CD</w:t>
      </w:r>
      <w:r>
        <w:rPr>
          <w:color w:val="231F20"/>
          <w:spacing w:val="1"/>
        </w:rPr>
        <w:t>-</w:t>
      </w:r>
      <w:r>
        <w:rPr>
          <w:color w:val="231F20"/>
        </w:rPr>
        <w:t>RISC</w:t>
      </w:r>
      <w:r>
        <w:rPr>
          <w:color w:val="231F20"/>
          <w:spacing w:val="1"/>
        </w:rPr>
        <w:t>评分的单因素分析</w:t>
      </w:r>
      <w:r>
        <w:rPr>
          <w:color w:val="231F20"/>
          <w:spacing w:val="14"/>
        </w:rPr>
        <w:t xml:space="preserve">   </w:t>
      </w:r>
      <w:r>
        <w:rPr>
          <w:color w:val="231F20"/>
          <w:spacing w:val="1"/>
        </w:rPr>
        <w:t>822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例</w:t>
      </w:r>
      <w:r>
        <w:rPr>
          <w:color w:val="231F20"/>
        </w:rPr>
        <w:t>APID</w:t>
      </w:r>
      <w:r>
        <w:rPr>
          <w:color w:val="231F20"/>
          <w:spacing w:val="7"/>
        </w:rPr>
        <w:t>患者平均</w:t>
      </w:r>
      <w:r>
        <w:rPr>
          <w:color w:val="231F20"/>
        </w:rPr>
        <w:t>CD</w:t>
      </w:r>
      <w:r>
        <w:rPr>
          <w:color w:val="231F20"/>
          <w:spacing w:val="7"/>
        </w:rPr>
        <w:t>-</w:t>
      </w:r>
      <w:r>
        <w:rPr>
          <w:color w:val="231F20"/>
        </w:rPr>
        <w:t>RISC</w:t>
      </w:r>
      <w:r>
        <w:rPr>
          <w:color w:val="231F20"/>
          <w:spacing w:val="7"/>
        </w:rPr>
        <w:t>评分为（57.95±6.34）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7"/>
        </w:rPr>
        <w:t>分，其中坚韧性（30.25±5.29）分，力量性（19.52</w:t>
      </w:r>
      <w:r>
        <w:rPr>
          <w:color w:val="231F20"/>
        </w:rPr>
        <w:t xml:space="preserve">   </w:t>
      </w:r>
      <w:r>
        <w:rPr>
          <w:color w:val="231F20"/>
          <w:spacing w:val="-8"/>
        </w:rPr>
        <w:t>±4.33）分，乐观性（8.18±2.04）分。在不同</w:t>
      </w:r>
      <w:r>
        <w:rPr>
          <w:color w:val="231F20"/>
          <w:spacing w:val="-9"/>
        </w:rPr>
        <w:t>年龄、</w:t>
      </w:r>
      <w:r>
        <w:rPr>
          <w:color w:val="231F20"/>
        </w:rPr>
        <w:t xml:space="preserve"> </w:t>
      </w:r>
      <w:r>
        <w:rPr>
          <w:color w:val="231F20"/>
        </w:rPr>
        <w:t>BMI、药物不良反应、婚姻状况、医疗付费方式患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1"/>
        </w:rPr>
        <w:t>者上的</w:t>
      </w:r>
      <w:r>
        <w:rPr>
          <w:color w:val="231F20"/>
        </w:rPr>
        <w:t>CD</w:t>
      </w:r>
      <w:r>
        <w:rPr>
          <w:color w:val="231F20"/>
          <w:spacing w:val="1"/>
        </w:rPr>
        <w:t>-</w:t>
      </w:r>
      <w:r>
        <w:rPr>
          <w:color w:val="231F20"/>
        </w:rPr>
        <w:t>RISC</w:t>
      </w:r>
      <w:r>
        <w:rPr>
          <w:color w:val="231F20"/>
          <w:spacing w:val="1"/>
        </w:rPr>
        <w:t>评分比较，差异无统计学意义（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P</w:t>
      </w:r>
      <w:r>
        <w:rPr>
          <w:rFonts w:ascii="Times New Roman" w:hAnsi="Times New Roman" w:eastAsia="Times New Roman" w:cs="Times New Roman"/>
          <w:color w:val="231F20"/>
        </w:rPr>
        <w:t xml:space="preserve">   </w:t>
      </w:r>
      <w:r>
        <w:rPr>
          <w:color w:val="231F20"/>
          <w:spacing w:val="7"/>
        </w:rPr>
        <w:t>&gt;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7"/>
        </w:rPr>
        <w:t>0.05</w:t>
      </w:r>
      <w:r>
        <w:rPr>
          <w:color w:val="231F20"/>
          <w:spacing w:val="-43"/>
          <w:w w:val="86"/>
        </w:rPr>
        <w:t>）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43"/>
          <w:w w:val="86"/>
        </w:rPr>
        <w:t>；</w:t>
      </w:r>
      <w:r>
        <w:rPr>
          <w:color w:val="231F20"/>
          <w:spacing w:val="7"/>
        </w:rPr>
        <w:t>初中及以下文化程度、居住地为农</w:t>
      </w:r>
      <w:r>
        <w:rPr>
          <w:color w:val="231F20"/>
          <w:spacing w:val="6"/>
        </w:rPr>
        <w:t>村、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≥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次复发次数、家庭经济收入＜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4"/>
        </w:rPr>
        <w:t>5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万元/年、社会</w:t>
      </w:r>
      <w:r>
        <w:rPr>
          <w:color w:val="231F20"/>
        </w:rPr>
        <w:t xml:space="preserve">   </w:t>
      </w:r>
      <w:r>
        <w:rPr>
          <w:color w:val="231F20"/>
          <w:spacing w:val="10"/>
        </w:rPr>
        <w:t>支持低下、自我效能低下患者的</w:t>
      </w:r>
      <w:r>
        <w:rPr>
          <w:color w:val="231F20"/>
        </w:rPr>
        <w:t>CD</w:t>
      </w:r>
      <w:r>
        <w:rPr>
          <w:color w:val="231F20"/>
          <w:spacing w:val="10"/>
        </w:rPr>
        <w:t>-</w:t>
      </w:r>
      <w:r>
        <w:rPr>
          <w:color w:val="231F20"/>
        </w:rPr>
        <w:t>RISC</w:t>
      </w:r>
      <w:r>
        <w:rPr>
          <w:color w:val="231F20"/>
          <w:spacing w:val="10"/>
        </w:rPr>
        <w:t>评分更</w:t>
      </w:r>
      <w:r>
        <w:rPr>
          <w:color w:val="231F20"/>
        </w:rPr>
        <w:t xml:space="preserve">   </w:t>
      </w:r>
      <w:r>
        <w:rPr>
          <w:color w:val="231F20"/>
          <w:spacing w:val="-7"/>
        </w:rPr>
        <w:t>低，差异具有统计学意义（ </w:t>
      </w:r>
      <w:r>
        <w:rPr>
          <w:rFonts w:ascii="Times New Roman" w:hAnsi="Times New Roman" w:eastAsia="Times New Roman" w:cs="Times New Roman"/>
          <w:color w:val="231F20"/>
          <w:spacing w:val="-7"/>
        </w:rPr>
        <w:t>P</w:t>
      </w:r>
      <w:r>
        <w:rPr>
          <w:color w:val="231F20"/>
          <w:spacing w:val="-7"/>
        </w:rPr>
        <w:t>＜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7"/>
        </w:rPr>
        <w:t>0.05）。见表 1。</w:t>
      </w:r>
    </w:p>
    <w:p>
      <w:pPr>
        <w:ind w:left="743"/>
        <w:spacing w:line="231" w:lineRule="auto"/>
        <w:rPr>
          <w:rFonts w:ascii="SimHei" w:hAnsi="SimHei" w:eastAsia="SimHei" w:cs="SimHei"/>
          <w:sz w:val="21"/>
          <w:szCs w:val="21"/>
        </w:rPr>
      </w:pPr>
      <w:r>
        <w:pict>
          <v:shape id="_x0000_s10" style="position:absolute;margin-left:229.626pt;margin-top:2.62517pt;mso-position-vertical-relative:text;mso-position-horizontal-relative:text;width:4.15pt;height:0.5pt;z-index:-251656192;" filled="false" strokecolor="#231F20" strokeweight="0.50pt" coordsize="83,10" coordorigin="0,0" path="m0,5l82,5e">
            <v:stroke joinstyle="miter" miterlimit="10"/>
          </v:shape>
        </w:pict>
      </w:r>
      <w:r>
        <w:rPr>
          <w:rFonts w:ascii="SimHei" w:hAnsi="SimHei" w:eastAsia="SimHei" w:cs="SimHei"/>
          <w:sz w:val="21"/>
          <w:szCs w:val="21"/>
          <w:color w:val="231F20"/>
          <w:spacing w:val="-12"/>
        </w:rPr>
        <w:t>表1</w:t>
      </w:r>
      <w:r>
        <w:rPr>
          <w:rFonts w:ascii="SimHei" w:hAnsi="SimHei" w:eastAsia="SimHei" w:cs="SimHei"/>
          <w:sz w:val="21"/>
          <w:szCs w:val="21"/>
          <w:color w:val="231F20"/>
          <w:spacing w:val="88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-12"/>
        </w:rPr>
        <w:t>APID患者CD-RISC评分的单因素分析（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2"/>
        </w:rPr>
        <w:t>x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2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-12"/>
        </w:rPr>
        <w:t>±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2"/>
        </w:rPr>
        <w:t>s</w:t>
      </w:r>
      <w:r>
        <w:rPr>
          <w:rFonts w:ascii="SimHei" w:hAnsi="SimHei" w:eastAsia="SimHei" w:cs="SimHei"/>
          <w:sz w:val="21"/>
          <w:szCs w:val="21"/>
          <w:color w:val="231F20"/>
          <w:spacing w:val="-12"/>
        </w:rPr>
        <w:t>，分）</w:t>
      </w:r>
    </w:p>
    <w:p>
      <w:pPr>
        <w:spacing w:line="117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608" w:type="dxa"/>
        <w:tblInd w:w="71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84"/>
        <w:gridCol w:w="391"/>
        <w:gridCol w:w="1000"/>
        <w:gridCol w:w="633"/>
        <w:gridCol w:w="700"/>
      </w:tblGrid>
      <w:tr>
        <w:trPr>
          <w:trHeight w:val="196" w:hRule="atLeast"/>
        </w:trPr>
        <w:tc>
          <w:tcPr>
            <w:tcW w:w="188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1"/>
              <w:spacing w:before="23" w:line="162" w:lineRule="exact"/>
              <w:rPr/>
            </w:pPr>
            <w:r>
              <w:rPr>
                <w:color w:val="231F20"/>
                <w:spacing w:val="-3"/>
                <w:position w:val="-1"/>
              </w:rPr>
              <w:t>项目</w:t>
            </w:r>
          </w:p>
        </w:tc>
        <w:tc>
          <w:tcPr>
            <w:tcW w:w="39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64"/>
              <w:spacing w:before="82" w:line="103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position w:val="-1"/>
              </w:rPr>
              <w:t>n</w:t>
            </w:r>
          </w:p>
        </w:tc>
        <w:tc>
          <w:tcPr>
            <w:tcW w:w="100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81"/>
              <w:spacing w:before="4" w:line="181" w:lineRule="exact"/>
              <w:rPr/>
            </w:pPr>
            <w:r>
              <w:rPr>
                <w:color w:val="231F20"/>
                <w:spacing w:val="-3"/>
                <w:position w:val="-1"/>
              </w:rPr>
              <w:t>评分(分)</w:t>
            </w:r>
          </w:p>
        </w:tc>
        <w:tc>
          <w:tcPr>
            <w:tcW w:w="63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283"/>
              <w:spacing w:before="63" w:line="122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position w:val="-2"/>
              </w:rPr>
              <w:t>t</w:t>
            </w:r>
          </w:p>
        </w:tc>
        <w:tc>
          <w:tcPr>
            <w:tcW w:w="70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299"/>
              <w:spacing w:before="43" w:line="16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9"/>
              </w:rPr>
              <w:t>P</w:t>
            </w:r>
          </w:p>
        </w:tc>
      </w:tr>
      <w:tr>
        <w:trPr>
          <w:trHeight w:val="198" w:hRule="atLeast"/>
        </w:trPr>
        <w:tc>
          <w:tcPr>
            <w:tcW w:w="188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"/>
              <w:spacing w:before="5" w:line="183" w:lineRule="exact"/>
              <w:rPr/>
            </w:pPr>
            <w:r>
              <w:rPr>
                <w:color w:val="231F20"/>
                <w:spacing w:val="-2"/>
                <w:position w:val="-1"/>
              </w:rPr>
              <w:t>年龄</w:t>
            </w:r>
          </w:p>
        </w:tc>
        <w:tc>
          <w:tcPr>
            <w:tcW w:w="391" w:type="dxa"/>
            <w:vAlign w:val="top"/>
            <w:tcBorders>
              <w:top w:val="single" w:color="231F20" w:sz="2" w:space="0"/>
            </w:tcBorders>
          </w:tcPr>
          <w:p>
            <w:pPr>
              <w:spacing w:line="188" w:lineRule="exact"/>
              <w:rPr>
                <w:rFonts w:ascii="Arial"/>
                <w:sz w:val="16"/>
              </w:rPr>
            </w:pPr>
            <w:r/>
          </w:p>
        </w:tc>
        <w:tc>
          <w:tcPr>
            <w:tcW w:w="1000" w:type="dxa"/>
            <w:vAlign w:val="top"/>
            <w:tcBorders>
              <w:top w:val="single" w:color="231F20" w:sz="2" w:space="0"/>
            </w:tcBorders>
          </w:tcPr>
          <w:p>
            <w:pPr>
              <w:spacing w:line="188" w:lineRule="exact"/>
              <w:rPr>
                <w:rFonts w:ascii="Arial"/>
                <w:sz w:val="16"/>
              </w:rPr>
            </w:pPr>
            <w:r/>
          </w:p>
        </w:tc>
        <w:tc>
          <w:tcPr>
            <w:tcW w:w="6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6"/>
              <w:spacing w:before="5" w:line="183" w:lineRule="exact"/>
              <w:rPr/>
            </w:pPr>
            <w:r>
              <w:rPr>
                <w:color w:val="231F20"/>
                <w:spacing w:val="-13"/>
                <w:position w:val="-1"/>
              </w:rPr>
              <w:t>1.572</w:t>
            </w:r>
          </w:p>
        </w:tc>
        <w:tc>
          <w:tcPr>
            <w:tcW w:w="70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1"/>
              <w:spacing w:before="5" w:line="183" w:lineRule="exact"/>
              <w:rPr/>
            </w:pPr>
            <w:r>
              <w:rPr>
                <w:color w:val="231F20"/>
                <w:spacing w:val="-12"/>
                <w:position w:val="-1"/>
              </w:rPr>
              <w:t>0.116</w:t>
            </w:r>
          </w:p>
        </w:tc>
      </w:tr>
      <w:tr>
        <w:trPr>
          <w:trHeight w:val="201" w:hRule="atLeast"/>
        </w:trPr>
        <w:tc>
          <w:tcPr>
            <w:tcW w:w="1884" w:type="dxa"/>
            <w:vAlign w:val="top"/>
          </w:tcPr>
          <w:p>
            <w:pPr>
              <w:pStyle w:val="TableText"/>
              <w:ind w:left="230"/>
              <w:spacing w:before="10" w:line="180" w:lineRule="exact"/>
              <w:rPr/>
            </w:pPr>
            <w:r>
              <w:rPr>
                <w:color w:val="231F20"/>
                <w:spacing w:val="-16"/>
              </w:rPr>
              <w:t>&lt;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16"/>
              </w:rPr>
              <w:t>35(岁)</w:t>
            </w:r>
          </w:p>
        </w:tc>
        <w:tc>
          <w:tcPr>
            <w:tcW w:w="391" w:type="dxa"/>
            <w:vAlign w:val="top"/>
          </w:tcPr>
          <w:p>
            <w:pPr>
              <w:pStyle w:val="TableText"/>
              <w:ind w:left="78"/>
              <w:spacing w:before="10" w:line="180" w:lineRule="exact"/>
              <w:rPr/>
            </w:pPr>
            <w:r>
              <w:rPr>
                <w:color w:val="231F20"/>
                <w:spacing w:val="-13"/>
                <w:position w:val="-1"/>
              </w:rPr>
              <w:t>398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60"/>
              <w:spacing w:before="10" w:line="180" w:lineRule="exact"/>
              <w:rPr/>
            </w:pPr>
            <w:r>
              <w:rPr>
                <w:color w:val="231F20"/>
                <w:spacing w:val="-6"/>
                <w:position w:val="-1"/>
              </w:rPr>
              <w:t>56.73±5.95</w:t>
            </w:r>
          </w:p>
        </w:tc>
        <w:tc>
          <w:tcPr>
            <w:tcW w:w="633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415" w:hRule="atLeast"/>
        </w:trPr>
        <w:tc>
          <w:tcPr>
            <w:tcW w:w="1884" w:type="dxa"/>
            <w:vAlign w:val="top"/>
          </w:tcPr>
          <w:p>
            <w:pPr>
              <w:pStyle w:val="TableText"/>
              <w:ind w:left="220"/>
              <w:spacing w:before="12" w:line="188" w:lineRule="exact"/>
              <w:rPr/>
            </w:pPr>
            <w:r>
              <w:rPr>
                <w:color w:val="231F20"/>
                <w:spacing w:val="-5"/>
              </w:rPr>
              <w:t>≥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5"/>
              </w:rPr>
              <w:t>35(岁)</w:t>
            </w:r>
          </w:p>
          <w:p>
            <w:pPr>
              <w:pStyle w:val="TableText"/>
              <w:ind w:left="20"/>
              <w:spacing w:line="159" w:lineRule="auto"/>
              <w:rPr/>
            </w:pPr>
            <w:r>
              <w:rPr>
                <w:color w:val="231F20"/>
                <w:spacing w:val="-9"/>
              </w:rPr>
              <w:t>BMI(kg/m</w:t>
            </w:r>
            <w:r>
              <w:rPr>
                <w:sz w:val="10"/>
                <w:szCs w:val="10"/>
                <w:color w:val="231F20"/>
                <w:spacing w:val="-9"/>
                <w:position w:val="8"/>
              </w:rPr>
              <w:t>2</w:t>
            </w:r>
            <w:r>
              <w:rPr>
                <w:color w:val="231F20"/>
                <w:spacing w:val="-9"/>
              </w:rPr>
              <w:t>)</w:t>
            </w:r>
          </w:p>
        </w:tc>
        <w:tc>
          <w:tcPr>
            <w:tcW w:w="391" w:type="dxa"/>
            <w:vAlign w:val="top"/>
          </w:tcPr>
          <w:p>
            <w:pPr>
              <w:pStyle w:val="TableText"/>
              <w:ind w:left="79"/>
              <w:spacing w:before="12" w:line="216" w:lineRule="auto"/>
              <w:rPr/>
            </w:pPr>
            <w:r>
              <w:rPr>
                <w:color w:val="231F20"/>
                <w:spacing w:val="-7"/>
                <w:w w:val="94"/>
              </w:rPr>
              <w:t>424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60"/>
              <w:spacing w:before="12" w:line="214" w:lineRule="auto"/>
              <w:rPr/>
            </w:pPr>
            <w:r>
              <w:rPr>
                <w:color w:val="231F20"/>
                <w:spacing w:val="-6"/>
              </w:rPr>
              <w:t>57.42±6.59</w:t>
            </w:r>
          </w:p>
        </w:tc>
        <w:tc>
          <w:tcPr>
            <w:tcW w:w="633" w:type="dxa"/>
            <w:vAlign w:val="top"/>
          </w:tcPr>
          <w:p>
            <w:pPr>
              <w:pStyle w:val="TableText"/>
              <w:ind w:left="116"/>
              <w:spacing w:before="214" w:line="191" w:lineRule="exact"/>
              <w:rPr/>
            </w:pPr>
            <w:r>
              <w:rPr>
                <w:color w:val="231F20"/>
                <w:spacing w:val="-13"/>
                <w:position w:val="-1"/>
              </w:rPr>
              <w:t>1.492</w:t>
            </w:r>
          </w:p>
        </w:tc>
        <w:tc>
          <w:tcPr>
            <w:tcW w:w="700" w:type="dxa"/>
            <w:vAlign w:val="top"/>
          </w:tcPr>
          <w:p>
            <w:pPr>
              <w:pStyle w:val="TableText"/>
              <w:ind w:left="162"/>
              <w:spacing w:before="214" w:line="191" w:lineRule="exact"/>
              <w:rPr/>
            </w:pPr>
            <w:r>
              <w:rPr>
                <w:color w:val="231F20"/>
                <w:spacing w:val="-12"/>
                <w:position w:val="-1"/>
              </w:rPr>
              <w:t>0.136</w:t>
            </w:r>
          </w:p>
        </w:tc>
      </w:tr>
      <w:tr>
        <w:trPr>
          <w:trHeight w:val="190" w:hRule="atLeast"/>
        </w:trPr>
        <w:tc>
          <w:tcPr>
            <w:tcW w:w="1884" w:type="dxa"/>
            <w:vAlign w:val="top"/>
          </w:tcPr>
          <w:p>
            <w:pPr>
              <w:pStyle w:val="TableText"/>
              <w:ind w:left="230"/>
              <w:spacing w:before="2" w:line="177" w:lineRule="exact"/>
              <w:rPr/>
            </w:pPr>
            <w:r>
              <w:rPr>
                <w:color w:val="231F20"/>
                <w:spacing w:val="-24"/>
                <w:position w:val="-2"/>
              </w:rPr>
              <w:t>&lt;</w:t>
            </w:r>
            <w:r>
              <w:rPr>
                <w:color w:val="231F20"/>
                <w:spacing w:val="13"/>
                <w:position w:val="-2"/>
              </w:rPr>
              <w:t xml:space="preserve"> </w:t>
            </w:r>
            <w:r>
              <w:rPr>
                <w:color w:val="231F20"/>
                <w:spacing w:val="-24"/>
                <w:position w:val="-2"/>
              </w:rPr>
              <w:t>21</w:t>
            </w:r>
          </w:p>
        </w:tc>
        <w:tc>
          <w:tcPr>
            <w:tcW w:w="391" w:type="dxa"/>
            <w:vAlign w:val="top"/>
          </w:tcPr>
          <w:p>
            <w:pPr>
              <w:pStyle w:val="TableText"/>
              <w:ind w:left="76"/>
              <w:spacing w:before="2" w:line="177" w:lineRule="exact"/>
              <w:rPr/>
            </w:pPr>
            <w:r>
              <w:rPr>
                <w:color w:val="231F20"/>
                <w:spacing w:val="-13"/>
                <w:position w:val="-1"/>
              </w:rPr>
              <w:t>254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60"/>
              <w:spacing w:before="2" w:line="177" w:lineRule="exact"/>
              <w:rPr/>
            </w:pPr>
            <w:r>
              <w:rPr>
                <w:color w:val="231F20"/>
                <w:spacing w:val="-6"/>
                <w:position w:val="-1"/>
              </w:rPr>
              <w:t>56.37±6.03</w:t>
            </w:r>
          </w:p>
        </w:tc>
        <w:tc>
          <w:tcPr>
            <w:tcW w:w="633" w:type="dxa"/>
            <w:vAlign w:val="top"/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95" w:hRule="atLeast"/>
        </w:trPr>
        <w:tc>
          <w:tcPr>
            <w:tcW w:w="1884" w:type="dxa"/>
            <w:vAlign w:val="top"/>
          </w:tcPr>
          <w:p>
            <w:pPr>
              <w:pStyle w:val="TableText"/>
              <w:ind w:left="220"/>
              <w:spacing w:before="15" w:line="170" w:lineRule="exact"/>
              <w:rPr/>
            </w:pPr>
            <w:r>
              <w:rPr>
                <w:color w:val="231F20"/>
                <w:spacing w:val="-1"/>
                <w:position w:val="-2"/>
              </w:rPr>
              <w:t>≥</w:t>
            </w:r>
            <w:r>
              <w:rPr>
                <w:color w:val="231F20"/>
                <w:spacing w:val="-29"/>
                <w:position w:val="-2"/>
              </w:rPr>
              <w:t xml:space="preserve"> </w:t>
            </w:r>
            <w:r>
              <w:rPr>
                <w:color w:val="231F20"/>
                <w:spacing w:val="-1"/>
                <w:position w:val="-2"/>
              </w:rPr>
              <w:t>21</w:t>
            </w:r>
          </w:p>
        </w:tc>
        <w:tc>
          <w:tcPr>
            <w:tcW w:w="391" w:type="dxa"/>
            <w:vAlign w:val="top"/>
          </w:tcPr>
          <w:p>
            <w:pPr>
              <w:pStyle w:val="TableText"/>
              <w:ind w:left="77"/>
              <w:spacing w:before="15" w:line="170" w:lineRule="exact"/>
              <w:rPr/>
            </w:pPr>
            <w:r>
              <w:rPr>
                <w:color w:val="231F20"/>
                <w:spacing w:val="-13"/>
                <w:position w:val="-2"/>
              </w:rPr>
              <w:t>568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60"/>
              <w:spacing w:before="15" w:line="170" w:lineRule="exact"/>
              <w:rPr/>
            </w:pPr>
            <w:r>
              <w:rPr>
                <w:color w:val="231F20"/>
                <w:spacing w:val="-6"/>
                <w:position w:val="-2"/>
              </w:rPr>
              <w:t>57.09±6.55</w:t>
            </w:r>
          </w:p>
        </w:tc>
        <w:tc>
          <w:tcPr>
            <w:tcW w:w="633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207" w:hRule="atLeast"/>
        </w:trPr>
        <w:tc>
          <w:tcPr>
            <w:tcW w:w="1884" w:type="dxa"/>
            <w:vAlign w:val="top"/>
          </w:tcPr>
          <w:p>
            <w:pPr>
              <w:pStyle w:val="TableText"/>
              <w:ind w:left="25"/>
              <w:spacing w:before="31" w:line="166" w:lineRule="exact"/>
              <w:rPr/>
            </w:pPr>
            <w:r>
              <w:rPr>
                <w:color w:val="231F20"/>
                <w:spacing w:val="-3"/>
                <w:position w:val="-1"/>
              </w:rPr>
              <w:t>文化程度</w:t>
            </w:r>
          </w:p>
        </w:tc>
        <w:tc>
          <w:tcPr>
            <w:tcW w:w="391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1000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633" w:type="dxa"/>
            <w:vAlign w:val="top"/>
          </w:tcPr>
          <w:p>
            <w:pPr>
              <w:pStyle w:val="TableText"/>
              <w:ind w:left="59"/>
              <w:spacing w:before="22" w:line="175" w:lineRule="exact"/>
              <w:rPr/>
            </w:pPr>
            <w:r>
              <w:rPr>
                <w:color w:val="231F20"/>
                <w:spacing w:val="-12"/>
                <w:position w:val="-2"/>
              </w:rPr>
              <w:t>24.403</w:t>
            </w:r>
          </w:p>
        </w:tc>
        <w:tc>
          <w:tcPr>
            <w:tcW w:w="700" w:type="dxa"/>
            <w:vAlign w:val="top"/>
          </w:tcPr>
          <w:p>
            <w:pPr>
              <w:pStyle w:val="TableText"/>
              <w:ind w:left="93"/>
              <w:spacing w:before="22" w:line="175" w:lineRule="exact"/>
              <w:rPr/>
            </w:pPr>
            <w:r>
              <w:rPr>
                <w:color w:val="231F20"/>
                <w:spacing w:val="-16"/>
                <w:position w:val="-2"/>
              </w:rPr>
              <w:t>&lt;</w:t>
            </w:r>
            <w:r>
              <w:rPr>
                <w:color w:val="231F20"/>
                <w:spacing w:val="21"/>
                <w:position w:val="-2"/>
              </w:rPr>
              <w:t xml:space="preserve"> </w:t>
            </w:r>
            <w:r>
              <w:rPr>
                <w:color w:val="231F20"/>
                <w:spacing w:val="-16"/>
                <w:position w:val="-2"/>
              </w:rPr>
              <w:t>0.001</w:t>
            </w:r>
          </w:p>
        </w:tc>
      </w:tr>
      <w:tr>
        <w:trPr>
          <w:trHeight w:val="208" w:hRule="atLeast"/>
        </w:trPr>
        <w:tc>
          <w:tcPr>
            <w:tcW w:w="1884" w:type="dxa"/>
            <w:vAlign w:val="top"/>
          </w:tcPr>
          <w:p>
            <w:pPr>
              <w:pStyle w:val="TableText"/>
              <w:ind w:left="194"/>
              <w:spacing w:before="18" w:line="179" w:lineRule="exact"/>
              <w:rPr/>
            </w:pPr>
            <w:r>
              <w:rPr>
                <w:color w:val="231F20"/>
                <w:spacing w:val="-1"/>
                <w:position w:val="-1"/>
              </w:rPr>
              <w:t>初中及以下</w:t>
            </w:r>
          </w:p>
        </w:tc>
        <w:tc>
          <w:tcPr>
            <w:tcW w:w="391" w:type="dxa"/>
            <w:vAlign w:val="top"/>
          </w:tcPr>
          <w:p>
            <w:pPr>
              <w:pStyle w:val="TableText"/>
              <w:ind w:left="78"/>
              <w:spacing w:before="18" w:line="179" w:lineRule="exact"/>
              <w:rPr/>
            </w:pPr>
            <w:r>
              <w:rPr>
                <w:color w:val="231F20"/>
                <w:spacing w:val="-13"/>
                <w:position w:val="-1"/>
              </w:rPr>
              <w:t>365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60"/>
              <w:spacing w:before="18" w:line="179" w:lineRule="exact"/>
              <w:rPr/>
            </w:pPr>
            <w:r>
              <w:rPr>
                <w:color w:val="231F20"/>
                <w:spacing w:val="-6"/>
                <w:position w:val="-1"/>
              </w:rPr>
              <w:t>52.76±5.46</w:t>
            </w:r>
          </w:p>
        </w:tc>
        <w:tc>
          <w:tcPr>
            <w:tcW w:w="633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03" w:hRule="atLeast"/>
        </w:trPr>
        <w:tc>
          <w:tcPr>
            <w:tcW w:w="1884" w:type="dxa"/>
            <w:vAlign w:val="top"/>
          </w:tcPr>
          <w:p>
            <w:pPr>
              <w:pStyle w:val="TableText"/>
              <w:ind w:left="194"/>
              <w:spacing w:before="13" w:line="179" w:lineRule="exact"/>
              <w:rPr/>
            </w:pPr>
            <w:r>
              <w:rPr>
                <w:color w:val="231F20"/>
                <w:spacing w:val="-1"/>
                <w:position w:val="-1"/>
              </w:rPr>
              <w:t>初中以上</w:t>
            </w:r>
          </w:p>
        </w:tc>
        <w:tc>
          <w:tcPr>
            <w:tcW w:w="391" w:type="dxa"/>
            <w:vAlign w:val="top"/>
          </w:tcPr>
          <w:p>
            <w:pPr>
              <w:pStyle w:val="TableText"/>
              <w:ind w:left="79"/>
              <w:spacing w:before="13" w:line="179" w:lineRule="exact"/>
              <w:rPr/>
            </w:pPr>
            <w:r>
              <w:rPr>
                <w:color w:val="231F20"/>
                <w:spacing w:val="-13"/>
                <w:position w:val="-1"/>
              </w:rPr>
              <w:t>457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66"/>
              <w:spacing w:before="13" w:line="179" w:lineRule="exact"/>
              <w:rPr/>
            </w:pPr>
            <w:r>
              <w:rPr>
                <w:color w:val="231F20"/>
                <w:spacing w:val="-7"/>
                <w:position w:val="-1"/>
              </w:rPr>
              <w:t>63.05±6.41</w:t>
            </w:r>
          </w:p>
        </w:tc>
        <w:tc>
          <w:tcPr>
            <w:tcW w:w="633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198" w:hRule="atLeast"/>
        </w:trPr>
        <w:tc>
          <w:tcPr>
            <w:tcW w:w="1884" w:type="dxa"/>
            <w:vAlign w:val="top"/>
          </w:tcPr>
          <w:p>
            <w:pPr>
              <w:pStyle w:val="TableText"/>
              <w:ind w:left="26"/>
              <w:spacing w:before="12" w:line="175" w:lineRule="exact"/>
              <w:rPr/>
            </w:pPr>
            <w:r>
              <w:rPr>
                <w:color w:val="231F20"/>
                <w:spacing w:val="-3"/>
                <w:position w:val="-1"/>
              </w:rPr>
              <w:t>药物不良反应</w:t>
            </w:r>
          </w:p>
        </w:tc>
        <w:tc>
          <w:tcPr>
            <w:tcW w:w="391" w:type="dxa"/>
            <w:vAlign w:val="top"/>
          </w:tcPr>
          <w:p>
            <w:pPr>
              <w:spacing w:line="187" w:lineRule="exact"/>
              <w:rPr>
                <w:rFonts w:ascii="Arial"/>
                <w:sz w:val="16"/>
              </w:rPr>
            </w:pPr>
            <w:r/>
          </w:p>
        </w:tc>
        <w:tc>
          <w:tcPr>
            <w:tcW w:w="1000" w:type="dxa"/>
            <w:vAlign w:val="top"/>
          </w:tcPr>
          <w:p>
            <w:pPr>
              <w:spacing w:line="187" w:lineRule="exact"/>
              <w:rPr>
                <w:rFonts w:ascii="Arial"/>
                <w:sz w:val="16"/>
              </w:rPr>
            </w:pPr>
            <w:r/>
          </w:p>
        </w:tc>
        <w:tc>
          <w:tcPr>
            <w:tcW w:w="633" w:type="dxa"/>
            <w:vAlign w:val="top"/>
          </w:tcPr>
          <w:p>
            <w:pPr>
              <w:pStyle w:val="TableText"/>
              <w:ind w:left="116"/>
              <w:spacing w:before="12" w:line="175" w:lineRule="exact"/>
              <w:rPr/>
            </w:pPr>
            <w:r>
              <w:rPr>
                <w:color w:val="231F20"/>
                <w:spacing w:val="-13"/>
                <w:position w:val="-2"/>
              </w:rPr>
              <w:t>1.622</w:t>
            </w:r>
          </w:p>
        </w:tc>
        <w:tc>
          <w:tcPr>
            <w:tcW w:w="700" w:type="dxa"/>
            <w:vAlign w:val="top"/>
          </w:tcPr>
          <w:p>
            <w:pPr>
              <w:pStyle w:val="TableText"/>
              <w:ind w:left="162"/>
              <w:spacing w:before="12" w:line="175" w:lineRule="exact"/>
              <w:rPr/>
            </w:pPr>
            <w:r>
              <w:rPr>
                <w:color w:val="231F20"/>
                <w:spacing w:val="-12"/>
                <w:position w:val="-2"/>
              </w:rPr>
              <w:t>0.105</w:t>
            </w:r>
          </w:p>
        </w:tc>
      </w:tr>
      <w:tr>
        <w:trPr>
          <w:trHeight w:val="214" w:hRule="atLeast"/>
        </w:trPr>
        <w:tc>
          <w:tcPr>
            <w:tcW w:w="1884" w:type="dxa"/>
            <w:vAlign w:val="top"/>
          </w:tcPr>
          <w:p>
            <w:pPr>
              <w:pStyle w:val="TableText"/>
              <w:ind w:left="200"/>
              <w:spacing w:before="17" w:line="187" w:lineRule="exact"/>
              <w:rPr/>
            </w:pPr>
            <w:r>
              <w:rPr>
                <w:color w:val="231F20"/>
                <w:position w:val="-1"/>
              </w:rPr>
              <w:t>有</w:t>
            </w:r>
          </w:p>
        </w:tc>
        <w:tc>
          <w:tcPr>
            <w:tcW w:w="391" w:type="dxa"/>
            <w:vAlign w:val="top"/>
          </w:tcPr>
          <w:p>
            <w:pPr>
              <w:pStyle w:val="TableText"/>
              <w:ind w:left="76"/>
              <w:spacing w:before="17" w:line="187" w:lineRule="exact"/>
              <w:rPr/>
            </w:pPr>
            <w:r>
              <w:rPr>
                <w:color w:val="231F20"/>
                <w:spacing w:val="-13"/>
                <w:position w:val="-1"/>
              </w:rPr>
              <w:t>243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60"/>
              <w:spacing w:before="17" w:line="187" w:lineRule="exact"/>
              <w:rPr/>
            </w:pPr>
            <w:r>
              <w:rPr>
                <w:color w:val="231F20"/>
                <w:spacing w:val="-6"/>
                <w:position w:val="-1"/>
              </w:rPr>
              <w:t>57.03±6.03</w:t>
            </w:r>
          </w:p>
        </w:tc>
        <w:tc>
          <w:tcPr>
            <w:tcW w:w="633" w:type="dxa"/>
            <w:vAlign w:val="top"/>
          </w:tcPr>
          <w:p>
            <w:pPr>
              <w:spacing w:line="204" w:lineRule="exact"/>
              <w:rPr>
                <w:rFonts w:ascii="Arial"/>
                <w:sz w:val="17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spacing w:line="204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188" w:hRule="atLeast"/>
        </w:trPr>
        <w:tc>
          <w:tcPr>
            <w:tcW w:w="1884" w:type="dxa"/>
            <w:vAlign w:val="top"/>
          </w:tcPr>
          <w:p>
            <w:pPr>
              <w:pStyle w:val="TableText"/>
              <w:ind w:left="202"/>
              <w:spacing w:before="30" w:line="147" w:lineRule="exact"/>
              <w:rPr/>
            </w:pPr>
            <w:r>
              <w:rPr>
                <w:color w:val="231F20"/>
              </w:rPr>
              <w:t>无</w:t>
            </w:r>
          </w:p>
        </w:tc>
        <w:tc>
          <w:tcPr>
            <w:tcW w:w="391" w:type="dxa"/>
            <w:vAlign w:val="top"/>
          </w:tcPr>
          <w:p>
            <w:pPr>
              <w:pStyle w:val="TableText"/>
              <w:ind w:left="77"/>
              <w:spacing w:before="6" w:line="171" w:lineRule="exact"/>
              <w:rPr/>
            </w:pPr>
            <w:r>
              <w:rPr>
                <w:color w:val="231F20"/>
                <w:spacing w:val="-13"/>
                <w:position w:val="-2"/>
              </w:rPr>
              <w:t>579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60"/>
              <w:spacing w:before="6" w:line="171" w:lineRule="exact"/>
              <w:rPr/>
            </w:pPr>
            <w:r>
              <w:rPr>
                <w:color w:val="231F20"/>
                <w:spacing w:val="-6"/>
                <w:position w:val="-2"/>
              </w:rPr>
              <w:t>57.82±6.51</w:t>
            </w:r>
          </w:p>
        </w:tc>
        <w:tc>
          <w:tcPr>
            <w:tcW w:w="633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205" w:hRule="atLeast"/>
        </w:trPr>
        <w:tc>
          <w:tcPr>
            <w:tcW w:w="1884" w:type="dxa"/>
            <w:vAlign w:val="top"/>
          </w:tcPr>
          <w:p>
            <w:pPr>
              <w:pStyle w:val="TableText"/>
              <w:ind w:left="13"/>
              <w:spacing w:before="21" w:line="173" w:lineRule="exact"/>
              <w:rPr/>
            </w:pPr>
            <w:r>
              <w:rPr>
                <w:color w:val="231F20"/>
                <w:spacing w:val="-1"/>
                <w:position w:val="-1"/>
              </w:rPr>
              <w:t>婚姻状况</w:t>
            </w:r>
          </w:p>
        </w:tc>
        <w:tc>
          <w:tcPr>
            <w:tcW w:w="391" w:type="dxa"/>
            <w:vAlign w:val="top"/>
          </w:tcPr>
          <w:p>
            <w:pPr>
              <w:spacing w:line="195" w:lineRule="exact"/>
              <w:rPr>
                <w:rFonts w:ascii="Arial"/>
                <w:sz w:val="16"/>
              </w:rPr>
            </w:pPr>
            <w:r/>
          </w:p>
        </w:tc>
        <w:tc>
          <w:tcPr>
            <w:tcW w:w="1000" w:type="dxa"/>
            <w:vAlign w:val="top"/>
          </w:tcPr>
          <w:p>
            <w:pPr>
              <w:spacing w:line="195" w:lineRule="exact"/>
              <w:rPr>
                <w:rFonts w:ascii="Arial"/>
                <w:sz w:val="16"/>
              </w:rPr>
            </w:pPr>
            <w:r/>
          </w:p>
        </w:tc>
        <w:tc>
          <w:tcPr>
            <w:tcW w:w="633" w:type="dxa"/>
            <w:vAlign w:val="top"/>
          </w:tcPr>
          <w:p>
            <w:pPr>
              <w:pStyle w:val="TableText"/>
              <w:ind w:left="116"/>
              <w:spacing w:before="21" w:line="173" w:lineRule="exact"/>
              <w:rPr/>
            </w:pPr>
            <w:r>
              <w:rPr>
                <w:color w:val="231F20"/>
                <w:spacing w:val="-13"/>
                <w:position w:val="-2"/>
              </w:rPr>
              <w:t>1.509</w:t>
            </w:r>
          </w:p>
        </w:tc>
        <w:tc>
          <w:tcPr>
            <w:tcW w:w="700" w:type="dxa"/>
            <w:vAlign w:val="top"/>
          </w:tcPr>
          <w:p>
            <w:pPr>
              <w:pStyle w:val="TableText"/>
              <w:ind w:left="162"/>
              <w:spacing w:before="21" w:line="173" w:lineRule="exact"/>
              <w:rPr/>
            </w:pPr>
            <w:r>
              <w:rPr>
                <w:color w:val="231F20"/>
                <w:spacing w:val="-12"/>
                <w:position w:val="-2"/>
              </w:rPr>
              <w:t>0.132</w:t>
            </w:r>
          </w:p>
        </w:tc>
      </w:tr>
      <w:tr>
        <w:trPr>
          <w:trHeight w:val="206" w:hRule="atLeast"/>
        </w:trPr>
        <w:tc>
          <w:tcPr>
            <w:tcW w:w="1884" w:type="dxa"/>
            <w:vAlign w:val="top"/>
          </w:tcPr>
          <w:p>
            <w:pPr>
              <w:pStyle w:val="TableText"/>
              <w:ind w:left="226"/>
              <w:spacing w:before="18" w:line="177" w:lineRule="exact"/>
              <w:rPr/>
            </w:pPr>
            <w:r>
              <w:rPr>
                <w:color w:val="231F20"/>
                <w:spacing w:val="-6"/>
                <w:position w:val="-1"/>
              </w:rPr>
              <w:t>已婚或离异</w:t>
            </w:r>
          </w:p>
        </w:tc>
        <w:tc>
          <w:tcPr>
            <w:tcW w:w="391" w:type="dxa"/>
            <w:vAlign w:val="top"/>
          </w:tcPr>
          <w:p>
            <w:pPr>
              <w:pStyle w:val="TableText"/>
              <w:ind w:left="89"/>
              <w:spacing w:before="18" w:line="177" w:lineRule="exact"/>
              <w:rPr/>
            </w:pPr>
            <w:r>
              <w:rPr>
                <w:color w:val="231F20"/>
                <w:spacing w:val="-15"/>
                <w:position w:val="-2"/>
              </w:rPr>
              <w:t>198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61"/>
              <w:spacing w:before="18" w:line="177" w:lineRule="exact"/>
              <w:rPr/>
            </w:pPr>
            <w:r>
              <w:rPr>
                <w:color w:val="231F20"/>
                <w:spacing w:val="-6"/>
                <w:position w:val="-2"/>
              </w:rPr>
              <w:t>59.05±6.11</w:t>
            </w:r>
          </w:p>
        </w:tc>
        <w:tc>
          <w:tcPr>
            <w:tcW w:w="633" w:type="dxa"/>
            <w:vAlign w:val="top"/>
          </w:tcPr>
          <w:p>
            <w:pPr>
              <w:spacing w:line="195" w:lineRule="exact"/>
              <w:rPr>
                <w:rFonts w:ascii="Arial"/>
                <w:sz w:val="17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spacing w:line="195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03" w:hRule="atLeast"/>
        </w:trPr>
        <w:tc>
          <w:tcPr>
            <w:tcW w:w="1884" w:type="dxa"/>
            <w:vAlign w:val="top"/>
          </w:tcPr>
          <w:p>
            <w:pPr>
              <w:pStyle w:val="TableText"/>
              <w:ind w:left="210"/>
              <w:spacing w:before="15" w:line="177" w:lineRule="exact"/>
              <w:rPr/>
            </w:pPr>
            <w:r>
              <w:rPr>
                <w:color w:val="231F20"/>
                <w:spacing w:val="-4"/>
                <w:w w:val="99"/>
                <w:position w:val="-1"/>
              </w:rPr>
              <w:t>未婚</w:t>
            </w:r>
          </w:p>
        </w:tc>
        <w:tc>
          <w:tcPr>
            <w:tcW w:w="391" w:type="dxa"/>
            <w:vAlign w:val="top"/>
          </w:tcPr>
          <w:p>
            <w:pPr>
              <w:pStyle w:val="TableText"/>
              <w:ind w:left="83"/>
              <w:spacing w:before="15" w:line="177" w:lineRule="exact"/>
              <w:rPr/>
            </w:pPr>
            <w:r>
              <w:rPr>
                <w:color w:val="231F20"/>
                <w:spacing w:val="-11"/>
                <w:w w:val="97"/>
                <w:position w:val="-1"/>
              </w:rPr>
              <w:t>624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61"/>
              <w:spacing w:before="15" w:line="177" w:lineRule="exact"/>
              <w:rPr/>
            </w:pPr>
            <w:r>
              <w:rPr>
                <w:color w:val="231F20"/>
                <w:spacing w:val="-6"/>
                <w:position w:val="-2"/>
              </w:rPr>
              <w:t>58.27±6.41</w:t>
            </w:r>
          </w:p>
        </w:tc>
        <w:tc>
          <w:tcPr>
            <w:tcW w:w="633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193" w:hRule="atLeast"/>
        </w:trPr>
        <w:tc>
          <w:tcPr>
            <w:tcW w:w="1884" w:type="dxa"/>
            <w:vAlign w:val="top"/>
          </w:tcPr>
          <w:p>
            <w:pPr>
              <w:pStyle w:val="TableText"/>
              <w:ind w:left="15"/>
              <w:spacing w:before="27" w:line="155" w:lineRule="exact"/>
              <w:rPr/>
            </w:pPr>
            <w:r>
              <w:rPr>
                <w:color w:val="231F20"/>
                <w:spacing w:val="-1"/>
                <w:position w:val="-3"/>
              </w:rPr>
              <w:t>居住地</w:t>
            </w:r>
          </w:p>
        </w:tc>
        <w:tc>
          <w:tcPr>
            <w:tcW w:w="391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  <w:tc>
          <w:tcPr>
            <w:tcW w:w="1000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  <w:tc>
          <w:tcPr>
            <w:tcW w:w="633" w:type="dxa"/>
            <w:vAlign w:val="top"/>
          </w:tcPr>
          <w:p>
            <w:pPr>
              <w:pStyle w:val="TableText"/>
              <w:ind w:left="72"/>
              <w:spacing w:before="15" w:line="167" w:lineRule="exact"/>
              <w:rPr/>
            </w:pPr>
            <w:r>
              <w:rPr>
                <w:color w:val="231F20"/>
                <w:spacing w:val="-14"/>
                <w:position w:val="-2"/>
              </w:rPr>
              <w:t>16.057</w:t>
            </w:r>
          </w:p>
        </w:tc>
        <w:tc>
          <w:tcPr>
            <w:tcW w:w="700" w:type="dxa"/>
            <w:vAlign w:val="top"/>
          </w:tcPr>
          <w:p>
            <w:pPr>
              <w:pStyle w:val="TableText"/>
              <w:ind w:left="94"/>
              <w:spacing w:before="15" w:line="167" w:lineRule="exact"/>
              <w:rPr/>
            </w:pPr>
            <w:r>
              <w:rPr>
                <w:color w:val="231F20"/>
                <w:spacing w:val="-16"/>
                <w:position w:val="-2"/>
              </w:rPr>
              <w:t>&lt;</w:t>
            </w:r>
            <w:r>
              <w:rPr>
                <w:color w:val="231F20"/>
                <w:spacing w:val="21"/>
                <w:position w:val="-2"/>
              </w:rPr>
              <w:t xml:space="preserve"> </w:t>
            </w:r>
            <w:r>
              <w:rPr>
                <w:color w:val="231F20"/>
                <w:spacing w:val="-16"/>
                <w:position w:val="-2"/>
              </w:rPr>
              <w:t>0.001</w:t>
            </w:r>
          </w:p>
        </w:tc>
      </w:tr>
      <w:tr>
        <w:trPr>
          <w:trHeight w:val="206" w:hRule="atLeast"/>
        </w:trPr>
        <w:tc>
          <w:tcPr>
            <w:tcW w:w="1884" w:type="dxa"/>
            <w:vAlign w:val="top"/>
          </w:tcPr>
          <w:p>
            <w:pPr>
              <w:pStyle w:val="TableText"/>
              <w:ind w:left="197"/>
              <w:spacing w:before="24" w:line="171" w:lineRule="exact"/>
              <w:rPr/>
            </w:pPr>
            <w:r>
              <w:rPr>
                <w:color w:val="231F20"/>
                <w:spacing w:val="-2"/>
                <w:position w:val="-1"/>
              </w:rPr>
              <w:t>城市</w:t>
            </w:r>
          </w:p>
        </w:tc>
        <w:tc>
          <w:tcPr>
            <w:tcW w:w="391" w:type="dxa"/>
            <w:vAlign w:val="top"/>
          </w:tcPr>
          <w:p>
            <w:pPr>
              <w:pStyle w:val="TableText"/>
              <w:ind w:left="78"/>
              <w:spacing w:before="24" w:line="171" w:lineRule="exact"/>
              <w:rPr/>
            </w:pPr>
            <w:r>
              <w:rPr>
                <w:color w:val="231F20"/>
                <w:spacing w:val="-13"/>
                <w:position w:val="-2"/>
              </w:rPr>
              <w:t>354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66"/>
              <w:spacing w:before="24" w:line="171" w:lineRule="exact"/>
              <w:rPr/>
            </w:pPr>
            <w:r>
              <w:rPr>
                <w:color w:val="231F20"/>
                <w:spacing w:val="-7"/>
                <w:position w:val="-2"/>
              </w:rPr>
              <w:t>62.05±6.57</w:t>
            </w:r>
          </w:p>
        </w:tc>
        <w:tc>
          <w:tcPr>
            <w:tcW w:w="633" w:type="dxa"/>
            <w:vAlign w:val="top"/>
          </w:tcPr>
          <w:p>
            <w:pPr>
              <w:spacing w:line="195" w:lineRule="exact"/>
              <w:rPr>
                <w:rFonts w:ascii="Arial"/>
                <w:sz w:val="17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spacing w:line="195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05" w:hRule="atLeast"/>
        </w:trPr>
        <w:tc>
          <w:tcPr>
            <w:tcW w:w="1884" w:type="dxa"/>
            <w:vAlign w:val="top"/>
          </w:tcPr>
          <w:p>
            <w:pPr>
              <w:pStyle w:val="TableText"/>
              <w:ind w:left="198"/>
              <w:spacing w:before="21" w:line="173" w:lineRule="exact"/>
              <w:rPr/>
            </w:pPr>
            <w:r>
              <w:rPr>
                <w:color w:val="231F20"/>
                <w:spacing w:val="-2"/>
                <w:position w:val="-1"/>
              </w:rPr>
              <w:t>农村</w:t>
            </w:r>
          </w:p>
        </w:tc>
        <w:tc>
          <w:tcPr>
            <w:tcW w:w="391" w:type="dxa"/>
            <w:vAlign w:val="top"/>
          </w:tcPr>
          <w:p>
            <w:pPr>
              <w:pStyle w:val="TableText"/>
              <w:ind w:left="80"/>
              <w:spacing w:before="21" w:line="173" w:lineRule="exact"/>
              <w:rPr/>
            </w:pPr>
            <w:r>
              <w:rPr>
                <w:color w:val="231F20"/>
                <w:spacing w:val="-10"/>
                <w:w w:val="97"/>
                <w:position w:val="-2"/>
              </w:rPr>
              <w:t>468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61"/>
              <w:spacing w:before="21" w:line="173" w:lineRule="exact"/>
              <w:rPr/>
            </w:pPr>
            <w:r>
              <w:rPr>
                <w:color w:val="231F20"/>
                <w:spacing w:val="-6"/>
                <w:position w:val="-2"/>
              </w:rPr>
              <w:t>55.01±5.95</w:t>
            </w:r>
          </w:p>
        </w:tc>
        <w:tc>
          <w:tcPr>
            <w:tcW w:w="633" w:type="dxa"/>
            <w:vAlign w:val="top"/>
          </w:tcPr>
          <w:p>
            <w:pPr>
              <w:spacing w:line="195" w:lineRule="exact"/>
              <w:rPr>
                <w:rFonts w:ascii="Arial"/>
                <w:sz w:val="16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spacing w:line="195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212" w:hRule="atLeast"/>
        </w:trPr>
        <w:tc>
          <w:tcPr>
            <w:tcW w:w="1884" w:type="dxa"/>
            <w:vAlign w:val="top"/>
          </w:tcPr>
          <w:p>
            <w:pPr>
              <w:pStyle w:val="TableText"/>
              <w:ind w:left="23"/>
              <w:spacing w:before="19" w:line="183" w:lineRule="exact"/>
              <w:rPr/>
            </w:pPr>
            <w:r>
              <w:rPr>
                <w:color w:val="231F20"/>
                <w:spacing w:val="-4"/>
              </w:rPr>
              <w:t>复发次数(次)</w:t>
            </w:r>
          </w:p>
        </w:tc>
        <w:tc>
          <w:tcPr>
            <w:tcW w:w="391" w:type="dxa"/>
            <w:vAlign w:val="top"/>
          </w:tcPr>
          <w:p>
            <w:pPr>
              <w:spacing w:line="202" w:lineRule="exact"/>
              <w:rPr>
                <w:rFonts w:ascii="Arial"/>
                <w:sz w:val="17"/>
              </w:rPr>
            </w:pPr>
            <w:r/>
          </w:p>
        </w:tc>
        <w:tc>
          <w:tcPr>
            <w:tcW w:w="1000" w:type="dxa"/>
            <w:vAlign w:val="top"/>
          </w:tcPr>
          <w:p>
            <w:pPr>
              <w:spacing w:line="202" w:lineRule="exact"/>
              <w:rPr>
                <w:rFonts w:ascii="Arial"/>
                <w:sz w:val="17"/>
              </w:rPr>
            </w:pPr>
            <w:r/>
          </w:p>
        </w:tc>
        <w:tc>
          <w:tcPr>
            <w:tcW w:w="633" w:type="dxa"/>
            <w:vAlign w:val="top"/>
          </w:tcPr>
          <w:p>
            <w:pPr>
              <w:pStyle w:val="TableText"/>
              <w:ind w:left="72"/>
              <w:spacing w:before="19" w:line="183" w:lineRule="exact"/>
              <w:rPr/>
            </w:pPr>
            <w:r>
              <w:rPr>
                <w:color w:val="231F20"/>
                <w:spacing w:val="-14"/>
                <w:position w:val="-1"/>
              </w:rPr>
              <w:t>17.001</w:t>
            </w:r>
          </w:p>
        </w:tc>
        <w:tc>
          <w:tcPr>
            <w:tcW w:w="700" w:type="dxa"/>
            <w:vAlign w:val="top"/>
          </w:tcPr>
          <w:p>
            <w:pPr>
              <w:pStyle w:val="TableText"/>
              <w:ind w:left="94"/>
              <w:spacing w:before="19" w:line="183" w:lineRule="exact"/>
              <w:rPr/>
            </w:pPr>
            <w:r>
              <w:rPr>
                <w:color w:val="231F20"/>
                <w:spacing w:val="-16"/>
                <w:position w:val="-1"/>
              </w:rPr>
              <w:t>&lt;</w:t>
            </w:r>
            <w:r>
              <w:rPr>
                <w:color w:val="231F20"/>
                <w:spacing w:val="21"/>
                <w:position w:val="-1"/>
              </w:rPr>
              <w:t xml:space="preserve"> </w:t>
            </w:r>
            <w:r>
              <w:rPr>
                <w:color w:val="231F20"/>
                <w:spacing w:val="-16"/>
                <w:position w:val="-1"/>
              </w:rPr>
              <w:t>0.001</w:t>
            </w:r>
          </w:p>
        </w:tc>
      </w:tr>
      <w:tr>
        <w:trPr>
          <w:trHeight w:val="191" w:hRule="atLeast"/>
        </w:trPr>
        <w:tc>
          <w:tcPr>
            <w:tcW w:w="1884" w:type="dxa"/>
            <w:vAlign w:val="top"/>
          </w:tcPr>
          <w:p>
            <w:pPr>
              <w:pStyle w:val="TableText"/>
              <w:ind w:left="231"/>
              <w:spacing w:before="9" w:line="171" w:lineRule="exact"/>
              <w:rPr/>
            </w:pPr>
            <w:r>
              <w:rPr>
                <w:color w:val="231F20"/>
                <w:spacing w:val="3"/>
                <w:position w:val="-2"/>
              </w:rPr>
              <w:t>&lt;2</w:t>
            </w:r>
          </w:p>
        </w:tc>
        <w:tc>
          <w:tcPr>
            <w:tcW w:w="391" w:type="dxa"/>
            <w:vAlign w:val="top"/>
          </w:tcPr>
          <w:p>
            <w:pPr>
              <w:pStyle w:val="TableText"/>
              <w:ind w:left="80"/>
              <w:spacing w:before="9" w:line="171" w:lineRule="exact"/>
              <w:rPr/>
            </w:pPr>
            <w:r>
              <w:rPr>
                <w:color w:val="231F20"/>
                <w:spacing w:val="-13"/>
                <w:position w:val="-2"/>
              </w:rPr>
              <w:t>431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66"/>
              <w:spacing w:before="9" w:line="171" w:lineRule="exact"/>
              <w:rPr/>
            </w:pPr>
            <w:r>
              <w:rPr>
                <w:color w:val="231F20"/>
                <w:spacing w:val="-7"/>
                <w:position w:val="-2"/>
              </w:rPr>
              <w:t>61.05±6.49</w:t>
            </w:r>
          </w:p>
        </w:tc>
        <w:tc>
          <w:tcPr>
            <w:tcW w:w="633" w:type="dxa"/>
            <w:vAlign w:val="top"/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94" w:hRule="atLeast"/>
        </w:trPr>
        <w:tc>
          <w:tcPr>
            <w:tcW w:w="1884" w:type="dxa"/>
            <w:vAlign w:val="top"/>
          </w:tcPr>
          <w:p>
            <w:pPr>
              <w:pStyle w:val="TableText"/>
              <w:ind w:left="220"/>
              <w:spacing w:before="21" w:line="163" w:lineRule="exact"/>
              <w:rPr/>
            </w:pPr>
            <w:r>
              <w:rPr>
                <w:color w:val="231F20"/>
                <w:spacing w:val="11"/>
                <w:position w:val="-2"/>
              </w:rPr>
              <w:t>≥2</w:t>
            </w:r>
          </w:p>
        </w:tc>
        <w:tc>
          <w:tcPr>
            <w:tcW w:w="391" w:type="dxa"/>
            <w:vAlign w:val="top"/>
          </w:tcPr>
          <w:p>
            <w:pPr>
              <w:pStyle w:val="TableText"/>
              <w:ind w:left="78"/>
              <w:spacing w:before="21" w:line="163" w:lineRule="exact"/>
              <w:rPr/>
            </w:pPr>
            <w:r>
              <w:rPr>
                <w:color w:val="231F20"/>
                <w:spacing w:val="-13"/>
                <w:position w:val="-2"/>
              </w:rPr>
              <w:t>391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61"/>
              <w:spacing w:before="21" w:line="163" w:lineRule="exact"/>
              <w:rPr/>
            </w:pPr>
            <w:r>
              <w:rPr>
                <w:color w:val="231F20"/>
                <w:spacing w:val="-6"/>
                <w:position w:val="-2"/>
              </w:rPr>
              <w:t>53.92±5.42</w:t>
            </w:r>
          </w:p>
        </w:tc>
        <w:tc>
          <w:tcPr>
            <w:tcW w:w="633" w:type="dxa"/>
            <w:vAlign w:val="top"/>
          </w:tcPr>
          <w:p>
            <w:pPr>
              <w:spacing w:line="184" w:lineRule="exact"/>
              <w:rPr>
                <w:rFonts w:ascii="Arial"/>
                <w:sz w:val="16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spacing w:line="184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225" w:hRule="atLeast"/>
        </w:trPr>
        <w:tc>
          <w:tcPr>
            <w:tcW w:w="1884" w:type="dxa"/>
            <w:vAlign w:val="top"/>
          </w:tcPr>
          <w:p>
            <w:pPr>
              <w:pStyle w:val="TableText"/>
              <w:ind w:left="37"/>
              <w:spacing w:before="30" w:line="185" w:lineRule="exact"/>
              <w:rPr/>
            </w:pPr>
            <w:r>
              <w:rPr>
                <w:color w:val="231F20"/>
                <w:spacing w:val="-3"/>
                <w:position w:val="-1"/>
              </w:rPr>
              <w:t>家庭经济收入(万元/年)</w:t>
            </w:r>
          </w:p>
        </w:tc>
        <w:tc>
          <w:tcPr>
            <w:tcW w:w="391" w:type="dxa"/>
            <w:vAlign w:val="top"/>
          </w:tcPr>
          <w:p>
            <w:pPr>
              <w:spacing w:line="215" w:lineRule="exact"/>
              <w:rPr>
                <w:rFonts w:ascii="Arial"/>
                <w:sz w:val="18"/>
              </w:rPr>
            </w:pPr>
            <w:r/>
          </w:p>
        </w:tc>
        <w:tc>
          <w:tcPr>
            <w:tcW w:w="1000" w:type="dxa"/>
            <w:vAlign w:val="top"/>
          </w:tcPr>
          <w:p>
            <w:pPr>
              <w:spacing w:line="215" w:lineRule="exact"/>
              <w:rPr>
                <w:rFonts w:ascii="Arial"/>
                <w:sz w:val="18"/>
              </w:rPr>
            </w:pPr>
            <w:r/>
          </w:p>
        </w:tc>
        <w:tc>
          <w:tcPr>
            <w:tcW w:w="633" w:type="dxa"/>
            <w:vAlign w:val="top"/>
          </w:tcPr>
          <w:p>
            <w:pPr>
              <w:pStyle w:val="TableText"/>
              <w:ind w:left="72"/>
              <w:spacing w:before="30" w:line="185" w:lineRule="exact"/>
              <w:rPr/>
            </w:pPr>
            <w:r>
              <w:rPr>
                <w:color w:val="231F20"/>
                <w:spacing w:val="-14"/>
                <w:position w:val="-1"/>
              </w:rPr>
              <w:t>19.732</w:t>
            </w:r>
          </w:p>
        </w:tc>
        <w:tc>
          <w:tcPr>
            <w:tcW w:w="700" w:type="dxa"/>
            <w:vAlign w:val="top"/>
          </w:tcPr>
          <w:p>
            <w:pPr>
              <w:pStyle w:val="TableText"/>
              <w:ind w:left="94"/>
              <w:spacing w:before="30" w:line="185" w:lineRule="exact"/>
              <w:rPr/>
            </w:pPr>
            <w:r>
              <w:rPr>
                <w:color w:val="231F20"/>
                <w:spacing w:val="-16"/>
                <w:position w:val="-1"/>
              </w:rPr>
              <w:t>&lt;</w:t>
            </w:r>
            <w:r>
              <w:rPr>
                <w:color w:val="231F20"/>
                <w:spacing w:val="21"/>
                <w:position w:val="-1"/>
              </w:rPr>
              <w:t xml:space="preserve"> </w:t>
            </w:r>
            <w:r>
              <w:rPr>
                <w:color w:val="231F20"/>
                <w:spacing w:val="-16"/>
                <w:position w:val="-1"/>
              </w:rPr>
              <w:t>0.001</w:t>
            </w:r>
          </w:p>
        </w:tc>
      </w:tr>
      <w:tr>
        <w:trPr>
          <w:trHeight w:val="188" w:hRule="atLeast"/>
        </w:trPr>
        <w:tc>
          <w:tcPr>
            <w:tcW w:w="1884" w:type="dxa"/>
            <w:vAlign w:val="top"/>
          </w:tcPr>
          <w:p>
            <w:pPr>
              <w:pStyle w:val="TableText"/>
              <w:ind w:left="231"/>
              <w:spacing w:before="7" w:line="170" w:lineRule="exact"/>
              <w:rPr/>
            </w:pPr>
            <w:r>
              <w:rPr>
                <w:color w:val="231F20"/>
                <w:position w:val="-2"/>
              </w:rPr>
              <w:t>&lt;5</w:t>
            </w:r>
          </w:p>
        </w:tc>
        <w:tc>
          <w:tcPr>
            <w:tcW w:w="391" w:type="dxa"/>
            <w:vAlign w:val="top"/>
          </w:tcPr>
          <w:p>
            <w:pPr>
              <w:pStyle w:val="TableText"/>
              <w:ind w:left="78"/>
              <w:spacing w:before="7" w:line="170" w:lineRule="exact"/>
              <w:rPr/>
            </w:pPr>
            <w:r>
              <w:rPr>
                <w:color w:val="231F20"/>
                <w:spacing w:val="-13"/>
                <w:position w:val="-2"/>
              </w:rPr>
              <w:t>331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61"/>
              <w:spacing w:before="7" w:line="170" w:lineRule="exact"/>
              <w:rPr/>
            </w:pPr>
            <w:r>
              <w:rPr>
                <w:color w:val="231F20"/>
                <w:spacing w:val="-6"/>
                <w:position w:val="-2"/>
              </w:rPr>
              <w:t>53.06±5.67</w:t>
            </w:r>
          </w:p>
        </w:tc>
        <w:tc>
          <w:tcPr>
            <w:tcW w:w="633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92" w:hRule="atLeast"/>
        </w:trPr>
        <w:tc>
          <w:tcPr>
            <w:tcW w:w="1884" w:type="dxa"/>
            <w:vAlign w:val="top"/>
          </w:tcPr>
          <w:p>
            <w:pPr>
              <w:pStyle w:val="TableText"/>
              <w:ind w:left="220"/>
              <w:spacing w:before="22" w:line="160" w:lineRule="exact"/>
              <w:rPr/>
            </w:pPr>
            <w:r>
              <w:rPr>
                <w:color w:val="231F20"/>
                <w:spacing w:val="11"/>
                <w:position w:val="-2"/>
              </w:rPr>
              <w:t>≥5</w:t>
            </w:r>
          </w:p>
        </w:tc>
        <w:tc>
          <w:tcPr>
            <w:tcW w:w="391" w:type="dxa"/>
            <w:vAlign w:val="top"/>
          </w:tcPr>
          <w:p>
            <w:pPr>
              <w:pStyle w:val="TableText"/>
              <w:ind w:left="80"/>
              <w:spacing w:before="22" w:line="160" w:lineRule="exact"/>
              <w:rPr/>
            </w:pPr>
            <w:r>
              <w:rPr>
                <w:color w:val="231F20"/>
                <w:spacing w:val="-13"/>
                <w:position w:val="-2"/>
              </w:rPr>
              <w:t>491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66"/>
              <w:spacing w:before="22" w:line="160" w:lineRule="exact"/>
              <w:rPr/>
            </w:pPr>
            <w:r>
              <w:rPr>
                <w:color w:val="231F20"/>
                <w:spacing w:val="-7"/>
                <w:position w:val="-2"/>
              </w:rPr>
              <w:t>61.67±6.43</w:t>
            </w:r>
          </w:p>
        </w:tc>
        <w:tc>
          <w:tcPr>
            <w:tcW w:w="633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419" w:hRule="atLeast"/>
        </w:trPr>
        <w:tc>
          <w:tcPr>
            <w:tcW w:w="1884" w:type="dxa"/>
            <w:vAlign w:val="top"/>
          </w:tcPr>
          <w:p>
            <w:pPr>
              <w:pStyle w:val="TableText"/>
              <w:ind w:left="237" w:right="792" w:hanging="194"/>
              <w:spacing w:before="33" w:line="188" w:lineRule="exact"/>
              <w:rPr/>
            </w:pPr>
            <w:r>
              <w:rPr>
                <w:color w:val="231F20"/>
                <w:spacing w:val="-6"/>
              </w:rPr>
              <w:t>医疗付费方式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2"/>
                <w:position w:val="-1"/>
              </w:rPr>
              <w:t>自费</w:t>
            </w:r>
          </w:p>
        </w:tc>
        <w:tc>
          <w:tcPr>
            <w:tcW w:w="391" w:type="dxa"/>
            <w:vAlign w:val="top"/>
          </w:tcPr>
          <w:p>
            <w:pPr>
              <w:pStyle w:val="TableText"/>
              <w:ind w:left="89"/>
              <w:spacing w:before="235" w:line="174" w:lineRule="exact"/>
              <w:rPr/>
            </w:pPr>
            <w:r>
              <w:rPr>
                <w:color w:val="231F20"/>
                <w:spacing w:val="-15"/>
                <w:position w:val="-2"/>
              </w:rPr>
              <w:t>176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61"/>
              <w:spacing w:before="235" w:line="174" w:lineRule="exact"/>
              <w:rPr/>
            </w:pPr>
            <w:r>
              <w:rPr>
                <w:color w:val="231F20"/>
                <w:spacing w:val="-6"/>
                <w:position w:val="-2"/>
              </w:rPr>
              <w:t>56.82±5.37</w:t>
            </w:r>
          </w:p>
        </w:tc>
        <w:tc>
          <w:tcPr>
            <w:tcW w:w="633" w:type="dxa"/>
            <w:vAlign w:val="top"/>
          </w:tcPr>
          <w:p>
            <w:pPr>
              <w:pStyle w:val="TableText"/>
              <w:ind w:left="116"/>
              <w:spacing w:before="33" w:line="214" w:lineRule="auto"/>
              <w:rPr/>
            </w:pPr>
            <w:r>
              <w:rPr>
                <w:color w:val="231F20"/>
                <w:spacing w:val="-13"/>
              </w:rPr>
              <w:t>1.533</w:t>
            </w:r>
          </w:p>
        </w:tc>
        <w:tc>
          <w:tcPr>
            <w:tcW w:w="700" w:type="dxa"/>
            <w:vAlign w:val="top"/>
          </w:tcPr>
          <w:p>
            <w:pPr>
              <w:pStyle w:val="TableText"/>
              <w:ind w:left="162"/>
              <w:spacing w:before="33" w:line="214" w:lineRule="auto"/>
              <w:rPr/>
            </w:pPr>
            <w:r>
              <w:rPr>
                <w:color w:val="231F20"/>
                <w:spacing w:val="-12"/>
              </w:rPr>
              <w:t>0.126</w:t>
            </w:r>
          </w:p>
        </w:tc>
      </w:tr>
      <w:tr>
        <w:trPr>
          <w:trHeight w:val="199" w:hRule="atLeast"/>
        </w:trPr>
        <w:tc>
          <w:tcPr>
            <w:tcW w:w="1884" w:type="dxa"/>
            <w:vAlign w:val="top"/>
          </w:tcPr>
          <w:p>
            <w:pPr>
              <w:pStyle w:val="TableText"/>
              <w:ind w:left="196"/>
              <w:spacing w:before="19" w:line="170" w:lineRule="exact"/>
              <w:rPr/>
            </w:pPr>
            <w:r>
              <w:rPr>
                <w:color w:val="231F20"/>
                <w:spacing w:val="-1"/>
                <w:position w:val="-1"/>
              </w:rPr>
              <w:t>新农合或城镇医保</w:t>
            </w:r>
          </w:p>
        </w:tc>
        <w:tc>
          <w:tcPr>
            <w:tcW w:w="391" w:type="dxa"/>
            <w:vAlign w:val="top"/>
          </w:tcPr>
          <w:p>
            <w:pPr>
              <w:pStyle w:val="TableText"/>
              <w:ind w:left="83"/>
              <w:spacing w:before="19" w:line="170" w:lineRule="exact"/>
              <w:rPr/>
            </w:pPr>
            <w:r>
              <w:rPr>
                <w:color w:val="231F20"/>
                <w:spacing w:val="-10"/>
                <w:w w:val="96"/>
                <w:position w:val="-2"/>
              </w:rPr>
              <w:t>646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61"/>
              <w:spacing w:before="19" w:line="170" w:lineRule="exact"/>
              <w:rPr/>
            </w:pPr>
            <w:r>
              <w:rPr>
                <w:color w:val="231F20"/>
                <w:spacing w:val="-6"/>
                <w:position w:val="-2"/>
              </w:rPr>
              <w:t>57.64±6.52</w:t>
            </w:r>
          </w:p>
        </w:tc>
        <w:tc>
          <w:tcPr>
            <w:tcW w:w="633" w:type="dxa"/>
            <w:vAlign w:val="top"/>
          </w:tcPr>
          <w:p>
            <w:pPr>
              <w:spacing w:line="189" w:lineRule="exact"/>
              <w:rPr>
                <w:rFonts w:ascii="Arial"/>
                <w:sz w:val="16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spacing w:line="189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203" w:hRule="atLeast"/>
        </w:trPr>
        <w:tc>
          <w:tcPr>
            <w:tcW w:w="1884" w:type="dxa"/>
            <w:vAlign w:val="top"/>
          </w:tcPr>
          <w:p>
            <w:pPr>
              <w:pStyle w:val="TableText"/>
              <w:ind w:left="16"/>
              <w:spacing w:before="23" w:line="169" w:lineRule="exact"/>
              <w:rPr/>
            </w:pPr>
            <w:r>
              <w:rPr>
                <w:color w:val="231F20"/>
                <w:spacing w:val="-1"/>
                <w:position w:val="-1"/>
              </w:rPr>
              <w:t>社会支持</w:t>
            </w:r>
          </w:p>
        </w:tc>
        <w:tc>
          <w:tcPr>
            <w:tcW w:w="391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1000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633" w:type="dxa"/>
            <w:vAlign w:val="top"/>
          </w:tcPr>
          <w:p>
            <w:pPr>
              <w:pStyle w:val="TableText"/>
              <w:ind w:left="111"/>
              <w:spacing w:before="23" w:line="169" w:lineRule="exact"/>
              <w:rPr/>
            </w:pPr>
            <w:r>
              <w:rPr>
                <w:color w:val="231F20"/>
                <w:spacing w:val="-12"/>
                <w:position w:val="-2"/>
              </w:rPr>
              <w:t>8.104</w:t>
            </w:r>
          </w:p>
        </w:tc>
        <w:tc>
          <w:tcPr>
            <w:tcW w:w="700" w:type="dxa"/>
            <w:vAlign w:val="top"/>
          </w:tcPr>
          <w:p>
            <w:pPr>
              <w:pStyle w:val="TableText"/>
              <w:ind w:left="94"/>
              <w:spacing w:before="23" w:line="169" w:lineRule="exact"/>
              <w:rPr/>
            </w:pPr>
            <w:r>
              <w:rPr>
                <w:color w:val="231F20"/>
                <w:spacing w:val="-16"/>
                <w:position w:val="-2"/>
              </w:rPr>
              <w:t>&lt;</w:t>
            </w:r>
            <w:r>
              <w:rPr>
                <w:color w:val="231F20"/>
                <w:spacing w:val="21"/>
                <w:position w:val="-2"/>
              </w:rPr>
              <w:t xml:space="preserve"> </w:t>
            </w:r>
            <w:r>
              <w:rPr>
                <w:color w:val="231F20"/>
                <w:spacing w:val="-16"/>
                <w:position w:val="-2"/>
              </w:rPr>
              <w:t>0.001</w:t>
            </w:r>
          </w:p>
        </w:tc>
      </w:tr>
      <w:tr>
        <w:trPr>
          <w:trHeight w:val="206" w:hRule="atLeast"/>
        </w:trPr>
        <w:tc>
          <w:tcPr>
            <w:tcW w:w="1884" w:type="dxa"/>
            <w:vAlign w:val="top"/>
          </w:tcPr>
          <w:p>
            <w:pPr>
              <w:pStyle w:val="TableText"/>
              <w:ind w:left="225"/>
              <w:spacing w:before="22" w:line="173" w:lineRule="exact"/>
              <w:rPr/>
            </w:pPr>
            <w:r>
              <w:rPr>
                <w:color w:val="231F20"/>
                <w:spacing w:val="-4"/>
                <w:w w:val="97"/>
                <w:position w:val="-1"/>
              </w:rPr>
              <w:t>良好</w:t>
            </w:r>
          </w:p>
        </w:tc>
        <w:tc>
          <w:tcPr>
            <w:tcW w:w="391" w:type="dxa"/>
            <w:vAlign w:val="top"/>
          </w:tcPr>
          <w:p>
            <w:pPr>
              <w:pStyle w:val="TableText"/>
              <w:ind w:left="78"/>
              <w:spacing w:before="22" w:line="173" w:lineRule="exact"/>
              <w:rPr/>
            </w:pPr>
            <w:r>
              <w:rPr>
                <w:color w:val="231F20"/>
                <w:spacing w:val="-13"/>
                <w:position w:val="-2"/>
              </w:rPr>
              <w:t>369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61"/>
              <w:spacing w:before="22" w:line="173" w:lineRule="exact"/>
              <w:rPr/>
            </w:pPr>
            <w:r>
              <w:rPr>
                <w:color w:val="231F20"/>
                <w:spacing w:val="-6"/>
                <w:position w:val="-2"/>
              </w:rPr>
              <w:t>58.53±4.85</w:t>
            </w:r>
          </w:p>
        </w:tc>
        <w:tc>
          <w:tcPr>
            <w:tcW w:w="633" w:type="dxa"/>
            <w:vAlign w:val="top"/>
          </w:tcPr>
          <w:p>
            <w:pPr>
              <w:spacing w:line="195" w:lineRule="exact"/>
              <w:rPr>
                <w:rFonts w:ascii="Arial"/>
                <w:sz w:val="17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spacing w:line="195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194" w:hRule="atLeast"/>
        </w:trPr>
        <w:tc>
          <w:tcPr>
            <w:tcW w:w="1884" w:type="dxa"/>
            <w:vAlign w:val="top"/>
          </w:tcPr>
          <w:p>
            <w:pPr>
              <w:pStyle w:val="TableText"/>
              <w:ind w:left="195"/>
              <w:spacing w:before="19" w:line="165" w:lineRule="exact"/>
              <w:rPr/>
            </w:pPr>
            <w:r>
              <w:rPr>
                <w:color w:val="231F20"/>
                <w:spacing w:val="-1"/>
                <w:position w:val="-1"/>
              </w:rPr>
              <w:t>低下</w:t>
            </w:r>
          </w:p>
        </w:tc>
        <w:tc>
          <w:tcPr>
            <w:tcW w:w="391" w:type="dxa"/>
            <w:vAlign w:val="top"/>
          </w:tcPr>
          <w:p>
            <w:pPr>
              <w:pStyle w:val="TableText"/>
              <w:ind w:left="80"/>
              <w:spacing w:before="19" w:line="165" w:lineRule="exact"/>
              <w:rPr/>
            </w:pPr>
            <w:r>
              <w:rPr>
                <w:color w:val="231F20"/>
                <w:spacing w:val="-13"/>
                <w:position w:val="-2"/>
              </w:rPr>
              <w:t>453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61"/>
              <w:spacing w:before="19" w:line="165" w:lineRule="exact"/>
              <w:rPr/>
            </w:pPr>
            <w:r>
              <w:rPr>
                <w:color w:val="231F20"/>
                <w:spacing w:val="-6"/>
                <w:position w:val="-2"/>
              </w:rPr>
              <w:t>55.29±6.31</w:t>
            </w:r>
          </w:p>
        </w:tc>
        <w:tc>
          <w:tcPr>
            <w:tcW w:w="633" w:type="dxa"/>
            <w:vAlign w:val="top"/>
          </w:tcPr>
          <w:p>
            <w:pPr>
              <w:spacing w:line="184" w:lineRule="exact"/>
              <w:rPr>
                <w:rFonts w:ascii="Arial"/>
                <w:sz w:val="16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spacing w:line="184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205" w:hRule="atLeast"/>
        </w:trPr>
        <w:tc>
          <w:tcPr>
            <w:tcW w:w="1884" w:type="dxa"/>
            <w:vAlign w:val="top"/>
          </w:tcPr>
          <w:p>
            <w:pPr>
              <w:pStyle w:val="TableText"/>
              <w:ind w:left="57"/>
              <w:spacing w:before="28" w:line="167" w:lineRule="exact"/>
              <w:rPr/>
            </w:pPr>
            <w:r>
              <w:rPr>
                <w:color w:val="231F20"/>
                <w:spacing w:val="-9"/>
                <w:position w:val="-1"/>
              </w:rPr>
              <w:t>自我效能</w:t>
            </w:r>
          </w:p>
        </w:tc>
        <w:tc>
          <w:tcPr>
            <w:tcW w:w="391" w:type="dxa"/>
            <w:vAlign w:val="top"/>
          </w:tcPr>
          <w:p>
            <w:pPr>
              <w:spacing w:line="195" w:lineRule="exact"/>
              <w:rPr>
                <w:rFonts w:ascii="Arial"/>
                <w:sz w:val="16"/>
              </w:rPr>
            </w:pPr>
            <w:r/>
          </w:p>
        </w:tc>
        <w:tc>
          <w:tcPr>
            <w:tcW w:w="1000" w:type="dxa"/>
            <w:vAlign w:val="top"/>
          </w:tcPr>
          <w:p>
            <w:pPr>
              <w:spacing w:line="195" w:lineRule="exact"/>
              <w:rPr>
                <w:rFonts w:ascii="Arial"/>
                <w:sz w:val="16"/>
              </w:rPr>
            </w:pPr>
            <w:r/>
          </w:p>
        </w:tc>
        <w:tc>
          <w:tcPr>
            <w:tcW w:w="633" w:type="dxa"/>
            <w:vAlign w:val="top"/>
          </w:tcPr>
          <w:p>
            <w:pPr>
              <w:pStyle w:val="TableText"/>
              <w:ind w:left="111"/>
              <w:spacing w:before="28" w:line="167" w:lineRule="exact"/>
              <w:rPr/>
            </w:pPr>
            <w:r>
              <w:rPr>
                <w:color w:val="231F20"/>
                <w:spacing w:val="-12"/>
                <w:position w:val="-2"/>
              </w:rPr>
              <w:t>8.349</w:t>
            </w:r>
          </w:p>
        </w:tc>
        <w:tc>
          <w:tcPr>
            <w:tcW w:w="700" w:type="dxa"/>
            <w:vAlign w:val="top"/>
          </w:tcPr>
          <w:p>
            <w:pPr>
              <w:pStyle w:val="TableText"/>
              <w:ind w:left="94"/>
              <w:spacing w:before="28" w:line="167" w:lineRule="exact"/>
              <w:rPr/>
            </w:pPr>
            <w:r>
              <w:rPr>
                <w:color w:val="231F20"/>
                <w:spacing w:val="-16"/>
                <w:position w:val="-2"/>
              </w:rPr>
              <w:t>&lt;</w:t>
            </w:r>
            <w:r>
              <w:rPr>
                <w:color w:val="231F20"/>
                <w:spacing w:val="21"/>
                <w:position w:val="-2"/>
              </w:rPr>
              <w:t xml:space="preserve"> </w:t>
            </w:r>
            <w:r>
              <w:rPr>
                <w:color w:val="231F20"/>
                <w:spacing w:val="-16"/>
                <w:position w:val="-2"/>
              </w:rPr>
              <w:t>0.001</w:t>
            </w:r>
          </w:p>
        </w:tc>
      </w:tr>
      <w:tr>
        <w:trPr>
          <w:trHeight w:val="207" w:hRule="atLeast"/>
        </w:trPr>
        <w:tc>
          <w:tcPr>
            <w:tcW w:w="1884" w:type="dxa"/>
            <w:vAlign w:val="top"/>
          </w:tcPr>
          <w:p>
            <w:pPr>
              <w:pStyle w:val="TableText"/>
              <w:ind w:left="225"/>
              <w:spacing w:before="25" w:line="172" w:lineRule="exact"/>
              <w:rPr/>
            </w:pPr>
            <w:r>
              <w:rPr>
                <w:color w:val="231F20"/>
                <w:spacing w:val="-4"/>
                <w:w w:val="97"/>
                <w:position w:val="-1"/>
              </w:rPr>
              <w:t>良好</w:t>
            </w:r>
          </w:p>
        </w:tc>
        <w:tc>
          <w:tcPr>
            <w:tcW w:w="391" w:type="dxa"/>
            <w:vAlign w:val="top"/>
          </w:tcPr>
          <w:p>
            <w:pPr>
              <w:pStyle w:val="TableText"/>
              <w:ind w:left="78"/>
              <w:spacing w:before="25" w:line="172" w:lineRule="exact"/>
              <w:rPr/>
            </w:pPr>
            <w:r>
              <w:rPr>
                <w:color w:val="231F20"/>
                <w:spacing w:val="-13"/>
                <w:position w:val="-2"/>
              </w:rPr>
              <w:t>335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61"/>
              <w:spacing w:before="25" w:line="172" w:lineRule="exact"/>
              <w:rPr/>
            </w:pPr>
            <w:r>
              <w:rPr>
                <w:color w:val="231F20"/>
                <w:spacing w:val="-6"/>
                <w:position w:val="-2"/>
              </w:rPr>
              <w:t>57.36±4.27</w:t>
            </w:r>
          </w:p>
        </w:tc>
        <w:tc>
          <w:tcPr>
            <w:tcW w:w="633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07" w:hRule="atLeast"/>
        </w:trPr>
        <w:tc>
          <w:tcPr>
            <w:tcW w:w="188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95"/>
              <w:spacing w:before="21" w:line="176" w:lineRule="exact"/>
              <w:rPr/>
            </w:pPr>
            <w:r>
              <w:rPr>
                <w:color w:val="231F20"/>
                <w:spacing w:val="-1"/>
                <w:position w:val="-1"/>
              </w:rPr>
              <w:t>低下</w:t>
            </w:r>
          </w:p>
        </w:tc>
        <w:tc>
          <w:tcPr>
            <w:tcW w:w="39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0"/>
              <w:spacing w:before="21" w:line="176" w:lineRule="exact"/>
              <w:rPr/>
            </w:pPr>
            <w:r>
              <w:rPr>
                <w:color w:val="231F20"/>
                <w:spacing w:val="-13"/>
                <w:position w:val="-2"/>
              </w:rPr>
              <w:t>487</w:t>
            </w:r>
          </w:p>
        </w:tc>
        <w:tc>
          <w:tcPr>
            <w:tcW w:w="100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1"/>
              <w:spacing w:before="21" w:line="176" w:lineRule="exact"/>
              <w:rPr/>
            </w:pPr>
            <w:r>
              <w:rPr>
                <w:color w:val="231F20"/>
                <w:spacing w:val="-6"/>
                <w:position w:val="-2"/>
              </w:rPr>
              <w:t>54.15±6.08</w:t>
            </w:r>
          </w:p>
        </w:tc>
        <w:tc>
          <w:tcPr>
            <w:tcW w:w="633" w:type="dxa"/>
            <w:vAlign w:val="top"/>
            <w:tcBorders>
              <w:bottom w:val="single" w:color="231F20" w:sz="6" w:space="0"/>
            </w:tcBorders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700" w:type="dxa"/>
            <w:vAlign w:val="top"/>
            <w:tcBorders>
              <w:bottom w:val="single" w:color="231F20" w:sz="6" w:space="0"/>
            </w:tcBorders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</w:tr>
    </w:tbl>
    <w:p>
      <w:pPr>
        <w:pStyle w:val="BodyText"/>
        <w:ind w:left="720" w:right="319" w:firstLine="5"/>
        <w:spacing w:before="50" w:line="195" w:lineRule="auto"/>
        <w:rPr/>
      </w:pPr>
      <w:r>
        <w:rPr>
          <w:color w:val="231F20"/>
          <w:spacing w:val="-4"/>
        </w:rPr>
        <w:t>2.2</w:t>
      </w:r>
      <w:r>
        <w:rPr>
          <w:color w:val="231F20"/>
          <w:spacing w:val="16"/>
          <w:w w:val="101"/>
        </w:rPr>
        <w:t xml:space="preserve">   </w:t>
      </w:r>
      <w:r>
        <w:rPr>
          <w:color w:val="231F20"/>
          <w:spacing w:val="-4"/>
        </w:rPr>
        <w:t>APID患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者CD-RISC评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分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与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社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会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支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持、自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我</w:t>
      </w:r>
      <w:r>
        <w:rPr>
          <w:color w:val="231F20"/>
        </w:rPr>
        <w:t xml:space="preserve"> </w:t>
      </w:r>
      <w:r>
        <w:rPr>
          <w:color w:val="231F20"/>
        </w:rPr>
        <w:t>效能的相关性分析</w:t>
      </w:r>
      <w:r>
        <w:rPr>
          <w:color w:val="231F20"/>
          <w:spacing w:val="15"/>
        </w:rPr>
        <w:t xml:space="preserve">   </w:t>
      </w:r>
      <w:r>
        <w:rPr>
          <w:color w:val="231F20"/>
        </w:rPr>
        <w:t>Pearson相关性分析显示，社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会支持、自我效能与</w:t>
      </w:r>
      <w:r>
        <w:rPr>
          <w:color w:val="231F20"/>
        </w:rPr>
        <w:t>APID</w:t>
      </w:r>
      <w:r>
        <w:rPr>
          <w:color w:val="231F20"/>
          <w:spacing w:val="6"/>
        </w:rPr>
        <w:t>患者</w:t>
      </w:r>
      <w:r>
        <w:rPr>
          <w:color w:val="231F20"/>
        </w:rPr>
        <w:t>CD</w:t>
      </w:r>
      <w:r>
        <w:rPr>
          <w:color w:val="231F20"/>
          <w:spacing w:val="6"/>
        </w:rPr>
        <w:t>-</w:t>
      </w:r>
      <w:r>
        <w:rPr>
          <w:color w:val="231F20"/>
        </w:rPr>
        <w:t>RISC</w:t>
      </w:r>
      <w:r>
        <w:rPr>
          <w:color w:val="231F20"/>
          <w:spacing w:val="6"/>
        </w:rPr>
        <w:t>评分呈正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1"/>
        </w:rPr>
        <w:t>相关（r=0.385、0.356，</w:t>
      </w:r>
      <w:r>
        <w:rPr>
          <w:rFonts w:ascii="Times New Roman" w:hAnsi="Times New Roman" w:eastAsia="Times New Roman" w:cs="Times New Roman"/>
          <w:color w:val="231F20"/>
          <w:spacing w:val="-11"/>
        </w:rPr>
        <w:t>P</w:t>
      </w:r>
      <w:r>
        <w:rPr>
          <w:color w:val="231F20"/>
          <w:spacing w:val="-11"/>
        </w:rPr>
        <w:t>＜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1"/>
        </w:rPr>
        <w:t>0.001）。</w:t>
      </w:r>
    </w:p>
    <w:p>
      <w:pPr>
        <w:pStyle w:val="BodyText"/>
        <w:ind w:left="723" w:right="319" w:firstLine="3"/>
        <w:spacing w:before="3" w:line="195" w:lineRule="auto"/>
        <w:rPr/>
      </w:pPr>
      <w:r>
        <w:rPr>
          <w:color w:val="231F20"/>
          <w:spacing w:val="13"/>
        </w:rPr>
        <w:t>2.3   </w:t>
      </w:r>
      <w:r>
        <w:rPr>
          <w:color w:val="231F20"/>
        </w:rPr>
        <w:t>APID</w:t>
      </w:r>
      <w:r>
        <w:rPr>
          <w:color w:val="231F20"/>
          <w:spacing w:val="13"/>
        </w:rPr>
        <w:t>患者</w:t>
      </w:r>
      <w:r>
        <w:rPr>
          <w:color w:val="231F20"/>
        </w:rPr>
        <w:t>CD</w:t>
      </w:r>
      <w:r>
        <w:rPr>
          <w:color w:val="231F20"/>
          <w:spacing w:val="13"/>
        </w:rPr>
        <w:t>-</w:t>
      </w:r>
      <w:r>
        <w:rPr>
          <w:color w:val="231F20"/>
        </w:rPr>
        <w:t>RISC</w:t>
      </w:r>
      <w:r>
        <w:rPr>
          <w:color w:val="231F20"/>
          <w:spacing w:val="13"/>
        </w:rPr>
        <w:t>评分的多元线性回归分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析    自变量为以单因素分析差异有统计学意义的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因素赋值见表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"/>
        </w:rPr>
        <w:t>2。建立多元线性回归模型，发现初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中及以下文化程度、≥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次复发次数、家庭</w:t>
      </w:r>
      <w:r>
        <w:rPr>
          <w:color w:val="231F20"/>
          <w:spacing w:val="1"/>
        </w:rPr>
        <w:t>经济收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入＜ 5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万元/年、社会支持低下、自我效能</w:t>
      </w:r>
      <w:r>
        <w:rPr>
          <w:color w:val="231F20"/>
          <w:spacing w:val="3"/>
        </w:rPr>
        <w:t>低下是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影响</w:t>
      </w:r>
      <w:r>
        <w:rPr>
          <w:color w:val="231F20"/>
        </w:rPr>
        <w:t>APID</w:t>
      </w:r>
      <w:r>
        <w:rPr>
          <w:color w:val="231F20"/>
          <w:spacing w:val="9"/>
        </w:rPr>
        <w:t>患者</w:t>
      </w:r>
      <w:r>
        <w:rPr>
          <w:color w:val="231F20"/>
        </w:rPr>
        <w:t>CD</w:t>
      </w:r>
      <w:r>
        <w:rPr>
          <w:color w:val="231F20"/>
          <w:spacing w:val="9"/>
        </w:rPr>
        <w:t>-</w:t>
      </w:r>
      <w:r>
        <w:rPr>
          <w:color w:val="231F20"/>
        </w:rPr>
        <w:t>RISC</w:t>
      </w:r>
      <w:r>
        <w:rPr>
          <w:color w:val="231F20"/>
          <w:spacing w:val="9"/>
        </w:rPr>
        <w:t>评分的独立危险因素（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P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-12"/>
        </w:rPr>
        <w:t>&lt;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2"/>
        </w:rPr>
        <w:t>0.05）。见表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</w:rPr>
        <w:t>3。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61"/>
        <w:spacing w:before="45" w:line="220" w:lineRule="auto"/>
        <w:rPr/>
      </w:pPr>
      <w:r>
        <w:rPr>
          <w:color w:val="231F20"/>
          <w:spacing w:val="17"/>
        </w:rPr>
        <w:t>·127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17"/>
        </w:rPr>
        <w:t>·</w:t>
      </w:r>
    </w:p>
    <w:p>
      <w:pPr>
        <w:ind w:left="1505"/>
        <w:spacing w:before="169"/>
        <w:outlineLvl w:val="2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3"/>
        </w:rPr>
        <w:t>表2</w:t>
      </w:r>
      <w:r>
        <w:rPr>
          <w:rFonts w:ascii="SimHei" w:hAnsi="SimHei" w:eastAsia="SimHei" w:cs="SimHei"/>
          <w:sz w:val="21"/>
          <w:szCs w:val="21"/>
          <w:color w:val="231F20"/>
          <w:spacing w:val="3"/>
        </w:rPr>
        <w:t xml:space="preserve">  </w:t>
      </w:r>
      <w:r>
        <w:rPr>
          <w:rFonts w:ascii="SimHei" w:hAnsi="SimHei" w:eastAsia="SimHei" w:cs="SimHei"/>
          <w:sz w:val="21"/>
          <w:szCs w:val="21"/>
          <w:color w:val="231F20"/>
          <w:spacing w:val="3"/>
        </w:rPr>
        <w:t>变量赋值表</w:t>
      </w:r>
    </w:p>
    <w:p>
      <w:pPr>
        <w:spacing w:line="1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61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61"/>
        <w:gridCol w:w="511"/>
        <w:gridCol w:w="2739"/>
      </w:tblGrid>
      <w:tr>
        <w:trPr>
          <w:trHeight w:val="195" w:hRule="atLeast"/>
        </w:trPr>
        <w:tc>
          <w:tcPr>
            <w:tcW w:w="1361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443"/>
              <w:spacing w:before="4" w:line="181" w:lineRule="exact"/>
              <w:rPr/>
            </w:pPr>
            <w:r>
              <w:rPr>
                <w:color w:val="231F20"/>
                <w:spacing w:val="-5"/>
                <w:position w:val="-1"/>
              </w:rPr>
              <w:t>变量</w:t>
            </w:r>
          </w:p>
        </w:tc>
        <w:tc>
          <w:tcPr>
            <w:tcW w:w="511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89"/>
              <w:spacing w:before="4" w:line="181" w:lineRule="exact"/>
              <w:rPr/>
            </w:pPr>
            <w:r>
              <w:rPr>
                <w:color w:val="231F20"/>
                <w:spacing w:val="-3"/>
                <w:position w:val="-1"/>
              </w:rPr>
              <w:t>编号</w:t>
            </w:r>
          </w:p>
        </w:tc>
        <w:tc>
          <w:tcPr>
            <w:tcW w:w="2739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1261"/>
              <w:spacing w:before="4" w:line="181" w:lineRule="exact"/>
              <w:rPr/>
            </w:pPr>
            <w:r>
              <w:rPr>
                <w:color w:val="231F20"/>
                <w:spacing w:val="-1"/>
                <w:position w:val="-1"/>
              </w:rPr>
              <w:t>赋值</w:t>
            </w:r>
          </w:p>
        </w:tc>
      </w:tr>
      <w:tr>
        <w:trPr>
          <w:trHeight w:val="1003" w:hRule="atLeast"/>
        </w:trPr>
        <w:tc>
          <w:tcPr>
            <w:tcW w:w="1361" w:type="dxa"/>
            <w:vAlign w:val="top"/>
            <w:tcBorders>
              <w:bottom w:val="single" w:color="231F20" w:sz="6" w:space="0"/>
              <w:top w:val="single" w:color="231F20" w:sz="2" w:space="0"/>
            </w:tcBorders>
          </w:tcPr>
          <w:p>
            <w:pPr>
              <w:pStyle w:val="TableText"/>
              <w:ind w:left="259"/>
              <w:spacing w:before="15" w:line="194" w:lineRule="exact"/>
              <w:rPr/>
            </w:pPr>
            <w:r>
              <w:rPr>
                <w:color w:val="231F20"/>
                <w:spacing w:val="-3"/>
                <w:position w:val="-1"/>
              </w:rPr>
              <w:t>文化程度</w:t>
            </w:r>
          </w:p>
          <w:p>
            <w:pPr>
              <w:pStyle w:val="TableText"/>
              <w:ind w:left="257"/>
              <w:spacing w:line="157" w:lineRule="auto"/>
              <w:rPr/>
            </w:pPr>
            <w:r>
              <w:rPr>
                <w:color w:val="231F20"/>
                <w:spacing w:val="-3"/>
              </w:rPr>
              <w:t>复发次数</w:t>
            </w:r>
          </w:p>
          <w:p>
            <w:pPr>
              <w:pStyle w:val="TableText"/>
              <w:ind w:left="91"/>
              <w:spacing w:line="157" w:lineRule="auto"/>
              <w:rPr/>
            </w:pPr>
            <w:r>
              <w:rPr>
                <w:color w:val="231F20"/>
                <w:spacing w:val="-4"/>
              </w:rPr>
              <w:t>家庭经济收入</w:t>
            </w:r>
          </w:p>
          <w:p>
            <w:pPr>
              <w:pStyle w:val="TableText"/>
              <w:ind w:left="249"/>
              <w:spacing w:line="157" w:lineRule="auto"/>
              <w:rPr/>
            </w:pPr>
            <w:r>
              <w:rPr>
                <w:color w:val="231F20"/>
                <w:spacing w:val="-1"/>
              </w:rPr>
              <w:t>社会支持</w:t>
            </w:r>
          </w:p>
          <w:p>
            <w:pPr>
              <w:pStyle w:val="TableText"/>
              <w:ind w:left="291"/>
              <w:spacing w:line="175" w:lineRule="exact"/>
              <w:rPr/>
            </w:pPr>
            <w:r>
              <w:rPr>
                <w:color w:val="231F20"/>
                <w:spacing w:val="-9"/>
                <w:position w:val="-1"/>
              </w:rPr>
              <w:t>自我效能</w:t>
            </w:r>
          </w:p>
        </w:tc>
        <w:tc>
          <w:tcPr>
            <w:tcW w:w="511" w:type="dxa"/>
            <w:vAlign w:val="top"/>
            <w:tcBorders>
              <w:bottom w:val="single" w:color="231F20" w:sz="6" w:space="0"/>
              <w:top w:val="single" w:color="231F20" w:sz="2" w:space="0"/>
            </w:tcBorders>
          </w:tcPr>
          <w:p>
            <w:pPr>
              <w:pStyle w:val="TableText"/>
              <w:ind w:left="149"/>
              <w:spacing w:before="36" w:line="157" w:lineRule="auto"/>
              <w:rPr/>
            </w:pPr>
            <w:r>
              <w:rPr>
                <w:color w:val="231F20"/>
                <w:spacing w:val="-1"/>
              </w:rPr>
              <w:t>X1</w:t>
            </w:r>
          </w:p>
          <w:p>
            <w:pPr>
              <w:pStyle w:val="TableText"/>
              <w:ind w:left="149"/>
              <w:spacing w:line="157" w:lineRule="auto"/>
              <w:rPr/>
            </w:pPr>
            <w:r>
              <w:rPr>
                <w:color w:val="231F20"/>
                <w:spacing w:val="-1"/>
              </w:rPr>
              <w:t>X2</w:t>
            </w:r>
          </w:p>
          <w:p>
            <w:pPr>
              <w:pStyle w:val="TableText"/>
              <w:ind w:left="149"/>
              <w:spacing w:line="200" w:lineRule="exact"/>
              <w:rPr/>
            </w:pPr>
            <w:r>
              <w:rPr>
                <w:color w:val="231F20"/>
                <w:spacing w:val="-1"/>
                <w:position w:val="-4"/>
              </w:rPr>
              <w:t>X3</w:t>
            </w:r>
          </w:p>
          <w:p>
            <w:pPr>
              <w:pStyle w:val="TableText"/>
              <w:ind w:left="149"/>
              <w:spacing w:before="2" w:line="157" w:lineRule="auto"/>
              <w:rPr/>
            </w:pPr>
            <w:r>
              <w:rPr>
                <w:color w:val="231F20"/>
                <w:spacing w:val="-1"/>
              </w:rPr>
              <w:t>X4</w:t>
            </w:r>
          </w:p>
          <w:p>
            <w:pPr>
              <w:pStyle w:val="TableText"/>
              <w:ind w:left="149"/>
              <w:spacing w:line="146" w:lineRule="exact"/>
              <w:rPr/>
            </w:pPr>
            <w:r>
              <w:rPr>
                <w:color w:val="231F20"/>
                <w:spacing w:val="-1"/>
                <w:position w:val="-2"/>
              </w:rPr>
              <w:t>X5</w:t>
            </w:r>
          </w:p>
        </w:tc>
        <w:tc>
          <w:tcPr>
            <w:tcW w:w="2739" w:type="dxa"/>
            <w:vAlign w:val="top"/>
            <w:tcBorders>
              <w:bottom w:val="single" w:color="231F20" w:sz="6" w:space="0"/>
              <w:top w:val="single" w:color="231F20" w:sz="2" w:space="0"/>
            </w:tcBorders>
          </w:tcPr>
          <w:p>
            <w:pPr>
              <w:pStyle w:val="TableText"/>
              <w:ind w:left="378"/>
              <w:spacing w:before="6" w:line="158" w:lineRule="auto"/>
              <w:rPr/>
            </w:pPr>
            <w:r>
              <w:rPr>
                <w:color w:val="231F20"/>
                <w:spacing w:val="-12"/>
              </w:rPr>
              <w:t>初中以上=0，初中及以下=1</w:t>
            </w:r>
          </w:p>
          <w:p>
            <w:pPr>
              <w:pStyle w:val="TableText"/>
              <w:ind w:left="731"/>
              <w:spacing w:line="157" w:lineRule="auto"/>
              <w:rPr/>
            </w:pPr>
            <w:r>
              <w:rPr>
                <w:color w:val="231F20"/>
                <w:spacing w:val="-21"/>
              </w:rPr>
              <w:t>&lt;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21"/>
              </w:rPr>
              <w:t>2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21"/>
              </w:rPr>
              <w:t>次=0，≥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1"/>
              </w:rPr>
              <w:t>2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21"/>
              </w:rPr>
              <w:t>次=1</w:t>
            </w:r>
          </w:p>
          <w:p>
            <w:pPr>
              <w:pStyle w:val="TableText"/>
              <w:ind w:left="278"/>
              <w:spacing w:line="157" w:lineRule="auto"/>
              <w:rPr/>
            </w:pPr>
            <w:r>
              <w:rPr>
                <w:color w:val="231F20"/>
                <w:spacing w:val="-14"/>
              </w:rPr>
              <w:t>≥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14"/>
              </w:rPr>
              <w:t>5 万元/年=0</w:t>
            </w:r>
            <w:r>
              <w:rPr>
                <w:color w:val="231F20"/>
                <w:spacing w:val="-15"/>
              </w:rPr>
              <w:t>，＜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4"/>
              </w:rPr>
              <w:t>5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4"/>
              </w:rPr>
              <w:t>万元/年=1</w:t>
            </w:r>
          </w:p>
          <w:p>
            <w:pPr>
              <w:pStyle w:val="TableText"/>
              <w:ind w:left="858"/>
              <w:spacing w:line="157" w:lineRule="auto"/>
              <w:rPr/>
            </w:pPr>
            <w:r>
              <w:rPr>
                <w:color w:val="231F20"/>
                <w:spacing w:val="-21"/>
              </w:rPr>
              <w:t>良好=0，低下=1</w:t>
            </w:r>
          </w:p>
          <w:p>
            <w:pPr>
              <w:pStyle w:val="TableText"/>
              <w:ind w:left="858"/>
              <w:spacing w:line="175" w:lineRule="exact"/>
              <w:rPr/>
            </w:pPr>
            <w:r>
              <w:rPr>
                <w:color w:val="231F20"/>
                <w:spacing w:val="-21"/>
                <w:position w:val="-1"/>
              </w:rPr>
              <w:t>良好=0，低下=1</w:t>
            </w:r>
          </w:p>
        </w:tc>
      </w:tr>
      <w:tr>
        <w:trPr>
          <w:trHeight w:val="324" w:hRule="atLeast"/>
        </w:trPr>
        <w:tc>
          <w:tcPr>
            <w:tcW w:w="4611" w:type="dxa"/>
            <w:vAlign w:val="top"/>
            <w:gridSpan w:val="3"/>
            <w:tcBorders>
              <w:bottom w:val="single" w:color="231F20" w:sz="6" w:space="0"/>
              <w:top w:val="single" w:color="231F20" w:sz="6" w:space="0"/>
            </w:tcBorders>
          </w:tcPr>
          <w:p>
            <w:pPr>
              <w:ind w:left="10"/>
              <w:spacing w:before="48" w:line="233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1"/>
              </w:rPr>
              <w:t>表3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14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</w:rPr>
              <w:t>APID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1"/>
              </w:rPr>
              <w:t>患者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</w:rPr>
              <w:t>CD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1"/>
              </w:rPr>
              <w:t>-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</w:rPr>
              <w:t>RISC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1"/>
              </w:rPr>
              <w:t>评分的多元线性回归分析</w:t>
            </w:r>
          </w:p>
        </w:tc>
      </w:tr>
      <w:tr>
        <w:trPr>
          <w:trHeight w:val="187" w:hRule="atLeast"/>
        </w:trPr>
        <w:tc>
          <w:tcPr>
            <w:tcW w:w="1361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534"/>
              <w:spacing w:before="3" w:line="173" w:lineRule="exact"/>
              <w:rPr/>
            </w:pPr>
            <w:r>
              <w:rPr>
                <w:color w:val="231F20"/>
                <w:spacing w:val="-14"/>
                <w:position w:val="-1"/>
              </w:rPr>
              <w:t>因素</w:t>
            </w:r>
          </w:p>
        </w:tc>
        <w:tc>
          <w:tcPr>
            <w:tcW w:w="511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ind w:left="188"/>
              <w:spacing w:before="43" w:line="133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position w:val="-2"/>
              </w:rPr>
              <w:t>B</w:t>
            </w:r>
          </w:p>
        </w:tc>
        <w:tc>
          <w:tcPr>
            <w:tcW w:w="2739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136"/>
              <w:spacing w:line="176" w:lineRule="exact"/>
              <w:rPr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8"/>
                <w:w w:val="96"/>
                <w:position w:val="-2"/>
              </w:rPr>
              <w:t>S.E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  <w:position w:val="-2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  <w:w w:val="96"/>
                <w:position w:val="-2"/>
              </w:rPr>
              <w:t>t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-2"/>
              </w:rPr>
              <w:t xml:space="preserve">          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  <w:w w:val="96"/>
                <w:position w:val="-2"/>
              </w:rPr>
              <w:t>P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-2"/>
              </w:rPr>
              <w:t xml:space="preserve">         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  <w:w w:val="96"/>
                <w:position w:val="-2"/>
              </w:rPr>
              <w:t>R</w:t>
            </w:r>
            <w:r>
              <w:rPr>
                <w:sz w:val="10"/>
                <w:szCs w:val="10"/>
                <w:color w:val="231F20"/>
                <w:spacing w:val="-8"/>
                <w:w w:val="96"/>
                <w:position w:val="6"/>
              </w:rPr>
              <w:t>2</w:t>
            </w:r>
            <w:r>
              <w:rPr>
                <w:sz w:val="10"/>
                <w:szCs w:val="10"/>
                <w:color w:val="231F20"/>
                <w:spacing w:val="4"/>
                <w:position w:val="6"/>
              </w:rPr>
              <w:t xml:space="preserve">       </w:t>
            </w:r>
            <w:r>
              <w:rPr>
                <w:color w:val="231F20"/>
                <w:spacing w:val="-8"/>
                <w:w w:val="96"/>
                <w:position w:val="-2"/>
              </w:rPr>
              <w:t>调整</w:t>
            </w:r>
            <w:r>
              <w:rPr>
                <w:rFonts w:ascii="Times New Roman" w:hAnsi="Times New Roman" w:eastAsia="Times New Roman" w:cs="Times New Roman"/>
                <w:color w:val="231F20"/>
                <w:spacing w:val="-19"/>
                <w:position w:val="-2"/>
              </w:rPr>
              <w:t>R</w:t>
            </w:r>
            <w:r>
              <w:rPr>
                <w:sz w:val="10"/>
                <w:szCs w:val="10"/>
                <w:color w:val="231F20"/>
                <w:position w:val="6"/>
              </w:rPr>
              <w:t>2</w:t>
            </w:r>
          </w:p>
        </w:tc>
      </w:tr>
      <w:tr>
        <w:trPr>
          <w:trHeight w:val="1429" w:hRule="atLeast"/>
        </w:trPr>
        <w:tc>
          <w:tcPr>
            <w:tcW w:w="1361" w:type="dxa"/>
            <w:vAlign w:val="top"/>
            <w:tcBorders>
              <w:bottom w:val="single" w:color="231F20" w:sz="6" w:space="0"/>
              <w:top w:val="single" w:color="231F20" w:sz="2" w:space="0"/>
            </w:tcBorders>
          </w:tcPr>
          <w:p>
            <w:pPr>
              <w:pStyle w:val="TableText"/>
              <w:ind w:left="441"/>
              <w:spacing w:before="13" w:line="158" w:lineRule="auto"/>
              <w:rPr/>
            </w:pPr>
            <w:r>
              <w:rPr>
                <w:color w:val="231F20"/>
                <w:spacing w:val="-6"/>
                <w:w w:val="95"/>
              </w:rPr>
              <w:t>常数项</w:t>
            </w:r>
          </w:p>
          <w:p>
            <w:pPr>
              <w:pStyle w:val="TableText"/>
              <w:spacing w:line="157" w:lineRule="auto"/>
              <w:jc w:val="right"/>
              <w:rPr/>
            </w:pPr>
            <w:r>
              <w:rPr>
                <w:color w:val="231F20"/>
                <w:spacing w:val="-6"/>
                <w:w w:val="83"/>
              </w:rPr>
              <w:t>初</w:t>
            </w:r>
            <w:r>
              <w:rPr>
                <w:color w:val="231F20"/>
                <w:spacing w:val="-5"/>
                <w:w w:val="83"/>
              </w:rPr>
              <w:t>中及以下文化程</w:t>
            </w:r>
            <w:r>
              <w:rPr>
                <w:color w:val="231F20"/>
                <w:spacing w:val="-4"/>
                <w:w w:val="83"/>
              </w:rPr>
              <w:t>度</w:t>
            </w:r>
          </w:p>
          <w:p>
            <w:pPr>
              <w:pStyle w:val="TableText"/>
              <w:ind w:left="28" w:right="107" w:firstLine="122"/>
              <w:spacing w:before="3" w:line="160" w:lineRule="auto"/>
              <w:jc w:val="both"/>
              <w:rPr/>
            </w:pPr>
            <w:r>
              <w:rPr>
                <w:color w:val="231F20"/>
                <w:spacing w:val="-10"/>
              </w:rPr>
              <w:t>≥2次复发次数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8"/>
              </w:rPr>
              <w:t>家庭经济收入＜5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  <w:w w:val="92"/>
              </w:rPr>
              <w:t>万元/年</w:t>
            </w:r>
          </w:p>
          <w:p>
            <w:pPr>
              <w:pStyle w:val="TableText"/>
              <w:ind w:left="186"/>
              <w:spacing w:line="157" w:lineRule="auto"/>
              <w:rPr/>
            </w:pPr>
            <w:r>
              <w:rPr>
                <w:color w:val="231F20"/>
                <w:spacing w:val="-3"/>
                <w:w w:val="93"/>
              </w:rPr>
              <w:t>社会支持低下</w:t>
            </w:r>
          </w:p>
          <w:p>
            <w:pPr>
              <w:pStyle w:val="TableText"/>
              <w:ind w:left="226"/>
              <w:spacing w:line="175" w:lineRule="exact"/>
              <w:rPr/>
            </w:pPr>
            <w:r>
              <w:rPr>
                <w:color w:val="231F20"/>
                <w:spacing w:val="-10"/>
                <w:w w:val="94"/>
                <w:position w:val="-1"/>
              </w:rPr>
              <w:t>自我效能低下</w:t>
            </w:r>
          </w:p>
        </w:tc>
        <w:tc>
          <w:tcPr>
            <w:tcW w:w="511" w:type="dxa"/>
            <w:vAlign w:val="top"/>
            <w:tcBorders>
              <w:bottom w:val="single" w:color="231F20" w:sz="6" w:space="0"/>
              <w:top w:val="single" w:color="231F20" w:sz="2" w:space="0"/>
            </w:tcBorders>
          </w:tcPr>
          <w:p>
            <w:pPr>
              <w:pStyle w:val="TableText"/>
              <w:ind w:left="33"/>
              <w:spacing w:before="13" w:line="158" w:lineRule="auto"/>
              <w:rPr/>
            </w:pPr>
            <w:r>
              <w:rPr>
                <w:color w:val="231F20"/>
                <w:spacing w:val="-20"/>
                <w:w w:val="99"/>
              </w:rPr>
              <w:t>26.557</w:t>
            </w:r>
          </w:p>
          <w:p>
            <w:pPr>
              <w:pStyle w:val="TableText"/>
              <w:ind w:left="75"/>
              <w:spacing w:line="157" w:lineRule="auto"/>
              <w:rPr/>
            </w:pPr>
            <w:r>
              <w:rPr>
                <w:color w:val="231F20"/>
                <w:spacing w:val="-16"/>
                <w:w w:val="95"/>
              </w:rPr>
              <w:t>0.667</w:t>
            </w:r>
          </w:p>
          <w:p>
            <w:pPr>
              <w:pStyle w:val="TableText"/>
              <w:ind w:left="75"/>
              <w:spacing w:line="214" w:lineRule="auto"/>
              <w:rPr/>
            </w:pPr>
            <w:r>
              <w:rPr>
                <w:color w:val="231F20"/>
                <w:spacing w:val="-14"/>
                <w:w w:val="93"/>
              </w:rPr>
              <w:t>0.749</w:t>
            </w:r>
          </w:p>
          <w:p>
            <w:pPr>
              <w:pStyle w:val="TableText"/>
              <w:ind w:left="76"/>
              <w:spacing w:before="35" w:line="214" w:lineRule="auto"/>
              <w:rPr/>
            </w:pPr>
            <w:r>
              <w:rPr>
                <w:color w:val="231F20"/>
                <w:spacing w:val="-17"/>
                <w:w w:val="97"/>
              </w:rPr>
              <w:t>0.827</w:t>
            </w:r>
          </w:p>
          <w:p>
            <w:pPr>
              <w:pStyle w:val="TableText"/>
              <w:ind w:left="76"/>
              <w:spacing w:before="34" w:line="158" w:lineRule="auto"/>
              <w:rPr/>
            </w:pPr>
            <w:r>
              <w:rPr>
                <w:color w:val="231F20"/>
                <w:spacing w:val="-17"/>
                <w:w w:val="97"/>
              </w:rPr>
              <w:t>0.836</w:t>
            </w:r>
          </w:p>
          <w:p>
            <w:pPr>
              <w:pStyle w:val="TableText"/>
              <w:ind w:left="76"/>
              <w:spacing w:line="175" w:lineRule="exact"/>
              <w:rPr/>
            </w:pPr>
            <w:r>
              <w:rPr>
                <w:color w:val="231F20"/>
                <w:spacing w:val="-19"/>
                <w:w w:val="99"/>
                <w:position w:val="-2"/>
              </w:rPr>
              <w:t>0.857</w:t>
            </w:r>
          </w:p>
        </w:tc>
        <w:tc>
          <w:tcPr>
            <w:tcW w:w="2739" w:type="dxa"/>
            <w:vAlign w:val="top"/>
            <w:tcBorders>
              <w:bottom w:val="single" w:color="231F20" w:sz="6" w:space="0"/>
              <w:top w:val="single" w:color="231F20" w:sz="2" w:space="0"/>
            </w:tcBorders>
          </w:tcPr>
          <w:p>
            <w:pPr>
              <w:pStyle w:val="TableText"/>
              <w:ind w:left="70"/>
              <w:spacing w:before="13" w:line="158" w:lineRule="auto"/>
              <w:rPr/>
            </w:pPr>
            <w:r>
              <w:rPr>
                <w:color w:val="231F20"/>
                <w:spacing w:val="-18"/>
              </w:rPr>
              <w:t>2.657    8.162   ＜0.001 </w:t>
            </w:r>
            <w:r>
              <w:rPr>
                <w:color w:val="231F20"/>
                <w:spacing w:val="-19"/>
              </w:rPr>
              <w:t xml:space="preserve">   0.059     0.045</w:t>
            </w:r>
          </w:p>
          <w:p>
            <w:pPr>
              <w:pStyle w:val="TableText"/>
              <w:ind w:left="75"/>
              <w:spacing w:line="157" w:lineRule="auto"/>
              <w:rPr/>
            </w:pPr>
            <w:r>
              <w:rPr>
                <w:color w:val="231F20"/>
                <w:spacing w:val="-18"/>
              </w:rPr>
              <w:t>0.203    3.957   ＜0.001</w:t>
            </w:r>
          </w:p>
          <w:p>
            <w:pPr>
              <w:pStyle w:val="TableText"/>
              <w:ind w:left="75"/>
              <w:spacing w:line="214" w:lineRule="auto"/>
              <w:rPr/>
            </w:pPr>
            <w:r>
              <w:rPr>
                <w:color w:val="231F20"/>
                <w:spacing w:val="-18"/>
              </w:rPr>
              <w:t>0.185    5.245   ＜0.001</w:t>
            </w:r>
          </w:p>
          <w:p>
            <w:pPr>
              <w:pStyle w:val="TableText"/>
              <w:ind w:left="75"/>
              <w:spacing w:before="35" w:line="214" w:lineRule="auto"/>
              <w:rPr/>
            </w:pPr>
            <w:r>
              <w:rPr>
                <w:color w:val="231F20"/>
                <w:spacing w:val="-18"/>
              </w:rPr>
              <w:t>0.197    6.033   ＜0.001</w:t>
            </w:r>
          </w:p>
          <w:p>
            <w:pPr>
              <w:pStyle w:val="TableText"/>
              <w:ind w:left="75"/>
              <w:spacing w:before="34" w:line="158" w:lineRule="auto"/>
              <w:rPr/>
            </w:pPr>
            <w:r>
              <w:rPr>
                <w:color w:val="231F20"/>
                <w:spacing w:val="-20"/>
              </w:rPr>
              <w:t>0.129   41.998</w:t>
            </w:r>
            <w:r>
              <w:rPr>
                <w:color w:val="231F20"/>
                <w:spacing w:val="57"/>
                <w:w w:val="101"/>
              </w:rPr>
              <w:t xml:space="preserve"> </w:t>
            </w:r>
            <w:r>
              <w:rPr>
                <w:color w:val="231F20"/>
                <w:spacing w:val="-20"/>
              </w:rPr>
              <w:t>＜0.001</w:t>
            </w:r>
          </w:p>
          <w:p>
            <w:pPr>
              <w:pStyle w:val="TableText"/>
              <w:ind w:left="75"/>
              <w:spacing w:line="175" w:lineRule="exact"/>
              <w:rPr/>
            </w:pPr>
            <w:r>
              <w:rPr>
                <w:color w:val="231F20"/>
                <w:spacing w:val="-20"/>
                <w:position w:val="-2"/>
              </w:rPr>
              <w:t>0.213</w:t>
            </w:r>
            <w:r>
              <w:rPr>
                <w:color w:val="231F20"/>
                <w:spacing w:val="18"/>
                <w:w w:val="101"/>
                <w:position w:val="-2"/>
              </w:rPr>
              <w:t xml:space="preserve">  </w:t>
            </w:r>
            <w:r>
              <w:rPr>
                <w:color w:val="231F20"/>
                <w:spacing w:val="-20"/>
                <w:position w:val="-2"/>
              </w:rPr>
              <w:t>16.188  ＜0.001</w:t>
            </w:r>
          </w:p>
        </w:tc>
      </w:tr>
    </w:tbl>
    <w:p>
      <w:pPr>
        <w:ind w:left="4"/>
        <w:spacing w:before="49" w:line="24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1"/>
        </w:rPr>
        <w:t>3</w:t>
      </w:r>
      <w:r>
        <w:rPr>
          <w:rFonts w:ascii="SimHei" w:hAnsi="SimHei" w:eastAsia="SimHei" w:cs="SimHei"/>
          <w:sz w:val="21"/>
          <w:szCs w:val="21"/>
          <w:color w:val="231F20"/>
          <w:spacing w:val="1"/>
        </w:rPr>
        <w:t xml:space="preserve">  </w:t>
      </w:r>
      <w:r>
        <w:rPr>
          <w:rFonts w:ascii="SimHei" w:hAnsi="SimHei" w:eastAsia="SimHei" w:cs="SimHei"/>
          <w:sz w:val="21"/>
          <w:szCs w:val="21"/>
          <w:color w:val="231F20"/>
          <w:spacing w:val="1"/>
        </w:rPr>
        <w:t>讨</w:t>
      </w:r>
      <w:r>
        <w:rPr>
          <w:rFonts w:ascii="SimHei" w:hAnsi="SimHei" w:eastAsia="SimHei" w:cs="SimHei"/>
          <w:sz w:val="21"/>
          <w:szCs w:val="21"/>
          <w:color w:val="231F20"/>
          <w:spacing w:val="5"/>
        </w:rPr>
        <w:t xml:space="preserve">  </w:t>
      </w:r>
      <w:r>
        <w:rPr>
          <w:rFonts w:ascii="SimHei" w:hAnsi="SimHei" w:eastAsia="SimHei" w:cs="SimHei"/>
          <w:sz w:val="21"/>
          <w:szCs w:val="21"/>
          <w:color w:val="231F20"/>
          <w:spacing w:val="1"/>
        </w:rPr>
        <w:t>论</w:t>
      </w:r>
    </w:p>
    <w:p>
      <w:pPr>
        <w:pStyle w:val="BodyText"/>
        <w:ind w:left="1" w:right="32" w:firstLine="455"/>
        <w:spacing w:before="21" w:line="195" w:lineRule="auto"/>
        <w:jc w:val="both"/>
        <w:rPr/>
      </w:pPr>
      <w:r>
        <w:rPr>
          <w:color w:val="231F20"/>
        </w:rPr>
        <w:t>APID</w:t>
      </w:r>
      <w:r>
        <w:rPr>
          <w:color w:val="231F20"/>
          <w:spacing w:val="18"/>
        </w:rPr>
        <w:t>病情反复发作，主要是因女性内生殖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2"/>
        </w:rPr>
        <w:t>器及周围结缔组织及盆腹腔膜出现炎症造成的， </w:t>
      </w:r>
      <w:r>
        <w:rPr>
          <w:color w:val="231F20"/>
          <w:spacing w:val="9"/>
        </w:rPr>
        <w:t>若患者病情未得到控制，会出现输卵管积水或化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"/>
        </w:rPr>
        <w:t>脓，需要将输卵管或卵巢切除，对生育能力造成影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响，若患者存在强烈的生育需求，会因该病对心理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6"/>
        </w:rPr>
        <w:t>状态造成严重影响。若</w:t>
      </w:r>
      <w:r>
        <w:rPr>
          <w:color w:val="231F20"/>
        </w:rPr>
        <w:t>APID</w:t>
      </w:r>
      <w:r>
        <w:rPr>
          <w:color w:val="231F20"/>
          <w:spacing w:val="6"/>
        </w:rPr>
        <w:t>患者心理障碍较为严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"/>
        </w:rPr>
        <w:t>重，会减弱细胞免疫功能，对机体免疫功能造成影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响，降低其免疫能力，加重炎症反应，使患者的精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5"/>
        </w:rPr>
        <w:t>神负担和经济负担增加，严重影响其病情恢复</w:t>
      </w:r>
      <w:r>
        <w:rPr>
          <w:sz w:val="12"/>
          <w:szCs w:val="12"/>
          <w:color w:val="231F20"/>
          <w:spacing w:val="5"/>
          <w:position w:val="9"/>
        </w:rPr>
        <w:t>[5]</w:t>
      </w:r>
      <w:r>
        <w:rPr>
          <w:color w:val="231F20"/>
          <w:spacing w:val="5"/>
        </w:rPr>
        <w:t>。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9"/>
        </w:rPr>
        <w:t>因此，对</w:t>
      </w:r>
      <w:r>
        <w:rPr>
          <w:color w:val="231F20"/>
        </w:rPr>
        <w:t>APID</w:t>
      </w:r>
      <w:r>
        <w:rPr>
          <w:color w:val="231F20"/>
          <w:spacing w:val="9"/>
        </w:rPr>
        <w:t>患者心理弹性现状进行调查分析，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9"/>
        </w:rPr>
        <w:t>对其影响因素进行明确，实施针对性的干预对策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对患者心理状况的改善具有重要的临床价值。</w:t>
      </w:r>
    </w:p>
    <w:p>
      <w:pPr>
        <w:pStyle w:val="BodyText"/>
        <w:ind w:left="1" w:firstLine="455"/>
        <w:spacing w:before="12" w:line="193" w:lineRule="auto"/>
        <w:jc w:val="both"/>
        <w:rPr/>
      </w:pPr>
      <w:r>
        <w:rPr>
          <w:color w:val="231F20"/>
          <w:spacing w:val="-6"/>
        </w:rPr>
        <w:t>本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研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究 中，822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例APID患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者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平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均CD</w:t>
      </w:r>
      <w:r>
        <w:rPr>
          <w:color w:val="231F20"/>
          <w:spacing w:val="-7"/>
        </w:rPr>
        <w:t>-RISC评</w:t>
      </w:r>
      <w:r>
        <w:rPr>
          <w:color w:val="231F20"/>
        </w:rPr>
        <w:t xml:space="preserve">   </w:t>
      </w:r>
      <w:r>
        <w:rPr>
          <w:color w:val="231F20"/>
          <w:spacing w:val="-8"/>
        </w:rPr>
        <w:t>分为（57.95±6.34）分，其中坚韧性（30.25±5.29）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0"/>
        </w:rPr>
        <w:t>分，力量性（19.52±4.33）分，乐观性（8.18±</w:t>
      </w:r>
      <w:r>
        <w:rPr>
          <w:color w:val="231F20"/>
          <w:spacing w:val="-11"/>
        </w:rPr>
        <w:t>2.04）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分，处于低等水平，说明</w:t>
      </w:r>
      <w:r>
        <w:rPr>
          <w:color w:val="231F20"/>
        </w:rPr>
        <w:t>APID</w:t>
      </w:r>
      <w:r>
        <w:rPr>
          <w:color w:val="231F20"/>
          <w:spacing w:val="6"/>
        </w:rPr>
        <w:t>患者的心理弹性较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9"/>
        </w:rPr>
        <w:t>弱，患者担心因疾病会对生育、自身健康造成影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-7"/>
        </w:rPr>
        <w:t>响，出现焦虑、紧张等不良情绪，使心理弹性降低。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本研究中Pearson相关性分析显示，社会</w:t>
      </w:r>
      <w:r>
        <w:rPr>
          <w:color w:val="231F20"/>
          <w:spacing w:val="-8"/>
        </w:rPr>
        <w:t>支持、自我</w:t>
      </w:r>
      <w:r>
        <w:rPr>
          <w:color w:val="231F20"/>
        </w:rPr>
        <w:t xml:space="preserve">   </w:t>
      </w:r>
      <w:r>
        <w:rPr>
          <w:color w:val="231F20"/>
          <w:spacing w:val="6"/>
        </w:rPr>
        <w:t>效能与</w:t>
      </w:r>
      <w:r>
        <w:rPr>
          <w:color w:val="231F20"/>
        </w:rPr>
        <w:t>APID</w:t>
      </w:r>
      <w:r>
        <w:rPr>
          <w:color w:val="231F20"/>
          <w:spacing w:val="6"/>
        </w:rPr>
        <w:t>患者</w:t>
      </w:r>
      <w:r>
        <w:rPr>
          <w:color w:val="231F20"/>
        </w:rPr>
        <w:t>CD</w:t>
      </w:r>
      <w:r>
        <w:rPr>
          <w:color w:val="231F20"/>
          <w:spacing w:val="6"/>
        </w:rPr>
        <w:t>-</w:t>
      </w:r>
      <w:r>
        <w:rPr>
          <w:color w:val="231F20"/>
        </w:rPr>
        <w:t>RISC</w:t>
      </w:r>
      <w:r>
        <w:rPr>
          <w:color w:val="231F20"/>
          <w:spacing w:val="6"/>
        </w:rPr>
        <w:t>评分呈正相关，说明社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-1"/>
        </w:rPr>
        <w:t>会支持、自我效与患者心理弹性关系密切，因此应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9"/>
        </w:rPr>
        <w:t>给予患者社会支持与心理疏导，提高患者自我效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-1"/>
        </w:rPr>
        <w:t>能，提高心理弹性。通过多元线性回归分析结果发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-4"/>
        </w:rPr>
        <w:t>现，APID患者心理弹性受到较多因素的影响，主要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-1"/>
        </w:rPr>
        <w:t>包括：①初中及以下文化程度：文化程度与健康知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-4"/>
        </w:rPr>
        <w:t>识、生活方式存在较大联系，若APID患者文化程度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-1"/>
        </w:rPr>
        <w:t>较高，其疾病和其他注意事项的认知就高，能够积</w:t>
      </w:r>
      <w:r>
        <w:rPr>
          <w:color w:val="231F20"/>
          <w:spacing w:val="4"/>
        </w:rPr>
        <w:t xml:space="preserve">   </w:t>
      </w:r>
      <w:r>
        <w:rPr>
          <w:color w:val="231F20"/>
          <w:spacing w:val="-1"/>
        </w:rPr>
        <w:t>极与医护沟通，促进其疾病知识提高；若患者文化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-1"/>
        </w:rPr>
        <w:t>程度较低，其对治疗及疾病的认知度也较低，加重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-7"/>
        </w:rPr>
        <w:t>其焦虑、恐惧情绪，降低其心理弹性，配合度较低，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1"/>
        </w:rPr>
        <w:t>难以保证疾病恢复效果</w:t>
      </w:r>
      <w:r>
        <w:rPr>
          <w:sz w:val="12"/>
          <w:szCs w:val="12"/>
          <w:color w:val="231F20"/>
          <w:spacing w:val="11"/>
          <w:position w:val="9"/>
        </w:rPr>
        <w:t>[6]</w:t>
      </w:r>
      <w:r>
        <w:rPr>
          <w:color w:val="231F20"/>
          <w:spacing w:val="11"/>
        </w:rPr>
        <w:t>。针对文化程度较低患</w:t>
      </w:r>
      <w:r>
        <w:rPr>
          <w:color w:val="231F20"/>
        </w:rPr>
        <w:t xml:space="preserve">   </w:t>
      </w:r>
      <w:r>
        <w:rPr>
          <w:color w:val="231F20"/>
          <w:spacing w:val="2"/>
        </w:rPr>
        <w:t>者，加强健康宣教力度，首先制作疾病健康手册，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发放给患者，并在微信等交流平台上，定时发送简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9"/>
        </w:rPr>
        <w:t>单易懂的图片或视频类的疾病知识；患者在就医</w:t>
      </w:r>
    </w:p>
    <w:p>
      <w:pPr>
        <w:spacing w:line="193" w:lineRule="auto"/>
        <w:sectPr>
          <w:type w:val="continuous"/>
          <w:pgSz w:w="11906" w:h="16838"/>
          <w:pgMar w:top="400" w:right="1026" w:bottom="0" w:left="407" w:header="0" w:footer="0" w:gutter="0"/>
          <w:cols w:equalWidth="0" w:num="2">
            <w:col w:w="5648" w:space="100"/>
            <w:col w:w="4723" w:space="0"/>
          </w:cols>
        </w:sectPr>
        <w:rPr/>
      </w:pPr>
    </w:p>
    <w:p>
      <w:pPr>
        <w:spacing w:line="175" w:lineRule="exact"/>
        <w:rPr/>
      </w:pPr>
      <w:r/>
    </w:p>
    <w:p>
      <w:pPr>
        <w:spacing w:line="175" w:lineRule="exact"/>
        <w:sectPr>
          <w:headerReference w:type="default" r:id="rId3"/>
          <w:pgSz w:w="11906" w:h="16838"/>
          <w:pgMar w:top="1528" w:right="1043" w:bottom="0" w:left="407" w:header="1205" w:footer="0" w:gutter="0"/>
          <w:cols w:equalWidth="0" w:num="1">
            <w:col w:w="10455" w:space="0"/>
          </w:cols>
        </w:sectPr>
        <w:rPr/>
      </w:pPr>
    </w:p>
    <w:p>
      <w:pPr>
        <w:pStyle w:val="BodyText"/>
        <w:ind w:left="720" w:right="252" w:firstLine="12"/>
        <w:spacing w:before="28" w:line="196" w:lineRule="auto"/>
        <w:jc w:val="both"/>
        <w:rPr/>
      </w:pPr>
      <w:r>
        <w:rPr>
          <w:color w:val="231F20"/>
          <w:spacing w:val="-2"/>
        </w:rPr>
        <w:t>时，医护人员耐心解答患者疑问，减轻其因疾病未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9"/>
        </w:rPr>
        <w:t>知感出现的心理压力，从而使患者的心理弹性提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4"/>
        </w:rPr>
        <w:t>高</w:t>
      </w:r>
      <w:r>
        <w:rPr>
          <w:sz w:val="12"/>
          <w:szCs w:val="12"/>
          <w:color w:val="231F20"/>
          <w:spacing w:val="4"/>
          <w:position w:val="9"/>
        </w:rPr>
        <w:t>[7]</w:t>
      </w:r>
      <w:r>
        <w:rPr>
          <w:color w:val="231F20"/>
          <w:spacing w:val="4"/>
        </w:rPr>
        <w:t>。②≥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4"/>
        </w:rPr>
        <w:t>2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次复发次数：若</w:t>
      </w:r>
      <w:r>
        <w:rPr>
          <w:color w:val="231F20"/>
        </w:rPr>
        <w:t>APID</w:t>
      </w:r>
      <w:r>
        <w:rPr>
          <w:color w:val="231F20"/>
          <w:spacing w:val="4"/>
        </w:rPr>
        <w:t>复发次数越多，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会增加患者的精神负担，降低心理弹性。针对复发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次数较多的患者，应提高患者疾病重视程度，耐心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解答患者疑问，指导患者家属给予患者支持，帮助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患者建立治疗自信心，积极配合治疗，提升患者的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3"/>
        </w:rPr>
        <w:t>心理弹性水平。③家庭经济收入＜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5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万元/年</w:t>
      </w:r>
      <w:r>
        <w:rPr>
          <w:color w:val="231F20"/>
          <w:spacing w:val="2"/>
        </w:rPr>
        <w:t>：当</w:t>
      </w:r>
      <w:r>
        <w:rPr>
          <w:color w:val="231F20"/>
        </w:rPr>
        <w:t xml:space="preserve">  </w:t>
      </w:r>
      <w:r>
        <w:rPr>
          <w:color w:val="231F20"/>
        </w:rPr>
        <w:t>APID</w:t>
      </w:r>
      <w:r>
        <w:rPr>
          <w:color w:val="231F20"/>
          <w:spacing w:val="6"/>
        </w:rPr>
        <w:t>患者家庭经济收入较低时，其面临的生活压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"/>
        </w:rPr>
        <w:t>力、心理压力也会更大，由于APID容易反复发作，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会使整体治疗费用增加，使患者及其家庭的经济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负担加重，在面对不良事件及医疗负担时，其回弹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2"/>
        </w:rPr>
        <w:t>能力较低，从而降低患者的心理弹性水平</w:t>
      </w:r>
      <w:r>
        <w:rPr>
          <w:sz w:val="12"/>
          <w:szCs w:val="12"/>
          <w:color w:val="231F20"/>
          <w:spacing w:val="2"/>
          <w:position w:val="9"/>
        </w:rPr>
        <w:t>[8]</w:t>
      </w:r>
      <w:r>
        <w:rPr>
          <w:color w:val="231F20"/>
          <w:spacing w:val="1"/>
        </w:rPr>
        <w:t>。针对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家庭经济收入较低患者，关注其医疗费用状况，积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"/>
        </w:rPr>
        <w:t>极为患者争取经济政策，给予患者帮助，若情况较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为严重，可向慈善机构寻求帮助，并向医院、民政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"/>
        </w:rPr>
        <w:t>部门报告，争取医疗费用减免支持，防止因经济负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9"/>
        </w:rPr>
        <w:t>担对患者造成心理弹性降低情况。④社会支持低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2"/>
        </w:rPr>
        <w:t>下：社会支持度低下的患者接受的健康知识较差，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缺少对APID的认知，对自身健康重视程度较低，当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确诊</w:t>
      </w:r>
      <w:r>
        <w:rPr>
          <w:color w:val="231F20"/>
        </w:rPr>
        <w:t>APID</w:t>
      </w:r>
      <w:r>
        <w:rPr>
          <w:color w:val="231F20"/>
          <w:spacing w:val="6"/>
        </w:rPr>
        <w:t>后，患者会出现急躁不安、不知所措的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"/>
        </w:rPr>
        <w:t>情况，对其心理弹性造成严重影响。针对社会支持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9"/>
        </w:rPr>
        <w:t>度低下的患者进行重点关注，并加大疾病宣传力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度，使患者科学防病防治理念扩大，在保证治疗效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2"/>
        </w:rPr>
        <w:t>果的同时，尽量选择费用较低的治疗方法或药物，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缓解患者经济负担，必要时给予患者物质支持，明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显提高其心理弹性。⑤自我效能低下：自我效能低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9"/>
        </w:rPr>
        <w:t>下的患者容易出现负性情绪，对疾病治疗缺乏信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心，担心疾病反复发作，容易降低心理弹性。因此，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2"/>
        </w:rPr>
        <w:t>对于自我效能低下的患者应积极进行心理疏导，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" w:right="15" w:firstLine="5"/>
        <w:spacing w:before="45" w:line="195" w:lineRule="auto"/>
        <w:rPr/>
      </w:pPr>
      <w:r>
        <w:rPr>
          <w:color w:val="231F20"/>
          <w:spacing w:val="-2"/>
        </w:rPr>
        <w:t>以音乐疗法、呼吸疗法、正念减压疗法等帮助患者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2"/>
        </w:rPr>
        <w:t>降低心理压力，缓解负面情绪，提高心理弹性。</w:t>
      </w:r>
    </w:p>
    <w:p>
      <w:pPr>
        <w:pStyle w:val="BodyText"/>
        <w:ind w:left="2" w:right="30" w:firstLine="451"/>
        <w:spacing w:before="6" w:line="198" w:lineRule="auto"/>
        <w:jc w:val="both"/>
        <w:rPr/>
      </w:pPr>
      <w:r>
        <w:rPr>
          <w:color w:val="231F20"/>
          <w:spacing w:val="8"/>
        </w:rPr>
        <w:t>综上所述，</w:t>
      </w:r>
      <w:r>
        <w:rPr>
          <w:color w:val="231F20"/>
        </w:rPr>
        <w:t>APID</w:t>
      </w:r>
      <w:r>
        <w:rPr>
          <w:color w:val="231F20"/>
          <w:spacing w:val="8"/>
        </w:rPr>
        <w:t>患者的心理弹性水平较低，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与社会支持、自我效能呈正比，与文化程度、居住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0"/>
        </w:rPr>
        <w:t>地、复发次数、家庭经济收入、社会支持低下、自我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9"/>
        </w:rPr>
        <w:t>效能低下等因素有关，应及时采取专业的干预对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2"/>
        </w:rPr>
        <w:t>策，促进其心理弹性水平提高。</w:t>
      </w:r>
    </w:p>
    <w:p>
      <w:pPr>
        <w:ind w:left="6"/>
        <w:spacing w:before="263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2"/>
        </w:rPr>
        <w:t>参考文献</w:t>
      </w:r>
    </w:p>
    <w:p>
      <w:pPr>
        <w:pStyle w:val="BodyText"/>
        <w:ind w:left="7" w:right="96" w:firstLine="8"/>
        <w:spacing w:before="21" w:line="19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  <w:spacing w:val="3"/>
        </w:rPr>
        <w:t>[</w:t>
      </w:r>
      <w:r>
        <w:rPr>
          <w:color w:val="231F20"/>
          <w:spacing w:val="3"/>
        </w:rPr>
        <w:t>1</w:t>
      </w:r>
      <w:r>
        <w:rPr>
          <w:rFonts w:ascii="Times New Roman" w:hAnsi="Times New Roman" w:eastAsia="Times New Roman" w:cs="Times New Roman"/>
          <w:color w:val="231F20"/>
          <w:spacing w:val="3"/>
        </w:rPr>
        <w:t>]    </w:t>
      </w:r>
      <w:r>
        <w:rPr>
          <w:color w:val="231F20"/>
          <w:spacing w:val="3"/>
        </w:rPr>
        <w:t>巴艳萍</w:t>
      </w:r>
      <w:r>
        <w:rPr>
          <w:rFonts w:ascii="Times New Roman" w:hAnsi="Times New Roman" w:eastAsia="Times New Roman" w:cs="Times New Roman"/>
          <w:color w:val="231F20"/>
          <w:spacing w:val="3"/>
        </w:rPr>
        <w:t>.</w:t>
      </w:r>
      <w:r>
        <w:rPr>
          <w:color w:val="231F20"/>
          <w:spacing w:val="3"/>
        </w:rPr>
        <w:t>慢性盆腔炎患者应对</w:t>
      </w:r>
      <w:r>
        <w:rPr>
          <w:color w:val="231F20"/>
          <w:spacing w:val="2"/>
        </w:rPr>
        <w:t>方式及其影响因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素分析</w:t>
      </w:r>
      <w:r>
        <w:rPr>
          <w:rFonts w:ascii="Times New Roman" w:hAnsi="Times New Roman" w:eastAsia="Times New Roman" w:cs="Times New Roman"/>
          <w:color w:val="231F20"/>
          <w:spacing w:val="-6"/>
        </w:rPr>
        <w:t>[J].</w:t>
      </w:r>
      <w:r>
        <w:rPr>
          <w:color w:val="231F20"/>
          <w:spacing w:val="-6"/>
        </w:rPr>
        <w:t>河南医学研究</w:t>
      </w:r>
      <w:r>
        <w:rPr>
          <w:rFonts w:ascii="Times New Roman" w:hAnsi="Times New Roman" w:eastAsia="Times New Roman" w:cs="Times New Roman"/>
          <w:color w:val="231F20"/>
          <w:spacing w:val="-6"/>
        </w:rPr>
        <w:t>,</w:t>
      </w:r>
      <w:r>
        <w:rPr>
          <w:color w:val="231F20"/>
          <w:spacing w:val="-6"/>
        </w:rPr>
        <w:t>2021</w:t>
      </w:r>
      <w:r>
        <w:rPr>
          <w:rFonts w:ascii="Times New Roman" w:hAnsi="Times New Roman" w:eastAsia="Times New Roman" w:cs="Times New Roman"/>
          <w:color w:val="231F20"/>
          <w:spacing w:val="-6"/>
        </w:rPr>
        <w:t>,</w:t>
      </w:r>
      <w:r>
        <w:rPr>
          <w:color w:val="231F20"/>
          <w:spacing w:val="-6"/>
        </w:rPr>
        <w:t>30</w:t>
      </w:r>
      <w:r>
        <w:rPr>
          <w:rFonts w:ascii="Times New Roman" w:hAnsi="Times New Roman" w:eastAsia="Times New Roman" w:cs="Times New Roman"/>
          <w:color w:val="231F20"/>
          <w:spacing w:val="-6"/>
        </w:rPr>
        <w:t>(</w:t>
      </w:r>
      <w:r>
        <w:rPr>
          <w:color w:val="231F20"/>
          <w:spacing w:val="-6"/>
        </w:rPr>
        <w:t>4</w:t>
      </w:r>
      <w:r>
        <w:rPr>
          <w:rFonts w:ascii="Times New Roman" w:hAnsi="Times New Roman" w:eastAsia="Times New Roman" w:cs="Times New Roman"/>
          <w:color w:val="231F20"/>
          <w:spacing w:val="-6"/>
        </w:rPr>
        <w:t>):</w:t>
      </w:r>
      <w:r>
        <w:rPr>
          <w:color w:val="231F20"/>
          <w:spacing w:val="-6"/>
        </w:rPr>
        <w:t>637</w:t>
      </w:r>
      <w:r>
        <w:rPr>
          <w:rFonts w:ascii="Times New Roman" w:hAnsi="Times New Roman" w:eastAsia="Times New Roman" w:cs="Times New Roman"/>
          <w:color w:val="231F20"/>
          <w:spacing w:val="-6"/>
        </w:rPr>
        <w:t>-</w:t>
      </w:r>
      <w:r>
        <w:rPr>
          <w:color w:val="231F20"/>
          <w:spacing w:val="-6"/>
        </w:rPr>
        <w:t>639</w:t>
      </w:r>
      <w:r>
        <w:rPr>
          <w:rFonts w:ascii="Times New Roman" w:hAnsi="Times New Roman" w:eastAsia="Times New Roman" w:cs="Times New Roman"/>
          <w:color w:val="231F20"/>
          <w:spacing w:val="-6"/>
        </w:rPr>
        <w:t>.</w:t>
      </w:r>
    </w:p>
    <w:p>
      <w:pPr>
        <w:pStyle w:val="BodyText"/>
        <w:ind w:left="12" w:right="97" w:firstLine="4"/>
        <w:spacing w:before="8" w:line="19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  <w:spacing w:val="3"/>
        </w:rPr>
        <w:t>[</w:t>
      </w:r>
      <w:r>
        <w:rPr>
          <w:color w:val="231F20"/>
          <w:spacing w:val="3"/>
        </w:rPr>
        <w:t>2</w:t>
      </w:r>
      <w:r>
        <w:rPr>
          <w:rFonts w:ascii="Times New Roman" w:hAnsi="Times New Roman" w:eastAsia="Times New Roman" w:cs="Times New Roman"/>
          <w:color w:val="231F20"/>
          <w:spacing w:val="3"/>
        </w:rPr>
        <w:t>]    </w:t>
      </w:r>
      <w:r>
        <w:rPr>
          <w:color w:val="231F20"/>
          <w:spacing w:val="3"/>
        </w:rPr>
        <w:t>孙燕燕</w:t>
      </w:r>
      <w:r>
        <w:rPr>
          <w:rFonts w:ascii="Times New Roman" w:hAnsi="Times New Roman" w:eastAsia="Times New Roman" w:cs="Times New Roman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3"/>
        </w:rPr>
        <w:t>宋美青</w:t>
      </w:r>
      <w:r>
        <w:rPr>
          <w:rFonts w:ascii="Times New Roman" w:hAnsi="Times New Roman" w:eastAsia="Times New Roman" w:cs="Times New Roman"/>
          <w:color w:val="231F20"/>
          <w:spacing w:val="3"/>
        </w:rPr>
        <w:t>,</w:t>
      </w:r>
      <w:r>
        <w:rPr>
          <w:color w:val="231F20"/>
          <w:spacing w:val="3"/>
        </w:rPr>
        <w:t>王玉</w:t>
      </w:r>
      <w:r>
        <w:rPr>
          <w:rFonts w:ascii="Times New Roman" w:hAnsi="Times New Roman" w:eastAsia="Times New Roman" w:cs="Times New Roman"/>
          <w:color w:val="231F20"/>
          <w:spacing w:val="3"/>
        </w:rPr>
        <w:t>,</w:t>
      </w:r>
      <w:r>
        <w:rPr>
          <w:color w:val="231F20"/>
          <w:spacing w:val="3"/>
        </w:rPr>
        <w:t>等</w:t>
      </w:r>
      <w:r>
        <w:rPr>
          <w:rFonts w:ascii="Times New Roman" w:hAnsi="Times New Roman" w:eastAsia="Times New Roman" w:cs="Times New Roman"/>
          <w:color w:val="231F20"/>
          <w:spacing w:val="3"/>
        </w:rPr>
        <w:t>.</w:t>
      </w:r>
      <w:r>
        <w:rPr>
          <w:color w:val="231F20"/>
          <w:spacing w:val="3"/>
        </w:rPr>
        <w:t>行化学治疗的宫颈癌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患者心理弹性现状分析及应对策略探讨</w:t>
      </w:r>
      <w:r>
        <w:rPr>
          <w:rFonts w:ascii="Times New Roman" w:hAnsi="Times New Roman" w:eastAsia="Times New Roman" w:cs="Times New Roman"/>
          <w:color w:val="231F20"/>
          <w:spacing w:val="5"/>
        </w:rPr>
        <w:t>[J].</w:t>
      </w:r>
      <w:r>
        <w:rPr>
          <w:color w:val="231F20"/>
          <w:spacing w:val="5"/>
        </w:rPr>
        <w:t>中西医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结合护理</w:t>
      </w:r>
      <w:r>
        <w:rPr>
          <w:rFonts w:ascii="Times New Roman" w:hAnsi="Times New Roman" w:eastAsia="Times New Roman" w:cs="Times New Roman"/>
          <w:color w:val="231F20"/>
          <w:spacing w:val="-6"/>
        </w:rPr>
        <w:t>(</w:t>
      </w:r>
      <w:r>
        <w:rPr>
          <w:color w:val="231F20"/>
          <w:spacing w:val="-6"/>
        </w:rPr>
        <w:t>中英文</w:t>
      </w:r>
      <w:r>
        <w:rPr>
          <w:rFonts w:ascii="Times New Roman" w:hAnsi="Times New Roman" w:eastAsia="Times New Roman" w:cs="Times New Roman"/>
          <w:color w:val="231F20"/>
          <w:spacing w:val="-6"/>
        </w:rPr>
        <w:t>),</w:t>
      </w:r>
      <w:r>
        <w:rPr>
          <w:color w:val="231F20"/>
          <w:spacing w:val="-6"/>
        </w:rPr>
        <w:t>2023</w:t>
      </w:r>
      <w:r>
        <w:rPr>
          <w:rFonts w:ascii="Times New Roman" w:hAnsi="Times New Roman" w:eastAsia="Times New Roman" w:cs="Times New Roman"/>
          <w:color w:val="231F20"/>
          <w:spacing w:val="-6"/>
        </w:rPr>
        <w:t>,</w:t>
      </w:r>
      <w:r>
        <w:rPr>
          <w:color w:val="231F20"/>
          <w:spacing w:val="-6"/>
        </w:rPr>
        <w:t>9</w:t>
      </w:r>
      <w:r>
        <w:rPr>
          <w:rFonts w:ascii="Times New Roman" w:hAnsi="Times New Roman" w:eastAsia="Times New Roman" w:cs="Times New Roman"/>
          <w:color w:val="231F20"/>
          <w:spacing w:val="-6"/>
        </w:rPr>
        <w:t>(</w:t>
      </w:r>
      <w:r>
        <w:rPr>
          <w:color w:val="231F20"/>
          <w:spacing w:val="-6"/>
        </w:rPr>
        <w:t>3</w:t>
      </w:r>
      <w:r>
        <w:rPr>
          <w:rFonts w:ascii="Times New Roman" w:hAnsi="Times New Roman" w:eastAsia="Times New Roman" w:cs="Times New Roman"/>
          <w:color w:val="231F20"/>
          <w:spacing w:val="-6"/>
        </w:rPr>
        <w:t>):</w:t>
      </w:r>
      <w:r>
        <w:rPr>
          <w:color w:val="231F20"/>
          <w:spacing w:val="-6"/>
        </w:rPr>
        <w:t>127</w:t>
      </w:r>
      <w:r>
        <w:rPr>
          <w:rFonts w:ascii="Times New Roman" w:hAnsi="Times New Roman" w:eastAsia="Times New Roman" w:cs="Times New Roman"/>
          <w:color w:val="231F20"/>
          <w:spacing w:val="-6"/>
        </w:rPr>
        <w:t>-</w:t>
      </w:r>
      <w:r>
        <w:rPr>
          <w:color w:val="231F20"/>
          <w:spacing w:val="-6"/>
        </w:rPr>
        <w:t>12</w:t>
      </w:r>
      <w:r>
        <w:rPr>
          <w:color w:val="231F20"/>
          <w:spacing w:val="-7"/>
        </w:rPr>
        <w:t>9</w:t>
      </w:r>
      <w:r>
        <w:rPr>
          <w:rFonts w:ascii="Times New Roman" w:hAnsi="Times New Roman" w:eastAsia="Times New Roman" w:cs="Times New Roman"/>
          <w:color w:val="231F20"/>
          <w:spacing w:val="-7"/>
        </w:rPr>
        <w:t>.</w:t>
      </w:r>
    </w:p>
    <w:p>
      <w:pPr>
        <w:pStyle w:val="BodyText"/>
        <w:ind w:left="2" w:right="97" w:firstLine="14"/>
        <w:spacing w:before="8" w:line="19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  <w:spacing w:val="4"/>
        </w:rPr>
        <w:t>[</w:t>
      </w:r>
      <w:r>
        <w:rPr>
          <w:color w:val="231F20"/>
          <w:spacing w:val="4"/>
        </w:rPr>
        <w:t>3</w:t>
      </w:r>
      <w:r>
        <w:rPr>
          <w:rFonts w:ascii="Times New Roman" w:hAnsi="Times New Roman" w:eastAsia="Times New Roman" w:cs="Times New Roman"/>
          <w:color w:val="231F20"/>
          <w:spacing w:val="4"/>
        </w:rPr>
        <w:t>]    </w:t>
      </w:r>
      <w:r>
        <w:rPr>
          <w:color w:val="231F20"/>
          <w:spacing w:val="4"/>
        </w:rPr>
        <w:t>谢幸</w:t>
      </w:r>
      <w:r>
        <w:rPr>
          <w:rFonts w:ascii="Times New Roman" w:hAnsi="Times New Roman" w:eastAsia="Times New Roman" w:cs="Times New Roman"/>
          <w:color w:val="231F20"/>
          <w:spacing w:val="4"/>
        </w:rPr>
        <w:t>,</w:t>
      </w:r>
      <w:r>
        <w:rPr>
          <w:color w:val="231F20"/>
          <w:spacing w:val="4"/>
        </w:rPr>
        <w:t>孔北华</w:t>
      </w:r>
      <w:r>
        <w:rPr>
          <w:rFonts w:ascii="Times New Roman" w:hAnsi="Times New Roman" w:eastAsia="Times New Roman" w:cs="Times New Roman"/>
          <w:color w:val="231F20"/>
          <w:spacing w:val="4"/>
        </w:rPr>
        <w:t>,</w:t>
      </w:r>
      <w:r>
        <w:rPr>
          <w:color w:val="231F20"/>
          <w:spacing w:val="4"/>
        </w:rPr>
        <w:t>段涛</w:t>
      </w:r>
      <w:r>
        <w:rPr>
          <w:rFonts w:ascii="Times New Roman" w:hAnsi="Times New Roman" w:eastAsia="Times New Roman" w:cs="Times New Roman"/>
          <w:color w:val="231F20"/>
          <w:spacing w:val="4"/>
        </w:rPr>
        <w:t>.</w:t>
      </w:r>
      <w:r>
        <w:rPr>
          <w:color w:val="231F20"/>
          <w:spacing w:val="4"/>
        </w:rPr>
        <w:t>妇产科学</w:t>
      </w:r>
      <w:r>
        <w:rPr>
          <w:rFonts w:ascii="Times New Roman" w:hAnsi="Times New Roman" w:eastAsia="Times New Roman" w:cs="Times New Roman"/>
          <w:color w:val="231F20"/>
          <w:spacing w:val="4"/>
        </w:rPr>
        <w:t>[M].</w:t>
      </w:r>
      <w:r>
        <w:rPr>
          <w:color w:val="231F20"/>
          <w:spacing w:val="4"/>
        </w:rPr>
        <w:t>第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4"/>
        </w:rPr>
        <w:t>9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4"/>
        </w:rPr>
        <w:t>版</w:t>
      </w:r>
      <w:r>
        <w:rPr>
          <w:rFonts w:ascii="Times New Roman" w:hAnsi="Times New Roman" w:eastAsia="Times New Roman" w:cs="Times New Roman"/>
          <w:color w:val="231F20"/>
          <w:spacing w:val="4"/>
        </w:rPr>
        <w:t>,</w:t>
      </w:r>
      <w:r>
        <w:rPr>
          <w:color w:val="231F20"/>
          <w:spacing w:val="4"/>
        </w:rPr>
        <w:t>北京</w:t>
      </w:r>
      <w:r>
        <w:rPr>
          <w:rFonts w:ascii="Times New Roman" w:hAnsi="Times New Roman" w:eastAsia="Times New Roman" w:cs="Times New Roman"/>
          <w:color w:val="231F20"/>
          <w:spacing w:val="4"/>
        </w:rPr>
        <w:t>: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-5"/>
        </w:rPr>
        <w:t>人民卫生出版社</w:t>
      </w:r>
      <w:r>
        <w:rPr>
          <w:rFonts w:ascii="Times New Roman" w:hAnsi="Times New Roman" w:eastAsia="Times New Roman" w:cs="Times New Roman"/>
          <w:color w:val="231F20"/>
          <w:spacing w:val="-5"/>
        </w:rPr>
        <w:t>,</w:t>
      </w:r>
      <w:r>
        <w:rPr>
          <w:color w:val="231F20"/>
          <w:spacing w:val="-5"/>
        </w:rPr>
        <w:t>2018</w:t>
      </w:r>
      <w:r>
        <w:rPr>
          <w:rFonts w:ascii="Times New Roman" w:hAnsi="Times New Roman" w:eastAsia="Times New Roman" w:cs="Times New Roman"/>
          <w:color w:val="231F20"/>
          <w:spacing w:val="-5"/>
        </w:rPr>
        <w:t>:</w:t>
      </w:r>
      <w:r>
        <w:rPr>
          <w:color w:val="231F20"/>
          <w:spacing w:val="-5"/>
        </w:rPr>
        <w:t>17</w:t>
      </w:r>
      <w:r>
        <w:rPr>
          <w:rFonts w:ascii="Times New Roman" w:hAnsi="Times New Roman" w:eastAsia="Times New Roman" w:cs="Times New Roman"/>
          <w:color w:val="231F20"/>
          <w:spacing w:val="-5"/>
        </w:rPr>
        <w:t>-</w:t>
      </w:r>
      <w:r>
        <w:rPr>
          <w:color w:val="231F20"/>
          <w:spacing w:val="-5"/>
        </w:rPr>
        <w:t>18</w:t>
      </w:r>
      <w:r>
        <w:rPr>
          <w:rFonts w:ascii="Times New Roman" w:hAnsi="Times New Roman" w:eastAsia="Times New Roman" w:cs="Times New Roman"/>
          <w:color w:val="231F20"/>
          <w:spacing w:val="-5"/>
        </w:rPr>
        <w:t>.</w:t>
      </w:r>
    </w:p>
    <w:p>
      <w:pPr>
        <w:pStyle w:val="BodyText"/>
        <w:ind w:right="96" w:firstLine="17"/>
        <w:spacing w:before="4" w:line="217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  <w:spacing w:val="-4"/>
        </w:rPr>
        <w:t>[</w:t>
      </w:r>
      <w:r>
        <w:rPr>
          <w:color w:val="231F20"/>
          <w:spacing w:val="-4"/>
        </w:rPr>
        <w:t>4</w:t>
      </w:r>
      <w:r>
        <w:rPr>
          <w:rFonts w:ascii="Times New Roman" w:hAnsi="Times New Roman" w:eastAsia="Times New Roman" w:cs="Times New Roman"/>
          <w:color w:val="231F20"/>
          <w:spacing w:val="-4"/>
        </w:rPr>
        <w:t>]    Connor K M, Davidson J R. Development of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a new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resilience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scale: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Connor-David</w:t>
      </w:r>
      <w:r>
        <w:rPr>
          <w:rFonts w:ascii="Times New Roman" w:hAnsi="Times New Roman" w:eastAsia="Times New Roman" w:cs="Times New Roman"/>
          <w:color w:val="231F20"/>
          <w:spacing w:val="-3"/>
        </w:rPr>
        <w:t>son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Resilience</w:t>
      </w:r>
      <w:r>
        <w:rPr>
          <w:rFonts w:ascii="Times New Roman" w:hAnsi="Times New Roman" w:eastAsia="Times New Roman" w:cs="Times New Roman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Scale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(CD-RISC)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[J]. Depress </w:t>
      </w:r>
      <w:r>
        <w:rPr>
          <w:rFonts w:ascii="Times New Roman" w:hAnsi="Times New Roman" w:eastAsia="Times New Roman" w:cs="Times New Roman"/>
          <w:color w:val="231F20"/>
          <w:spacing w:val="-7"/>
        </w:rPr>
        <w:t>Anxiety,</w:t>
      </w:r>
      <w:r>
        <w:rPr>
          <w:color w:val="231F20"/>
          <w:spacing w:val="-7"/>
        </w:rPr>
        <w:t>2003</w:t>
      </w:r>
      <w:r>
        <w:rPr>
          <w:rFonts w:ascii="Times New Roman" w:hAnsi="Times New Roman" w:eastAsia="Times New Roman" w:cs="Times New Roman"/>
          <w:color w:val="231F20"/>
          <w:spacing w:val="-7"/>
        </w:rPr>
        <w:t>,</w:t>
      </w:r>
      <w:r>
        <w:rPr>
          <w:color w:val="231F20"/>
          <w:spacing w:val="-7"/>
        </w:rPr>
        <w:t>18</w:t>
      </w:r>
      <w:r>
        <w:rPr>
          <w:rFonts w:ascii="Times New Roman" w:hAnsi="Times New Roman" w:eastAsia="Times New Roman" w:cs="Times New Roman"/>
          <w:color w:val="231F20"/>
          <w:spacing w:val="-7"/>
        </w:rPr>
        <w:t>(</w:t>
      </w:r>
      <w:r>
        <w:rPr>
          <w:color w:val="231F20"/>
          <w:spacing w:val="-7"/>
        </w:rPr>
        <w:t>2</w:t>
      </w:r>
      <w:r>
        <w:rPr>
          <w:rFonts w:ascii="Times New Roman" w:hAnsi="Times New Roman" w:eastAsia="Times New Roman" w:cs="Times New Roman"/>
          <w:color w:val="231F20"/>
          <w:spacing w:val="-7"/>
        </w:rPr>
        <w:t>): </w:t>
      </w:r>
      <w:r>
        <w:rPr>
          <w:color w:val="231F20"/>
          <w:spacing w:val="-7"/>
        </w:rPr>
        <w:t>76</w:t>
      </w:r>
      <w:r>
        <w:rPr>
          <w:rFonts w:ascii="Times New Roman" w:hAnsi="Times New Roman" w:eastAsia="Times New Roman" w:cs="Times New Roman"/>
          <w:color w:val="231F20"/>
          <w:spacing w:val="-7"/>
        </w:rPr>
        <w:t>-</w:t>
      </w:r>
      <w:r>
        <w:rPr>
          <w:color w:val="231F20"/>
          <w:spacing w:val="-7"/>
        </w:rPr>
        <w:t>82</w:t>
      </w:r>
      <w:r>
        <w:rPr>
          <w:rFonts w:ascii="Times New Roman" w:hAnsi="Times New Roman" w:eastAsia="Times New Roman" w:cs="Times New Roman"/>
          <w:color w:val="231F20"/>
          <w:spacing w:val="-7"/>
        </w:rPr>
        <w:t>.</w:t>
      </w:r>
    </w:p>
    <w:p>
      <w:pPr>
        <w:pStyle w:val="BodyText"/>
        <w:ind w:left="9" w:right="96" w:firstLine="8"/>
        <w:spacing w:before="7" w:line="19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  <w:spacing w:val="11"/>
        </w:rPr>
        <w:t>[</w:t>
      </w:r>
      <w:r>
        <w:rPr>
          <w:color w:val="231F20"/>
          <w:spacing w:val="11"/>
        </w:rPr>
        <w:t>5</w:t>
      </w:r>
      <w:r>
        <w:rPr>
          <w:rFonts w:ascii="Times New Roman" w:hAnsi="Times New Roman" w:eastAsia="Times New Roman" w:cs="Times New Roman"/>
          <w:color w:val="231F20"/>
          <w:spacing w:val="11"/>
        </w:rPr>
        <w:t>]    </w:t>
      </w:r>
      <w:r>
        <w:rPr>
          <w:color w:val="231F20"/>
          <w:spacing w:val="11"/>
        </w:rPr>
        <w:t>柴晓燕</w:t>
      </w:r>
      <w:r>
        <w:rPr>
          <w:rFonts w:ascii="Times New Roman" w:hAnsi="Times New Roman" w:eastAsia="Times New Roman" w:cs="Times New Roman"/>
          <w:color w:val="231F20"/>
          <w:spacing w:val="11"/>
        </w:rPr>
        <w:t>.</w:t>
      </w:r>
      <w:r>
        <w:rPr>
          <w:color w:val="231F20"/>
          <w:spacing w:val="11"/>
        </w:rPr>
        <w:t>千年健方热敷联合抗生素对</w:t>
      </w:r>
      <w:r>
        <w:rPr>
          <w:color w:val="231F20"/>
          <w:spacing w:val="10"/>
        </w:rPr>
        <w:t>盆腔炎</w:t>
      </w:r>
      <w:r>
        <w:rPr>
          <w:color w:val="231F20"/>
        </w:rPr>
        <w:t xml:space="preserve"> </w:t>
      </w:r>
      <w:r>
        <w:rPr>
          <w:color w:val="231F20"/>
        </w:rPr>
        <w:t>症性疾病的疗效分析</w:t>
      </w:r>
      <w:r>
        <w:rPr>
          <w:rFonts w:ascii="Times New Roman" w:hAnsi="Times New Roman" w:eastAsia="Times New Roman" w:cs="Times New Roman"/>
          <w:color w:val="231F20"/>
        </w:rPr>
        <w:t>[J].</w:t>
      </w:r>
      <w:r>
        <w:rPr>
          <w:color w:val="231F20"/>
        </w:rPr>
        <w:t>安徽医专学报</w:t>
      </w:r>
      <w:r>
        <w:rPr>
          <w:rFonts w:ascii="Times New Roman" w:hAnsi="Times New Roman" w:eastAsia="Times New Roman" w:cs="Times New Roman"/>
          <w:color w:val="231F20"/>
        </w:rPr>
        <w:t>,</w:t>
      </w:r>
      <w:r>
        <w:rPr>
          <w:color w:val="231F20"/>
        </w:rPr>
        <w:t>2021</w:t>
      </w:r>
      <w:r>
        <w:rPr>
          <w:rFonts w:ascii="Times New Roman" w:hAnsi="Times New Roman" w:eastAsia="Times New Roman" w:cs="Times New Roman"/>
          <w:color w:val="231F20"/>
        </w:rPr>
        <w:t>,</w:t>
      </w:r>
      <w:r>
        <w:rPr>
          <w:color w:val="231F20"/>
        </w:rPr>
        <w:t>20</w:t>
      </w:r>
      <w:r>
        <w:rPr>
          <w:rFonts w:ascii="Times New Roman" w:hAnsi="Times New Roman" w:eastAsia="Times New Roman" w:cs="Times New Roman"/>
          <w:color w:val="231F20"/>
        </w:rPr>
        <w:t>(</w:t>
      </w:r>
      <w:r>
        <w:rPr>
          <w:color w:val="231F20"/>
        </w:rPr>
        <w:t>6</w:t>
      </w:r>
      <w:r>
        <w:rPr>
          <w:rFonts w:ascii="Times New Roman" w:hAnsi="Times New Roman" w:eastAsia="Times New Roman" w:cs="Times New Roman"/>
          <w:color w:val="231F20"/>
        </w:rPr>
        <w:t>):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color w:val="231F20"/>
          <w:spacing w:val="-9"/>
        </w:rPr>
        <w:t>118</w:t>
      </w:r>
      <w:r>
        <w:rPr>
          <w:rFonts w:ascii="Times New Roman" w:hAnsi="Times New Roman" w:eastAsia="Times New Roman" w:cs="Times New Roman"/>
          <w:color w:val="231F20"/>
          <w:spacing w:val="-9"/>
        </w:rPr>
        <w:t>-</w:t>
      </w:r>
      <w:r>
        <w:rPr>
          <w:color w:val="231F20"/>
          <w:spacing w:val="-9"/>
        </w:rPr>
        <w:t>119</w:t>
      </w:r>
      <w:r>
        <w:rPr>
          <w:rFonts w:ascii="Times New Roman" w:hAnsi="Times New Roman" w:eastAsia="Times New Roman" w:cs="Times New Roman"/>
          <w:color w:val="231F20"/>
          <w:spacing w:val="-9"/>
        </w:rPr>
        <w:t>.</w:t>
      </w:r>
    </w:p>
    <w:p>
      <w:pPr>
        <w:pStyle w:val="BodyText"/>
        <w:ind w:left="6" w:right="96" w:firstLine="11"/>
        <w:spacing w:before="5" w:line="19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  <w:spacing w:val="-2"/>
        </w:rPr>
        <w:t>[</w:t>
      </w:r>
      <w:r>
        <w:rPr>
          <w:color w:val="231F20"/>
          <w:spacing w:val="-2"/>
        </w:rPr>
        <w:t>6</w:t>
      </w:r>
      <w:r>
        <w:rPr>
          <w:rFonts w:ascii="Times New Roman" w:hAnsi="Times New Roman" w:eastAsia="Times New Roman" w:cs="Times New Roman"/>
          <w:color w:val="231F20"/>
          <w:spacing w:val="-2"/>
        </w:rPr>
        <w:t>]    </w:t>
      </w:r>
      <w:r>
        <w:rPr>
          <w:color w:val="231F20"/>
          <w:spacing w:val="-2"/>
        </w:rPr>
        <w:t>龚佩</w:t>
      </w:r>
      <w:r>
        <w:rPr>
          <w:rFonts w:ascii="Times New Roman" w:hAnsi="Times New Roman" w:eastAsia="Times New Roman" w:cs="Times New Roman"/>
          <w:color w:val="231F20"/>
          <w:spacing w:val="-2"/>
        </w:rPr>
        <w:t>,</w:t>
      </w:r>
      <w:r>
        <w:rPr>
          <w:color w:val="231F20"/>
          <w:spacing w:val="-2"/>
        </w:rPr>
        <w:t>张红玲</w:t>
      </w:r>
      <w:r>
        <w:rPr>
          <w:rFonts w:ascii="Times New Roman" w:hAnsi="Times New Roman" w:eastAsia="Times New Roman" w:cs="Times New Roman"/>
          <w:color w:val="231F20"/>
          <w:spacing w:val="-2"/>
        </w:rPr>
        <w:t>,</w:t>
      </w:r>
      <w:r>
        <w:rPr>
          <w:color w:val="231F20"/>
          <w:spacing w:val="-2"/>
        </w:rPr>
        <w:t>居红英</w:t>
      </w:r>
      <w:r>
        <w:rPr>
          <w:rFonts w:ascii="Times New Roman" w:hAnsi="Times New Roman" w:eastAsia="Times New Roman" w:cs="Times New Roman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color w:val="231F20"/>
          <w:spacing w:val="-2"/>
        </w:rPr>
        <w:t>卵巢癌手术后患者心理弹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性现状及影响因素分析</w:t>
      </w:r>
      <w:r>
        <w:rPr>
          <w:rFonts w:ascii="Times New Roman" w:hAnsi="Times New Roman" w:eastAsia="Times New Roman" w:cs="Times New Roman"/>
          <w:color w:val="231F20"/>
          <w:spacing w:val="3"/>
        </w:rPr>
        <w:t>[J].</w:t>
      </w:r>
      <w:r>
        <w:rPr>
          <w:color w:val="231F20"/>
          <w:spacing w:val="3"/>
        </w:rPr>
        <w:t>当代护士</w:t>
      </w:r>
      <w:r>
        <w:rPr>
          <w:rFonts w:ascii="Times New Roman" w:hAnsi="Times New Roman" w:eastAsia="Times New Roman" w:cs="Times New Roman"/>
          <w:color w:val="231F20"/>
          <w:spacing w:val="3"/>
        </w:rPr>
        <w:t>:</w:t>
      </w:r>
      <w:r>
        <w:rPr>
          <w:color w:val="231F20"/>
          <w:spacing w:val="3"/>
        </w:rPr>
        <w:t>上旬刊</w:t>
      </w:r>
      <w:r>
        <w:rPr>
          <w:rFonts w:ascii="Times New Roman" w:hAnsi="Times New Roman" w:eastAsia="Times New Roman" w:cs="Times New Roman"/>
          <w:color w:val="231F20"/>
          <w:spacing w:val="3"/>
        </w:rPr>
        <w:t>,</w:t>
      </w:r>
      <w:r>
        <w:rPr>
          <w:color w:val="231F20"/>
          <w:spacing w:val="3"/>
        </w:rPr>
        <w:t>2022</w:t>
      </w:r>
      <w:r>
        <w:rPr>
          <w:rFonts w:ascii="Times New Roman" w:hAnsi="Times New Roman" w:eastAsia="Times New Roman" w:cs="Times New Roman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color w:val="231F20"/>
          <w:spacing w:val="-6"/>
        </w:rPr>
        <w:t>29</w:t>
      </w:r>
      <w:r>
        <w:rPr>
          <w:rFonts w:ascii="Times New Roman" w:hAnsi="Times New Roman" w:eastAsia="Times New Roman" w:cs="Times New Roman"/>
          <w:color w:val="231F20"/>
          <w:spacing w:val="-6"/>
        </w:rPr>
        <w:t>(</w:t>
      </w:r>
      <w:r>
        <w:rPr>
          <w:color w:val="231F20"/>
          <w:spacing w:val="-6"/>
        </w:rPr>
        <w:t>4</w:t>
      </w:r>
      <w:r>
        <w:rPr>
          <w:rFonts w:ascii="Times New Roman" w:hAnsi="Times New Roman" w:eastAsia="Times New Roman" w:cs="Times New Roman"/>
          <w:color w:val="231F20"/>
          <w:spacing w:val="-6"/>
        </w:rPr>
        <w:t>):</w:t>
      </w:r>
      <w:r>
        <w:rPr>
          <w:color w:val="231F20"/>
          <w:spacing w:val="-6"/>
        </w:rPr>
        <w:t>48</w:t>
      </w:r>
      <w:r>
        <w:rPr>
          <w:rFonts w:ascii="Times New Roman" w:hAnsi="Times New Roman" w:eastAsia="Times New Roman" w:cs="Times New Roman"/>
          <w:color w:val="231F20"/>
          <w:spacing w:val="-6"/>
        </w:rPr>
        <w:t>-</w:t>
      </w:r>
      <w:r>
        <w:rPr>
          <w:color w:val="231F20"/>
          <w:spacing w:val="-6"/>
        </w:rPr>
        <w:t>51</w:t>
      </w:r>
      <w:r>
        <w:rPr>
          <w:rFonts w:ascii="Times New Roman" w:hAnsi="Times New Roman" w:eastAsia="Times New Roman" w:cs="Times New Roman"/>
          <w:color w:val="231F20"/>
          <w:spacing w:val="-6"/>
        </w:rPr>
        <w:t>.</w:t>
      </w:r>
    </w:p>
    <w:p>
      <w:pPr>
        <w:pStyle w:val="BodyText"/>
        <w:ind w:left="6" w:right="96" w:firstLine="11"/>
        <w:spacing w:before="8" w:line="19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  <w:spacing w:val="-1"/>
        </w:rPr>
        <w:t>[</w:t>
      </w:r>
      <w:r>
        <w:rPr>
          <w:color w:val="231F20"/>
          <w:spacing w:val="-1"/>
        </w:rPr>
        <w:t>7</w:t>
      </w:r>
      <w:r>
        <w:rPr>
          <w:rFonts w:ascii="Times New Roman" w:hAnsi="Times New Roman" w:eastAsia="Times New Roman" w:cs="Times New Roman"/>
          <w:color w:val="231F20"/>
          <w:spacing w:val="-1"/>
        </w:rPr>
        <w:t>]    </w:t>
      </w:r>
      <w:r>
        <w:rPr>
          <w:color w:val="231F20"/>
          <w:spacing w:val="-1"/>
        </w:rPr>
        <w:t>冯旸子</w:t>
      </w:r>
      <w:r>
        <w:rPr>
          <w:rFonts w:ascii="Times New Roman" w:hAnsi="Times New Roman" w:eastAsia="Times New Roman" w:cs="Times New Roman"/>
          <w:color w:val="231F20"/>
          <w:spacing w:val="-1"/>
        </w:rPr>
        <w:t>,</w:t>
      </w:r>
      <w:r>
        <w:rPr>
          <w:color w:val="231F20"/>
          <w:spacing w:val="-1"/>
        </w:rPr>
        <w:t>范琳媛</w:t>
      </w:r>
      <w:r>
        <w:rPr>
          <w:rFonts w:ascii="Times New Roman" w:hAnsi="Times New Roman" w:eastAsia="Times New Roman" w:cs="Times New Roman"/>
          <w:color w:val="231F20"/>
          <w:spacing w:val="-1"/>
        </w:rPr>
        <w:t>,</w:t>
      </w:r>
      <w:r>
        <w:rPr>
          <w:color w:val="231F20"/>
          <w:spacing w:val="-1"/>
        </w:rPr>
        <w:t>刘朝晖</w:t>
      </w:r>
      <w:r>
        <w:rPr>
          <w:rFonts w:ascii="Times New Roman" w:hAnsi="Times New Roman" w:eastAsia="Times New Roman" w:cs="Times New Roman"/>
          <w:color w:val="231F20"/>
          <w:spacing w:val="-1"/>
        </w:rPr>
        <w:t>.</w:t>
      </w:r>
      <w:r>
        <w:rPr>
          <w:color w:val="231F20"/>
          <w:spacing w:val="-1"/>
        </w:rPr>
        <w:t>青少年盆腔炎性疾</w:t>
      </w:r>
      <w:r>
        <w:rPr>
          <w:color w:val="231F20"/>
          <w:spacing w:val="-2"/>
        </w:rPr>
        <w:t>病的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易感因素及治疗</w:t>
      </w:r>
      <w:r>
        <w:rPr>
          <w:rFonts w:ascii="Times New Roman" w:hAnsi="Times New Roman" w:eastAsia="Times New Roman" w:cs="Times New Roman"/>
          <w:color w:val="231F20"/>
          <w:spacing w:val="-2"/>
        </w:rPr>
        <w:t>[J].</w:t>
      </w:r>
      <w:r>
        <w:rPr>
          <w:color w:val="231F20"/>
          <w:spacing w:val="-2"/>
        </w:rPr>
        <w:t>中国实用妇科与产科杂志</w:t>
      </w:r>
      <w:r>
        <w:rPr>
          <w:rFonts w:ascii="Times New Roman" w:hAnsi="Times New Roman" w:eastAsia="Times New Roman" w:cs="Times New Roman"/>
          <w:color w:val="231F20"/>
          <w:spacing w:val="-2"/>
        </w:rPr>
        <w:t>,</w:t>
      </w:r>
      <w:r>
        <w:rPr>
          <w:color w:val="231F20"/>
          <w:spacing w:val="-2"/>
        </w:rPr>
        <w:t>2023</w:t>
      </w:r>
      <w:r>
        <w:rPr>
          <w:rFonts w:ascii="Times New Roman" w:hAnsi="Times New Roman" w:eastAsia="Times New Roman" w:cs="Times New Roman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-8"/>
        </w:rPr>
        <w:t>39</w:t>
      </w:r>
      <w:r>
        <w:rPr>
          <w:rFonts w:ascii="Times New Roman" w:hAnsi="Times New Roman" w:eastAsia="Times New Roman" w:cs="Times New Roman"/>
          <w:color w:val="231F20"/>
          <w:spacing w:val="-8"/>
        </w:rPr>
        <w:t>(</w:t>
      </w:r>
      <w:r>
        <w:rPr>
          <w:color w:val="231F20"/>
          <w:spacing w:val="-8"/>
        </w:rPr>
        <w:t>3</w:t>
      </w:r>
      <w:r>
        <w:rPr>
          <w:rFonts w:ascii="Times New Roman" w:hAnsi="Times New Roman" w:eastAsia="Times New Roman" w:cs="Times New Roman"/>
          <w:color w:val="231F20"/>
          <w:spacing w:val="-8"/>
        </w:rPr>
        <w:t>):</w:t>
      </w:r>
      <w:r>
        <w:rPr>
          <w:color w:val="231F20"/>
          <w:spacing w:val="-8"/>
        </w:rPr>
        <w:t>380</w:t>
      </w:r>
      <w:r>
        <w:rPr>
          <w:rFonts w:ascii="Times New Roman" w:hAnsi="Times New Roman" w:eastAsia="Times New Roman" w:cs="Times New Roman"/>
          <w:color w:val="231F20"/>
          <w:spacing w:val="-8"/>
        </w:rPr>
        <w:t>-</w:t>
      </w:r>
      <w:r>
        <w:rPr>
          <w:color w:val="231F20"/>
          <w:spacing w:val="-8"/>
        </w:rPr>
        <w:t>382</w:t>
      </w:r>
      <w:r>
        <w:rPr>
          <w:rFonts w:ascii="Times New Roman" w:hAnsi="Times New Roman" w:eastAsia="Times New Roman" w:cs="Times New Roman"/>
          <w:color w:val="231F20"/>
          <w:spacing w:val="-8"/>
        </w:rPr>
        <w:t>.</w:t>
      </w:r>
    </w:p>
    <w:p>
      <w:pPr>
        <w:pStyle w:val="BodyText"/>
        <w:ind w:left="2" w:right="95" w:firstLine="15"/>
        <w:spacing w:before="8" w:line="19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  <w:spacing w:val="3"/>
        </w:rPr>
        <w:t>[</w:t>
      </w:r>
      <w:r>
        <w:rPr>
          <w:color w:val="231F20"/>
          <w:spacing w:val="3"/>
        </w:rPr>
        <w:t>8</w:t>
      </w:r>
      <w:r>
        <w:rPr>
          <w:rFonts w:ascii="Times New Roman" w:hAnsi="Times New Roman" w:eastAsia="Times New Roman" w:cs="Times New Roman"/>
          <w:color w:val="231F20"/>
          <w:spacing w:val="3"/>
        </w:rPr>
        <w:t>]    </w:t>
      </w:r>
      <w:r>
        <w:rPr>
          <w:color w:val="231F20"/>
          <w:spacing w:val="3"/>
        </w:rPr>
        <w:t>程秋瑾</w:t>
      </w:r>
      <w:r>
        <w:rPr>
          <w:rFonts w:ascii="Times New Roman" w:hAnsi="Times New Roman" w:eastAsia="Times New Roman" w:cs="Times New Roman"/>
          <w:color w:val="231F20"/>
          <w:spacing w:val="3"/>
        </w:rPr>
        <w:t>.</w:t>
      </w:r>
      <w:r>
        <w:rPr>
          <w:color w:val="231F20"/>
          <w:spacing w:val="3"/>
        </w:rPr>
        <w:t>女性急性盆腔炎严重</w:t>
      </w:r>
      <w:r>
        <w:rPr>
          <w:color w:val="231F20"/>
          <w:spacing w:val="2"/>
        </w:rPr>
        <w:t>程度的危险因素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研究及分析</w:t>
      </w:r>
      <w:r>
        <w:rPr>
          <w:rFonts w:ascii="Times New Roman" w:hAnsi="Times New Roman" w:eastAsia="Times New Roman" w:cs="Times New Roman"/>
          <w:color w:val="231F20"/>
          <w:spacing w:val="-6"/>
        </w:rPr>
        <w:t>[J].</w:t>
      </w:r>
      <w:r>
        <w:rPr>
          <w:color w:val="231F20"/>
          <w:spacing w:val="-6"/>
        </w:rPr>
        <w:t>中国社区医师</w:t>
      </w:r>
      <w:r>
        <w:rPr>
          <w:rFonts w:ascii="Times New Roman" w:hAnsi="Times New Roman" w:eastAsia="Times New Roman" w:cs="Times New Roman"/>
          <w:color w:val="231F20"/>
          <w:spacing w:val="-6"/>
        </w:rPr>
        <w:t>,</w:t>
      </w:r>
      <w:r>
        <w:rPr>
          <w:color w:val="231F20"/>
          <w:spacing w:val="-6"/>
        </w:rPr>
        <w:t>2020</w:t>
      </w:r>
      <w:r>
        <w:rPr>
          <w:rFonts w:ascii="Times New Roman" w:hAnsi="Times New Roman" w:eastAsia="Times New Roman" w:cs="Times New Roman"/>
          <w:color w:val="231F20"/>
          <w:spacing w:val="-6"/>
        </w:rPr>
        <w:t>,</w:t>
      </w:r>
      <w:r>
        <w:rPr>
          <w:color w:val="231F20"/>
          <w:spacing w:val="-6"/>
        </w:rPr>
        <w:t>36</w:t>
      </w:r>
      <w:r>
        <w:rPr>
          <w:rFonts w:ascii="Times New Roman" w:hAnsi="Times New Roman" w:eastAsia="Times New Roman" w:cs="Times New Roman"/>
          <w:color w:val="231F20"/>
          <w:spacing w:val="-6"/>
        </w:rPr>
        <w:t>(</w:t>
      </w:r>
      <w:r>
        <w:rPr>
          <w:color w:val="231F20"/>
          <w:spacing w:val="-6"/>
        </w:rPr>
        <w:t>14</w:t>
      </w:r>
      <w:r>
        <w:rPr>
          <w:rFonts w:ascii="Times New Roman" w:hAnsi="Times New Roman" w:eastAsia="Times New Roman" w:cs="Times New Roman"/>
          <w:color w:val="231F20"/>
          <w:spacing w:val="-6"/>
        </w:rPr>
        <w:t>):</w:t>
      </w:r>
      <w:r>
        <w:rPr>
          <w:color w:val="231F20"/>
          <w:spacing w:val="-6"/>
        </w:rPr>
        <w:t>13</w:t>
      </w:r>
      <w:r>
        <w:rPr>
          <w:rFonts w:ascii="Times New Roman" w:hAnsi="Times New Roman" w:eastAsia="Times New Roman" w:cs="Times New Roman"/>
          <w:color w:val="231F20"/>
          <w:spacing w:val="-6"/>
        </w:rPr>
        <w:t>.</w:t>
      </w:r>
    </w:p>
    <w:p>
      <w:pPr>
        <w:spacing w:line="193" w:lineRule="auto"/>
        <w:sectPr>
          <w:type w:val="continuous"/>
          <w:pgSz w:w="11906" w:h="16838"/>
          <w:pgMar w:top="1528" w:right="1043" w:bottom="0" w:left="407" w:header="1205" w:footer="0" w:gutter="0"/>
          <w:cols w:equalWidth="0" w:num="2">
            <w:col w:w="5650" w:space="100"/>
            <w:col w:w="4705" w:space="0"/>
          </w:cols>
        </w:sectPr>
        <w:rPr>
          <w:rFonts w:ascii="Times New Roman" w:hAnsi="Times New Roman" w:eastAsia="Times New Roman" w:cs="Times New Roman"/>
        </w:rPr>
      </w:pPr>
    </w:p>
    <w:p>
      <w:pPr>
        <w:ind w:left="1205" w:right="448" w:hanging="131"/>
        <w:spacing w:before="60" w:line="222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color w:val="231F20"/>
          <w:spacing w:val="-21"/>
        </w:rPr>
        <w:t>Investigation</w:t>
      </w:r>
      <w:r>
        <w:rPr>
          <w:rFonts w:ascii="SimSun" w:hAnsi="SimSun" w:eastAsia="SimSun" w:cs="SimSun"/>
          <w:sz w:val="28"/>
          <w:szCs w:val="28"/>
          <w:color w:val="231F20"/>
          <w:spacing w:val="-63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231F20"/>
          <w:spacing w:val="-21"/>
        </w:rPr>
        <w:t>on</w:t>
      </w:r>
      <w:r>
        <w:rPr>
          <w:rFonts w:ascii="SimSun" w:hAnsi="SimSun" w:eastAsia="SimSun" w:cs="SimSun"/>
          <w:sz w:val="28"/>
          <w:szCs w:val="28"/>
          <w:color w:val="231F20"/>
          <w:spacing w:val="-65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231F20"/>
          <w:spacing w:val="-21"/>
        </w:rPr>
        <w:t>the</w:t>
      </w:r>
      <w:r>
        <w:rPr>
          <w:rFonts w:ascii="SimSun" w:hAnsi="SimSun" w:eastAsia="SimSun" w:cs="SimSun"/>
          <w:sz w:val="28"/>
          <w:szCs w:val="28"/>
          <w:color w:val="231F20"/>
          <w:spacing w:val="-64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231F20"/>
          <w:spacing w:val="-21"/>
        </w:rPr>
        <w:t>psychological</w:t>
      </w:r>
      <w:r>
        <w:rPr>
          <w:rFonts w:ascii="SimSun" w:hAnsi="SimSun" w:eastAsia="SimSun" w:cs="SimSun"/>
          <w:sz w:val="28"/>
          <w:szCs w:val="28"/>
          <w:color w:val="231F20"/>
          <w:spacing w:val="-63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231F20"/>
          <w:spacing w:val="-21"/>
        </w:rPr>
        <w:t>resilience</w:t>
      </w:r>
      <w:r>
        <w:rPr>
          <w:rFonts w:ascii="SimSun" w:hAnsi="SimSun" w:eastAsia="SimSun" w:cs="SimSun"/>
          <w:sz w:val="28"/>
          <w:szCs w:val="28"/>
          <w:color w:val="231F20"/>
          <w:spacing w:val="-63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231F20"/>
          <w:spacing w:val="-21"/>
        </w:rPr>
        <w:t>status,</w:t>
      </w:r>
      <w:r>
        <w:rPr>
          <w:rFonts w:ascii="SimSun" w:hAnsi="SimSun" w:eastAsia="SimSun" w:cs="SimSun"/>
          <w:sz w:val="28"/>
          <w:szCs w:val="28"/>
          <w:color w:val="231F20"/>
          <w:spacing w:val="-66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231F20"/>
          <w:spacing w:val="-21"/>
        </w:rPr>
        <w:t>influencing</w:t>
      </w:r>
      <w:r>
        <w:rPr>
          <w:rFonts w:ascii="SimSun" w:hAnsi="SimSun" w:eastAsia="SimSun" w:cs="SimSun"/>
          <w:sz w:val="28"/>
          <w:szCs w:val="28"/>
          <w:color w:val="231F20"/>
          <w:spacing w:val="-65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231F20"/>
          <w:spacing w:val="-21"/>
        </w:rPr>
        <w:t>factor</w:t>
      </w:r>
      <w:r>
        <w:rPr>
          <w:rFonts w:ascii="SimSun" w:hAnsi="SimSun" w:eastAsia="SimSun" w:cs="SimSun"/>
          <w:sz w:val="28"/>
          <w:szCs w:val="28"/>
          <w:color w:val="231F20"/>
          <w:spacing w:val="-22"/>
        </w:rPr>
        <w:t>s,</w:t>
      </w:r>
      <w:r>
        <w:rPr>
          <w:rFonts w:ascii="SimSun" w:hAnsi="SimSun" w:eastAsia="SimSun" w:cs="SimSun"/>
          <w:sz w:val="28"/>
          <w:szCs w:val="28"/>
          <w:color w:val="231F20"/>
          <w:spacing w:val="-67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231F20"/>
          <w:spacing w:val="-22"/>
        </w:rPr>
        <w:t>and</w:t>
      </w:r>
      <w:r>
        <w:rPr>
          <w:rFonts w:ascii="SimSun" w:hAnsi="SimSun" w:eastAsia="SimSun" w:cs="SimSun"/>
          <w:sz w:val="28"/>
          <w:szCs w:val="28"/>
          <w:color w:val="231F20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231F20"/>
          <w:spacing w:val="-17"/>
        </w:rPr>
        <w:t>intervention</w:t>
      </w:r>
      <w:r>
        <w:rPr>
          <w:rFonts w:ascii="SimSun" w:hAnsi="SimSun" w:eastAsia="SimSun" w:cs="SimSun"/>
          <w:sz w:val="28"/>
          <w:szCs w:val="28"/>
          <w:color w:val="231F20"/>
          <w:spacing w:val="-63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231F20"/>
          <w:spacing w:val="-17"/>
        </w:rPr>
        <w:t>strategies</w:t>
      </w:r>
      <w:r>
        <w:rPr>
          <w:rFonts w:ascii="SimSun" w:hAnsi="SimSun" w:eastAsia="SimSun" w:cs="SimSun"/>
          <w:sz w:val="28"/>
          <w:szCs w:val="28"/>
          <w:color w:val="231F20"/>
          <w:spacing w:val="-64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231F20"/>
          <w:spacing w:val="-17"/>
        </w:rPr>
        <w:t>of</w:t>
      </w:r>
      <w:r>
        <w:rPr>
          <w:rFonts w:ascii="SimSun" w:hAnsi="SimSun" w:eastAsia="SimSun" w:cs="SimSun"/>
          <w:sz w:val="28"/>
          <w:szCs w:val="28"/>
          <w:color w:val="231F20"/>
          <w:spacing w:val="-81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231F20"/>
          <w:spacing w:val="-17"/>
        </w:rPr>
        <w:t>patients</w:t>
      </w:r>
      <w:r>
        <w:rPr>
          <w:rFonts w:ascii="SimSun" w:hAnsi="SimSun" w:eastAsia="SimSun" w:cs="SimSun"/>
          <w:sz w:val="28"/>
          <w:szCs w:val="28"/>
          <w:color w:val="231F20"/>
          <w:spacing w:val="-64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231F20"/>
          <w:spacing w:val="-17"/>
        </w:rPr>
        <w:t>with</w:t>
      </w:r>
      <w:r>
        <w:rPr>
          <w:rFonts w:ascii="SimSun" w:hAnsi="SimSun" w:eastAsia="SimSun" w:cs="SimSun"/>
          <w:sz w:val="28"/>
          <w:szCs w:val="28"/>
          <w:color w:val="231F20"/>
          <w:spacing w:val="-66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231F20"/>
          <w:spacing w:val="-17"/>
        </w:rPr>
        <w:t>acute</w:t>
      </w:r>
      <w:r>
        <w:rPr>
          <w:rFonts w:ascii="SimSun" w:hAnsi="SimSun" w:eastAsia="SimSun" w:cs="SimSun"/>
          <w:sz w:val="28"/>
          <w:szCs w:val="28"/>
          <w:color w:val="231F20"/>
          <w:spacing w:val="-65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231F20"/>
          <w:spacing w:val="-17"/>
        </w:rPr>
        <w:t>pelv</w:t>
      </w:r>
      <w:r>
        <w:rPr>
          <w:rFonts w:ascii="SimSun" w:hAnsi="SimSun" w:eastAsia="SimSun" w:cs="SimSun"/>
          <w:sz w:val="28"/>
          <w:szCs w:val="28"/>
          <w:color w:val="231F20"/>
          <w:spacing w:val="-18"/>
        </w:rPr>
        <w:t>ic</w:t>
      </w:r>
      <w:r>
        <w:rPr>
          <w:rFonts w:ascii="SimSun" w:hAnsi="SimSun" w:eastAsia="SimSun" w:cs="SimSun"/>
          <w:sz w:val="28"/>
          <w:szCs w:val="28"/>
          <w:color w:val="231F20"/>
          <w:spacing w:val="-65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231F20"/>
          <w:spacing w:val="-18"/>
        </w:rPr>
        <w:t>inflammatory</w:t>
      </w:r>
      <w:r>
        <w:rPr>
          <w:rFonts w:ascii="SimSun" w:hAnsi="SimSun" w:eastAsia="SimSun" w:cs="SimSun"/>
          <w:sz w:val="28"/>
          <w:szCs w:val="28"/>
          <w:color w:val="231F20"/>
          <w:spacing w:val="-64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231F20"/>
          <w:spacing w:val="-18"/>
        </w:rPr>
        <w:t>disease</w:t>
      </w:r>
    </w:p>
    <w:p>
      <w:pPr>
        <w:ind w:left="1559"/>
        <w:spacing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Nanchang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Xinjian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District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Traditional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Chinese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Medicine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Hospital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Nanchang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3"/>
        </w:rPr>
        <w:t xml:space="preserve"> 330103,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Jiangxi</w:t>
      </w:r>
    </w:p>
    <w:p>
      <w:pPr>
        <w:pStyle w:val="BodyText"/>
        <w:ind w:left="4402"/>
        <w:spacing w:before="19" w:line="171" w:lineRule="auto"/>
        <w:rPr/>
      </w:pPr>
      <w:r>
        <w:rPr>
          <w:color w:val="231F20"/>
          <w:spacing w:val="-18"/>
        </w:rPr>
        <w:t>TU Yong-hong, WAN Fang</w:t>
      </w:r>
    </w:p>
    <w:p>
      <w:pPr>
        <w:pStyle w:val="BodyText"/>
        <w:ind w:left="721" w:right="88" w:firstLine="395"/>
        <w:spacing w:line="230" w:lineRule="exact"/>
        <w:jc w:val="both"/>
        <w:rPr/>
      </w:pPr>
      <w:r>
        <w:rPr>
          <w:rFonts w:ascii="SimSun" w:hAnsi="SimSun" w:eastAsia="SimSun" w:cs="SimSun"/>
          <w:color w:val="231F20"/>
          <w:spacing w:val="-16"/>
          <w:position w:val="1"/>
        </w:rPr>
        <w:t>Abstract:</w:t>
      </w:r>
      <w:r>
        <w:rPr>
          <w:rFonts w:ascii="Times New Roman" w:hAnsi="Times New Roman" w:eastAsia="Times New Roman" w:cs="Times New Roman"/>
          <w:color w:val="231F20"/>
          <w:spacing w:val="-16"/>
          <w:position w:val="1"/>
        </w:rPr>
        <w:t>Objective:</w:t>
      </w:r>
      <w:r>
        <w:rPr>
          <w:color w:val="231F20"/>
          <w:spacing w:val="-16"/>
          <w:position w:val="1"/>
        </w:rPr>
        <w:t>Investigate</w:t>
      </w:r>
      <w:r>
        <w:rPr>
          <w:color w:val="231F20"/>
          <w:spacing w:val="21"/>
          <w:position w:val="1"/>
        </w:rPr>
        <w:t xml:space="preserve"> </w:t>
      </w:r>
      <w:r>
        <w:rPr>
          <w:color w:val="231F20"/>
          <w:spacing w:val="-16"/>
          <w:position w:val="1"/>
        </w:rPr>
        <w:t>the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16"/>
          <w:position w:val="1"/>
        </w:rPr>
        <w:t>psychological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16"/>
          <w:position w:val="1"/>
        </w:rPr>
        <w:t>resilience</w:t>
      </w:r>
      <w:r>
        <w:rPr>
          <w:color w:val="231F20"/>
          <w:spacing w:val="16"/>
          <w:position w:val="1"/>
        </w:rPr>
        <w:t xml:space="preserve"> </w:t>
      </w:r>
      <w:r>
        <w:rPr>
          <w:color w:val="231F20"/>
          <w:spacing w:val="-16"/>
          <w:position w:val="1"/>
        </w:rPr>
        <w:t>status</w:t>
      </w:r>
      <w:r>
        <w:rPr>
          <w:color w:val="231F20"/>
          <w:spacing w:val="15"/>
          <w:position w:val="1"/>
        </w:rPr>
        <w:t xml:space="preserve"> </w:t>
      </w:r>
      <w:r>
        <w:rPr>
          <w:color w:val="231F20"/>
          <w:spacing w:val="-16"/>
          <w:position w:val="1"/>
        </w:rPr>
        <w:t>of</w:t>
      </w:r>
      <w:r>
        <w:rPr>
          <w:color w:val="231F20"/>
          <w:spacing w:val="4"/>
          <w:position w:val="1"/>
        </w:rPr>
        <w:t xml:space="preserve"> </w:t>
      </w:r>
      <w:r>
        <w:rPr>
          <w:color w:val="231F20"/>
          <w:spacing w:val="-16"/>
          <w:position w:val="1"/>
        </w:rPr>
        <w:t>patients</w:t>
      </w:r>
      <w:r>
        <w:rPr>
          <w:color w:val="231F20"/>
          <w:spacing w:val="11"/>
          <w:position w:val="1"/>
        </w:rPr>
        <w:t xml:space="preserve"> </w:t>
      </w:r>
      <w:r>
        <w:rPr>
          <w:color w:val="231F20"/>
          <w:spacing w:val="-16"/>
          <w:position w:val="1"/>
        </w:rPr>
        <w:t>with</w:t>
      </w:r>
      <w:r>
        <w:rPr>
          <w:color w:val="231F20"/>
          <w:spacing w:val="16"/>
          <w:w w:val="101"/>
          <w:position w:val="1"/>
        </w:rPr>
        <w:t xml:space="preserve"> </w:t>
      </w:r>
      <w:r>
        <w:rPr>
          <w:color w:val="231F20"/>
          <w:spacing w:val="-16"/>
          <w:position w:val="1"/>
        </w:rPr>
        <w:t>acute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16"/>
          <w:position w:val="1"/>
        </w:rPr>
        <w:t>pelvic</w:t>
      </w:r>
      <w:r>
        <w:rPr>
          <w:color w:val="231F20"/>
          <w:spacing w:val="18"/>
          <w:w w:val="101"/>
          <w:position w:val="1"/>
        </w:rPr>
        <w:t xml:space="preserve"> </w:t>
      </w:r>
      <w:r>
        <w:rPr>
          <w:color w:val="231F20"/>
          <w:spacing w:val="-16"/>
          <w:position w:val="1"/>
        </w:rPr>
        <w:t>inflammatory</w:t>
      </w:r>
      <w:r>
        <w:rPr>
          <w:color w:val="231F20"/>
          <w:position w:val="1"/>
        </w:rPr>
        <w:t xml:space="preserve"> </w:t>
      </w:r>
      <w:r>
        <w:rPr>
          <w:color w:val="231F20"/>
          <w:spacing w:val="-18"/>
          <w:position w:val="1"/>
        </w:rPr>
        <w:t>disease</w:t>
      </w:r>
      <w:r>
        <w:rPr>
          <w:color w:val="231F20"/>
          <w:spacing w:val="31"/>
          <w:position w:val="1"/>
        </w:rPr>
        <w:t xml:space="preserve"> </w:t>
      </w:r>
      <w:r>
        <w:rPr>
          <w:color w:val="231F20"/>
          <w:spacing w:val="-18"/>
          <w:position w:val="1"/>
        </w:rPr>
        <w:t>(APID),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18"/>
          <w:position w:val="1"/>
        </w:rPr>
        <w:t>analyze</w:t>
      </w:r>
      <w:r>
        <w:rPr>
          <w:color w:val="231F20"/>
          <w:spacing w:val="15"/>
          <w:position w:val="1"/>
        </w:rPr>
        <w:t xml:space="preserve"> </w:t>
      </w:r>
      <w:r>
        <w:rPr>
          <w:color w:val="231F20"/>
          <w:spacing w:val="-18"/>
          <w:position w:val="1"/>
        </w:rPr>
        <w:t>its</w:t>
      </w:r>
      <w:r>
        <w:rPr>
          <w:color w:val="231F20"/>
          <w:spacing w:val="15"/>
          <w:position w:val="1"/>
        </w:rPr>
        <w:t xml:space="preserve"> </w:t>
      </w:r>
      <w:r>
        <w:rPr>
          <w:color w:val="231F20"/>
          <w:spacing w:val="-18"/>
          <w:position w:val="1"/>
        </w:rPr>
        <w:t>influencing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18"/>
          <w:position w:val="1"/>
        </w:rPr>
        <w:t>factors,</w:t>
      </w:r>
      <w:r>
        <w:rPr>
          <w:color w:val="231F20"/>
          <w:spacing w:val="13"/>
          <w:position w:val="1"/>
        </w:rPr>
        <w:t xml:space="preserve"> </w:t>
      </w:r>
      <w:r>
        <w:rPr>
          <w:color w:val="231F20"/>
          <w:spacing w:val="-18"/>
          <w:position w:val="1"/>
        </w:rPr>
        <w:t>and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18"/>
          <w:position w:val="1"/>
        </w:rPr>
        <w:t>develop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18"/>
          <w:position w:val="1"/>
        </w:rPr>
        <w:t>scientific</w:t>
      </w:r>
      <w:r>
        <w:rPr>
          <w:color w:val="231F20"/>
          <w:spacing w:val="15"/>
          <w:w w:val="101"/>
          <w:position w:val="1"/>
        </w:rPr>
        <w:t xml:space="preserve"> </w:t>
      </w:r>
      <w:r>
        <w:rPr>
          <w:color w:val="231F20"/>
          <w:spacing w:val="-18"/>
          <w:position w:val="1"/>
        </w:rPr>
        <w:t>intervention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18"/>
          <w:position w:val="1"/>
        </w:rPr>
        <w:t>strategies.</w:t>
      </w:r>
      <w:r>
        <w:rPr>
          <w:rFonts w:ascii="Times New Roman" w:hAnsi="Times New Roman" w:eastAsia="Times New Roman" w:cs="Times New Roman"/>
          <w:color w:val="231F20"/>
          <w:spacing w:val="-18"/>
          <w:position w:val="1"/>
        </w:rPr>
        <w:t>Methods:</w:t>
      </w:r>
      <w:r>
        <w:rPr>
          <w:color w:val="231F20"/>
          <w:spacing w:val="-18"/>
          <w:position w:val="1"/>
        </w:rPr>
        <w:t>A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18"/>
          <w:position w:val="1"/>
        </w:rPr>
        <w:t>total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18"/>
          <w:position w:val="1"/>
        </w:rPr>
        <w:t>of</w:t>
      </w:r>
      <w:r>
        <w:rPr>
          <w:color w:val="231F20"/>
          <w:spacing w:val="5"/>
          <w:position w:val="1"/>
        </w:rPr>
        <w:t xml:space="preserve"> </w:t>
      </w:r>
      <w:r>
        <w:rPr>
          <w:color w:val="231F20"/>
          <w:spacing w:val="-18"/>
          <w:position w:val="1"/>
        </w:rPr>
        <w:t>845</w:t>
      </w:r>
      <w:r>
        <w:rPr>
          <w:color w:val="231F20"/>
          <w:position w:val="1"/>
        </w:rPr>
        <w:t xml:space="preserve"> </w:t>
      </w:r>
      <w:r>
        <w:rPr>
          <w:color w:val="231F20"/>
          <w:spacing w:val="-21"/>
          <w:position w:val="1"/>
        </w:rPr>
        <w:t>APID patients admitted to the hospital were selected. Basic patient information was colle</w:t>
      </w:r>
      <w:r>
        <w:rPr>
          <w:color w:val="231F20"/>
          <w:spacing w:val="-22"/>
          <w:position w:val="1"/>
        </w:rPr>
        <w:t>cted through questionnaires.The</w:t>
      </w:r>
      <w:r>
        <w:rPr>
          <w:color w:val="231F20"/>
          <w:position w:val="1"/>
        </w:rPr>
        <w:t xml:space="preserve"> </w:t>
      </w:r>
      <w:r>
        <w:rPr>
          <w:color w:val="231F20"/>
          <w:spacing w:val="-19"/>
          <w:position w:val="1"/>
        </w:rPr>
        <w:t>psychological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19"/>
          <w:position w:val="1"/>
        </w:rPr>
        <w:t>resilience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19"/>
          <w:position w:val="1"/>
        </w:rPr>
        <w:t>status</w:t>
      </w:r>
      <w:r>
        <w:rPr>
          <w:color w:val="231F20"/>
          <w:spacing w:val="10"/>
          <w:position w:val="1"/>
        </w:rPr>
        <w:t xml:space="preserve"> </w:t>
      </w:r>
      <w:r>
        <w:rPr>
          <w:color w:val="231F20"/>
          <w:spacing w:val="-19"/>
          <w:position w:val="1"/>
        </w:rPr>
        <w:t>of patients</w:t>
      </w:r>
      <w:r>
        <w:rPr>
          <w:color w:val="231F20"/>
          <w:spacing w:val="6"/>
          <w:position w:val="1"/>
        </w:rPr>
        <w:t xml:space="preserve"> </w:t>
      </w:r>
      <w:r>
        <w:rPr>
          <w:color w:val="231F20"/>
          <w:spacing w:val="-19"/>
          <w:position w:val="1"/>
        </w:rPr>
        <w:t>was</w:t>
      </w:r>
      <w:r>
        <w:rPr>
          <w:color w:val="231F20"/>
          <w:spacing w:val="14"/>
          <w:position w:val="1"/>
        </w:rPr>
        <w:t xml:space="preserve"> </w:t>
      </w:r>
      <w:r>
        <w:rPr>
          <w:color w:val="231F20"/>
          <w:spacing w:val="-19"/>
          <w:position w:val="1"/>
        </w:rPr>
        <w:t>investigated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19"/>
          <w:position w:val="1"/>
        </w:rPr>
        <w:t>using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19"/>
          <w:position w:val="1"/>
        </w:rPr>
        <w:t>the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19"/>
          <w:position w:val="1"/>
        </w:rPr>
        <w:t>Psychological</w:t>
      </w:r>
      <w:r>
        <w:rPr>
          <w:color w:val="231F20"/>
          <w:spacing w:val="11"/>
          <w:position w:val="1"/>
        </w:rPr>
        <w:t xml:space="preserve"> </w:t>
      </w:r>
      <w:r>
        <w:rPr>
          <w:color w:val="231F20"/>
          <w:spacing w:val="-19"/>
          <w:position w:val="1"/>
        </w:rPr>
        <w:t>Resilience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19"/>
          <w:position w:val="1"/>
        </w:rPr>
        <w:t>Scale</w:t>
      </w:r>
      <w:r>
        <w:rPr>
          <w:color w:val="231F20"/>
          <w:spacing w:val="14"/>
          <w:position w:val="1"/>
        </w:rPr>
        <w:t xml:space="preserve"> </w:t>
      </w:r>
      <w:r>
        <w:rPr>
          <w:color w:val="231F20"/>
          <w:spacing w:val="-19"/>
          <w:position w:val="1"/>
        </w:rPr>
        <w:t>(CD-</w:t>
      </w:r>
      <w:r>
        <w:rPr>
          <w:color w:val="231F20"/>
          <w:spacing w:val="-20"/>
          <w:position w:val="1"/>
        </w:rPr>
        <w:t>RISC),</w:t>
      </w:r>
      <w:r>
        <w:rPr>
          <w:color w:val="231F20"/>
          <w:spacing w:val="11"/>
          <w:position w:val="1"/>
        </w:rPr>
        <w:t xml:space="preserve"> </w:t>
      </w:r>
      <w:r>
        <w:rPr>
          <w:color w:val="231F20"/>
          <w:spacing w:val="-20"/>
          <w:position w:val="1"/>
        </w:rPr>
        <w:t>and</w:t>
      </w:r>
      <w:r>
        <w:rPr>
          <w:color w:val="231F20"/>
          <w:position w:val="1"/>
        </w:rPr>
        <w:t xml:space="preserve"> </w:t>
      </w:r>
      <w:r>
        <w:rPr>
          <w:color w:val="231F20"/>
          <w:spacing w:val="-18"/>
          <w:position w:val="1"/>
        </w:rPr>
        <w:t>single factor</w:t>
      </w:r>
      <w:r>
        <w:rPr>
          <w:color w:val="231F20"/>
          <w:spacing w:val="2"/>
          <w:position w:val="1"/>
        </w:rPr>
        <w:t xml:space="preserve"> </w:t>
      </w:r>
      <w:r>
        <w:rPr>
          <w:color w:val="231F20"/>
          <w:spacing w:val="-18"/>
          <w:position w:val="1"/>
        </w:rPr>
        <w:t>analysis, multiple</w:t>
      </w:r>
      <w:r>
        <w:rPr>
          <w:color w:val="231F20"/>
          <w:spacing w:val="2"/>
          <w:position w:val="1"/>
        </w:rPr>
        <w:t xml:space="preserve"> </w:t>
      </w:r>
      <w:r>
        <w:rPr>
          <w:color w:val="231F20"/>
          <w:spacing w:val="-18"/>
          <w:position w:val="1"/>
        </w:rPr>
        <w:t>linear regression</w:t>
      </w:r>
      <w:r>
        <w:rPr>
          <w:color w:val="231F20"/>
          <w:spacing w:val="2"/>
          <w:position w:val="1"/>
        </w:rPr>
        <w:t xml:space="preserve"> </w:t>
      </w:r>
      <w:r>
        <w:rPr>
          <w:color w:val="231F20"/>
          <w:spacing w:val="-18"/>
          <w:position w:val="1"/>
        </w:rPr>
        <w:t>analysis,</w:t>
      </w:r>
      <w:r>
        <w:rPr>
          <w:color w:val="231F20"/>
          <w:spacing w:val="2"/>
          <w:position w:val="1"/>
        </w:rPr>
        <w:t xml:space="preserve"> </w:t>
      </w:r>
      <w:r>
        <w:rPr>
          <w:color w:val="231F20"/>
          <w:spacing w:val="-18"/>
          <w:position w:val="1"/>
        </w:rPr>
        <w:t>an</w:t>
      </w:r>
      <w:r>
        <w:rPr>
          <w:color w:val="231F20"/>
          <w:spacing w:val="-19"/>
          <w:position w:val="1"/>
        </w:rPr>
        <w:t>d Pearson</w:t>
      </w:r>
      <w:r>
        <w:rPr>
          <w:color w:val="231F20"/>
          <w:spacing w:val="1"/>
          <w:position w:val="1"/>
        </w:rPr>
        <w:t xml:space="preserve"> </w:t>
      </w:r>
      <w:r>
        <w:rPr>
          <w:color w:val="231F20"/>
          <w:spacing w:val="-19"/>
          <w:position w:val="1"/>
        </w:rPr>
        <w:t>correlation</w:t>
      </w:r>
      <w:r>
        <w:rPr>
          <w:color w:val="231F20"/>
          <w:spacing w:val="2"/>
          <w:position w:val="1"/>
        </w:rPr>
        <w:t xml:space="preserve"> </w:t>
      </w:r>
      <w:r>
        <w:rPr>
          <w:color w:val="231F20"/>
          <w:spacing w:val="-19"/>
          <w:position w:val="1"/>
        </w:rPr>
        <w:t>analysis were</w:t>
      </w:r>
      <w:r>
        <w:rPr>
          <w:color w:val="231F20"/>
          <w:spacing w:val="2"/>
          <w:position w:val="1"/>
        </w:rPr>
        <w:t xml:space="preserve"> </w:t>
      </w:r>
      <w:r>
        <w:rPr>
          <w:color w:val="231F20"/>
          <w:spacing w:val="-19"/>
          <w:position w:val="1"/>
        </w:rPr>
        <w:t>conducted.</w:t>
      </w:r>
      <w:r>
        <w:rPr>
          <w:rFonts w:ascii="Times New Roman" w:hAnsi="Times New Roman" w:eastAsia="Times New Roman" w:cs="Times New Roman"/>
          <w:color w:val="231F20"/>
          <w:spacing w:val="-19"/>
          <w:position w:val="1"/>
        </w:rPr>
        <w:t>Results:</w:t>
      </w:r>
      <w:r>
        <w:rPr>
          <w:color w:val="231F20"/>
          <w:spacing w:val="-19"/>
          <w:position w:val="1"/>
        </w:rPr>
        <w:t>The</w:t>
      </w:r>
      <w:r>
        <w:rPr>
          <w:color w:val="231F20"/>
          <w:position w:val="1"/>
        </w:rPr>
        <w:t xml:space="preserve"> </w:t>
      </w:r>
      <w:r>
        <w:rPr>
          <w:color w:val="231F20"/>
          <w:spacing w:val="-16"/>
          <w:position w:val="1"/>
        </w:rPr>
        <w:t>average</w:t>
      </w:r>
      <w:r>
        <w:rPr>
          <w:color w:val="231F20"/>
          <w:spacing w:val="19"/>
          <w:position w:val="1"/>
        </w:rPr>
        <w:t xml:space="preserve"> </w:t>
      </w:r>
      <w:r>
        <w:rPr>
          <w:color w:val="231F20"/>
          <w:spacing w:val="-16"/>
          <w:position w:val="1"/>
        </w:rPr>
        <w:t>CD-RISC</w:t>
      </w:r>
      <w:r>
        <w:rPr>
          <w:color w:val="231F20"/>
          <w:spacing w:val="17"/>
          <w:w w:val="101"/>
          <w:position w:val="1"/>
        </w:rPr>
        <w:t xml:space="preserve"> </w:t>
      </w:r>
      <w:r>
        <w:rPr>
          <w:color w:val="231F20"/>
          <w:spacing w:val="-16"/>
          <w:position w:val="1"/>
        </w:rPr>
        <w:t>score</w:t>
      </w:r>
      <w:r>
        <w:rPr>
          <w:color w:val="231F20"/>
          <w:spacing w:val="16"/>
          <w:w w:val="101"/>
          <w:position w:val="1"/>
        </w:rPr>
        <w:t xml:space="preserve"> </w:t>
      </w:r>
      <w:r>
        <w:rPr>
          <w:color w:val="231F20"/>
          <w:spacing w:val="-16"/>
          <w:position w:val="1"/>
        </w:rPr>
        <w:t>of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16"/>
          <w:position w:val="1"/>
        </w:rPr>
        <w:t>80</w:t>
      </w:r>
      <w:r>
        <w:rPr>
          <w:color w:val="231F20"/>
          <w:spacing w:val="16"/>
          <w:position w:val="1"/>
        </w:rPr>
        <w:t xml:space="preserve"> </w:t>
      </w:r>
      <w:r>
        <w:rPr>
          <w:color w:val="231F20"/>
          <w:spacing w:val="-16"/>
          <w:position w:val="1"/>
        </w:rPr>
        <w:t>PBRG</w:t>
      </w:r>
      <w:r>
        <w:rPr>
          <w:color w:val="231F20"/>
          <w:spacing w:val="13"/>
          <w:position w:val="1"/>
        </w:rPr>
        <w:t xml:space="preserve"> </w:t>
      </w:r>
      <w:r>
        <w:rPr>
          <w:color w:val="231F20"/>
          <w:spacing w:val="-16"/>
          <w:position w:val="1"/>
        </w:rPr>
        <w:t>patients</w:t>
      </w:r>
      <w:r>
        <w:rPr>
          <w:color w:val="231F20"/>
          <w:spacing w:val="13"/>
          <w:position w:val="1"/>
        </w:rPr>
        <w:t xml:space="preserve"> </w:t>
      </w:r>
      <w:r>
        <w:rPr>
          <w:color w:val="231F20"/>
          <w:spacing w:val="-16"/>
          <w:position w:val="1"/>
        </w:rPr>
        <w:t>was</w:t>
      </w:r>
      <w:r>
        <w:rPr>
          <w:color w:val="231F20"/>
          <w:spacing w:val="19"/>
          <w:w w:val="101"/>
          <w:position w:val="1"/>
        </w:rPr>
        <w:t xml:space="preserve"> </w:t>
      </w:r>
      <w:r>
        <w:rPr>
          <w:color w:val="231F20"/>
          <w:spacing w:val="-16"/>
          <w:position w:val="1"/>
        </w:rPr>
        <w:t>(57.95  ±</w:t>
      </w:r>
      <w:r>
        <w:rPr>
          <w:color w:val="231F20"/>
          <w:spacing w:val="19"/>
          <w:position w:val="1"/>
        </w:rPr>
        <w:t xml:space="preserve"> </w:t>
      </w:r>
      <w:r>
        <w:rPr>
          <w:color w:val="231F20"/>
          <w:spacing w:val="-16"/>
          <w:position w:val="1"/>
        </w:rPr>
        <w:t>6.34)</w:t>
      </w:r>
      <w:r>
        <w:rPr>
          <w:color w:val="231F20"/>
          <w:spacing w:val="13"/>
          <w:position w:val="1"/>
        </w:rPr>
        <w:t xml:space="preserve"> </w:t>
      </w:r>
      <w:r>
        <w:rPr>
          <w:color w:val="231F20"/>
          <w:spacing w:val="-16"/>
          <w:position w:val="1"/>
        </w:rPr>
        <w:t>points;</w:t>
      </w:r>
      <w:r>
        <w:rPr>
          <w:color w:val="231F20"/>
          <w:spacing w:val="15"/>
          <w:w w:val="101"/>
          <w:position w:val="1"/>
        </w:rPr>
        <w:t xml:space="preserve"> </w:t>
      </w:r>
      <w:r>
        <w:rPr>
          <w:color w:val="231F20"/>
          <w:spacing w:val="-16"/>
          <w:position w:val="1"/>
        </w:rPr>
        <w:t>Patients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16"/>
          <w:position w:val="1"/>
        </w:rPr>
        <w:t>with</w:t>
      </w:r>
      <w:r>
        <w:rPr>
          <w:color w:val="231F20"/>
          <w:spacing w:val="17"/>
          <w:w w:val="101"/>
          <w:position w:val="1"/>
        </w:rPr>
        <w:t xml:space="preserve"> </w:t>
      </w:r>
      <w:r>
        <w:rPr>
          <w:color w:val="231F20"/>
          <w:spacing w:val="-16"/>
          <w:position w:val="1"/>
        </w:rPr>
        <w:t>education</w:t>
      </w:r>
      <w:r>
        <w:rPr>
          <w:color w:val="231F20"/>
          <w:spacing w:val="18"/>
          <w:w w:val="101"/>
          <w:position w:val="1"/>
        </w:rPr>
        <w:t xml:space="preserve"> </w:t>
      </w:r>
      <w:r>
        <w:rPr>
          <w:color w:val="231F20"/>
          <w:spacing w:val="-17"/>
          <w:position w:val="1"/>
        </w:rPr>
        <w:t>level</w:t>
      </w:r>
      <w:r>
        <w:rPr>
          <w:color w:val="231F20"/>
          <w:spacing w:val="16"/>
          <w:w w:val="101"/>
          <w:position w:val="1"/>
        </w:rPr>
        <w:t xml:space="preserve"> </w:t>
      </w:r>
      <w:r>
        <w:rPr>
          <w:color w:val="231F20"/>
          <w:spacing w:val="-17"/>
          <w:position w:val="1"/>
        </w:rPr>
        <w:t>of junior</w:t>
      </w:r>
      <w:r>
        <w:rPr>
          <w:color w:val="231F20"/>
          <w:position w:val="1"/>
        </w:rPr>
        <w:t xml:space="preserve"> </w:t>
      </w:r>
      <w:r>
        <w:rPr>
          <w:color w:val="231F20"/>
          <w:spacing w:val="-19"/>
          <w:position w:val="1"/>
        </w:rPr>
        <w:t>high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19"/>
          <w:position w:val="1"/>
        </w:rPr>
        <w:t>school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19"/>
          <w:position w:val="1"/>
        </w:rPr>
        <w:t>or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19"/>
          <w:position w:val="1"/>
        </w:rPr>
        <w:t>below,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19"/>
          <w:position w:val="1"/>
        </w:rPr>
        <w:t>r</w:t>
      </w:r>
      <w:r>
        <w:rPr>
          <w:color w:val="231F20"/>
          <w:spacing w:val="-20"/>
          <w:position w:val="1"/>
        </w:rPr>
        <w:t>esidence</w:t>
      </w:r>
      <w:r>
        <w:rPr>
          <w:color w:val="231F20"/>
          <w:spacing w:val="15"/>
          <w:w w:val="101"/>
          <w:position w:val="1"/>
        </w:rPr>
        <w:t xml:space="preserve"> </w:t>
      </w:r>
      <w:r>
        <w:rPr>
          <w:color w:val="231F20"/>
          <w:spacing w:val="-20"/>
          <w:position w:val="1"/>
        </w:rPr>
        <w:t>in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20"/>
          <w:position w:val="1"/>
        </w:rPr>
        <w:t>rural</w:t>
      </w:r>
      <w:r>
        <w:rPr>
          <w:color w:val="231F20"/>
          <w:spacing w:val="13"/>
          <w:position w:val="1"/>
        </w:rPr>
        <w:t xml:space="preserve"> </w:t>
      </w:r>
      <w:r>
        <w:rPr>
          <w:color w:val="231F20"/>
          <w:spacing w:val="-20"/>
          <w:position w:val="1"/>
        </w:rPr>
        <w:t>areas,≥</w:t>
      </w:r>
      <w:r>
        <w:rPr>
          <w:color w:val="231F20"/>
          <w:spacing w:val="13"/>
          <w:position w:val="1"/>
        </w:rPr>
        <w:t xml:space="preserve"> </w:t>
      </w:r>
      <w:r>
        <w:rPr>
          <w:color w:val="231F20"/>
          <w:spacing w:val="-20"/>
          <w:position w:val="1"/>
        </w:rPr>
        <w:t>2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20"/>
          <w:position w:val="1"/>
        </w:rPr>
        <w:t>relapses,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20"/>
          <w:position w:val="1"/>
        </w:rPr>
        <w:t>family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20"/>
          <w:position w:val="1"/>
        </w:rPr>
        <w:t>economic</w:t>
      </w:r>
      <w:r>
        <w:rPr>
          <w:color w:val="231F20"/>
          <w:spacing w:val="15"/>
          <w:position w:val="1"/>
        </w:rPr>
        <w:t xml:space="preserve"> </w:t>
      </w:r>
      <w:r>
        <w:rPr>
          <w:color w:val="231F20"/>
          <w:spacing w:val="-20"/>
          <w:position w:val="1"/>
        </w:rPr>
        <w:t>income＜50000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20"/>
          <w:position w:val="1"/>
        </w:rPr>
        <w:t>yuan/year,</w:t>
      </w:r>
      <w:r>
        <w:rPr>
          <w:color w:val="231F20"/>
          <w:spacing w:val="13"/>
          <w:position w:val="1"/>
        </w:rPr>
        <w:t xml:space="preserve"> </w:t>
      </w:r>
      <w:r>
        <w:rPr>
          <w:color w:val="231F20"/>
          <w:spacing w:val="-20"/>
          <w:position w:val="1"/>
        </w:rPr>
        <w:t>low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20"/>
          <w:position w:val="1"/>
        </w:rPr>
        <w:t>social</w:t>
      </w:r>
      <w:r>
        <w:rPr>
          <w:color w:val="231F20"/>
          <w:position w:val="1"/>
        </w:rPr>
        <w:t xml:space="preserve"> </w:t>
      </w:r>
      <w:r>
        <w:rPr>
          <w:color w:val="231F20"/>
          <w:spacing w:val="-19"/>
          <w:position w:val="1"/>
        </w:rPr>
        <w:t>support,</w:t>
      </w:r>
      <w:r>
        <w:rPr>
          <w:color w:val="231F20"/>
          <w:spacing w:val="11"/>
          <w:position w:val="1"/>
        </w:rPr>
        <w:t xml:space="preserve"> </w:t>
      </w:r>
      <w:r>
        <w:rPr>
          <w:color w:val="231F20"/>
          <w:spacing w:val="-19"/>
          <w:position w:val="1"/>
        </w:rPr>
        <w:t>and</w:t>
      </w:r>
      <w:r>
        <w:rPr>
          <w:color w:val="231F20"/>
          <w:spacing w:val="13"/>
          <w:position w:val="1"/>
        </w:rPr>
        <w:t xml:space="preserve"> </w:t>
      </w:r>
      <w:r>
        <w:rPr>
          <w:color w:val="231F20"/>
          <w:spacing w:val="-19"/>
          <w:position w:val="1"/>
        </w:rPr>
        <w:t>low</w:t>
      </w:r>
      <w:r>
        <w:rPr>
          <w:color w:val="231F20"/>
          <w:spacing w:val="11"/>
          <w:position w:val="1"/>
        </w:rPr>
        <w:t xml:space="preserve"> </w:t>
      </w:r>
      <w:r>
        <w:rPr>
          <w:color w:val="231F20"/>
          <w:spacing w:val="-19"/>
          <w:position w:val="1"/>
        </w:rPr>
        <w:t>self-efficacy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19"/>
          <w:position w:val="1"/>
        </w:rPr>
        <w:t>had</w:t>
      </w:r>
      <w:r>
        <w:rPr>
          <w:color w:val="231F20"/>
          <w:spacing w:val="13"/>
          <w:position w:val="1"/>
        </w:rPr>
        <w:t xml:space="preserve"> </w:t>
      </w:r>
      <w:r>
        <w:rPr>
          <w:color w:val="231F20"/>
          <w:spacing w:val="-19"/>
          <w:position w:val="1"/>
        </w:rPr>
        <w:t>lower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19"/>
          <w:position w:val="1"/>
        </w:rPr>
        <w:t>CD-RISC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19"/>
          <w:position w:val="1"/>
        </w:rPr>
        <w:t>scores</w:t>
      </w:r>
      <w:r>
        <w:rPr>
          <w:color w:val="231F20"/>
          <w:spacing w:val="14"/>
          <w:position w:val="1"/>
        </w:rPr>
        <w:t xml:space="preserve"> </w:t>
      </w:r>
      <w:r>
        <w:rPr>
          <w:color w:val="231F20"/>
          <w:spacing w:val="-19"/>
          <w:position w:val="1"/>
        </w:rPr>
        <w:t>(</w:t>
      </w:r>
      <w:r>
        <w:rPr>
          <w:rFonts w:ascii="Times New Roman" w:hAnsi="Times New Roman" w:eastAsia="Times New Roman" w:cs="Times New Roman"/>
          <w:color w:val="231F20"/>
          <w:spacing w:val="-19"/>
          <w:position w:val="1"/>
        </w:rPr>
        <w:t>P</w:t>
      </w:r>
      <w:r>
        <w:rPr>
          <w:color w:val="231F20"/>
          <w:spacing w:val="-19"/>
          <w:position w:val="1"/>
        </w:rPr>
        <w:t>＜0.05).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19"/>
          <w:position w:val="1"/>
        </w:rPr>
        <w:t>Pearson</w:t>
      </w:r>
      <w:r>
        <w:rPr>
          <w:color w:val="231F20"/>
          <w:spacing w:val="11"/>
          <w:position w:val="1"/>
        </w:rPr>
        <w:t xml:space="preserve"> </w:t>
      </w:r>
      <w:r>
        <w:rPr>
          <w:color w:val="231F20"/>
          <w:spacing w:val="-19"/>
          <w:position w:val="1"/>
        </w:rPr>
        <w:t>correlation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19"/>
          <w:position w:val="1"/>
        </w:rPr>
        <w:t>analysis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19"/>
          <w:position w:val="1"/>
        </w:rPr>
        <w:t>showed</w:t>
      </w:r>
      <w:r>
        <w:rPr>
          <w:color w:val="231F20"/>
          <w:spacing w:val="11"/>
          <w:position w:val="1"/>
        </w:rPr>
        <w:t xml:space="preserve"> </w:t>
      </w:r>
      <w:r>
        <w:rPr>
          <w:color w:val="231F20"/>
          <w:spacing w:val="-19"/>
          <w:position w:val="1"/>
        </w:rPr>
        <w:t>a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19"/>
          <w:position w:val="1"/>
        </w:rPr>
        <w:t>positi</w:t>
      </w:r>
      <w:r>
        <w:rPr>
          <w:color w:val="231F20"/>
          <w:spacing w:val="-20"/>
          <w:position w:val="1"/>
        </w:rPr>
        <w:t>ve</w:t>
      </w:r>
      <w:r>
        <w:rPr>
          <w:color w:val="231F20"/>
          <w:position w:val="1"/>
        </w:rPr>
        <w:t xml:space="preserve"> </w:t>
      </w:r>
      <w:r>
        <w:rPr>
          <w:color w:val="231F20"/>
          <w:spacing w:val="-17"/>
          <w:position w:val="1"/>
        </w:rPr>
        <w:t>correlation between social support, self-efficacy,</w:t>
      </w:r>
      <w:r>
        <w:rPr>
          <w:color w:val="231F20"/>
          <w:spacing w:val="2"/>
          <w:position w:val="1"/>
        </w:rPr>
        <w:t xml:space="preserve"> </w:t>
      </w:r>
      <w:r>
        <w:rPr>
          <w:color w:val="231F20"/>
          <w:spacing w:val="-17"/>
          <w:position w:val="1"/>
        </w:rPr>
        <w:t>and</w:t>
      </w:r>
      <w:r>
        <w:rPr>
          <w:color w:val="231F20"/>
          <w:spacing w:val="-2"/>
          <w:position w:val="1"/>
        </w:rPr>
        <w:t xml:space="preserve"> </w:t>
      </w:r>
      <w:r>
        <w:rPr>
          <w:color w:val="231F20"/>
          <w:spacing w:val="-17"/>
          <w:position w:val="1"/>
        </w:rPr>
        <w:t>the</w:t>
      </w:r>
      <w:r>
        <w:rPr>
          <w:color w:val="231F20"/>
          <w:spacing w:val="3"/>
          <w:position w:val="1"/>
        </w:rPr>
        <w:t xml:space="preserve"> </w:t>
      </w:r>
      <w:r>
        <w:rPr>
          <w:color w:val="231F20"/>
          <w:spacing w:val="-17"/>
          <w:position w:val="1"/>
        </w:rPr>
        <w:t>CD-RISC</w:t>
      </w:r>
      <w:r>
        <w:rPr>
          <w:color w:val="231F20"/>
          <w:spacing w:val="2"/>
          <w:position w:val="1"/>
        </w:rPr>
        <w:t xml:space="preserve"> </w:t>
      </w:r>
      <w:r>
        <w:rPr>
          <w:color w:val="231F20"/>
          <w:spacing w:val="-17"/>
          <w:position w:val="1"/>
        </w:rPr>
        <w:t>score</w:t>
      </w:r>
      <w:r>
        <w:rPr>
          <w:color w:val="231F20"/>
          <w:spacing w:val="2"/>
          <w:position w:val="1"/>
        </w:rPr>
        <w:t xml:space="preserve"> </w:t>
      </w:r>
      <w:r>
        <w:rPr>
          <w:color w:val="231F20"/>
          <w:spacing w:val="-17"/>
          <w:position w:val="1"/>
        </w:rPr>
        <w:t>of APID</w:t>
      </w:r>
      <w:r>
        <w:rPr>
          <w:color w:val="231F20"/>
          <w:spacing w:val="-3"/>
          <w:position w:val="1"/>
        </w:rPr>
        <w:t xml:space="preserve"> </w:t>
      </w:r>
      <w:r>
        <w:rPr>
          <w:color w:val="231F20"/>
          <w:spacing w:val="-17"/>
          <w:position w:val="1"/>
        </w:rPr>
        <w:t>patients</w:t>
      </w:r>
      <w:r>
        <w:rPr>
          <w:color w:val="231F20"/>
          <w:spacing w:val="5"/>
          <w:position w:val="1"/>
        </w:rPr>
        <w:t xml:space="preserve"> </w:t>
      </w:r>
      <w:r>
        <w:rPr>
          <w:color w:val="231F20"/>
          <w:spacing w:val="-17"/>
          <w:position w:val="1"/>
        </w:rPr>
        <w:t>(r=0.385,</w:t>
      </w:r>
      <w:r>
        <w:rPr>
          <w:color w:val="231F20"/>
          <w:spacing w:val="2"/>
          <w:position w:val="1"/>
        </w:rPr>
        <w:t xml:space="preserve"> </w:t>
      </w:r>
      <w:r>
        <w:rPr>
          <w:color w:val="231F20"/>
          <w:spacing w:val="-17"/>
          <w:position w:val="1"/>
        </w:rPr>
        <w:t>0.356,</w:t>
      </w:r>
      <w:r>
        <w:rPr>
          <w:color w:val="231F20"/>
          <w:spacing w:val="-5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7"/>
          <w:position w:val="1"/>
        </w:rPr>
        <w:t>P</w:t>
      </w:r>
      <w:r>
        <w:rPr>
          <w:color w:val="231F20"/>
          <w:spacing w:val="-17"/>
          <w:position w:val="1"/>
        </w:rPr>
        <w:t>＜0</w:t>
      </w:r>
      <w:r>
        <w:rPr>
          <w:color w:val="231F20"/>
          <w:spacing w:val="-18"/>
          <w:position w:val="1"/>
        </w:rPr>
        <w:t>.05).</w:t>
      </w:r>
      <w:r>
        <w:rPr>
          <w:color w:val="231F20"/>
          <w:position w:val="1"/>
        </w:rPr>
        <w:t xml:space="preserve"> </w:t>
      </w:r>
      <w:r>
        <w:rPr>
          <w:color w:val="231F20"/>
          <w:spacing w:val="-20"/>
          <w:position w:val="1"/>
        </w:rPr>
        <w:t>The results</w:t>
      </w:r>
      <w:r>
        <w:rPr>
          <w:color w:val="231F20"/>
          <w:spacing w:val="2"/>
          <w:position w:val="1"/>
        </w:rPr>
        <w:t xml:space="preserve"> </w:t>
      </w:r>
      <w:r>
        <w:rPr>
          <w:color w:val="231F20"/>
          <w:spacing w:val="-20"/>
          <w:position w:val="1"/>
        </w:rPr>
        <w:t>of multiple</w:t>
      </w:r>
      <w:r>
        <w:rPr>
          <w:color w:val="231F20"/>
          <w:spacing w:val="4"/>
          <w:position w:val="1"/>
        </w:rPr>
        <w:t xml:space="preserve"> </w:t>
      </w:r>
      <w:r>
        <w:rPr>
          <w:color w:val="231F20"/>
          <w:spacing w:val="-20"/>
          <w:position w:val="1"/>
        </w:rPr>
        <w:t>linear regression</w:t>
      </w:r>
      <w:r>
        <w:rPr>
          <w:color w:val="231F20"/>
          <w:spacing w:val="3"/>
          <w:position w:val="1"/>
        </w:rPr>
        <w:t xml:space="preserve"> </w:t>
      </w:r>
      <w:r>
        <w:rPr>
          <w:color w:val="231F20"/>
          <w:spacing w:val="-20"/>
          <w:position w:val="1"/>
        </w:rPr>
        <w:t>analysis</w:t>
      </w:r>
      <w:r>
        <w:rPr>
          <w:color w:val="231F20"/>
          <w:spacing w:val="3"/>
          <w:position w:val="1"/>
        </w:rPr>
        <w:t xml:space="preserve"> </w:t>
      </w:r>
      <w:r>
        <w:rPr>
          <w:color w:val="231F20"/>
          <w:spacing w:val="-20"/>
          <w:position w:val="1"/>
        </w:rPr>
        <w:t>showe</w:t>
      </w:r>
      <w:r>
        <w:rPr>
          <w:color w:val="231F20"/>
          <w:spacing w:val="-21"/>
          <w:position w:val="1"/>
        </w:rPr>
        <w:t>d that</w:t>
      </w:r>
      <w:r>
        <w:rPr>
          <w:color w:val="231F20"/>
          <w:spacing w:val="3"/>
          <w:position w:val="1"/>
        </w:rPr>
        <w:t xml:space="preserve"> </w:t>
      </w:r>
      <w:r>
        <w:rPr>
          <w:color w:val="231F20"/>
          <w:spacing w:val="-21"/>
          <w:position w:val="1"/>
        </w:rPr>
        <w:t>education</w:t>
      </w:r>
      <w:r>
        <w:rPr>
          <w:color w:val="231F20"/>
          <w:spacing w:val="4"/>
          <w:position w:val="1"/>
        </w:rPr>
        <w:t xml:space="preserve"> </w:t>
      </w:r>
      <w:r>
        <w:rPr>
          <w:color w:val="231F20"/>
          <w:spacing w:val="-21"/>
          <w:position w:val="1"/>
        </w:rPr>
        <w:t>level</w:t>
      </w:r>
      <w:r>
        <w:rPr>
          <w:color w:val="231F20"/>
          <w:spacing w:val="3"/>
          <w:position w:val="1"/>
        </w:rPr>
        <w:t xml:space="preserve"> </w:t>
      </w:r>
      <w:r>
        <w:rPr>
          <w:color w:val="231F20"/>
          <w:spacing w:val="-21"/>
          <w:position w:val="1"/>
        </w:rPr>
        <w:t>at</w:t>
      </w:r>
      <w:r>
        <w:rPr>
          <w:color w:val="231F20"/>
          <w:spacing w:val="3"/>
          <w:position w:val="1"/>
        </w:rPr>
        <w:t xml:space="preserve"> </w:t>
      </w:r>
      <w:r>
        <w:rPr>
          <w:color w:val="231F20"/>
          <w:spacing w:val="-21"/>
          <w:position w:val="1"/>
        </w:rPr>
        <w:t>or</w:t>
      </w:r>
      <w:r>
        <w:rPr>
          <w:color w:val="231F20"/>
          <w:spacing w:val="-2"/>
          <w:position w:val="1"/>
        </w:rPr>
        <w:t xml:space="preserve"> </w:t>
      </w:r>
      <w:r>
        <w:rPr>
          <w:color w:val="231F20"/>
          <w:spacing w:val="-21"/>
          <w:position w:val="1"/>
        </w:rPr>
        <w:t>below junior</w:t>
      </w:r>
      <w:r>
        <w:rPr>
          <w:color w:val="231F20"/>
          <w:spacing w:val="-2"/>
          <w:position w:val="1"/>
        </w:rPr>
        <w:t xml:space="preserve"> </w:t>
      </w:r>
      <w:r>
        <w:rPr>
          <w:color w:val="231F20"/>
          <w:spacing w:val="-21"/>
          <w:position w:val="1"/>
        </w:rPr>
        <w:t>high</w:t>
      </w:r>
      <w:r>
        <w:rPr>
          <w:color w:val="231F20"/>
          <w:spacing w:val="3"/>
          <w:position w:val="1"/>
        </w:rPr>
        <w:t xml:space="preserve"> </w:t>
      </w:r>
      <w:r>
        <w:rPr>
          <w:color w:val="231F20"/>
          <w:spacing w:val="-21"/>
          <w:position w:val="1"/>
        </w:rPr>
        <w:t>school,≥</w:t>
      </w:r>
      <w:r>
        <w:rPr>
          <w:color w:val="231F20"/>
          <w:spacing w:val="4"/>
          <w:position w:val="1"/>
        </w:rPr>
        <w:t xml:space="preserve"> </w:t>
      </w:r>
      <w:r>
        <w:rPr>
          <w:color w:val="231F20"/>
          <w:spacing w:val="-21"/>
          <w:position w:val="1"/>
        </w:rPr>
        <w:t>2</w:t>
      </w:r>
      <w:r>
        <w:rPr>
          <w:color w:val="231F20"/>
          <w:spacing w:val="-1"/>
          <w:position w:val="1"/>
        </w:rPr>
        <w:t xml:space="preserve"> </w:t>
      </w:r>
      <w:r>
        <w:rPr>
          <w:color w:val="231F20"/>
          <w:spacing w:val="-21"/>
          <w:position w:val="1"/>
        </w:rPr>
        <w:t>times</w:t>
      </w:r>
      <w:r>
        <w:rPr>
          <w:color w:val="231F20"/>
          <w:position w:val="1"/>
        </w:rPr>
        <w:t xml:space="preserve"> </w:t>
      </w:r>
      <w:r>
        <w:rPr>
          <w:color w:val="231F20"/>
          <w:spacing w:val="-22"/>
          <w:position w:val="1"/>
        </w:rPr>
        <w:t>of recurrence,</w:t>
      </w:r>
      <w:r>
        <w:rPr>
          <w:color w:val="231F20"/>
          <w:spacing w:val="5"/>
          <w:position w:val="1"/>
        </w:rPr>
        <w:t xml:space="preserve"> </w:t>
      </w:r>
      <w:r>
        <w:rPr>
          <w:color w:val="231F20"/>
          <w:spacing w:val="-22"/>
          <w:position w:val="1"/>
        </w:rPr>
        <w:t>family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22"/>
          <w:position w:val="1"/>
        </w:rPr>
        <w:t>economic</w:t>
      </w:r>
      <w:r>
        <w:rPr>
          <w:color w:val="231F20"/>
          <w:spacing w:val="11"/>
          <w:position w:val="1"/>
        </w:rPr>
        <w:t xml:space="preserve"> </w:t>
      </w:r>
      <w:r>
        <w:rPr>
          <w:color w:val="231F20"/>
          <w:spacing w:val="-22"/>
          <w:position w:val="1"/>
        </w:rPr>
        <w:t>income＜50000</w:t>
      </w:r>
      <w:r>
        <w:rPr>
          <w:color w:val="231F20"/>
          <w:spacing w:val="5"/>
          <w:position w:val="1"/>
        </w:rPr>
        <w:t xml:space="preserve"> </w:t>
      </w:r>
      <w:r>
        <w:rPr>
          <w:color w:val="231F20"/>
          <w:spacing w:val="-22"/>
          <w:position w:val="1"/>
        </w:rPr>
        <w:t>yuan/year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22"/>
          <w:position w:val="1"/>
        </w:rPr>
        <w:t>low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22"/>
          <w:position w:val="1"/>
        </w:rPr>
        <w:t>social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22"/>
          <w:position w:val="1"/>
        </w:rPr>
        <w:t>support,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22"/>
          <w:position w:val="1"/>
        </w:rPr>
        <w:t>and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22"/>
          <w:position w:val="1"/>
        </w:rPr>
        <w:t>low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22"/>
          <w:position w:val="1"/>
        </w:rPr>
        <w:t>self-efficacy</w:t>
      </w:r>
      <w:r>
        <w:rPr>
          <w:color w:val="231F20"/>
          <w:spacing w:val="4"/>
          <w:position w:val="1"/>
        </w:rPr>
        <w:t xml:space="preserve"> </w:t>
      </w:r>
      <w:r>
        <w:rPr>
          <w:color w:val="231F20"/>
          <w:spacing w:val="-22"/>
          <w:position w:val="1"/>
        </w:rPr>
        <w:t>were</w:t>
      </w:r>
      <w:r>
        <w:rPr>
          <w:color w:val="231F20"/>
          <w:spacing w:val="11"/>
          <w:position w:val="1"/>
        </w:rPr>
        <w:t xml:space="preserve"> </w:t>
      </w:r>
      <w:r>
        <w:rPr>
          <w:color w:val="231F20"/>
          <w:spacing w:val="-22"/>
          <w:position w:val="1"/>
        </w:rPr>
        <w:t>independe</w:t>
      </w:r>
      <w:r>
        <w:rPr>
          <w:color w:val="231F20"/>
          <w:spacing w:val="-23"/>
          <w:position w:val="1"/>
        </w:rPr>
        <w:t>nt</w:t>
      </w:r>
      <w:r>
        <w:rPr>
          <w:color w:val="231F20"/>
          <w:position w:val="1"/>
        </w:rPr>
        <w:t xml:space="preserve"> </w:t>
      </w:r>
      <w:r>
        <w:rPr>
          <w:color w:val="231F20"/>
          <w:spacing w:val="-13"/>
          <w:position w:val="1"/>
        </w:rPr>
        <w:t>risk</w:t>
      </w:r>
      <w:r>
        <w:rPr>
          <w:color w:val="231F20"/>
          <w:spacing w:val="11"/>
          <w:position w:val="1"/>
        </w:rPr>
        <w:t xml:space="preserve"> </w:t>
      </w:r>
      <w:r>
        <w:rPr>
          <w:color w:val="231F20"/>
          <w:spacing w:val="-13"/>
          <w:position w:val="1"/>
        </w:rPr>
        <w:t>factors</w:t>
      </w:r>
      <w:r>
        <w:rPr>
          <w:color w:val="231F20"/>
          <w:spacing w:val="16"/>
          <w:position w:val="1"/>
        </w:rPr>
        <w:t xml:space="preserve"> </w:t>
      </w:r>
      <w:r>
        <w:rPr>
          <w:color w:val="231F20"/>
          <w:spacing w:val="-13"/>
          <w:position w:val="1"/>
        </w:rPr>
        <w:t>affecting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13"/>
          <w:position w:val="1"/>
        </w:rPr>
        <w:t>the</w:t>
      </w:r>
      <w:r>
        <w:rPr>
          <w:color w:val="231F20"/>
          <w:spacing w:val="16"/>
          <w:w w:val="101"/>
          <w:position w:val="1"/>
        </w:rPr>
        <w:t xml:space="preserve"> </w:t>
      </w:r>
      <w:r>
        <w:rPr>
          <w:color w:val="231F20"/>
          <w:spacing w:val="-13"/>
          <w:position w:val="1"/>
        </w:rPr>
        <w:t>CD-</w:t>
      </w:r>
      <w:r>
        <w:rPr>
          <w:color w:val="231F20"/>
          <w:spacing w:val="-14"/>
          <w:position w:val="1"/>
        </w:rPr>
        <w:t>RISC</w:t>
      </w:r>
      <w:r>
        <w:rPr>
          <w:color w:val="231F20"/>
          <w:spacing w:val="16"/>
          <w:position w:val="1"/>
        </w:rPr>
        <w:t xml:space="preserve"> </w:t>
      </w:r>
      <w:r>
        <w:rPr>
          <w:color w:val="231F20"/>
          <w:spacing w:val="-14"/>
          <w:position w:val="1"/>
        </w:rPr>
        <w:t>score</w:t>
      </w:r>
      <w:r>
        <w:rPr>
          <w:color w:val="231F20"/>
          <w:spacing w:val="15"/>
          <w:position w:val="1"/>
        </w:rPr>
        <w:t xml:space="preserve"> </w:t>
      </w:r>
      <w:r>
        <w:rPr>
          <w:color w:val="231F20"/>
          <w:spacing w:val="-14"/>
          <w:position w:val="1"/>
        </w:rPr>
        <w:t>of APID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14"/>
          <w:position w:val="1"/>
        </w:rPr>
        <w:t>patients</w:t>
      </w:r>
      <w:r>
        <w:rPr>
          <w:color w:val="231F20"/>
          <w:spacing w:val="18"/>
          <w:position w:val="1"/>
        </w:rPr>
        <w:t xml:space="preserve"> </w:t>
      </w:r>
      <w:r>
        <w:rPr>
          <w:color w:val="231F20"/>
          <w:spacing w:val="-14"/>
          <w:position w:val="1"/>
        </w:rPr>
        <w:t>(</w:t>
      </w:r>
      <w:r>
        <w:rPr>
          <w:rFonts w:ascii="Times New Roman" w:hAnsi="Times New Roman" w:eastAsia="Times New Roman" w:cs="Times New Roman"/>
          <w:color w:val="231F20"/>
          <w:spacing w:val="-14"/>
          <w:position w:val="1"/>
        </w:rPr>
        <w:t>P</w:t>
      </w:r>
      <w:r>
        <w:rPr>
          <w:color w:val="231F20"/>
          <w:spacing w:val="-14"/>
          <w:position w:val="1"/>
        </w:rPr>
        <w:t>＜</w:t>
      </w:r>
      <w:r>
        <w:rPr>
          <w:color w:val="231F20"/>
          <w:spacing w:val="-34"/>
          <w:position w:val="1"/>
        </w:rPr>
        <w:t xml:space="preserve"> </w:t>
      </w:r>
      <w:r>
        <w:rPr>
          <w:color w:val="231F20"/>
          <w:spacing w:val="-14"/>
          <w:position w:val="1"/>
        </w:rPr>
        <w:t>0.05).</w:t>
      </w:r>
      <w:r>
        <w:rPr>
          <w:color w:val="231F20"/>
          <w:spacing w:val="24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4"/>
          <w:position w:val="1"/>
        </w:rPr>
        <w:t>Conclusion:</w:t>
      </w:r>
      <w:r>
        <w:rPr>
          <w:color w:val="231F20"/>
          <w:spacing w:val="-14"/>
          <w:position w:val="1"/>
        </w:rPr>
        <w:t>The</w:t>
      </w:r>
      <w:r>
        <w:rPr>
          <w:color w:val="231F20"/>
          <w:spacing w:val="11"/>
          <w:position w:val="1"/>
        </w:rPr>
        <w:t xml:space="preserve"> </w:t>
      </w:r>
      <w:r>
        <w:rPr>
          <w:color w:val="231F20"/>
          <w:spacing w:val="-14"/>
          <w:position w:val="1"/>
        </w:rPr>
        <w:t>psychological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14"/>
          <w:position w:val="1"/>
        </w:rPr>
        <w:t>resilience</w:t>
      </w:r>
      <w:r>
        <w:rPr>
          <w:color w:val="231F20"/>
          <w:spacing w:val="15"/>
          <w:w w:val="101"/>
          <w:position w:val="1"/>
        </w:rPr>
        <w:t xml:space="preserve"> </w:t>
      </w:r>
      <w:r>
        <w:rPr>
          <w:color w:val="231F20"/>
          <w:spacing w:val="-14"/>
          <w:position w:val="1"/>
        </w:rPr>
        <w:t>of</w:t>
      </w:r>
      <w:r>
        <w:rPr>
          <w:color w:val="231F20"/>
          <w:position w:val="1"/>
        </w:rPr>
        <w:t xml:space="preserve"> </w:t>
      </w:r>
      <w:r>
        <w:rPr>
          <w:color w:val="231F20"/>
          <w:spacing w:val="-19"/>
          <w:position w:val="1"/>
        </w:rPr>
        <w:t>APID patients</w:t>
      </w:r>
      <w:r>
        <w:rPr>
          <w:color w:val="231F20"/>
          <w:spacing w:val="6"/>
          <w:position w:val="1"/>
        </w:rPr>
        <w:t xml:space="preserve"> </w:t>
      </w:r>
      <w:r>
        <w:rPr>
          <w:color w:val="231F20"/>
          <w:spacing w:val="-19"/>
          <w:position w:val="1"/>
        </w:rPr>
        <w:t>is relatively</w:t>
      </w:r>
      <w:r>
        <w:rPr>
          <w:color w:val="231F20"/>
          <w:spacing w:val="4"/>
          <w:position w:val="1"/>
        </w:rPr>
        <w:t xml:space="preserve"> </w:t>
      </w:r>
      <w:r>
        <w:rPr>
          <w:color w:val="231F20"/>
          <w:spacing w:val="-19"/>
          <w:position w:val="1"/>
        </w:rPr>
        <w:t>low, which</w:t>
      </w:r>
      <w:r>
        <w:rPr>
          <w:color w:val="231F20"/>
          <w:spacing w:val="5"/>
          <w:position w:val="1"/>
        </w:rPr>
        <w:t xml:space="preserve"> </w:t>
      </w:r>
      <w:r>
        <w:rPr>
          <w:color w:val="231F20"/>
          <w:spacing w:val="-19"/>
          <w:position w:val="1"/>
        </w:rPr>
        <w:t>is</w:t>
      </w:r>
      <w:r>
        <w:rPr>
          <w:color w:val="231F20"/>
          <w:spacing w:val="3"/>
          <w:position w:val="1"/>
        </w:rPr>
        <w:t xml:space="preserve"> </w:t>
      </w:r>
      <w:r>
        <w:rPr>
          <w:color w:val="231F20"/>
          <w:spacing w:val="-19"/>
          <w:position w:val="1"/>
        </w:rPr>
        <w:t>directly proportional</w:t>
      </w:r>
      <w:r>
        <w:rPr>
          <w:color w:val="231F20"/>
          <w:spacing w:val="-1"/>
          <w:position w:val="1"/>
        </w:rPr>
        <w:t xml:space="preserve"> </w:t>
      </w:r>
      <w:r>
        <w:rPr>
          <w:color w:val="231F20"/>
          <w:spacing w:val="-19"/>
          <w:position w:val="1"/>
        </w:rPr>
        <w:t>to</w:t>
      </w:r>
      <w:r>
        <w:rPr>
          <w:color w:val="231F20"/>
          <w:spacing w:val="3"/>
          <w:position w:val="1"/>
        </w:rPr>
        <w:t xml:space="preserve"> </w:t>
      </w:r>
      <w:r>
        <w:rPr>
          <w:color w:val="231F20"/>
          <w:spacing w:val="-19"/>
          <w:position w:val="1"/>
        </w:rPr>
        <w:t>social</w:t>
      </w:r>
      <w:r>
        <w:rPr>
          <w:color w:val="231F20"/>
          <w:spacing w:val="3"/>
          <w:position w:val="1"/>
        </w:rPr>
        <w:t xml:space="preserve"> </w:t>
      </w:r>
      <w:r>
        <w:rPr>
          <w:color w:val="231F20"/>
          <w:spacing w:val="-19"/>
          <w:position w:val="1"/>
        </w:rPr>
        <w:t>support</w:t>
      </w:r>
      <w:r>
        <w:rPr>
          <w:color w:val="231F20"/>
          <w:spacing w:val="3"/>
          <w:position w:val="1"/>
        </w:rPr>
        <w:t xml:space="preserve"> </w:t>
      </w:r>
      <w:r>
        <w:rPr>
          <w:color w:val="231F20"/>
          <w:spacing w:val="-19"/>
          <w:position w:val="1"/>
        </w:rPr>
        <w:t>and</w:t>
      </w:r>
      <w:r>
        <w:rPr>
          <w:color w:val="231F20"/>
          <w:spacing w:val="3"/>
          <w:position w:val="1"/>
        </w:rPr>
        <w:t xml:space="preserve"> </w:t>
      </w:r>
      <w:r>
        <w:rPr>
          <w:color w:val="231F20"/>
          <w:spacing w:val="-19"/>
          <w:position w:val="1"/>
        </w:rPr>
        <w:t>self-efficacy,</w:t>
      </w:r>
      <w:r>
        <w:rPr>
          <w:color w:val="231F20"/>
          <w:spacing w:val="3"/>
          <w:position w:val="1"/>
        </w:rPr>
        <w:t xml:space="preserve"> </w:t>
      </w:r>
      <w:r>
        <w:rPr>
          <w:color w:val="231F20"/>
          <w:spacing w:val="-19"/>
          <w:position w:val="1"/>
        </w:rPr>
        <w:t>an</w:t>
      </w:r>
      <w:r>
        <w:rPr>
          <w:color w:val="231F20"/>
          <w:spacing w:val="-20"/>
          <w:position w:val="1"/>
        </w:rPr>
        <w:t>d</w:t>
      </w:r>
      <w:r>
        <w:rPr>
          <w:color w:val="231F20"/>
          <w:spacing w:val="-1"/>
          <w:position w:val="1"/>
        </w:rPr>
        <w:t xml:space="preserve"> </w:t>
      </w:r>
      <w:r>
        <w:rPr>
          <w:color w:val="231F20"/>
          <w:spacing w:val="-20"/>
          <w:position w:val="1"/>
        </w:rPr>
        <w:t>their</w:t>
      </w:r>
      <w:r>
        <w:rPr>
          <w:color w:val="231F20"/>
          <w:spacing w:val="3"/>
          <w:position w:val="1"/>
        </w:rPr>
        <w:t xml:space="preserve"> </w:t>
      </w:r>
      <w:r>
        <w:rPr>
          <w:color w:val="231F20"/>
          <w:spacing w:val="-20"/>
          <w:position w:val="1"/>
        </w:rPr>
        <w:t>educational</w:t>
      </w:r>
      <w:r>
        <w:rPr>
          <w:color w:val="231F20"/>
          <w:position w:val="1"/>
        </w:rPr>
        <w:t xml:space="preserve"> </w:t>
      </w:r>
      <w:r>
        <w:rPr>
          <w:color w:val="231F20"/>
          <w:spacing w:val="-20"/>
          <w:position w:val="1"/>
        </w:rPr>
        <w:t>level,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20"/>
          <w:position w:val="1"/>
        </w:rPr>
        <w:t>frequency</w:t>
      </w:r>
      <w:r>
        <w:rPr>
          <w:color w:val="231F20"/>
          <w:spacing w:val="11"/>
          <w:position w:val="1"/>
        </w:rPr>
        <w:t xml:space="preserve"> </w:t>
      </w:r>
      <w:r>
        <w:rPr>
          <w:color w:val="231F20"/>
          <w:spacing w:val="-20"/>
          <w:position w:val="1"/>
        </w:rPr>
        <w:t>of recurrence,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20"/>
          <w:position w:val="1"/>
        </w:rPr>
        <w:t>family</w:t>
      </w:r>
      <w:r>
        <w:rPr>
          <w:color w:val="231F20"/>
          <w:spacing w:val="11"/>
          <w:position w:val="1"/>
        </w:rPr>
        <w:t xml:space="preserve"> </w:t>
      </w:r>
      <w:r>
        <w:rPr>
          <w:color w:val="231F20"/>
          <w:spacing w:val="-20"/>
          <w:position w:val="1"/>
        </w:rPr>
        <w:t>economic</w:t>
      </w:r>
      <w:r>
        <w:rPr>
          <w:color w:val="231F20"/>
          <w:spacing w:val="15"/>
          <w:position w:val="1"/>
        </w:rPr>
        <w:t xml:space="preserve"> </w:t>
      </w:r>
      <w:r>
        <w:rPr>
          <w:color w:val="231F20"/>
          <w:spacing w:val="-20"/>
          <w:position w:val="1"/>
        </w:rPr>
        <w:t>income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20"/>
          <w:position w:val="1"/>
        </w:rPr>
        <w:t>l</w:t>
      </w:r>
      <w:r>
        <w:rPr>
          <w:color w:val="231F20"/>
          <w:spacing w:val="-21"/>
          <w:position w:val="1"/>
        </w:rPr>
        <w:t>ow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21"/>
          <w:position w:val="1"/>
        </w:rPr>
        <w:t>social</w:t>
      </w:r>
      <w:r>
        <w:rPr>
          <w:color w:val="231F20"/>
          <w:spacing w:val="11"/>
          <w:position w:val="1"/>
        </w:rPr>
        <w:t xml:space="preserve"> </w:t>
      </w:r>
      <w:r>
        <w:rPr>
          <w:color w:val="231F20"/>
          <w:spacing w:val="-21"/>
          <w:position w:val="1"/>
        </w:rPr>
        <w:t>support,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21"/>
          <w:position w:val="1"/>
        </w:rPr>
        <w:t>and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21"/>
          <w:position w:val="1"/>
        </w:rPr>
        <w:t>low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21"/>
          <w:position w:val="1"/>
        </w:rPr>
        <w:t>self-efficacy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21"/>
          <w:position w:val="1"/>
        </w:rPr>
        <w:t>can</w:t>
      </w:r>
      <w:r>
        <w:rPr>
          <w:color w:val="231F20"/>
          <w:spacing w:val="11"/>
          <w:position w:val="1"/>
        </w:rPr>
        <w:t xml:space="preserve"> </w:t>
      </w:r>
      <w:r>
        <w:rPr>
          <w:color w:val="231F20"/>
          <w:spacing w:val="-21"/>
          <w:position w:val="1"/>
        </w:rPr>
        <w:t>all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21"/>
          <w:position w:val="1"/>
        </w:rPr>
        <w:t>affect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21"/>
          <w:position w:val="1"/>
        </w:rPr>
        <w:t>them.</w:t>
      </w:r>
    </w:p>
    <w:p>
      <w:pPr>
        <w:pStyle w:val="BodyText"/>
        <w:ind w:left="729" w:firstLine="394"/>
        <w:spacing w:before="4" w:line="229" w:lineRule="exact"/>
        <w:rPr>
          <w:sz w:val="18"/>
          <w:szCs w:val="18"/>
        </w:rPr>
      </w:pPr>
      <w:r>
        <w:rPr>
          <w:rFonts w:ascii="SimSun" w:hAnsi="SimSun" w:eastAsia="SimSun" w:cs="SimSun"/>
          <w:color w:val="231F20"/>
          <w:spacing w:val="-11"/>
          <w:position w:val="1"/>
        </w:rPr>
        <w:t>Key Words:</w:t>
      </w:r>
      <w:r>
        <w:rPr>
          <w:color w:val="231F20"/>
          <w:spacing w:val="-11"/>
          <w:position w:val="1"/>
        </w:rPr>
        <w:t>acute</w:t>
      </w:r>
      <w:r>
        <w:rPr>
          <w:color w:val="231F20"/>
          <w:spacing w:val="20"/>
          <w:w w:val="101"/>
          <w:position w:val="1"/>
        </w:rPr>
        <w:t xml:space="preserve"> </w:t>
      </w:r>
      <w:r>
        <w:rPr>
          <w:color w:val="231F20"/>
          <w:spacing w:val="-11"/>
          <w:position w:val="1"/>
        </w:rPr>
        <w:t>pelvic</w:t>
      </w:r>
      <w:r>
        <w:rPr>
          <w:color w:val="231F20"/>
          <w:spacing w:val="27"/>
          <w:position w:val="1"/>
        </w:rPr>
        <w:t xml:space="preserve"> </w:t>
      </w:r>
      <w:r>
        <w:rPr>
          <w:color w:val="231F20"/>
          <w:spacing w:val="-11"/>
          <w:position w:val="1"/>
        </w:rPr>
        <w:t>inflammatory</w:t>
      </w:r>
      <w:r>
        <w:rPr>
          <w:color w:val="231F20"/>
          <w:spacing w:val="25"/>
          <w:position w:val="1"/>
        </w:rPr>
        <w:t xml:space="preserve"> </w:t>
      </w:r>
      <w:r>
        <w:rPr>
          <w:color w:val="231F20"/>
          <w:spacing w:val="-11"/>
          <w:position w:val="1"/>
        </w:rPr>
        <w:t>disease;</w:t>
      </w:r>
      <w:r>
        <w:rPr>
          <w:color w:val="231F20"/>
          <w:spacing w:val="20"/>
          <w:w w:val="101"/>
          <w:position w:val="1"/>
        </w:rPr>
        <w:t xml:space="preserve"> </w:t>
      </w:r>
      <w:r>
        <w:rPr>
          <w:color w:val="231F20"/>
          <w:spacing w:val="-11"/>
          <w:position w:val="1"/>
        </w:rPr>
        <w:t>psychological</w:t>
      </w:r>
      <w:r>
        <w:rPr>
          <w:color w:val="231F20"/>
          <w:spacing w:val="20"/>
          <w:w w:val="101"/>
          <w:position w:val="1"/>
        </w:rPr>
        <w:t xml:space="preserve"> </w:t>
      </w:r>
      <w:r>
        <w:rPr>
          <w:color w:val="231F20"/>
          <w:spacing w:val="-11"/>
          <w:position w:val="1"/>
        </w:rPr>
        <w:t>resilience;</w:t>
      </w:r>
      <w:r>
        <w:rPr>
          <w:color w:val="231F20"/>
          <w:spacing w:val="24"/>
          <w:w w:val="101"/>
          <w:position w:val="1"/>
        </w:rPr>
        <w:t xml:space="preserve"> </w:t>
      </w:r>
      <w:r>
        <w:rPr>
          <w:color w:val="231F20"/>
          <w:spacing w:val="-11"/>
          <w:position w:val="1"/>
        </w:rPr>
        <w:t>current</w:t>
      </w:r>
      <w:r>
        <w:rPr>
          <w:color w:val="231F20"/>
          <w:spacing w:val="24"/>
          <w:position w:val="1"/>
        </w:rPr>
        <w:t xml:space="preserve"> </w:t>
      </w:r>
      <w:r>
        <w:rPr>
          <w:color w:val="231F20"/>
          <w:spacing w:val="-11"/>
          <w:position w:val="1"/>
        </w:rPr>
        <w:t>situatio</w:t>
      </w:r>
      <w:r>
        <w:rPr>
          <w:color w:val="231F20"/>
          <w:spacing w:val="-12"/>
          <w:position w:val="1"/>
        </w:rPr>
        <w:t>n</w:t>
      </w:r>
      <w:r>
        <w:rPr>
          <w:color w:val="231F20"/>
          <w:spacing w:val="27"/>
          <w:position w:val="1"/>
        </w:rPr>
        <w:t xml:space="preserve"> </w:t>
      </w:r>
      <w:r>
        <w:rPr>
          <w:color w:val="231F20"/>
          <w:spacing w:val="-12"/>
          <w:position w:val="1"/>
        </w:rPr>
        <w:t>investigation;</w:t>
      </w:r>
      <w:r>
        <w:rPr>
          <w:color w:val="231F20"/>
          <w:position w:val="1"/>
        </w:rPr>
        <w:t xml:space="preserve">  </w:t>
      </w:r>
      <w:r>
        <w:rPr>
          <w:color w:val="231F20"/>
          <w:spacing w:val="-14"/>
          <w:position w:val="1"/>
        </w:rPr>
        <w:t>influencing factors; int</w:t>
      </w:r>
      <w:r>
        <w:rPr>
          <w:color w:val="231F20"/>
          <w:spacing w:val="-15"/>
          <w:position w:val="1"/>
        </w:rPr>
        <w:t>ervention strategies</w:t>
      </w:r>
      <w:r>
        <w:rPr>
          <w:color w:val="231F20"/>
          <w:position w:val="1"/>
        </w:rPr>
        <w:t xml:space="preserve">                                                                         </w:t>
      </w:r>
      <w:r>
        <w:rPr>
          <w:color w:val="231F20"/>
          <w:spacing w:val="-15"/>
          <w:position w:val="1"/>
        </w:rPr>
        <w:t>/</w:t>
      </w:r>
      <w:r>
        <w:rPr>
          <w:sz w:val="18"/>
          <w:szCs w:val="18"/>
          <w:color w:val="231F20"/>
          <w:spacing w:val="-15"/>
          <w:position w:val="1"/>
        </w:rPr>
        <w:t>（责任编辑:张    琴）</w:t>
      </w:r>
    </w:p>
    <w:sectPr>
      <w:type w:val="continuous"/>
      <w:pgSz w:w="11906" w:h="16838"/>
      <w:pgMar w:top="1528" w:right="1043" w:bottom="0" w:left="407" w:header="1205" w:footer="0" w:gutter="0"/>
      <w:cols w:equalWidth="0" w:num="1">
        <w:col w:w="1045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6"/>
      <w:spacing w:before="44" w:line="179" w:lineRule="auto"/>
      <w:rPr>
        <w:sz w:val="18"/>
        <w:szCs w:val="18"/>
      </w:rPr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rPr>
        <w:color w:val="231F20"/>
        <w:spacing w:val="7"/>
      </w:rPr>
      <w:t>·126</w:t>
    </w:r>
    <w:r>
      <w:rPr>
        <w:color w:val="231F20"/>
        <w:spacing w:val="25"/>
        <w:w w:val="101"/>
      </w:rPr>
      <w:t xml:space="preserve"> </w:t>
    </w:r>
    <w:r>
      <w:rPr>
        <w:color w:val="231F20"/>
        <w:spacing w:val="7"/>
      </w:rPr>
      <w:t>·</w:t>
    </w:r>
    <w:r>
      <w:rPr>
        <w:color w:val="231F20"/>
        <w:spacing w:val="1"/>
      </w:rPr>
      <w:t xml:space="preserve">                                                            </w:t>
    </w:r>
    <w:r>
      <w:rPr>
        <w:color w:val="231F20"/>
      </w:rPr>
      <w:t xml:space="preserve">                                                              </w:t>
    </w:r>
    <w:r>
      <w:rPr>
        <w:sz w:val="18"/>
        <w:szCs w:val="18"/>
        <w:u w:val="single" w:color="auto"/>
        <w:color w:val="231F20"/>
        <w:spacing w:val="-47"/>
      </w:rPr>
      <w:t xml:space="preserve"> </w:t>
    </w:r>
    <w:r>
      <w:rPr>
        <w:sz w:val="18"/>
        <w:szCs w:val="18"/>
        <w:u w:val="single" w:color="auto"/>
        <w:color w:val="231F20"/>
        <w:spacing w:val="7"/>
      </w:rPr>
      <w:t>生育与妇幼卫生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" style="position:absolute;margin-left:20.4pt;margin-top:814.49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6"/>
      <w:spacing w:before="44" w:line="179" w:lineRule="auto"/>
      <w:rPr>
        <w:sz w:val="18"/>
        <w:szCs w:val="18"/>
      </w:rPr>
    </w:pPr>
    <w:r>
      <w:pict>
        <v:shape id="WordPictureWatermark12" style="position:absolute;margin-left:20.4pt;margin-top:814.49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color w:val="231F20"/>
        <w:spacing w:val="7"/>
      </w:rPr>
      <w:t>·128</w:t>
    </w:r>
    <w:r>
      <w:rPr>
        <w:color w:val="231F20"/>
        <w:spacing w:val="25"/>
        <w:w w:val="101"/>
      </w:rPr>
      <w:t xml:space="preserve"> </w:t>
    </w:r>
    <w:r>
      <w:rPr>
        <w:color w:val="231F20"/>
        <w:spacing w:val="7"/>
      </w:rPr>
      <w:t>·</w:t>
    </w:r>
    <w:r>
      <w:rPr>
        <w:color w:val="231F20"/>
        <w:spacing w:val="1"/>
      </w:rPr>
      <w:t xml:space="preserve">                                                            </w:t>
    </w:r>
    <w:r>
      <w:rPr>
        <w:color w:val="231F20"/>
      </w:rPr>
      <w:t xml:space="preserve">                                                              </w:t>
    </w:r>
    <w:r>
      <w:rPr>
        <w:sz w:val="18"/>
        <w:szCs w:val="18"/>
        <w:u w:val="single" w:color="auto"/>
        <w:color w:val="231F20"/>
        <w:spacing w:val="-47"/>
      </w:rPr>
      <w:t xml:space="preserve"> </w:t>
    </w:r>
    <w:r>
      <w:rPr>
        <w:sz w:val="18"/>
        <w:szCs w:val="18"/>
        <w:u w:val="single" w:color="auto"/>
        <w:color w:val="231F20"/>
        <w:spacing w:val="7"/>
      </w:rPr>
      <w:t>生育与妇幼卫生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2024-07-22T14:46:06Z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2025-10-28T21:30:02</vt:filetime>
  </property>
</Properties>
</file>