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94"/>
        <w:spacing w:before="59"/>
        <w:rPr/>
      </w:pPr>
      <w:r>
        <w:rPr>
          <w:color w:val="231F20"/>
          <w:spacing w:val="-14"/>
        </w:rPr>
        <w:t>·390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·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957"/>
        <w:spacing w:before="130" w:line="174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19"/>
        </w:rPr>
        <w:t>急性盆腔炎患者</w:t>
      </w:r>
      <w:r>
        <w:rPr>
          <w:sz w:val="40"/>
          <w:szCs w:val="40"/>
          <w:color w:val="231F20"/>
          <w:spacing w:val="-86"/>
        </w:rPr>
        <w:t xml:space="preserve"> </w:t>
      </w:r>
      <w:r>
        <w:rPr>
          <w:sz w:val="40"/>
          <w:szCs w:val="40"/>
          <w:color w:val="231F20"/>
        </w:rPr>
        <w:t>ESR</w:t>
      </w:r>
      <w:r>
        <w:rPr>
          <w:sz w:val="40"/>
          <w:szCs w:val="40"/>
          <w:color w:val="231F20"/>
          <w:spacing w:val="19"/>
        </w:rPr>
        <w:t>、</w:t>
      </w:r>
      <w:r>
        <w:rPr>
          <w:sz w:val="40"/>
          <w:szCs w:val="40"/>
          <w:color w:val="231F20"/>
        </w:rPr>
        <w:t>CRP</w:t>
      </w:r>
      <w:r>
        <w:rPr>
          <w:sz w:val="40"/>
          <w:szCs w:val="40"/>
          <w:color w:val="231F20"/>
          <w:spacing w:val="19"/>
        </w:rPr>
        <w:t>、衣原体检查</w:t>
      </w:r>
    </w:p>
    <w:p>
      <w:pPr>
        <w:pStyle w:val="BodyText"/>
        <w:ind w:left="2900"/>
        <w:spacing w:before="78" w:line="179" w:lineRule="auto"/>
        <w:outlineLvl w:val="0"/>
        <w:rPr>
          <w:sz w:val="20"/>
          <w:szCs w:val="20"/>
        </w:rPr>
      </w:pPr>
      <w:r>
        <w:rPr>
          <w:sz w:val="40"/>
          <w:szCs w:val="40"/>
          <w:color w:val="231F20"/>
          <w:spacing w:val="-8"/>
        </w:rPr>
        <w:t>在临床治疗中的应用价值研究</w:t>
      </w:r>
      <w:r>
        <w:rPr>
          <w:sz w:val="40"/>
          <w:szCs w:val="40"/>
          <w:color w:val="231F20"/>
          <w:spacing w:val="-95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17"/>
        </w:rPr>
        <w:t>*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366"/>
        <w:spacing w:before="86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蔡淑梅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李三娣 </w:t>
      </w:r>
      <w:r>
        <w:rPr>
          <w:sz w:val="11"/>
          <w:szCs w:val="11"/>
          <w:color w:val="231F20"/>
          <w:spacing w:val="-3"/>
          <w:position w:val="9"/>
        </w:rPr>
        <w:t>**</w:t>
      </w:r>
      <w:r>
        <w:rPr>
          <w:sz w:val="11"/>
          <w:szCs w:val="11"/>
          <w:color w:val="231F20"/>
          <w:spacing w:val="15"/>
          <w:position w:val="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赖荣祥</w:t>
      </w:r>
    </w:p>
    <w:p>
      <w:pPr>
        <w:ind w:left="3745"/>
        <w:spacing w:before="16" w:line="19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（赣州市南康区中医院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·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江西南康   341400）</w:t>
      </w:r>
    </w:p>
    <w:p>
      <w:pPr>
        <w:ind w:left="1098" w:right="492" w:firstLine="370"/>
        <w:spacing w:before="266" w:line="19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摘   要    目的：研究急性盆腔炎患者血细胞沉降率（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ESR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）、C 反应蛋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白（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CRP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）、衣原体检查在临床治疗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中的应用价值。方法：选取 2021 年 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月～ 2022 年 11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月本院收治的 82 例急性盆腔炎患者作为研究对象，分别对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患者开展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ESR、CRP、衣原体检查。结果：与治疗前比较，治疗后患者的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ESR（79.27%vs.6.1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0%）、CRP（75.61%vs.7.32）、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衣原体阳性检出率（82.93%vs.3.66%）明显更高（P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ESR 水平、CRP 平均值、衣原体平均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值比较，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疗后明显比治疗前低（P 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0.05）。结论：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ESR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CRP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和衣原体检查均能有效确诊急性盆腔炎，可为后续治疗提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供科学的参考依据。</w:t>
      </w:r>
    </w:p>
    <w:p>
      <w:pPr>
        <w:ind w:left="1469"/>
        <w:spacing w:line="20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关键词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急性盆腔炎   ESR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CRP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衣原体检查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临床治疗</w:t>
      </w:r>
    </w:p>
    <w:p>
      <w:pPr>
        <w:spacing w:before="170"/>
        <w:rPr/>
      </w:pPr>
      <w:r/>
    </w:p>
    <w:p>
      <w:pPr>
        <w:sectPr>
          <w:headerReference w:type="default" r:id="rId1"/>
          <w:pgSz w:w="11906" w:h="16158"/>
          <w:pgMar w:top="400" w:right="940" w:bottom="0" w:left="407" w:header="0" w:footer="0" w:gutter="0"/>
          <w:cols w:equalWidth="0" w:num="1">
            <w:col w:w="10558" w:space="0"/>
          </w:cols>
        </w:sectPr>
        <w:rPr/>
      </w:pPr>
    </w:p>
    <w:p>
      <w:pPr>
        <w:pStyle w:val="BodyText"/>
        <w:ind w:left="523" w:right="199" w:firstLine="375"/>
        <w:spacing w:before="29" w:line="243" w:lineRule="auto"/>
        <w:jc w:val="both"/>
        <w:rPr/>
      </w:pPr>
      <w:r>
        <w:rPr>
          <w:color w:val="231F20"/>
          <w:spacing w:val="5"/>
        </w:rPr>
        <w:t>急性盆腔炎属于妇科常见炎症之一，发病位置多为盆腔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内子宫、卵巢或输卵管等一处或多处，发病后治疗不及时可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能引发腹膜炎、败血症等并发症，对女性身心健康存在较大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危害</w:t>
      </w:r>
      <w:r>
        <w:rPr>
          <w:color w:val="231F20"/>
          <w:spacing w:val="-10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[1]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。该病发病后多伴有腹痛、下腹坠胀、阴道分泌物增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多及发热等表现，其病情严重程度与炎症范围有关，为取得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更为有效的治疗效果，临床一直致力于探索科</w:t>
      </w:r>
      <w:r>
        <w:rPr>
          <w:color w:val="231F20"/>
          <w:spacing w:val="-2"/>
        </w:rPr>
        <w:t>学、有效的急性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盆腔炎检测指标及诊断方法</w:t>
      </w:r>
      <w:r>
        <w:rPr>
          <w:color w:val="231F20"/>
          <w:spacing w:val="-5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[2]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。临床检验是常见的急性盆腔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炎诊断方法之一，主要通过采集患者阴道分泌物、血液及体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液等制作标本并进行免疫学检验或菌群培养，以获取科学有 </w:t>
      </w:r>
      <w:r>
        <w:rPr>
          <w:color w:val="231F20"/>
        </w:rPr>
        <w:t>效的诊断结果。血细胞沉降率（Erythrocyte</w:t>
      </w:r>
      <w:r>
        <w:rPr>
          <w:color w:val="231F20"/>
          <w:spacing w:val="56"/>
        </w:rPr>
        <w:t xml:space="preserve"> </w:t>
      </w:r>
      <w:r>
        <w:rPr>
          <w:color w:val="231F20"/>
        </w:rPr>
        <w:t>sedimentation </w:t>
      </w:r>
      <w:r>
        <w:rPr>
          <w:color w:val="231F20"/>
        </w:rPr>
        <w:t>Rate</w:t>
      </w:r>
      <w:r>
        <w:rPr>
          <w:color w:val="231F20"/>
          <w:spacing w:val="2"/>
        </w:rPr>
        <w:t>，</w:t>
      </w:r>
      <w:r>
        <w:rPr>
          <w:color w:val="231F20"/>
        </w:rPr>
        <w:t>ESR</w:t>
      </w:r>
      <w:r>
        <w:rPr>
          <w:color w:val="231F20"/>
          <w:spacing w:val="2"/>
        </w:rPr>
        <w:t>）和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反应蛋白（C-</w:t>
      </w:r>
      <w:r>
        <w:rPr>
          <w:color w:val="231F20"/>
        </w:rPr>
        <w:t>reactionprotein</w:t>
      </w:r>
      <w:r>
        <w:rPr>
          <w:color w:val="231F20"/>
          <w:spacing w:val="2"/>
        </w:rPr>
        <w:t>，</w:t>
      </w:r>
      <w:r>
        <w:rPr>
          <w:color w:val="231F20"/>
        </w:rPr>
        <w:t>CRP</w:t>
      </w:r>
      <w:r>
        <w:rPr>
          <w:color w:val="231F20"/>
          <w:spacing w:val="2"/>
        </w:rPr>
        <w:t>）是急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性盆腔炎诊断中常见的实验室检查指标，根据其指标水平变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化情况可判断急性盆腔炎，现阶段也有多数报道认为沙眼衣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原体与盆腔炎存在密切关联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[3]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3"/>
        </w:rPr>
        <w:t>。为进一步提升急性盆腔炎的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临床治疗效果，本文就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3"/>
        </w:rPr>
        <w:t>、</w:t>
      </w:r>
      <w:r>
        <w:rPr>
          <w:color w:val="231F20"/>
        </w:rPr>
        <w:t>CRP</w:t>
      </w:r>
      <w:r>
        <w:rPr>
          <w:color w:val="231F20"/>
          <w:spacing w:val="3"/>
        </w:rPr>
        <w:t>、衣原体检查在急性盆腔炎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临床治疗中的应用效果进行分析，旨在进一步明确急性盆腔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炎患者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ESR、CRP、衣原体检查在临床</w:t>
      </w:r>
      <w:r>
        <w:rPr>
          <w:color w:val="231F20"/>
          <w:spacing w:val="-2"/>
        </w:rPr>
        <w:t>治疗中的应用价值。</w:t>
      </w:r>
    </w:p>
    <w:p>
      <w:pPr>
        <w:ind w:left="535"/>
        <w:spacing w:before="2" w:line="18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资料与方法</w:t>
      </w:r>
    </w:p>
    <w:p>
      <w:pPr>
        <w:ind w:left="533"/>
        <w:spacing w:before="1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1.1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一般资料</w:t>
      </w:r>
    </w:p>
    <w:p>
      <w:pPr>
        <w:pStyle w:val="BodyText"/>
        <w:ind w:left="523" w:right="196" w:firstLine="371"/>
        <w:spacing w:before="8" w:line="241" w:lineRule="auto"/>
        <w:jc w:val="both"/>
        <w:rPr/>
      </w:pPr>
      <w:r>
        <w:rPr>
          <w:color w:val="231F20"/>
          <w:spacing w:val="7"/>
        </w:rPr>
        <w:t>纳入标准：妇科检查宫颈剧痛，B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超检查宫腔包块或积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液；存在腹痛、发热、下腹坠胀、阴道分泌物增多等临床表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现；知晓研究内容并自愿参与者。排除标准：合并血液性疾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病；合并月经性疾病；严重心肺疾病。根据纳入、排除标准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2021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8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2"/>
        </w:rPr>
        <w:t>月～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2022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11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2"/>
        </w:rPr>
        <w:t>月在本院接受治疗的急性盆腔炎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患者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0"/>
        </w:rPr>
        <w:t>82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0"/>
        </w:rPr>
        <w:t>例进行研究，年龄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0"/>
        </w:rPr>
        <w:t>20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10"/>
        </w:rPr>
        <w:t>～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0"/>
        </w:rPr>
        <w:t>60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0"/>
        </w:rPr>
        <w:t>岁，平均</w:t>
      </w:r>
      <w:r>
        <w:rPr>
          <w:color w:val="231F20"/>
          <w:spacing w:val="-11"/>
        </w:rPr>
        <w:t>（40.54±4.46）岁；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病程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4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46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个月，平均（23.64±2.12）个月；体质量指数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（Body Mass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Index，BMI）21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6"/>
        </w:rPr>
        <w:t>～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6"/>
        </w:rPr>
        <w:t>28kg/m</w:t>
      </w:r>
      <w:r>
        <w:rPr>
          <w:sz w:val="10"/>
          <w:szCs w:val="10"/>
          <w:color w:val="231F20"/>
          <w:spacing w:val="-6"/>
          <w:position w:val="8"/>
        </w:rPr>
        <w:t>2</w:t>
      </w:r>
      <w:r>
        <w:rPr>
          <w:color w:val="231F20"/>
          <w:spacing w:val="-6"/>
        </w:rPr>
        <w:t>，均值</w:t>
      </w:r>
      <w:r>
        <w:rPr>
          <w:color w:val="231F20"/>
          <w:spacing w:val="-7"/>
        </w:rPr>
        <w:t>（24.56±2.44）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kg/m</w:t>
      </w:r>
      <w:r>
        <w:rPr>
          <w:sz w:val="10"/>
          <w:szCs w:val="10"/>
          <w:color w:val="231F20"/>
          <w:spacing w:val="-2"/>
          <w:position w:val="8"/>
        </w:rPr>
        <w:t>2</w:t>
      </w:r>
      <w:r>
        <w:rPr>
          <w:color w:val="231F20"/>
          <w:spacing w:val="-2"/>
        </w:rPr>
        <w:t>。本次研究已获得医院伦理委员会批准。</w:t>
      </w:r>
    </w:p>
    <w:p>
      <w:pPr>
        <w:ind w:left="533"/>
        <w:spacing w:before="9" w:line="18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1.2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方法</w:t>
      </w:r>
    </w:p>
    <w:p>
      <w:pPr>
        <w:pStyle w:val="BodyText"/>
        <w:ind w:left="524" w:right="199" w:firstLine="366"/>
        <w:spacing w:before="4" w:line="243" w:lineRule="auto"/>
        <w:jc w:val="both"/>
        <w:rPr/>
      </w:pPr>
      <w:r>
        <w:pict>
          <v:shape id="_x0000_s4" style="position:absolute;margin-left:26.4966pt;margin-top:64.8619pt;mso-position-vertical-relative:text;mso-position-horizontal-relative:text;width:124.75pt;height:0.25pt;z-index:251658240;" filled="false" strokecolor="#231F20" strokeweight="0.25pt" coordsize="2495,5" coordorigin="0,0" path="m0,2l2494,2e">
            <v:stroke joinstyle="miter" miterlimit="10"/>
          </v:shape>
        </w:pict>
      </w:r>
      <w:r>
        <w:rPr>
          <w:color w:val="231F20"/>
        </w:rPr>
        <w:t>ESR</w:t>
      </w:r>
      <w:r>
        <w:rPr>
          <w:color w:val="231F20"/>
          <w:spacing w:val="3"/>
        </w:rPr>
        <w:t>、</w:t>
      </w:r>
      <w:r>
        <w:rPr>
          <w:color w:val="231F20"/>
        </w:rPr>
        <w:t>CRP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检查：于患者入院后第二日清晨空腹时采集其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2ml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"/>
        </w:rPr>
        <w:t>肘静脉血，置于试管内并加入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0.4ml 3.28%（109</w:t>
      </w:r>
      <w:r>
        <w:rPr>
          <w:color w:val="231F20"/>
          <w:spacing w:val="-2"/>
        </w:rPr>
        <w:t>mmol/L）</w:t>
      </w:r>
      <w:r>
        <w:rPr>
          <w:color w:val="231F20"/>
        </w:rPr>
        <w:t xml:space="preserve"> </w:t>
      </w:r>
      <w:r>
        <w:rPr>
          <w:color w:val="231F20"/>
        </w:rPr>
        <w:t>柠檬酸钠溶液混合，首先采用魏氏法检测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ESR，将魏氏血沉管 </w:t>
      </w:r>
      <w:r>
        <w:rPr>
          <w:color w:val="231F20"/>
        </w:rPr>
        <w:t>（内径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22.5mm）吸取上述混合液至“0”刻度，将其直立于血 </w:t>
      </w:r>
      <w:r>
        <w:rPr>
          <w:color w:val="231F20"/>
          <w:spacing w:val="2"/>
        </w:rPr>
        <w:t>沉架上，于室温环境下静置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2"/>
        </w:rPr>
        <w:t>1h，观察红细胞沉降毫米数。随</w:t>
      </w:r>
    </w:p>
    <w:p>
      <w:pPr>
        <w:pStyle w:val="BodyText"/>
        <w:ind w:left="533"/>
        <w:spacing w:before="140" w:line="167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*  </w:t>
      </w:r>
      <w:r>
        <w:rPr>
          <w:rFonts w:ascii="Microsoft YaHei" w:hAnsi="Microsoft YaHei" w:eastAsia="Microsoft YaHei" w:cs="Microsoft YaHei"/>
          <w:color w:val="231F20"/>
          <w:spacing w:val="-4"/>
        </w:rPr>
        <w:t>项目编号 20222ZDX8291   赣州市指导性科技计划项目</w:t>
      </w:r>
    </w:p>
    <w:p>
      <w:pPr>
        <w:pStyle w:val="BodyText"/>
        <w:ind w:left="533"/>
        <w:spacing w:line="201" w:lineRule="auto"/>
        <w:rPr>
          <w:rFonts w:ascii="KaiTi" w:hAnsi="KaiTi" w:eastAsia="KaiTi" w:cs="KaiTi"/>
        </w:rPr>
      </w:pPr>
      <w:r>
        <w:rPr>
          <w:color w:val="231F20"/>
          <w:spacing w:val="-7"/>
        </w:rPr>
        <w:t>**  </w:t>
      </w:r>
      <w:r>
        <w:rPr>
          <w:rFonts w:ascii="KaiTi" w:hAnsi="KaiTi" w:eastAsia="KaiTi" w:cs="KaiTi"/>
          <w:color w:val="231F20"/>
          <w:spacing w:val="-7"/>
        </w:rPr>
        <w:t>赣州市南康区妇幼保健医院</w:t>
      </w:r>
      <w:r>
        <w:rPr>
          <w:rFonts w:ascii="KaiTi" w:hAnsi="KaiTi" w:eastAsia="KaiTi" w:cs="KaiTi"/>
          <w:color w:val="231F20"/>
          <w:spacing w:val="-12"/>
        </w:rPr>
        <w:t xml:space="preserve"> </w:t>
      </w:r>
      <w:r>
        <w:rPr>
          <w:rFonts w:ascii="KaiTi" w:hAnsi="KaiTi" w:eastAsia="KaiTi" w:cs="KaiTi"/>
          <w:color w:val="231F20"/>
          <w:spacing w:val="-7"/>
        </w:rPr>
        <w:t>·</w:t>
      </w:r>
      <w:r>
        <w:rPr>
          <w:rFonts w:ascii="KaiTi" w:hAnsi="KaiTi" w:eastAsia="KaiTi" w:cs="KaiTi"/>
          <w:color w:val="231F20"/>
          <w:spacing w:val="-77"/>
        </w:rPr>
        <w:t xml:space="preserve"> </w:t>
      </w:r>
      <w:r>
        <w:rPr>
          <w:rFonts w:ascii="KaiTi" w:hAnsi="KaiTi" w:eastAsia="KaiTi" w:cs="KaiTi"/>
          <w:color w:val="231F20"/>
          <w:spacing w:val="-7"/>
        </w:rPr>
        <w:t>江西南康</w:t>
      </w:r>
      <w:r>
        <w:rPr>
          <w:rFonts w:ascii="KaiTi" w:hAnsi="KaiTi" w:eastAsia="KaiTi" w:cs="KaiTi"/>
          <w:color w:val="231F20"/>
          <w:spacing w:val="-7"/>
        </w:rPr>
        <w:t xml:space="preserve">  </w:t>
      </w:r>
      <w:r>
        <w:rPr>
          <w:rFonts w:ascii="KaiTi" w:hAnsi="KaiTi" w:eastAsia="KaiTi" w:cs="KaiTi"/>
          <w:color w:val="231F20"/>
          <w:spacing w:val="-7"/>
        </w:rPr>
        <w:t>341400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9" w:right="3" w:firstLine="7"/>
        <w:spacing w:before="35" w:line="243" w:lineRule="auto"/>
        <w:rPr/>
      </w:pPr>
      <w:r>
        <w:rPr>
          <w:color w:val="231F20"/>
        </w:rPr>
        <w:t>后采用双抗体夹心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ELISA</w:t>
      </w:r>
      <w:r>
        <w:rPr>
          <w:color w:val="231F20"/>
          <w:spacing w:val="-36"/>
        </w:rPr>
        <w:t xml:space="preserve"> </w:t>
      </w:r>
      <w:r>
        <w:rPr>
          <w:color w:val="231F20"/>
        </w:rPr>
        <w:t>法检测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CRP，仪器选择日产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olympus </w:t>
      </w:r>
      <w:r>
        <w:rPr>
          <w:color w:val="231F20"/>
          <w:spacing w:val="-2"/>
        </w:rPr>
        <w:t>AU5400 全自动生化分析仪。</w:t>
      </w:r>
    </w:p>
    <w:p>
      <w:pPr>
        <w:pStyle w:val="BodyText"/>
        <w:ind w:right="3" w:firstLine="453"/>
        <w:spacing w:before="1" w:line="243" w:lineRule="auto"/>
        <w:jc w:val="both"/>
        <w:rPr/>
      </w:pPr>
      <w:r>
        <w:rPr>
          <w:color w:val="231F20"/>
          <w:spacing w:val="4"/>
        </w:rPr>
        <w:t>衣原体检查：采集患者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0.5</w:t>
      </w:r>
      <w:r>
        <w:rPr>
          <w:color w:val="231F20"/>
        </w:rPr>
        <w:t>ml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阴道分泌物，置于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0.5</w:t>
      </w:r>
      <w:r>
        <w:rPr>
          <w:color w:val="231F20"/>
        </w:rPr>
        <w:t>ml </w:t>
      </w:r>
      <w:r>
        <w:rPr>
          <w:color w:val="231F20"/>
          <w:spacing w:val="29"/>
        </w:rPr>
        <w:t>塑料离心管中，并加入二种引物，10×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9"/>
        </w:rPr>
        <w:t>聚合酶</w:t>
      </w:r>
      <w:r>
        <w:rPr>
          <w:color w:val="231F20"/>
          <w:spacing w:val="28"/>
        </w:rPr>
        <w:t>链反应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（Polymerase Chain Reaction，PCR）反应缓冲</w:t>
      </w:r>
      <w:r>
        <w:rPr>
          <w:color w:val="231F20"/>
          <w:spacing w:val="-6"/>
        </w:rPr>
        <w:t>液，dNTPs（2mol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混合液</w:t>
      </w:r>
      <w:r>
        <w:rPr>
          <w:color w:val="231F20"/>
          <w:spacing w:val="11"/>
        </w:rPr>
        <w:t>），</w:t>
      </w:r>
      <w:r>
        <w:rPr>
          <w:color w:val="231F20"/>
          <w:spacing w:val="3"/>
        </w:rPr>
        <w:t>模板，去离子水，充分混合后于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12000r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速度离心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</w:rPr>
        <w:t>min</w:t>
      </w:r>
      <w:r>
        <w:rPr>
          <w:color w:val="231F20"/>
          <w:spacing w:val="3"/>
        </w:rPr>
        <w:t>， 随后于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95℃下加热变性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5</w:t>
      </w:r>
      <w:r>
        <w:rPr>
          <w:color w:val="231F20"/>
        </w:rPr>
        <w:t>min</w:t>
      </w:r>
      <w:r>
        <w:rPr>
          <w:color w:val="231F20"/>
          <w:spacing w:val="3"/>
        </w:rPr>
        <w:t>，加入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0.5μ</w:t>
      </w:r>
      <w:r>
        <w:rPr>
          <w:color w:val="231F20"/>
        </w:rPr>
        <w:t>l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Taq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DNA </w:t>
      </w:r>
      <w:r>
        <w:rPr>
          <w:color w:val="231F20"/>
          <w:spacing w:val="8"/>
        </w:rPr>
        <w:t>聚合酶（5μ/μl</w:t>
      </w:r>
      <w:r>
        <w:rPr>
          <w:color w:val="231F20"/>
          <w:spacing w:val="24"/>
        </w:rPr>
        <w:t>），</w:t>
      </w:r>
      <w:r>
        <w:rPr>
          <w:color w:val="231F20"/>
          <w:spacing w:val="8"/>
        </w:rPr>
        <w:t>混匀后加入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100μ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8"/>
        </w:rPr>
        <w:t>液体石蜡，避免液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体蒸发；94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97℃循环变性（30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50s</w:t>
      </w:r>
      <w:r>
        <w:rPr>
          <w:color w:val="231F20"/>
          <w:spacing w:val="-11"/>
        </w:rPr>
        <w:t>），</w:t>
      </w:r>
      <w:r>
        <w:rPr>
          <w:color w:val="231F20"/>
          <w:spacing w:val="4"/>
        </w:rPr>
        <w:t>退</w:t>
      </w:r>
      <w:r>
        <w:rPr>
          <w:color w:val="231F20"/>
          <w:spacing w:val="3"/>
        </w:rPr>
        <w:t>火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20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3"/>
        </w:rPr>
        <w:t>～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3"/>
        </w:rPr>
        <w:t>65℃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（60 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90s</w:t>
      </w:r>
      <w:r>
        <w:rPr>
          <w:color w:val="231F20"/>
          <w:spacing w:val="-13"/>
        </w:rPr>
        <w:t>），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2"/>
        </w:rPr>
        <w:t>延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伸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70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"/>
        </w:rPr>
        <w:t>74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℃（60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～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120s</w:t>
      </w:r>
      <w:r>
        <w:rPr>
          <w:color w:val="231F20"/>
          <w:spacing w:val="-13"/>
        </w:rPr>
        <w:t>），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2"/>
        </w:rPr>
        <w:t>重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2"/>
        </w:rPr>
        <w:t>复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>循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2"/>
        </w:rPr>
        <w:t>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25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35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次。反应结束后于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4℃环境下保存样本，取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4"/>
        </w:rPr>
        <w:t>5μl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反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应液置于琼脂糖凝胶电泳，溴化乙锭染色，并于紫外灯下观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察结果， PCR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产物为一条明显的、单一的荧光带。</w:t>
      </w:r>
    </w:p>
    <w:p>
      <w:pPr>
        <w:ind w:left="93"/>
        <w:spacing w:before="1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观察指标</w:t>
      </w:r>
    </w:p>
    <w:p>
      <w:pPr>
        <w:pStyle w:val="BodyText"/>
        <w:ind w:left="85" w:right="6" w:firstLine="367"/>
        <w:spacing w:before="4" w:line="242" w:lineRule="auto"/>
        <w:rPr/>
      </w:pPr>
      <w:r>
        <w:rPr>
          <w:color w:val="231F20"/>
          <w:spacing w:val="15"/>
        </w:rPr>
        <w:t>记录患者治疗前后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5"/>
        </w:rPr>
        <w:t>指标水平，并计算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15"/>
        </w:rPr>
        <w:t>、衣原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体阳性检出率和平均值，比较治疗前后数据。</w:t>
      </w:r>
      <w:r>
        <w:rPr>
          <w:color w:val="231F20"/>
        </w:rPr>
        <w:t>ESR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5"/>
        </w:rPr>
        <w:t>参考范</w:t>
      </w:r>
      <w:r>
        <w:rPr>
          <w:color w:val="231F20"/>
        </w:rPr>
        <w:t xml:space="preserve"> </w:t>
      </w:r>
      <w:r>
        <w:rPr>
          <w:color w:val="231F20"/>
        </w:rPr>
        <w:t>围：0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～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20mm/h；CRP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参考范围：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≤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10mg/L；衣原体参考： </w:t>
      </w:r>
      <w:r>
        <w:rPr>
          <w:color w:val="231F20"/>
          <w:spacing w:val="-3"/>
        </w:rPr>
        <w:t>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103copy/ml，超过正常范围视为阳性。</w:t>
      </w:r>
    </w:p>
    <w:p>
      <w:pPr>
        <w:ind w:left="93"/>
        <w:spacing w:before="1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1.4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统计学方法</w:t>
      </w:r>
    </w:p>
    <w:p>
      <w:pPr>
        <w:pStyle w:val="BodyText"/>
        <w:ind w:left="85" w:right="4" w:firstLine="370"/>
        <w:spacing w:before="1"/>
        <w:jc w:val="both"/>
        <w:rPr/>
      </w:pPr>
      <w:r>
        <w:rPr>
          <w:color w:val="231F20"/>
          <w:spacing w:val="-2"/>
        </w:rPr>
        <w:t>组间检验运算以统计学软件 (SPSS 23</w:t>
      </w:r>
      <w:r>
        <w:rPr>
          <w:color w:val="231F20"/>
          <w:spacing w:val="-3"/>
        </w:rPr>
        <w:t>.0)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3"/>
        </w:rPr>
        <w:t>进行辅助，经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检验和卡方检验，对应以 (x±s)、(n)%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表示，当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3"/>
        </w:rPr>
        <w:t>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0.05，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则表示组间所得数据比较差异有统计学意义。</w:t>
      </w:r>
    </w:p>
    <w:p>
      <w:pPr>
        <w:ind w:left="82"/>
        <w:spacing w:before="1" w:line="189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结果</w:t>
      </w:r>
    </w:p>
    <w:p>
      <w:pPr>
        <w:ind w:left="83"/>
        <w:spacing w:before="1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2.1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治疗前后 ESR、CRP、衣原体阳性检出率比较</w:t>
      </w:r>
    </w:p>
    <w:p>
      <w:pPr>
        <w:pStyle w:val="BodyText"/>
        <w:ind w:left="84" w:right="21" w:firstLine="373"/>
        <w:spacing w:line="242" w:lineRule="auto"/>
        <w:rPr/>
      </w:pPr>
      <w:r>
        <w:rPr>
          <w:color w:val="231F20"/>
          <w:spacing w:val="2"/>
        </w:rPr>
        <w:t>治疗后患者的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2"/>
        </w:rPr>
        <w:t>、</w:t>
      </w:r>
      <w:r>
        <w:rPr>
          <w:color w:val="231F20"/>
        </w:rPr>
        <w:t>CRP</w:t>
      </w:r>
      <w:r>
        <w:rPr>
          <w:color w:val="231F20"/>
          <w:spacing w:val="2"/>
        </w:rPr>
        <w:t>、衣原体阳性检出率明显低于治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疗前（P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1。</w:t>
      </w:r>
    </w:p>
    <w:p>
      <w:pPr>
        <w:pStyle w:val="BodyText"/>
        <w:ind w:left="395"/>
        <w:spacing w:before="1" w:line="219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2"/>
        </w:rPr>
        <w:t>1  治疗前后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2"/>
        </w:rPr>
        <w:t>ESR、CRP、衣原体阳性检出率对比 [n（%）]</w:t>
      </w:r>
    </w:p>
    <w:p>
      <w:pPr>
        <w:spacing w:line="26" w:lineRule="exact"/>
        <w:rPr/>
      </w:pPr>
      <w:r/>
    </w:p>
    <w:tbl>
      <w:tblPr>
        <w:tblStyle w:val="TableNormal"/>
        <w:tblW w:w="4833" w:type="dxa"/>
        <w:tblInd w:w="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46"/>
        <w:gridCol w:w="706"/>
        <w:gridCol w:w="1106"/>
        <w:gridCol w:w="967"/>
        <w:gridCol w:w="1008"/>
      </w:tblGrid>
      <w:tr>
        <w:trPr>
          <w:trHeight w:val="311" w:hRule="atLeast"/>
        </w:trPr>
        <w:tc>
          <w:tcPr>
            <w:tcW w:w="104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37"/>
              <w:spacing w:before="73" w:line="222" w:lineRule="auto"/>
              <w:rPr/>
            </w:pP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7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8"/>
              <w:spacing w:before="134" w:line="123" w:lineRule="exact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1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8"/>
              <w:spacing w:before="99" w:line="183" w:lineRule="auto"/>
              <w:rPr/>
            </w:pPr>
            <w:r>
              <w:rPr>
                <w:color w:val="231F20"/>
                <w:spacing w:val="-2"/>
              </w:rPr>
              <w:t>ESR</w:t>
            </w:r>
          </w:p>
        </w:tc>
        <w:tc>
          <w:tcPr>
            <w:tcW w:w="9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409"/>
              <w:spacing w:before="99" w:line="183" w:lineRule="auto"/>
              <w:rPr/>
            </w:pPr>
            <w:r>
              <w:rPr>
                <w:color w:val="231F20"/>
                <w:spacing w:val="-2"/>
              </w:rPr>
              <w:t>CRP</w:t>
            </w:r>
          </w:p>
        </w:tc>
        <w:tc>
          <w:tcPr>
            <w:tcW w:w="100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90"/>
              <w:spacing w:before="73" w:line="221" w:lineRule="auto"/>
              <w:rPr/>
            </w:pPr>
            <w:r>
              <w:rPr>
                <w:color w:val="231F20"/>
                <w:spacing w:val="-2"/>
              </w:rPr>
              <w:t>衣原体</w:t>
            </w:r>
          </w:p>
        </w:tc>
      </w:tr>
      <w:tr>
        <w:trPr>
          <w:trHeight w:val="310" w:hRule="atLeast"/>
        </w:trPr>
        <w:tc>
          <w:tcPr>
            <w:tcW w:w="10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3"/>
              <w:spacing w:before="75" w:line="220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7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0"/>
              <w:spacing w:before="74"/>
              <w:rPr/>
            </w:pPr>
            <w:r>
              <w:rPr>
                <w:color w:val="231F20"/>
                <w:spacing w:val="-2"/>
              </w:rPr>
              <w:t>82</w:t>
            </w:r>
          </w:p>
        </w:tc>
        <w:tc>
          <w:tcPr>
            <w:tcW w:w="11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2"/>
              <w:spacing w:before="75" w:line="232" w:lineRule="auto"/>
              <w:jc w:val="right"/>
              <w:rPr/>
            </w:pPr>
            <w:r>
              <w:rPr>
                <w:color w:val="231F20"/>
                <w:spacing w:val="-1"/>
              </w:rPr>
              <w:t>65（79.27）</w:t>
            </w:r>
          </w:p>
        </w:tc>
        <w:tc>
          <w:tcPr>
            <w:tcW w:w="9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3"/>
              <w:spacing w:before="75" w:line="232" w:lineRule="auto"/>
              <w:jc w:val="right"/>
              <w:rPr/>
            </w:pPr>
            <w:r>
              <w:rPr>
                <w:color w:val="231F20"/>
                <w:spacing w:val="-2"/>
              </w:rPr>
              <w:t>62（75.61）</w:t>
            </w:r>
          </w:p>
        </w:tc>
        <w:tc>
          <w:tcPr>
            <w:tcW w:w="10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75" w:line="232" w:lineRule="auto"/>
              <w:rPr/>
            </w:pPr>
            <w:r>
              <w:rPr>
                <w:color w:val="231F20"/>
                <w:spacing w:val="-2"/>
              </w:rPr>
              <w:t>68（82.93）</w:t>
            </w:r>
          </w:p>
        </w:tc>
      </w:tr>
      <w:tr>
        <w:trPr>
          <w:trHeight w:val="310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253"/>
              <w:spacing w:before="82" w:line="220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330"/>
              <w:spacing w:before="82"/>
              <w:rPr/>
            </w:pPr>
            <w:r>
              <w:rPr>
                <w:color w:val="231F20"/>
                <w:spacing w:val="-2"/>
              </w:rPr>
              <w:t>82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313"/>
              <w:spacing w:before="82" w:line="232" w:lineRule="auto"/>
              <w:rPr/>
            </w:pPr>
            <w:r>
              <w:rPr>
                <w:color w:val="231F20"/>
                <w:spacing w:val="-1"/>
              </w:rPr>
              <w:t>5（6.10）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172"/>
              <w:spacing w:before="82" w:line="232" w:lineRule="auto"/>
              <w:rPr/>
            </w:pPr>
            <w:r>
              <w:rPr>
                <w:color w:val="231F20"/>
                <w:spacing w:val="-2"/>
              </w:rPr>
              <w:t>6（7.32）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173"/>
              <w:spacing w:before="82" w:line="232" w:lineRule="auto"/>
              <w:rPr/>
            </w:pPr>
            <w:r>
              <w:rPr>
                <w:color w:val="231F20"/>
                <w:spacing w:val="-2"/>
              </w:rPr>
              <w:t>3（3.66）</w:t>
            </w:r>
          </w:p>
        </w:tc>
      </w:tr>
      <w:tr>
        <w:trPr>
          <w:trHeight w:val="320" w:hRule="atLeast"/>
        </w:trPr>
        <w:tc>
          <w:tcPr>
            <w:tcW w:w="1046" w:type="dxa"/>
            <w:vAlign w:val="top"/>
          </w:tcPr>
          <w:p>
            <w:pPr>
              <w:pStyle w:val="TableText"/>
              <w:ind w:left="325"/>
              <w:spacing w:before="70" w:line="210" w:lineRule="exact"/>
              <w:rPr/>
            </w:pPr>
            <w:r>
              <w:rPr>
                <w:color w:val="231F20"/>
                <w:spacing w:val="-46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8"/>
              </w:rPr>
              <w:t>2 </w:t>
            </w:r>
            <w:r>
              <w:rPr>
                <w:color w:val="231F20"/>
                <w:spacing w:val="1"/>
                <w:position w:val="1"/>
              </w:rPr>
              <w:t>值</w:t>
            </w:r>
          </w:p>
        </w:tc>
        <w:tc>
          <w:tcPr>
            <w:tcW w:w="706" w:type="dxa"/>
            <w:vAlign w:val="top"/>
          </w:tcPr>
          <w:p>
            <w:pPr>
              <w:pStyle w:val="TableText"/>
              <w:ind w:left="368"/>
              <w:spacing w:before="165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06" w:type="dxa"/>
            <w:vAlign w:val="top"/>
          </w:tcPr>
          <w:p>
            <w:pPr>
              <w:pStyle w:val="TableText"/>
              <w:ind w:left="431"/>
              <w:spacing w:before="90" w:line="239" w:lineRule="auto"/>
              <w:rPr/>
            </w:pPr>
            <w:r>
              <w:rPr>
                <w:color w:val="231F20"/>
                <w:spacing w:val="-1"/>
              </w:rPr>
              <w:t>89.726</w:t>
            </w:r>
          </w:p>
        </w:tc>
        <w:tc>
          <w:tcPr>
            <w:tcW w:w="967" w:type="dxa"/>
            <w:vAlign w:val="top"/>
          </w:tcPr>
          <w:p>
            <w:pPr>
              <w:pStyle w:val="TableText"/>
              <w:ind w:left="295"/>
              <w:spacing w:before="90" w:line="239" w:lineRule="auto"/>
              <w:rPr/>
            </w:pPr>
            <w:r>
              <w:rPr>
                <w:color w:val="231F20"/>
                <w:spacing w:val="-2"/>
              </w:rPr>
              <w:t>78.784</w:t>
            </w:r>
          </w:p>
        </w:tc>
        <w:tc>
          <w:tcPr>
            <w:tcW w:w="1008" w:type="dxa"/>
            <w:vAlign w:val="top"/>
          </w:tcPr>
          <w:p>
            <w:pPr>
              <w:pStyle w:val="TableText"/>
              <w:ind w:left="262"/>
              <w:spacing w:before="90" w:line="239" w:lineRule="auto"/>
              <w:rPr/>
            </w:pPr>
            <w:r>
              <w:rPr>
                <w:color w:val="231F20"/>
                <w:spacing w:val="-3"/>
              </w:rPr>
              <w:t>104.937</w:t>
            </w:r>
          </w:p>
        </w:tc>
      </w:tr>
      <w:tr>
        <w:trPr>
          <w:trHeight w:val="321" w:hRule="atLeast"/>
        </w:trPr>
        <w:tc>
          <w:tcPr>
            <w:tcW w:w="10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87" w:line="220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7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8"/>
              <w:spacing w:before="163" w:line="108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71"/>
              <w:spacing w:before="87" w:line="239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9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2"/>
              <w:spacing w:before="87" w:line="239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00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2"/>
              <w:spacing w:before="87" w:line="239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906" w:h="16158"/>
          <w:pgMar w:top="400" w:right="940" w:bottom="0" w:left="407" w:header="0" w:footer="0" w:gutter="0"/>
          <w:cols w:equalWidth="0" w:num="2">
            <w:col w:w="5551" w:space="100"/>
            <w:col w:w="4907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802"/>
        <w:spacing w:before="59"/>
        <w:rPr/>
      </w:pPr>
      <w:r>
        <w:rPr>
          <w:color w:val="231F20"/>
          <w:spacing w:val="-14"/>
        </w:rPr>
        <w:t>·391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·</w:t>
      </w:r>
    </w:p>
    <w:p>
      <w:pPr>
        <w:spacing w:before="32"/>
        <w:rPr/>
      </w:pPr>
      <w:r/>
    </w:p>
    <w:p>
      <w:pPr>
        <w:sectPr>
          <w:headerReference w:type="default" r:id="rId2"/>
          <w:pgSz w:w="11906" w:h="16158"/>
          <w:pgMar w:top="400" w:right="885" w:bottom="0" w:left="407" w:header="0" w:footer="0" w:gutter="0"/>
          <w:cols w:equalWidth="0" w:num="1">
            <w:col w:w="10612" w:space="0"/>
          </w:cols>
        </w:sectPr>
        <w:rPr/>
      </w:pPr>
    </w:p>
    <w:p>
      <w:pPr>
        <w:pStyle w:val="BodyText"/>
        <w:ind w:left="907" w:right="286" w:hanging="374"/>
        <w:spacing w:before="38" w:line="206" w:lineRule="auto"/>
        <w:rPr/>
      </w:pPr>
      <w:r>
        <w:rPr>
          <w:rFonts w:ascii="Microsoft YaHei" w:hAnsi="Microsoft YaHei" w:eastAsia="Microsoft YaHei" w:cs="Microsoft YaHei"/>
          <w:color w:val="231F20"/>
        </w:rPr>
        <w:t>2.2   治疗前后 ESR 水平、CRP 平均值、衣原体平均值比较    </w:t>
      </w:r>
      <w:r>
        <w:rPr>
          <w:color w:val="231F20"/>
          <w:spacing w:val="-2"/>
        </w:rPr>
        <w:t>治疗后患者的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"/>
        </w:rPr>
        <w:t>ESR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2"/>
        </w:rPr>
        <w:t>水平、CRP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2"/>
        </w:rPr>
        <w:t>平均值、衣原体平均值明显</w:t>
      </w:r>
    </w:p>
    <w:p>
      <w:pPr>
        <w:pStyle w:val="BodyText"/>
        <w:ind w:left="533"/>
        <w:spacing w:before="9" w:line="220" w:lineRule="auto"/>
        <w:rPr/>
      </w:pPr>
      <w:r>
        <w:rPr>
          <w:color w:val="231F20"/>
          <w:spacing w:val="-3"/>
        </w:rPr>
        <w:t>低于治疗前（P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3"/>
        </w:rPr>
        <w:t>0.05</w:t>
      </w:r>
      <w:r>
        <w:rPr>
          <w:color w:val="231F20"/>
        </w:rPr>
        <w:t>），</w:t>
      </w:r>
      <w:r>
        <w:rPr>
          <w:color w:val="231F20"/>
          <w:spacing w:val="-3"/>
        </w:rPr>
        <w:t>见表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2。</w:t>
      </w:r>
    </w:p>
    <w:p>
      <w:pPr>
        <w:pStyle w:val="BodyText"/>
        <w:ind w:left="649"/>
        <w:spacing w:before="22" w:line="220" w:lineRule="auto"/>
        <w:outlineLvl w:val="2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表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2  治疗前后</w:t>
      </w:r>
      <w:r>
        <w:rPr>
          <w:sz w:val="16"/>
          <w:szCs w:val="16"/>
          <w:color w:val="231F20"/>
          <w:spacing w:val="-36"/>
        </w:rPr>
        <w:t xml:space="preserve"> </w:t>
      </w:r>
      <w:r>
        <w:rPr>
          <w:sz w:val="16"/>
          <w:szCs w:val="16"/>
          <w:color w:val="231F20"/>
          <w:spacing w:val="-2"/>
        </w:rPr>
        <w:t>ESR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水平、CRP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2"/>
        </w:rPr>
        <w:t>平均值、衣原体平均值对比 (x±s)</w:t>
      </w:r>
    </w:p>
    <w:p>
      <w:pPr>
        <w:spacing w:line="26" w:lineRule="exact"/>
        <w:rPr/>
      </w:pPr>
      <w:r/>
    </w:p>
    <w:tbl>
      <w:tblPr>
        <w:tblStyle w:val="TableNormal"/>
        <w:tblW w:w="4818" w:type="dxa"/>
        <w:tblInd w:w="5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7"/>
        <w:gridCol w:w="432"/>
        <w:gridCol w:w="1118"/>
        <w:gridCol w:w="1054"/>
        <w:gridCol w:w="1497"/>
      </w:tblGrid>
      <w:tr>
        <w:trPr>
          <w:trHeight w:val="234" w:hRule="atLeast"/>
        </w:trPr>
        <w:tc>
          <w:tcPr>
            <w:tcW w:w="7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3"/>
              <w:spacing w:before="35" w:line="217" w:lineRule="auto"/>
              <w:rPr/>
            </w:pPr>
            <w:r>
              <w:rPr>
                <w:color w:val="231F20"/>
                <w:spacing w:val="-4"/>
              </w:rPr>
              <w:t>时间</w:t>
            </w:r>
          </w:p>
        </w:tc>
        <w:tc>
          <w:tcPr>
            <w:tcW w:w="43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83"/>
              <w:spacing w:before="96" w:line="123" w:lineRule="exact"/>
              <w:rPr/>
            </w:pPr>
            <w:r>
              <w:rPr>
                <w:color w:val="231F20"/>
              </w:rPr>
              <w:t>n</w:t>
            </w:r>
          </w:p>
        </w:tc>
        <w:tc>
          <w:tcPr>
            <w:tcW w:w="111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4"/>
              <w:spacing w:before="35" w:line="217" w:lineRule="auto"/>
              <w:rPr/>
            </w:pPr>
            <w:r>
              <w:rPr>
                <w:color w:val="231F20"/>
                <w:spacing w:val="-2"/>
              </w:rPr>
              <w:t>ESR（mm/h）</w:t>
            </w:r>
          </w:p>
        </w:tc>
        <w:tc>
          <w:tcPr>
            <w:tcW w:w="105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4"/>
              <w:spacing w:before="35" w:line="214" w:lineRule="auto"/>
              <w:rPr/>
            </w:pPr>
            <w:r>
              <w:rPr>
                <w:color w:val="231F20"/>
                <w:spacing w:val="-2"/>
              </w:rPr>
              <w:t>CRP（mg/L）</w:t>
            </w:r>
          </w:p>
        </w:tc>
        <w:tc>
          <w:tcPr>
            <w:tcW w:w="149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6"/>
              <w:spacing w:before="35" w:line="214" w:lineRule="auto"/>
              <w:rPr/>
            </w:pPr>
            <w:r>
              <w:rPr>
                <w:color w:val="231F20"/>
                <w:spacing w:val="-2"/>
              </w:rPr>
              <w:t>衣原体（copy/ml）</w:t>
            </w:r>
          </w:p>
        </w:tc>
      </w:tr>
      <w:tr>
        <w:trPr>
          <w:trHeight w:val="234" w:hRule="atLeast"/>
        </w:trPr>
        <w:tc>
          <w:tcPr>
            <w:tcW w:w="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"/>
              <w:spacing w:before="37" w:line="215" w:lineRule="auto"/>
              <w:rPr/>
            </w:pPr>
            <w:r>
              <w:rPr>
                <w:color w:val="231F20"/>
                <w:spacing w:val="-3"/>
              </w:rPr>
              <w:t>治疗前</w:t>
            </w:r>
          </w:p>
        </w:tc>
        <w:tc>
          <w:tcPr>
            <w:tcW w:w="4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5"/>
              <w:spacing w:before="37" w:line="215" w:lineRule="auto"/>
              <w:rPr/>
            </w:pPr>
            <w:r>
              <w:rPr>
                <w:color w:val="231F20"/>
                <w:spacing w:val="-2"/>
              </w:rPr>
              <w:t>82</w:t>
            </w:r>
          </w:p>
        </w:tc>
        <w:tc>
          <w:tcPr>
            <w:tcW w:w="111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49"/>
              <w:spacing w:before="37" w:line="215" w:lineRule="auto"/>
              <w:rPr/>
            </w:pPr>
            <w:r>
              <w:rPr>
                <w:color w:val="231F20"/>
                <w:spacing w:val="-1"/>
              </w:rPr>
              <w:t>58.45±5.34</w:t>
            </w:r>
          </w:p>
        </w:tc>
        <w:tc>
          <w:tcPr>
            <w:tcW w:w="105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8"/>
              <w:spacing w:before="37" w:line="215" w:lineRule="auto"/>
              <w:rPr/>
            </w:pPr>
            <w:r>
              <w:rPr>
                <w:color w:val="231F20"/>
                <w:spacing w:val="-1"/>
              </w:rPr>
              <w:t>50.34±5.25</w:t>
            </w:r>
          </w:p>
        </w:tc>
        <w:tc>
          <w:tcPr>
            <w:tcW w:w="14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8"/>
              <w:spacing w:before="37" w:line="215" w:lineRule="auto"/>
              <w:rPr/>
            </w:pPr>
            <w:r>
              <w:rPr>
                <w:color w:val="231F20"/>
                <w:spacing w:val="-2"/>
              </w:rPr>
              <w:t>10.58±1.26</w:t>
            </w:r>
          </w:p>
        </w:tc>
      </w:tr>
      <w:tr>
        <w:trPr>
          <w:trHeight w:val="238" w:hRule="atLeast"/>
        </w:trPr>
        <w:tc>
          <w:tcPr>
            <w:tcW w:w="717" w:type="dxa"/>
            <w:vAlign w:val="top"/>
          </w:tcPr>
          <w:p>
            <w:pPr>
              <w:pStyle w:val="TableText"/>
              <w:ind w:left="109"/>
              <w:spacing w:before="44" w:line="212" w:lineRule="auto"/>
              <w:rPr/>
            </w:pPr>
            <w:r>
              <w:rPr>
                <w:color w:val="231F20"/>
                <w:spacing w:val="-3"/>
              </w:rPr>
              <w:t>治疗后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44"/>
              <w:spacing w:before="44" w:line="212" w:lineRule="auto"/>
              <w:rPr/>
            </w:pPr>
            <w:r>
              <w:rPr>
                <w:color w:val="231F20"/>
                <w:spacing w:val="-2"/>
              </w:rPr>
              <w:t>82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157"/>
              <w:spacing w:before="44" w:line="212" w:lineRule="auto"/>
              <w:rPr/>
            </w:pPr>
            <w:r>
              <w:rPr>
                <w:color w:val="231F20"/>
                <w:spacing w:val="-2"/>
              </w:rPr>
              <w:t>19.64±2.46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145"/>
              <w:spacing w:before="44" w:line="212" w:lineRule="auto"/>
              <w:rPr/>
            </w:pPr>
            <w:r>
              <w:rPr>
                <w:color w:val="231F20"/>
                <w:spacing w:val="-1"/>
              </w:rPr>
              <w:t>9.12±1.42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367"/>
              <w:spacing w:before="44" w:line="212" w:lineRule="auto"/>
              <w:rPr/>
            </w:pPr>
            <w:r>
              <w:rPr>
                <w:color w:val="231F20"/>
                <w:spacing w:val="-1"/>
              </w:rPr>
              <w:t>0.78±0.12</w:t>
            </w:r>
          </w:p>
        </w:tc>
      </w:tr>
      <w:tr>
        <w:trPr>
          <w:trHeight w:val="239" w:hRule="atLeast"/>
        </w:trPr>
        <w:tc>
          <w:tcPr>
            <w:tcW w:w="717" w:type="dxa"/>
            <w:vAlign w:val="top"/>
          </w:tcPr>
          <w:p>
            <w:pPr>
              <w:pStyle w:val="TableText"/>
              <w:ind w:left="209"/>
              <w:spacing w:before="47" w:line="210" w:lineRule="auto"/>
              <w:rPr/>
            </w:pPr>
            <w:r>
              <w:rPr>
                <w:color w:val="231F20"/>
                <w:spacing w:val="-6"/>
              </w:rPr>
              <w:t>t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6"/>
              </w:rPr>
              <w:t>值</w:t>
            </w:r>
          </w:p>
        </w:tc>
        <w:tc>
          <w:tcPr>
            <w:tcW w:w="432" w:type="dxa"/>
            <w:vAlign w:val="top"/>
          </w:tcPr>
          <w:p>
            <w:pPr>
              <w:pStyle w:val="TableText"/>
              <w:ind w:left="182"/>
              <w:spacing w:before="122" w:line="107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18" w:type="dxa"/>
            <w:vAlign w:val="top"/>
          </w:tcPr>
          <w:p>
            <w:pPr>
              <w:pStyle w:val="TableText"/>
              <w:ind w:left="349"/>
              <w:spacing w:before="47" w:line="210" w:lineRule="auto"/>
              <w:rPr/>
            </w:pPr>
            <w:r>
              <w:rPr>
                <w:color w:val="231F20"/>
                <w:spacing w:val="-2"/>
              </w:rPr>
              <w:t>59.775</w:t>
            </w:r>
          </w:p>
        </w:tc>
        <w:tc>
          <w:tcPr>
            <w:tcW w:w="1054" w:type="dxa"/>
            <w:vAlign w:val="top"/>
          </w:tcPr>
          <w:p>
            <w:pPr>
              <w:pStyle w:val="TableText"/>
              <w:ind w:left="306"/>
              <w:spacing w:before="47" w:line="210" w:lineRule="auto"/>
              <w:rPr/>
            </w:pPr>
            <w:r>
              <w:rPr>
                <w:color w:val="231F20"/>
                <w:spacing w:val="-2"/>
              </w:rPr>
              <w:t>68.632</w:t>
            </w:r>
          </w:p>
        </w:tc>
        <w:tc>
          <w:tcPr>
            <w:tcW w:w="1497" w:type="dxa"/>
            <w:vAlign w:val="top"/>
          </w:tcPr>
          <w:p>
            <w:pPr>
              <w:pStyle w:val="TableText"/>
              <w:ind w:left="530"/>
              <w:spacing w:before="47" w:line="210" w:lineRule="auto"/>
              <w:rPr/>
            </w:pPr>
            <w:r>
              <w:rPr>
                <w:color w:val="231F20"/>
                <w:spacing w:val="-2"/>
              </w:rPr>
              <w:t>70.114</w:t>
            </w:r>
          </w:p>
        </w:tc>
      </w:tr>
      <w:tr>
        <w:trPr>
          <w:trHeight w:val="244" w:hRule="atLeast"/>
        </w:trPr>
        <w:tc>
          <w:tcPr>
            <w:tcW w:w="71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03"/>
              <w:spacing w:before="49" w:line="213" w:lineRule="auto"/>
              <w:rPr/>
            </w:pPr>
            <w:r>
              <w:rPr>
                <w:color w:val="231F20"/>
                <w:spacing w:val="-2"/>
              </w:rPr>
              <w:t>P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值</w:t>
            </w:r>
          </w:p>
        </w:tc>
        <w:tc>
          <w:tcPr>
            <w:tcW w:w="4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82"/>
              <w:spacing w:before="124" w:line="109" w:lineRule="exact"/>
              <w:rPr/>
            </w:pPr>
            <w:r>
              <w:rPr>
                <w:color w:val="231F20"/>
                <w:position w:val="-3"/>
              </w:rPr>
              <w:t>-</w:t>
            </w:r>
          </w:p>
        </w:tc>
        <w:tc>
          <w:tcPr>
            <w:tcW w:w="111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6"/>
              <w:spacing w:before="49" w:line="213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05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6"/>
              <w:spacing w:before="49" w:line="213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  <w:tc>
          <w:tcPr>
            <w:tcW w:w="149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67"/>
              <w:spacing w:before="49" w:line="213" w:lineRule="auto"/>
              <w:rPr/>
            </w:pPr>
            <w:r>
              <w:rPr>
                <w:color w:val="231F20"/>
                <w:spacing w:val="-2"/>
              </w:rPr>
              <w:t>0.000</w:t>
            </w:r>
          </w:p>
        </w:tc>
      </w:tr>
    </w:tbl>
    <w:p>
      <w:pPr>
        <w:ind w:left="533"/>
        <w:spacing w:before="48" w:line="191" w:lineRule="auto"/>
        <w:outlineLvl w:val="1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讨论</w:t>
      </w:r>
    </w:p>
    <w:p>
      <w:pPr>
        <w:pStyle w:val="BodyText"/>
        <w:ind w:left="533" w:right="273" w:firstLine="369"/>
        <w:spacing w:before="3" w:line="243" w:lineRule="auto"/>
        <w:rPr/>
      </w:pPr>
      <w:r>
        <w:rPr>
          <w:color w:val="231F20"/>
          <w:spacing w:val="5"/>
        </w:rPr>
        <w:t>盆腔炎指的是发生于女性盆腔生殖器官及其周围结缔组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织、盆腔腹膜中的炎症，主要分为急性和慢性两种，急性盆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腔炎可引发败血症、感染性休克等，严重者甚至还会</w:t>
      </w:r>
      <w:r>
        <w:rPr>
          <w:color w:val="231F20"/>
          <w:spacing w:val="4"/>
        </w:rPr>
        <w:t>导致患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者直接死亡，对患者生命安全的威胁较大 </w:t>
      </w:r>
      <w:r>
        <w:rPr>
          <w:sz w:val="10"/>
          <w:szCs w:val="10"/>
          <w:color w:val="231F20"/>
          <w:spacing w:val="2"/>
          <w:position w:val="8"/>
        </w:rPr>
        <w:t>[4]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1"/>
        </w:rPr>
        <w:t>。研究认为，该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病主要和患者经期、流产或产后卫生情况不理性有关，</w:t>
      </w:r>
      <w:r>
        <w:rPr>
          <w:color w:val="231F20"/>
          <w:spacing w:val="4"/>
        </w:rPr>
        <w:t>周围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器官产生炎症感染，或者慢性盆腔炎急性发作，其常见治病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细菌为葡萄球菌、大肠杆菌、链球菌和厌氧菌等。患者发病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后多表现为发热、下腹疼痛等症状，形成脓肿后可能引发压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迫刺激，出现腹泻、腹痛，或者下腹包块。只有充分明确急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性盆腔炎的病情，并充分结合患者的病史、病</w:t>
      </w:r>
      <w:r>
        <w:rPr>
          <w:color w:val="231F20"/>
          <w:spacing w:val="-3"/>
        </w:rPr>
        <w:t>程、临床表现、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体征变化情况等信息，才能对患者开展更为合适的治疗，进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而达到提升患者临床治疗效果的目的。一般临床主要通过盆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腔检查诊断该病，可发现患者阴道内出现大量脓性物质分泌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物，且存在充血灼热的症状；同时可见附件区</w:t>
      </w:r>
      <w:r>
        <w:rPr>
          <w:color w:val="231F20"/>
          <w:spacing w:val="-2"/>
        </w:rPr>
        <w:t>增厚，有包块，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且子宫存在压痛、宫颈抬举痛和后穹隆触痛等。但由于该病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临床表现存在较大差异，再加上该病可在多个</w:t>
      </w:r>
      <w:r>
        <w:rPr>
          <w:color w:val="231F20"/>
          <w:spacing w:val="-2"/>
        </w:rPr>
        <w:t>部位同时发病，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且炎症极有可能对整个盆腔造成影响，临床诊</w:t>
      </w:r>
      <w:r>
        <w:rPr>
          <w:color w:val="231F20"/>
          <w:spacing w:val="-2"/>
        </w:rPr>
        <w:t>断准确性有限，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需通过血常规、尿常规及宫颈管分泌物等辅助检查才能获取 </w:t>
      </w:r>
      <w:r>
        <w:rPr>
          <w:color w:val="231F20"/>
          <w:spacing w:val="3"/>
        </w:rPr>
        <w:t>较为理想的诊断结果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[5]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3"/>
        </w:rPr>
        <w:t>。目前认为敏感</w:t>
      </w:r>
      <w:r>
        <w:rPr>
          <w:color w:val="231F20"/>
          <w:spacing w:val="2"/>
        </w:rPr>
        <w:t>的实验室指标在判断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急性盆腔炎病情方面可发挥出至关重要的作用，常见急性盆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腔炎诊断中的实验室指标包括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1"/>
        </w:rPr>
        <w:t>、</w:t>
      </w:r>
      <w:r>
        <w:rPr>
          <w:color w:val="231F20"/>
        </w:rPr>
        <w:t>CRP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等。另外，通过检测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急性盆腔炎致病菌的方式，也能充分判断急性盆腔炎的病原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菌菌种，以便分析不同致病菌的药敏特征，从而给予患者更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为合适的抗生素进行治疗，在提升患者临床治疗效果方面具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有十分重要的意义。另外，经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或者阴道超声检查课件患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者输卵管变粗，并有大量液体，部分患者可能伴有卵巢或输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卵管肿块，或可出现盆腔肿块和积液；腹腔镜检查可检出其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输卵管炎。通过检验，可以明确患者致病病原体类型，更准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确和科学的实施治疗，但是临床诊断并不能对所有类型的盆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腔感染作出完全准确的诊断，主要是因为急性盆腔炎患者的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临床表现具有较大变异性，增加了临床诊断的难度。因此，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诊断时需要采用尿常规、血常规等进行辅助检查，并可以采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集宫颈分泌物进行免疫学检测和菌群培养，才能对该疾病有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准确、有效的判断。</w:t>
      </w:r>
    </w:p>
    <w:p>
      <w:pPr>
        <w:pStyle w:val="BodyText"/>
        <w:ind w:left="533" w:right="273" w:firstLine="374"/>
        <w:spacing w:before="2" w:line="239" w:lineRule="auto"/>
        <w:rPr/>
      </w:pPr>
      <w:r>
        <w:rPr>
          <w:color w:val="231F20"/>
          <w:spacing w:val="1"/>
        </w:rPr>
        <w:t>实验室检查是临床常见的辅助检查方法之一，</w:t>
      </w:r>
      <w:r>
        <w:rPr>
          <w:color w:val="231F20"/>
        </w:rPr>
        <w:t>ESR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和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CRP </w:t>
      </w:r>
      <w:r>
        <w:rPr>
          <w:color w:val="231F20"/>
          <w:spacing w:val="4"/>
        </w:rPr>
        <w:t>均是临床常用于鉴别诊断细菌性或病毒性感染的常见指标。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急性盆腔炎的诊断依据主要分为临床症状标准和特异性标准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两种，前者指的是患者发病时的临床表现、宫颈和阴道的脓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性分泌物，通过涂片检查可发现脓性分泌物存在白细胞，同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时还能发现患者的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1"/>
        </w:rPr>
        <w:t>、</w:t>
      </w:r>
      <w:r>
        <w:rPr>
          <w:color w:val="231F20"/>
        </w:rPr>
        <w:t>CRP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水平不断升高，经实验室检查还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能发现衣原体或淋病奈瑟菌等病原体呈阳性。特异性指标指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5"/>
        </w:rPr>
        <w:t>的是经子宫内膜活检、经影像学检查和经腹腔镜检查结果； </w:t>
      </w:r>
      <w:r>
        <w:rPr>
          <w:color w:val="231F20"/>
        </w:rPr>
        <w:t>CRP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是急性时相反应蛋白的一种，属于组织损</w:t>
      </w:r>
      <w:r>
        <w:rPr>
          <w:color w:val="231F20"/>
          <w:spacing w:val="-1"/>
        </w:rPr>
        <w:t>伤或炎症的非特</w:t>
      </w:r>
      <w:r>
        <w:rPr>
          <w:color w:val="231F20"/>
        </w:rPr>
        <w:t xml:space="preserve"> </w:t>
      </w:r>
      <w:r>
        <w:rPr>
          <w:color w:val="231F20"/>
        </w:rPr>
        <w:t>异性标志物，一般浓度较低，一旦机体受到细菌感染，CRP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浓 </w:t>
      </w:r>
      <w:r>
        <w:rPr>
          <w:color w:val="231F20"/>
          <w:spacing w:val="3"/>
        </w:rPr>
        <w:t>度将会升高，大部分细菌感染均有可能导致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升高</w:t>
      </w:r>
      <w:r>
        <w:rPr>
          <w:color w:val="231F20"/>
          <w:spacing w:val="-24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[6]</w:t>
      </w:r>
      <w:r>
        <w:rPr>
          <w:color w:val="231F20"/>
          <w:spacing w:val="2"/>
        </w:rPr>
        <w:t>。有</w:t>
      </w:r>
      <w:r>
        <w:rPr>
          <w:color w:val="231F20"/>
        </w:rPr>
        <w:t xml:space="preserve"> </w:t>
      </w:r>
      <w:r>
        <w:rPr>
          <w:color w:val="231F20"/>
        </w:rPr>
        <w:t>研究显示，CRP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单独检测在妇科感染性疾病诊断中的敏感性高 </w:t>
      </w:r>
      <w:r>
        <w:rPr>
          <w:color w:val="231F20"/>
          <w:spacing w:val="1"/>
        </w:rPr>
        <w:t>达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80%、特异性高达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86%，与其他实验室指标联</w:t>
      </w:r>
      <w:r>
        <w:rPr>
          <w:color w:val="231F20"/>
        </w:rPr>
        <w:t>合诊断的敏感 </w:t>
      </w:r>
      <w:r>
        <w:rPr>
          <w:color w:val="231F20"/>
          <w:spacing w:val="1"/>
        </w:rPr>
        <w:t>度甚至高达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97%、特异度则高达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95%</w:t>
      </w:r>
      <w:r>
        <w:rPr>
          <w:sz w:val="10"/>
          <w:szCs w:val="10"/>
          <w:color w:val="231F20"/>
          <w:spacing w:val="1"/>
          <w:position w:val="8"/>
        </w:rPr>
        <w:t>[7]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1"/>
        </w:rPr>
        <w:t>。本次研</w:t>
      </w:r>
      <w:r>
        <w:rPr>
          <w:color w:val="231F20"/>
        </w:rPr>
        <w:t>究也发现，急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48" w:firstLine="2"/>
        <w:spacing w:before="36" w:line="245" w:lineRule="auto"/>
        <w:jc w:val="both"/>
        <w:rPr/>
      </w:pPr>
      <w:r>
        <w:rPr>
          <w:color w:val="231F20"/>
          <w:spacing w:val="4"/>
        </w:rPr>
        <w:t>性盆腔炎患者治疗后的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阳性检出率和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平均值与治疗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前比较明显更低。说明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5"/>
        </w:rPr>
        <w:t>检查可有效确诊急性盆腔炎。但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就目前而言，临床对于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指标在急性盆腔炎诊断中的研究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较少。而此次研究发现，急性盆腔炎患者治疗后</w:t>
      </w:r>
      <w:r>
        <w:rPr>
          <w:color w:val="231F20"/>
          <w:spacing w:val="4"/>
        </w:rPr>
        <w:t>，其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性检出率和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水平均比治疗前低。可见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检查在急性盆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腔炎诊断中存在一定的应用价值。但目前普遍认为，实验室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检查在炎症早期诊断方面缺乏有效性，在急</w:t>
      </w:r>
      <w:r>
        <w:rPr>
          <w:color w:val="231F20"/>
          <w:spacing w:val="4"/>
        </w:rPr>
        <w:t>性盆腔炎诊断中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的临床价值有限，且临床专家强调，目前尚未有任何一个生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物标志物在炎症检查中绝对敏感又绝对特异，不能单纯依靠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某一生物标志物诊断疾病，还需结合其他实验室检查结果及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患者的临床表现才能准确判断。</w:t>
      </w:r>
    </w:p>
    <w:p>
      <w:pPr>
        <w:pStyle w:val="BodyText"/>
        <w:ind w:right="49" w:firstLine="390"/>
        <w:spacing w:before="6" w:line="244" w:lineRule="auto"/>
        <w:jc w:val="both"/>
        <w:rPr/>
      </w:pPr>
      <w:r>
        <w:rPr>
          <w:color w:val="231F20"/>
          <w:spacing w:val="4"/>
        </w:rPr>
        <w:t>由此可知，在该病的临床诊治中，敏感指标在疾病的判 </w:t>
      </w:r>
      <w:r>
        <w:rPr>
          <w:color w:val="231F20"/>
          <w:spacing w:val="5"/>
        </w:rPr>
        <w:t>断中更具有价值，在对患者体征变化、临床表现、病程、病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史等基础信息后，判断其严重程度，如果能够找到合适的实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验室指标，就能够更好的判断疾病的发展。本研究中，患者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治疗前后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1"/>
        </w:rPr>
        <w:t>、</w:t>
      </w:r>
      <w:r>
        <w:rPr>
          <w:color w:val="231F20"/>
        </w:rPr>
        <w:t>CRP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水平和治疗前由较大差异，治疗后的阳性</w:t>
      </w:r>
      <w:r>
        <w:rPr>
          <w:color w:val="231F20"/>
        </w:rPr>
        <w:t xml:space="preserve"> </w:t>
      </w:r>
      <w:r>
        <w:rPr>
          <w:color w:val="231F20"/>
        </w:rPr>
        <w:t>率显著降低，可以说明，通过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ESR、CRP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水平检测，能够明确 </w:t>
      </w:r>
      <w:r>
        <w:rPr>
          <w:color w:val="231F20"/>
          <w:spacing w:val="-1"/>
        </w:rPr>
        <w:t>致病病菌，有利于医生根据患者致病菌和病</w:t>
      </w:r>
      <w:r>
        <w:rPr>
          <w:color w:val="231F20"/>
          <w:spacing w:val="-2"/>
        </w:rPr>
        <w:t>情进行对症治疗，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对于提升治疗效果有积极作用。</w:t>
      </w:r>
    </w:p>
    <w:p>
      <w:pPr>
        <w:pStyle w:val="BodyText"/>
        <w:ind w:firstLine="370"/>
        <w:spacing w:before="5" w:line="244" w:lineRule="auto"/>
        <w:rPr/>
      </w:pPr>
      <w:r>
        <w:rPr>
          <w:color w:val="231F20"/>
        </w:rPr>
        <w:t>沙眼衣原体是非淋菌性泌尿生殖系统感染的主要病原体，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一旦生殖系统受到沙眼衣原体的侵犯，将会引发非淋菌性尿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道炎。女性宫颈、阴道内适合种类繁多的细菌生长、繁殖，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尤其在机体免疫力较低的情况下，子宫极易受到外源性微生 </w:t>
      </w:r>
      <w:r>
        <w:rPr>
          <w:color w:val="231F20"/>
          <w:spacing w:val="5"/>
        </w:rPr>
        <w:t>物和阴道内部致病性微生物的感染，从而加大盆腔炎的发生 </w:t>
      </w:r>
      <w:r>
        <w:rPr>
          <w:color w:val="231F20"/>
          <w:spacing w:val="3"/>
        </w:rPr>
        <w:t>风险</w:t>
      </w:r>
      <w:r>
        <w:rPr>
          <w:color w:val="231F20"/>
          <w:spacing w:val="-23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[8]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3"/>
        </w:rPr>
        <w:t>。沙眼衣原体属于特殊病原体之一，</w:t>
      </w:r>
      <w:r>
        <w:rPr>
          <w:color w:val="231F20"/>
          <w:spacing w:val="2"/>
        </w:rPr>
        <w:t>其细胞壁与革兰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氏阳性菌存在相似性，均为细胞内寄生，由于女性生殖系统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存在生理特性，沙眼衣原体极易在宫颈黏膜皱襞内生长繁殖，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并溶解破坏细胞，致使细胞死亡，进而引发急性盆腔炎 </w:t>
      </w:r>
      <w:r>
        <w:rPr>
          <w:sz w:val="10"/>
          <w:szCs w:val="10"/>
          <w:color w:val="231F20"/>
          <w:spacing w:val="3"/>
          <w:position w:val="8"/>
        </w:rPr>
        <w:t>[9</w:t>
      </w:r>
      <w:r>
        <w:rPr>
          <w:sz w:val="10"/>
          <w:szCs w:val="10"/>
          <w:color w:val="231F20"/>
          <w:spacing w:val="2"/>
          <w:position w:val="8"/>
        </w:rPr>
        <w:t>]</w:t>
      </w:r>
      <w:r>
        <w:rPr>
          <w:sz w:val="10"/>
          <w:szCs w:val="10"/>
          <w:color w:val="231F20"/>
          <w:spacing w:val="-25"/>
          <w:position w:val="8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张群先</w:t>
      </w:r>
      <w:r>
        <w:rPr>
          <w:color w:val="231F20"/>
          <w:spacing w:val="-22"/>
        </w:rPr>
        <w:t xml:space="preserve"> </w:t>
      </w:r>
      <w:r>
        <w:rPr>
          <w:sz w:val="10"/>
          <w:szCs w:val="10"/>
          <w:color w:val="231F20"/>
          <w:position w:val="8"/>
        </w:rPr>
        <w:t>[10] </w:t>
      </w:r>
      <w:r>
        <w:rPr>
          <w:color w:val="231F20"/>
        </w:rPr>
        <w:t>等学者的研究认为，沙眼衣原体、解脲支原体、淋 </w:t>
      </w:r>
      <w:r>
        <w:rPr>
          <w:color w:val="231F20"/>
          <w:spacing w:val="5"/>
        </w:rPr>
        <w:t>球菌感染与盆腔炎患者不同发病状态宫颈、盆腔分泌物菌群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分布呈正相关性。本次研究结果显示，相较于治疗前而言，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5"/>
        </w:rPr>
        <w:t>治疗后急性盆腔炎患者的衣原体阳性检出率和衣原体平均值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明显更低。提示衣原体检查在诊断急性盆腔炎中具有较高的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临床应用价值。</w:t>
      </w:r>
    </w:p>
    <w:p>
      <w:pPr>
        <w:pStyle w:val="BodyText"/>
        <w:ind w:right="49" w:firstLine="369"/>
        <w:spacing w:before="4" w:line="244" w:lineRule="auto"/>
        <w:rPr/>
      </w:pPr>
      <w:r>
        <w:rPr>
          <w:color w:val="231F20"/>
          <w:spacing w:val="1"/>
        </w:rPr>
        <w:t>根据本次研究得出，在急性盆腔炎的临床检验</w:t>
      </w:r>
      <w:r>
        <w:rPr>
          <w:color w:val="231F20"/>
        </w:rPr>
        <w:t>中，ESR、 </w:t>
      </w:r>
      <w:r>
        <w:rPr>
          <w:color w:val="231F20"/>
        </w:rPr>
        <w:t>CRP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和衣原体检验，能够帮助医生明确患者的致病菌，从而根 </w:t>
      </w:r>
      <w:r>
        <w:rPr>
          <w:color w:val="231F20"/>
          <w:spacing w:val="5"/>
        </w:rPr>
        <w:t>据其药敏性热证用药，针对性进行抗菌药物治疗，进而有效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预防和减少二次感染，提高治疗有效率。同时临床上可以通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"/>
        </w:rPr>
        <w:t>过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1"/>
        </w:rPr>
        <w:t>、</w:t>
      </w:r>
      <w:r>
        <w:rPr>
          <w:color w:val="231F20"/>
        </w:rPr>
        <w:t>CRP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和衣原体指标的检验来判断疾病治疗的效果，如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果指标变化不明显，可以酌情更换治疗方式，根据患者情况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"/>
        </w:rPr>
        <w:t>确定后续治疗方案</w:t>
      </w:r>
      <w:r>
        <w:rPr>
          <w:color w:val="231F20"/>
          <w:spacing w:val="-25"/>
        </w:rPr>
        <w:t xml:space="preserve"> </w:t>
      </w:r>
      <w:r>
        <w:rPr>
          <w:sz w:val="10"/>
          <w:szCs w:val="10"/>
          <w:color w:val="231F20"/>
          <w:spacing w:val="1"/>
          <w:position w:val="8"/>
        </w:rPr>
        <w:t>[11]</w:t>
      </w:r>
      <w:r>
        <w:rPr>
          <w:sz w:val="10"/>
          <w:szCs w:val="10"/>
          <w:color w:val="231F20"/>
          <w:spacing w:val="-26"/>
          <w:position w:val="8"/>
        </w:rPr>
        <w:t xml:space="preserve"> </w:t>
      </w:r>
      <w:r>
        <w:rPr>
          <w:color w:val="231F20"/>
          <w:spacing w:val="1"/>
        </w:rPr>
        <w:t>。通过以上检验们能够指导医生对患者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进行合理用药，尽量避免二次感染，提高治愈率，和以往的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  <w:position w:val="-1"/>
        </w:rPr>
        <w:t>研究成果一致</w:t>
      </w:r>
      <w:r>
        <w:rPr>
          <w:color w:val="231F20"/>
          <w:spacing w:val="-20"/>
          <w:position w:val="-1"/>
        </w:rPr>
        <w:t xml:space="preserve"> </w:t>
      </w:r>
      <w:r>
        <w:rPr>
          <w:sz w:val="10"/>
          <w:szCs w:val="10"/>
          <w:color w:val="231F20"/>
          <w:spacing w:val="-2"/>
          <w:position w:val="6"/>
        </w:rPr>
        <w:t>[12]</w:t>
      </w:r>
      <w:r>
        <w:rPr>
          <w:color w:val="231F20"/>
          <w:spacing w:val="-2"/>
          <w:position w:val="-1"/>
        </w:rPr>
        <w:t>。</w:t>
      </w:r>
    </w:p>
    <w:p>
      <w:pPr>
        <w:pStyle w:val="BodyText"/>
        <w:ind w:left="2" w:right="50" w:firstLine="367"/>
        <w:spacing w:before="3" w:line="245" w:lineRule="auto"/>
        <w:jc w:val="both"/>
        <w:rPr/>
      </w:pPr>
      <w:r>
        <w:rPr>
          <w:color w:val="231F20"/>
          <w:spacing w:val="5"/>
        </w:rPr>
        <w:t>值得注意的是，本次研究样本量较少，且未对不同年龄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段患者或与其他妇科炎症患者的检查结果进行对比，研究结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果可能存在偏差，检验临床在后续研究中加大样本量，并加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强对不同年龄段的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3"/>
        </w:rPr>
        <w:t>、</w:t>
      </w:r>
      <w:r>
        <w:rPr>
          <w:color w:val="231F20"/>
        </w:rPr>
        <w:t>CRP</w:t>
      </w:r>
      <w:r>
        <w:rPr>
          <w:color w:val="231F20"/>
          <w:spacing w:val="3"/>
        </w:rPr>
        <w:t>、衣原体检查，同时与其他妇科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炎症患者的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4"/>
        </w:rPr>
        <w:t>、</w:t>
      </w:r>
      <w:r>
        <w:rPr>
          <w:color w:val="231F20"/>
        </w:rPr>
        <w:t>CRP</w:t>
      </w:r>
      <w:r>
        <w:rPr>
          <w:color w:val="231F20"/>
          <w:spacing w:val="4"/>
        </w:rPr>
        <w:t>、衣原体检查结果进行对比，才能进一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步提升检查结果的科学性和有效性。</w:t>
      </w:r>
    </w:p>
    <w:p>
      <w:pPr>
        <w:pStyle w:val="BodyText"/>
        <w:ind w:left="2" w:firstLine="369"/>
        <w:spacing w:before="3" w:line="242" w:lineRule="auto"/>
        <w:jc w:val="both"/>
        <w:rPr/>
      </w:pPr>
      <w:r>
        <w:rPr>
          <w:color w:val="231F20"/>
          <w:spacing w:val="2"/>
        </w:rPr>
        <w:t>综上所述，通过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ESR</w:t>
      </w:r>
      <w:r>
        <w:rPr>
          <w:color w:val="231F20"/>
          <w:spacing w:val="2"/>
        </w:rPr>
        <w:t>、</w:t>
      </w:r>
      <w:r>
        <w:rPr>
          <w:color w:val="231F20"/>
        </w:rPr>
        <w:t>CRP</w:t>
      </w:r>
      <w:r>
        <w:rPr>
          <w:color w:val="231F20"/>
          <w:spacing w:val="2"/>
        </w:rPr>
        <w:t>、衣原体检查对急性盆腔炎患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者进行检查，可在一定程度上提升其诊断准确率，有助于为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后续治疗提供科学、有效的参考依据，从而提升临床治疗效果，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降低二次感染的风险，临床应用价值较高。</w:t>
      </w:r>
    </w:p>
    <w:p>
      <w:pPr>
        <w:ind w:left="2097"/>
        <w:spacing w:before="1" w:line="20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参考文献</w:t>
      </w:r>
    </w:p>
    <w:p>
      <w:pPr>
        <w:pStyle w:val="BodyText"/>
        <w:ind w:left="411" w:right="49" w:hanging="386"/>
        <w:spacing w:before="14" w:line="246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[1]  刘影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2"/>
        </w:rPr>
        <w:t>人性化护理在盆腔炎护理中的应用 [J].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2"/>
        </w:rPr>
        <w:t>黑龙江医药科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学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,2021,44(5):195-196.</w:t>
      </w:r>
    </w:p>
    <w:p>
      <w:pPr>
        <w:pStyle w:val="BodyText"/>
        <w:ind w:left="433" w:right="49" w:hanging="408"/>
        <w:spacing w:before="51" w:line="23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[2]  孙玉华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1"/>
        </w:rPr>
        <w:t>张丹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1"/>
        </w:rPr>
        <w:t>青霉素给药方式对慢性盆腔炎治疗效果的影响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[J].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1"/>
        </w:rPr>
        <w:t>黑龙江医药科学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1"/>
        </w:rPr>
        <w:t>,2022,45(</w:t>
      </w:r>
      <w:r>
        <w:rPr>
          <w:sz w:val="16"/>
          <w:szCs w:val="16"/>
          <w:color w:val="231F20"/>
          <w:spacing w:val="-2"/>
        </w:rPr>
        <w:t>2):191-192.</w:t>
      </w:r>
    </w:p>
    <w:p>
      <w:pPr>
        <w:spacing w:line="230" w:lineRule="auto"/>
        <w:sectPr>
          <w:type w:val="continuous"/>
          <w:pgSz w:w="11906" w:h="16158"/>
          <w:pgMar w:top="400" w:right="885" w:bottom="0" w:left="407" w:header="0" w:footer="0" w:gutter="0"/>
          <w:cols w:equalWidth="0" w:num="2">
            <w:col w:w="5635" w:space="100"/>
            <w:col w:w="4878" w:space="0"/>
          </w:cols>
        </w:sectPr>
        <w:rPr>
          <w:sz w:val="16"/>
          <w:szCs w:val="16"/>
        </w:rPr>
      </w:pP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794"/>
        <w:spacing w:before="59"/>
        <w:rPr/>
      </w:pPr>
      <w:r>
        <w:rPr>
          <w:color w:val="231F20"/>
          <w:spacing w:val="-14"/>
        </w:rPr>
        <w:t>·392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·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015"/>
        <w:spacing w:before="130" w:line="170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8"/>
        </w:rPr>
        <w:t>梅毒防治工作中的社会心理学因素分析及</w:t>
      </w:r>
    </w:p>
    <w:p>
      <w:pPr>
        <w:pStyle w:val="BodyText"/>
        <w:ind w:left="3599"/>
        <w:spacing w:before="124" w:line="162" w:lineRule="auto"/>
        <w:outlineLvl w:val="0"/>
        <w:rPr>
          <w:sz w:val="40"/>
          <w:szCs w:val="40"/>
        </w:rPr>
      </w:pPr>
      <w:r>
        <w:rPr>
          <w:sz w:val="40"/>
          <w:szCs w:val="40"/>
          <w:color w:val="231F20"/>
          <w:spacing w:val="-9"/>
        </w:rPr>
        <w:t>卫生健康教育策略研究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5269"/>
        <w:spacing w:before="86" w:line="19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  <w:w w:val="98"/>
        </w:rPr>
        <w:t>陈晓玲</w:t>
      </w:r>
    </w:p>
    <w:p>
      <w:pPr>
        <w:ind w:left="3925"/>
        <w:spacing w:before="17" w:line="19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（厦门市仙岳医院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·福建厦门   3610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12）</w:t>
      </w:r>
    </w:p>
    <w:p>
      <w:pPr>
        <w:ind w:left="1096" w:right="511" w:firstLine="371"/>
        <w:spacing w:before="267" w:line="19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摘   要    目的：探讨梅毒防止工作中的社会心理学影响因素，并根据影响因素的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研究结果给出健康教育策略，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保证梅毒防止工作的顺利落实。方法：回顾性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分析某地区精神专科医院 2005 年 6 月 -2022 年 11 月出现 I 期梅毒、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II 期梅毒、III 期梅毒及隐性梅毒的 524 例患者，基于社会心理学之下，将性别、年龄、社交情况、家庭情况、居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住环境、婚姻情况、是否接受同伴教育以及文化水平当做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自变量，将梅毒发病情况当做因变量，探讨自变量对梅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毒发病情况造成的影响（单因素采用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X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3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2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或者 t 检验，多因素采用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Logistic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回归分析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并根据研究结果给予针对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性的健康教育策略。结果：本次研究结果表明，性别、年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龄、家庭情况、居住环境、婚姻情况、是否接受同伴教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育以及文化水平都会对梅毒的发病造成一定影响（P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0.05）。经过多因素 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ogistic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回归分析，发现年龄与梅毒发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病呈正相关；家庭情况、居住情况、文化水平与梅毒发病呈负相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关；接受过同伴教育的梅毒发病率更低。结论：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梅毒防治工作是传染病防止的重要所在，需要切断传染源，降低社会影响的同时，注重梅毒携带者的个人情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况，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主动关心梅毒携带者，并为其制定系统的治疗方案，促进社会的和谐发展。</w:t>
      </w:r>
    </w:p>
    <w:p>
      <w:pPr>
        <w:ind w:left="1469"/>
        <w:spacing w:before="1"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关键词   梅毒防止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社会心理学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影响因素    策略研究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095" w:right="545" w:firstLine="368"/>
        <w:spacing w:before="77" w:line="19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>Abstract: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Objective: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explore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influencing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factors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 Social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psychology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prevention,and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provide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health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education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strategies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according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research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influencing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factors,so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ensure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smooth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>implementation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 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prevention.Methods: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Retrospective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made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524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syphili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s,stage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II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syphilis,stage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III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recessive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syphil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regional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psychiatric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hospital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from June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2005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November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2022.Based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Social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psychology,gender,age,social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status,family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situation,living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environment,marital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status,whether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accept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peer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education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cultural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level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taken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independent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variables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of 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taken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dependent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variables,Exploring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the 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independent variables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the 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(using X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single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factor)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2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Alternatively,t-test,u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sing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logistic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regression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multiple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factors,and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providin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targeted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health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education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strategies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research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results.Result: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results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 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indicate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gender,age,family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situation,living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env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ironment,marital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status,whether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receive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peer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education,and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cultural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level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certain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syphi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(P&lt;0.05).After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multiple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logistic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regression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analysis,it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found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positively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correlated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onset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 syphilis;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negative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correlation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between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family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status,residential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status,and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educational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level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 syphilis;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inci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 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receiving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peer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education.Conclusion: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prevention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control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work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important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aspect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infectious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prevention.It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necessary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source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of infection,reduce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social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impact,pay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attentio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personal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situation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syphilis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carriers,actively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7"/>
        </w:rPr>
        <w:t>care for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them,and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develop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systematic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treatment plans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to promote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harmonious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social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>development.</w:t>
      </w:r>
    </w:p>
    <w:p>
      <w:pPr>
        <w:ind w:left="1468"/>
        <w:spacing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>Words: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syphilis prevention;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Social psychology;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Influencing factors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operational research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firstLine="522"/>
        <w:spacing w:before="1" w:line="40" w:lineRule="exact"/>
        <w:rPr/>
      </w:pPr>
      <w:r>
        <w:rPr/>
        <w:pict>
          <v:shape id="_x0000_s10" style="mso-position-vertical-relative:line;mso-position-horizontal-relative:char;width:502.3pt;height:2pt;" filled="false" strokecolor="#231F20" strokeweight="0.53pt" coordsize="10045,40" coordorigin="0,0" path="m5,19c25,0,65,0,84,19c104,39,144,39,164,19c184,0,224,0,244,19c264,39,303,39,323,19c343,0,383,0,403,19c423,39,463,39,483,19c503,0,542,0,562,19c582,39,622,39,642,19c662,0,702,0,722,19c741,39,781,39,801,19c821,0,861,0,881,19c901,39,941,39,960,19c980,0,1020,0,1040,19c1060,39,1100,39,1120,19c1140,0,1179,0,1199,19c1219,39,1259,39,1279,19c1299,0,1339,0,1359,19c1379,39,1418,39,1438,19c1458,0,1498,0,1518,19c1538,39,1578,39,1598,19c1618,0,1657,0,1677,19c1697,39,1737,39,1757,19c1777,0,1817,0,1837,19c1856,39,1896,39,1916,19c1936,0,1976,0,1996,19c2016,39,2056,39,2075,19c2095,0,2135,0,2155,19c2175,39,2215,39,2235,19c2255,0,2294,0,2314,19c2334,39,2374,39,2394,19c2414,0,2454,0,2474,19c2494,39,2533,39,2553,19c2573,0,2613,0,2633,19c2653,39,2693,39,2713,19c2732,0,2772,0,2792,19c2812,39,2852,39,2872,19c2892,0,2932,0,2951,19c2971,39,3011,39,3031,19c3051,0,3091,0,3111,19c3131,39,3171,39,3190,19c3210,0,3250,0,3270,19c3290,39,3330,39,3350,19c3370,0,3409,0,3429,19c3449,39,3489,39,3509,19c3529,0,3569,0,3589,19c3609,39,3648,39,3668,19c3688,0,3728,0,3748,19c3768,39,3808,39,3828,19c3847,0,3887,0,3907,19c3927,39,3967,39,3987,19c4007,0,4047,0,4066,19c4086,39,4126,39,4146,19c4166,0,4206,0,4226,19c4246,39,4285,39,4305,19c4325,0,4365,0,4385,19c4405,39,4445,39,4465,19c4485,0,4524,0,4544,19c4564,39,4604,39,4624,19c4644,0,4684,0,4704,19c4723,39,4763,39,4783,19c4803,0,4843,0,4863,19c4883,39,4923,39,4942,19c4962,0,5002,0,5022,19c5042,39,5082,39,5102,19c5122,0,5161,0,5181,19c5201,39,5241,39,5261,19c5281,0,5321,0,5341,19c5361,39,5400,39,5420,19c5440,0,5480,0,5500,19c5520,39,5560,39,5580,19c5600,0,5639,0,5659,19c5679,39,5719,39,5739,19c5759,0,5799,0,5819,19c5838,39,5878,39,5898,19c5918,0,5958,0,5978,19c5998,39,6038,39,6057,19c6077,0,6117,0,6137,19c6157,39,6197,39,6217,19c6237,0,6276,0,6296,19c6316,39,6356,39,6376,19c6396,0,6436,0,6456,19c6476,39,6515,39,6535,19c6555,0,6595,0,6615,19c6635,39,6675,39,6695,19c6714,0,6754,0,6774,19c6794,39,6834,39,6854,19c6874,0,6914,0,6933,19c6953,39,6993,39,7013,19c7033,0,7073,0,7093,19c7113,39,7152,39,7172,19c7192,0,7232,0,7252,19c7272,39,7312,39,7332,19c7352,0,7391,0,7411,19c7431,39,7471,39,7491,19c7511,0,7551,0,7571,19c7591,39,7630,39,7650,19c7670,0,7710,0,7730,19c7750,39,7790,39,7810,19c7829,0,7869,0,7889,19c7909,39,7949,39,7969,19c7989,0,8029,0,8048,19c8068,39,8108,39,8128,19c8148,0,8188,0,8208,19c8228,39,8267,39,8287,19c8307,0,8347,0,8367,19c8387,39,8427,39,8447,19c8467,0,8506,0,8526,19c8546,39,8586,39,8606,19c8626,0,8666,0,8686,19c8705,39,8745,39,8765,19c8785,0,8825,0,8845,19c8865,39,8905,39,8924,19c8944,0,8984,0,9004,19c9024,39,9064,39,9084,19c9104,0,9143,0,9163,19c9183,39,9223,39,9243,19c9263,0,9303,0,9323,19c9343,39,9382,39,9402,19c9422,0,9462,0,9482,19c9502,39,9542,39,9562,19c9582,0,9621,0,9641,19c9661,39,9701,39,9721,19c9741,0,9781,0,9801,19c9820,39,9860,39,9880,19c9900,0,9940,0,9960,19c9980,39,10020,39,10039,19e">
            <v:stroke joinstyle="miter" miterlimit="4"/>
          </v:shape>
        </w:pict>
      </w: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3"/>
          <w:pgSz w:w="11906" w:h="16158"/>
          <w:pgMar w:top="400" w:right="930" w:bottom="0" w:left="407" w:header="0" w:footer="0" w:gutter="0"/>
          <w:cols w:equalWidth="0" w:num="1">
            <w:col w:w="10568" w:space="0"/>
          </w:cols>
        </w:sectPr>
        <w:rPr/>
      </w:pPr>
    </w:p>
    <w:p>
      <w:pPr>
        <w:pStyle w:val="BodyText"/>
        <w:ind w:left="943" w:right="298" w:hanging="385"/>
        <w:spacing w:before="34" w:line="25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[3]  石艳艳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罗红权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龙方懿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等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三种不同方法检测盆腔炎患者 </w:t>
      </w:r>
      <w:r>
        <w:rPr>
          <w:sz w:val="16"/>
          <w:szCs w:val="16"/>
          <w:color w:val="231F20"/>
          <w:spacing w:val="-3"/>
        </w:rPr>
        <w:t>宫颈沙眼衣原体和 (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或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)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3"/>
        </w:rPr>
        <w:t>解脲支原体感染的研究 [J].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标记免疫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分析与临床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,2021,28(9):15</w:t>
      </w:r>
      <w:r>
        <w:rPr>
          <w:sz w:val="16"/>
          <w:szCs w:val="16"/>
          <w:color w:val="231F20"/>
          <w:spacing w:val="-1"/>
        </w:rPr>
        <w:t>74-1578.</w:t>
      </w:r>
    </w:p>
    <w:p>
      <w:pPr>
        <w:pStyle w:val="BodyText"/>
        <w:ind w:left="943" w:right="299" w:hanging="385"/>
        <w:spacing w:before="50" w:line="25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[4]  罗晓华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杨年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李忠勇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等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</w:rPr>
        <w:t>敏感抗生素联合康妇炎胶囊对慢 </w:t>
      </w:r>
      <w:r>
        <w:rPr>
          <w:sz w:val="16"/>
          <w:szCs w:val="16"/>
          <w:color w:val="231F20"/>
          <w:spacing w:val="-2"/>
        </w:rPr>
        <w:t>性盆腔炎患者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2"/>
        </w:rPr>
        <w:t>IL-1,IL-2,CRP,PCT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水平的影响及疗效 [J].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临床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与病理杂志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,2020,40(5):11</w:t>
      </w:r>
      <w:r>
        <w:rPr>
          <w:sz w:val="16"/>
          <w:szCs w:val="16"/>
          <w:color w:val="231F20"/>
          <w:spacing w:val="-1"/>
        </w:rPr>
        <w:t>85-1191.</w:t>
      </w:r>
    </w:p>
    <w:p>
      <w:pPr>
        <w:pStyle w:val="BodyText"/>
        <w:ind w:left="942" w:right="298" w:hanging="384"/>
        <w:spacing w:before="51" w:line="25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[5]  陈佳婕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张欢欢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  <w:spacing w:val="-2"/>
        </w:rPr>
        <w:t>贾亦斐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2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等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2"/>
        </w:rPr>
        <w:t>.10676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2"/>
        </w:rPr>
        <w:t>例泌尿生殖道感染门</w:t>
      </w:r>
      <w:r>
        <w:rPr>
          <w:sz w:val="16"/>
          <w:szCs w:val="16"/>
          <w:color w:val="231F20"/>
          <w:spacing w:val="-3"/>
        </w:rPr>
        <w:t>诊患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4"/>
        </w:rPr>
        <w:t>者淋球菌、沙眼衣原体和解脲支原体感染分析 [J].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4"/>
        </w:rPr>
        <w:t>传染病信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息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,2020,33(3):236-238.</w:t>
      </w:r>
    </w:p>
    <w:p>
      <w:pPr>
        <w:pStyle w:val="BodyText"/>
        <w:ind w:left="941" w:right="304" w:hanging="383"/>
        <w:spacing w:before="50" w:line="25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[6]  廖春洁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3"/>
        </w:rPr>
        <w:t>叶美萍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3"/>
        </w:rPr>
        <w:t>顾昕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3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3"/>
        </w:rPr>
        <w:t>等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3"/>
        </w:rPr>
        <w:t>.PCR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-3"/>
        </w:rPr>
        <w:t>荧光探针法、乳胶法及培养法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3"/>
        </w:rPr>
        <w:t>检测生殖道分泌物中沙眼衣原体、淋球菌和解脲支原体的优劣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2"/>
        </w:rPr>
        <w:t>分析 [J].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2"/>
        </w:rPr>
        <w:t>中国男科学杂志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,2021,35(03):22-26.</w:t>
      </w:r>
    </w:p>
    <w:p>
      <w:pPr>
        <w:pStyle w:val="BodyText"/>
        <w:ind w:left="941" w:right="299" w:hanging="383"/>
        <w:spacing w:before="49" w:line="22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[7]  金</w:t>
      </w:r>
      <w:r>
        <w:rPr>
          <w:sz w:val="16"/>
          <w:szCs w:val="16"/>
          <w:color w:val="231F20"/>
          <w:spacing w:val="-48"/>
        </w:rPr>
        <w:t xml:space="preserve"> </w:t>
      </w:r>
      <w:r>
        <w:rPr>
          <w:sz w:val="16"/>
          <w:szCs w:val="16"/>
          <w:color w:val="231F20"/>
          <w:spacing w:val="-4"/>
        </w:rPr>
        <w:t>璐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-4"/>
        </w:rPr>
        <w:t>丁</w:t>
      </w:r>
      <w:r>
        <w:rPr>
          <w:sz w:val="16"/>
          <w:szCs w:val="16"/>
          <w:color w:val="231F20"/>
          <w:spacing w:val="-43"/>
        </w:rPr>
        <w:t xml:space="preserve"> </w:t>
      </w:r>
      <w:r>
        <w:rPr>
          <w:sz w:val="16"/>
          <w:szCs w:val="16"/>
          <w:color w:val="231F20"/>
          <w:spacing w:val="-4"/>
        </w:rPr>
        <w:t>芳</w:t>
      </w:r>
      <w:r>
        <w:rPr>
          <w:sz w:val="16"/>
          <w:szCs w:val="16"/>
          <w:color w:val="231F20"/>
          <w:spacing w:val="-43"/>
        </w:rPr>
        <w:t xml:space="preserve"> </w:t>
      </w:r>
      <w:r>
        <w:rPr>
          <w:sz w:val="16"/>
          <w:szCs w:val="16"/>
          <w:color w:val="231F20"/>
          <w:spacing w:val="-4"/>
        </w:rPr>
        <w:t>芳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,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-4"/>
        </w:rPr>
        <w:t>胡</w:t>
      </w:r>
      <w:r>
        <w:rPr>
          <w:sz w:val="16"/>
          <w:szCs w:val="16"/>
          <w:color w:val="231F20"/>
          <w:spacing w:val="-48"/>
        </w:rPr>
        <w:t xml:space="preserve"> </w:t>
      </w:r>
      <w:r>
        <w:rPr>
          <w:sz w:val="16"/>
          <w:szCs w:val="16"/>
          <w:color w:val="231F20"/>
          <w:spacing w:val="-4"/>
        </w:rPr>
        <w:t>丹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-4"/>
        </w:rPr>
        <w:t>血</w:t>
      </w:r>
      <w:r>
        <w:rPr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-4"/>
        </w:rPr>
        <w:t>清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-4"/>
        </w:rPr>
        <w:t>CRP、WBC、PCT、CD6</w:t>
      </w:r>
      <w:r>
        <w:rPr>
          <w:sz w:val="16"/>
          <w:szCs w:val="16"/>
          <w:color w:val="231F20"/>
          <w:spacing w:val="-5"/>
        </w:rPr>
        <w:t>4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5"/>
        </w:rPr>
        <w:t>指</w:t>
      </w:r>
      <w:r>
        <w:rPr>
          <w:sz w:val="16"/>
          <w:szCs w:val="16"/>
          <w:color w:val="231F20"/>
          <w:spacing w:val="-46"/>
        </w:rPr>
        <w:t xml:space="preserve"> </w:t>
      </w:r>
      <w:r>
        <w:rPr>
          <w:sz w:val="16"/>
          <w:szCs w:val="16"/>
          <w:color w:val="231F20"/>
          <w:spacing w:val="-5"/>
        </w:rPr>
        <w:t>数</w:t>
      </w:r>
      <w:r>
        <w:rPr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-5"/>
        </w:rPr>
        <w:t>联</w:t>
      </w:r>
      <w:r>
        <w:rPr>
          <w:sz w:val="16"/>
          <w:szCs w:val="16"/>
          <w:color w:val="231F20"/>
          <w:spacing w:val="-47"/>
        </w:rPr>
        <w:t xml:space="preserve"> </w:t>
      </w:r>
      <w:r>
        <w:rPr>
          <w:sz w:val="16"/>
          <w:szCs w:val="16"/>
          <w:color w:val="231F20"/>
          <w:spacing w:val="-5"/>
        </w:rPr>
        <w:t>合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0"/>
        </w:rPr>
        <w:t>检验在妇科感染性疾病中的诊断价值 [J</w:t>
      </w:r>
      <w:r>
        <w:rPr>
          <w:sz w:val="16"/>
          <w:szCs w:val="16"/>
          <w:color w:val="231F20"/>
          <w:spacing w:val="9"/>
        </w:rPr>
        <w:t>].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9"/>
        </w:rPr>
        <w:t>中国现代药物应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4"/>
        <w:spacing w:before="30" w:line="21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用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,2022,16(17):86-89.</w:t>
      </w:r>
    </w:p>
    <w:p>
      <w:pPr>
        <w:pStyle w:val="BodyText"/>
        <w:ind w:left="387" w:right="4" w:hanging="388"/>
        <w:spacing w:before="51" w:line="25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5"/>
        </w:rPr>
        <w:t>[8]</w:t>
      </w:r>
      <w:r>
        <w:rPr>
          <w:sz w:val="16"/>
          <w:szCs w:val="16"/>
          <w:color w:val="231F20"/>
          <w:spacing w:val="7"/>
        </w:rPr>
        <w:t xml:space="preserve">  </w:t>
      </w:r>
      <w:r>
        <w:rPr>
          <w:sz w:val="16"/>
          <w:szCs w:val="16"/>
          <w:color w:val="231F20"/>
          <w:spacing w:val="15"/>
        </w:rPr>
        <w:t>李瑞琴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15"/>
        </w:rPr>
        <w:t>,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5"/>
        </w:rPr>
        <w:t>马欢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5"/>
        </w:rPr>
        <w:t>,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5"/>
        </w:rPr>
        <w:t>刘婉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5"/>
        </w:rPr>
        <w:t>.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5"/>
        </w:rPr>
        <w:t>老年性阴道炎患者免疫功能</w:t>
      </w:r>
      <w:r>
        <w:rPr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color w:val="231F20"/>
          <w:spacing w:val="15"/>
        </w:rPr>
        <w:t>指标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6"/>
        </w:rPr>
        <w:t>的检测及影响患者预后的相关因素分析 [J]</w:t>
      </w:r>
      <w:r>
        <w:rPr>
          <w:sz w:val="16"/>
          <w:szCs w:val="16"/>
          <w:color w:val="231F20"/>
          <w:spacing w:val="15"/>
        </w:rPr>
        <w:t>.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15"/>
        </w:rPr>
        <w:t>山西医药杂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志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-1"/>
        </w:rPr>
        <w:t>,2020,49(10):1217-1219.</w:t>
      </w:r>
    </w:p>
    <w:p>
      <w:pPr>
        <w:pStyle w:val="BodyText"/>
        <w:ind w:left="385" w:right="5" w:hanging="386"/>
        <w:spacing w:before="50" w:line="25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[9]  张亚敏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</w:rPr>
        <w:t>张立然</w:t>
      </w:r>
      <w:r>
        <w:rPr>
          <w:sz w:val="16"/>
          <w:szCs w:val="16"/>
          <w:color w:val="231F20"/>
          <w:spacing w:val="-30"/>
        </w:rPr>
        <w:t xml:space="preserve"> </w:t>
      </w:r>
      <w:r>
        <w:rPr>
          <w:sz w:val="16"/>
          <w:szCs w:val="16"/>
          <w:color w:val="231F20"/>
        </w:rPr>
        <w:t>,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</w:rPr>
        <w:t>时思毛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</w:rPr>
        <w:t>.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</w:rPr>
        <w:t>大柴胡汤治疗急性盆腔炎的临床疗 </w:t>
      </w:r>
      <w:r>
        <w:rPr>
          <w:sz w:val="16"/>
          <w:szCs w:val="16"/>
          <w:color w:val="231F20"/>
          <w:spacing w:val="2"/>
        </w:rPr>
        <w:t>效及对患者血清分泌型免疫球蛋白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CRP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2"/>
        </w:rPr>
        <w:t>的影响 [J].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2"/>
        </w:rPr>
        <w:t>河北医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学</w:t>
      </w:r>
      <w:r>
        <w:rPr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color w:val="231F20"/>
          <w:spacing w:val="-1"/>
        </w:rPr>
        <w:t>,2021,27(2):326-330.</w:t>
      </w:r>
    </w:p>
    <w:p>
      <w:pPr>
        <w:pStyle w:val="BodyText"/>
        <w:ind w:left="382" w:right="5" w:hanging="383"/>
        <w:spacing w:before="51" w:line="25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[10] 张群先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1"/>
        </w:rPr>
        <w:t>梁慧娜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sz w:val="16"/>
          <w:szCs w:val="16"/>
          <w:color w:val="231F20"/>
          <w:spacing w:val="1"/>
        </w:rPr>
        <w:t>.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1"/>
        </w:rPr>
        <w:t>解脲支原体、沙眼衣原体、淋球菌感染与盆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腔炎患者不同发病状态宫颈、盆腔分泌物菌群分</w:t>
      </w:r>
      <w:r>
        <w:rPr>
          <w:sz w:val="16"/>
          <w:szCs w:val="16"/>
          <w:color w:val="231F20"/>
          <w:spacing w:val="-3"/>
        </w:rPr>
        <w:t>布的关系及优势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5"/>
        </w:rPr>
        <w:t>菌敏感性抗菌药物的筛选 [J].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5"/>
        </w:rPr>
        <w:t>中国性科学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5"/>
        </w:rPr>
        <w:t>,2022,31(3):97-101.</w:t>
      </w:r>
    </w:p>
    <w:p>
      <w:pPr>
        <w:pStyle w:val="BodyText"/>
        <w:ind w:left="390" w:right="4" w:hanging="390"/>
        <w:spacing w:before="49" w:line="24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[11] 吴月圆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2"/>
        </w:rPr>
        <w:t>临床检验在急性盆腔炎患者治</w:t>
      </w:r>
      <w:r>
        <w:rPr>
          <w:sz w:val="16"/>
          <w:szCs w:val="16"/>
          <w:color w:val="231F20"/>
          <w:spacing w:val="1"/>
        </w:rPr>
        <w:t>疗中的临床应用价值探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究探析 [J].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2"/>
        </w:rPr>
        <w:t>实用妇科内分泌电子杂志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sz w:val="16"/>
          <w:szCs w:val="16"/>
          <w:color w:val="231F20"/>
          <w:spacing w:val="-2"/>
        </w:rPr>
        <w:t>,2019,6(31):80.</w:t>
      </w:r>
    </w:p>
    <w:p>
      <w:pPr>
        <w:pStyle w:val="BodyText"/>
        <w:ind w:left="390" w:right="5" w:hanging="390"/>
        <w:spacing w:before="50" w:line="229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4"/>
        </w:rPr>
        <w:t>[12] 韩余健</w:t>
      </w:r>
      <w:r>
        <w:rPr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4"/>
        </w:rPr>
        <w:t>.</w:t>
      </w:r>
      <w:r>
        <w:rPr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4"/>
        </w:rPr>
        <w:t>红细胞沉降率、C-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sz w:val="16"/>
          <w:szCs w:val="16"/>
          <w:color w:val="231F20"/>
          <w:spacing w:val="-4"/>
        </w:rPr>
        <w:t>反应蛋白及衣原体检查在急性盆腔炎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4"/>
        </w:rPr>
        <w:t>患者治疗中的价值分析 [J].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sz w:val="16"/>
          <w:szCs w:val="16"/>
          <w:color w:val="231F20"/>
          <w:spacing w:val="-4"/>
        </w:rPr>
        <w:t>吉林医学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sz w:val="16"/>
          <w:szCs w:val="16"/>
          <w:color w:val="231F20"/>
          <w:spacing w:val="-4"/>
        </w:rPr>
        <w:t>,201</w:t>
      </w:r>
      <w:r>
        <w:rPr>
          <w:sz w:val="16"/>
          <w:szCs w:val="16"/>
          <w:color w:val="231F20"/>
          <w:spacing w:val="-5"/>
        </w:rPr>
        <w:t>7,38(10):1889-1891.</w:t>
      </w:r>
    </w:p>
    <w:sectPr>
      <w:type w:val="continuous"/>
      <w:pgSz w:w="11906" w:h="16158"/>
      <w:pgMar w:top="400" w:right="930" w:bottom="0" w:left="407" w:header="0" w:footer="0" w:gutter="0"/>
      <w:cols w:equalWidth="0" w:num="2">
        <w:col w:w="5661" w:space="100"/>
        <w:col w:w="48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2024-05-08T22:55:30Z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2025-10-28T21:30:04</vt:filetime>
  </property>
</Properties>
</file>