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16"/>
        <w:spacing w:before="68" w:line="251" w:lineRule="auto"/>
        <w:rPr>
          <w:rFonts w:ascii="Times New Roman" w:hAnsi="Times New Roman" w:eastAsia="Times New Roman" w:cs="Times New Roman"/>
        </w:rPr>
      </w:pPr>
      <w:r>
        <w:rPr>
          <w:sz w:val="20"/>
          <w:szCs w:val="20"/>
          <w:color w:val="231F20"/>
          <w:position w:val="-8"/>
        </w:rPr>
        <w:t>·</w:t>
      </w:r>
      <w:r>
        <w:rPr>
          <w:sz w:val="20"/>
          <w:szCs w:val="20"/>
          <w:color w:val="231F20"/>
          <w:spacing w:val="-27"/>
          <w:position w:val="-8"/>
        </w:rPr>
        <w:t xml:space="preserve"> </w:t>
      </w:r>
      <w:r>
        <w:rPr>
          <w:sz w:val="20"/>
          <w:szCs w:val="20"/>
          <w:color w:val="231F20"/>
          <w:position w:val="-8"/>
        </w:rPr>
        <w:t>580</w:t>
      </w:r>
      <w:r>
        <w:rPr>
          <w:sz w:val="20"/>
          <w:szCs w:val="20"/>
          <w:color w:val="231F20"/>
          <w:spacing w:val="48"/>
          <w:position w:val="-8"/>
        </w:rPr>
        <w:t xml:space="preserve"> </w:t>
      </w:r>
      <w:r>
        <w:rPr>
          <w:sz w:val="20"/>
          <w:szCs w:val="20"/>
          <w:color w:val="231F20"/>
          <w:position w:val="-8"/>
        </w:rPr>
        <w:t>·                    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27"/>
          <w:position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中国冶金工业医学杂志   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2023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年第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40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卷第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11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5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position w:val="1"/>
        </w:rPr>
        <w:t>期   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Chin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Med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J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Metall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1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Indus,October.2023,Vol.40</w:t>
      </w:r>
      <w:r>
        <w:rPr>
          <w:rFonts w:ascii="Times New Roman" w:hAnsi="Times New Roman" w:eastAsia="Times New Roman" w:cs="Times New Roman"/>
          <w:u w:val="single" w:color="auto"/>
          <w:color w:val="231F20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  <w:color w:val="231F20"/>
          <w:position w:val="1"/>
        </w:rPr>
        <w:t>No.5</w:t>
      </w:r>
    </w:p>
    <w:p>
      <w:pPr>
        <w:ind w:left="507"/>
        <w:spacing w:before="10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DOI:10.13586/j.cnki.yjyx1984.2023.05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.100</w:t>
      </w:r>
    </w:p>
    <w:p>
      <w:pPr>
        <w:pStyle w:val="BodyText"/>
        <w:ind w:left="1894"/>
        <w:spacing w:before="41" w:line="216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16"/>
        </w:rPr>
        <w:t>甲硝唑联合左氧氟沙星治疗急性盆腔炎的效果评价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5163"/>
        <w:spacing w:before="61" w:line="252" w:lineRule="exact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1"/>
          <w:position w:val="1"/>
        </w:rPr>
        <w:t>马誉铷</w:t>
      </w:r>
    </w:p>
    <w:p>
      <w:pPr>
        <w:ind w:left="3417"/>
        <w:spacing w:before="54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1"/>
        </w:rPr>
        <w:t>沈阳市第六人民医院妇科，辽宁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沈阳</w:t>
      </w:r>
      <w:r>
        <w:rPr>
          <w:rFonts w:ascii="KaiTi" w:hAnsi="KaiTi" w:eastAsia="KaiTi" w:cs="KaiTi"/>
          <w:sz w:val="19"/>
          <w:szCs w:val="19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110000</w:t>
      </w:r>
    </w:p>
    <w:p>
      <w:pPr>
        <w:spacing w:before="69"/>
        <w:rPr/>
      </w:pPr>
      <w:r/>
    </w:p>
    <w:p>
      <w:pPr>
        <w:sectPr>
          <w:headerReference w:type="default" r:id="rId1"/>
          <w:pgSz w:w="11906" w:h="16838"/>
          <w:pgMar w:top="400" w:right="957" w:bottom="0" w:left="407" w:header="0" w:footer="0" w:gutter="0"/>
          <w:cols w:equalWidth="0" w:num="1">
            <w:col w:w="10541" w:space="0"/>
          </w:cols>
        </w:sectPr>
        <w:rPr/>
      </w:pPr>
    </w:p>
    <w:p>
      <w:pPr>
        <w:pStyle w:val="BodyText"/>
        <w:ind w:left="447" w:right="229" w:firstLine="351"/>
        <w:spacing w:before="42" w:line="328" w:lineRule="auto"/>
        <w:jc w:val="both"/>
        <w:rPr/>
      </w:pPr>
      <w:r>
        <w:rPr>
          <w:color w:val="231F20"/>
          <w:spacing w:val="13"/>
        </w:rPr>
        <w:t>急性盆腔炎的发病率较高，病因与性生活、卫生习惯</w:t>
      </w:r>
      <w:r>
        <w:rPr>
          <w:color w:val="231F20"/>
          <w:spacing w:val="12"/>
        </w:rPr>
        <w:t>不佳、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生活不规律等有关，病程延长期间会发展成为慢性盆腔炎，影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2"/>
        </w:rPr>
        <w:t>响了患者的健康及生活质量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2"/>
        </w:rPr>
        <w:t>。本文评价甲硝唑联合左氧氟沙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星治疗急性盆腔炎的效果，报告如下。</w:t>
      </w:r>
    </w:p>
    <w:p>
      <w:pPr>
        <w:ind w:left="459"/>
        <w:spacing w:before="80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资料与方法</w:t>
      </w:r>
    </w:p>
    <w:p>
      <w:pPr>
        <w:pStyle w:val="BodyText"/>
        <w:ind w:left="445" w:right="229" w:firstLine="15"/>
        <w:spacing w:before="134" w:line="316" w:lineRule="auto"/>
        <w:rPr/>
      </w:pPr>
      <w:r>
        <w:rPr>
          <w:color w:val="231F20"/>
          <w:spacing w:val="11"/>
        </w:rPr>
        <w:t>1.1  临床资料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11"/>
        </w:rPr>
        <w:t>选择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2020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年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2—10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月我院收</w:t>
      </w:r>
      <w:r>
        <w:rPr>
          <w:color w:val="231F20"/>
          <w:spacing w:val="10"/>
        </w:rPr>
        <w:t>治的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92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例急性盆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腔炎疾病患者，均经实验室等检查确诊，病历资料完整，对</w:t>
      </w:r>
      <w:r>
        <w:rPr>
          <w:color w:val="231F20"/>
          <w:spacing w:val="10"/>
        </w:rPr>
        <w:t>治疗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药物无禁忌，本研究经伦理委员会批准。排除过敏体质，妊娠、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哺乳，精神、意识障碍者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。依据随机法将其分为对照组与观察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组，每组各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46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例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2"/>
        </w:rPr>
        <w:t>。对照组：年龄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20～45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岁，平均（30.50±5.50）</w:t>
      </w:r>
      <w:r>
        <w:rPr>
          <w:color w:val="231F20"/>
        </w:rPr>
        <w:t xml:space="preserve"> </w:t>
      </w:r>
      <w:r>
        <w:rPr>
          <w:color w:val="231F20"/>
        </w:rPr>
        <w:t>岁；观察组：年龄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22～48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岁，平均（31.20±6.50</w:t>
      </w:r>
      <w:r>
        <w:rPr>
          <w:color w:val="231F20"/>
          <w:spacing w:val="-1"/>
        </w:rPr>
        <w:t>）岁。两组的一般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资料比较，差异无统计学意义（</w:t>
      </w:r>
      <w:r>
        <w:rPr>
          <w:sz w:val="17"/>
          <w:szCs w:val="17"/>
          <w:i/>
          <w:iCs/>
          <w:color w:val="231F20"/>
          <w:spacing w:val="8"/>
        </w:rPr>
        <w:t>P</w:t>
      </w:r>
      <w:r>
        <w:rPr>
          <w:color w:val="231F20"/>
          <w:spacing w:val="8"/>
        </w:rPr>
        <w:t>＞0.05</w:t>
      </w:r>
      <w:r>
        <w:rPr>
          <w:color w:val="231F20"/>
          <w:spacing w:val="-28"/>
          <w:w w:val="66"/>
        </w:rPr>
        <w:t>），</w:t>
      </w:r>
      <w:r>
        <w:rPr>
          <w:color w:val="231F20"/>
          <w:spacing w:val="8"/>
        </w:rPr>
        <w:t>均衡可比。</w:t>
      </w:r>
    </w:p>
    <w:p>
      <w:pPr>
        <w:pStyle w:val="BodyText"/>
        <w:ind w:left="449" w:right="241" w:firstLine="11"/>
        <w:spacing w:before="56" w:line="303" w:lineRule="auto"/>
        <w:rPr/>
      </w:pPr>
      <w:r>
        <w:rPr>
          <w:color w:val="231F20"/>
          <w:spacing w:val="13"/>
        </w:rPr>
        <w:t>1.2  方法  对照组采用甲硝唑葡萄糖注射液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0.5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3"/>
        </w:rPr>
        <w:t>g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3"/>
        </w:rPr>
        <w:t>静脉滴注，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7"/>
        </w:rPr>
        <w:t>次/d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7"/>
        </w:rPr>
        <w:t>。观察组在对照组的治疗基础上联合</w:t>
      </w:r>
      <w:r>
        <w:rPr>
          <w:color w:val="231F20"/>
          <w:spacing w:val="16"/>
        </w:rPr>
        <w:t>盐酸左氧氟沙星葡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萄糖注射液治疗，0.4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g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4"/>
        </w:rPr>
        <w:t>静脉滴注，1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4"/>
        </w:rPr>
        <w:t>次/d。两组均连续用药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4"/>
        </w:rPr>
        <w:t>周。</w:t>
      </w:r>
    </w:p>
    <w:p>
      <w:pPr>
        <w:pStyle w:val="BodyText"/>
        <w:ind w:left="445" w:right="292" w:firstLine="15"/>
        <w:spacing w:before="63" w:line="311" w:lineRule="auto"/>
        <w:rPr/>
      </w:pPr>
      <w:r>
        <w:rPr>
          <w:color w:val="231F20"/>
          <w:spacing w:val="11"/>
        </w:rPr>
        <w:t>1.3  观察指标及判定标准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11"/>
        </w:rPr>
        <w:t>比较两组临床疗效、不良反应发生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率及症状消失时间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。痊愈：腰背及腹部疼痛等症状消失，复查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阴道分泌物镜查正常、原盆腔积液消失；有效：症状体征与</w:t>
      </w:r>
      <w:r>
        <w:rPr>
          <w:color w:val="231F20"/>
          <w:spacing w:val="10"/>
        </w:rPr>
        <w:t>复查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结果改善；无效：病情基本无变化</w:t>
      </w:r>
      <w:r>
        <w:rPr>
          <w:sz w:val="8"/>
          <w:szCs w:val="8"/>
          <w:color w:val="231F20"/>
          <w:spacing w:val="4"/>
          <w:position w:val="6"/>
        </w:rPr>
        <w:t>［1］</w:t>
      </w:r>
      <w:r>
        <w:rPr>
          <w:color w:val="231F20"/>
          <w:spacing w:val="4"/>
        </w:rPr>
        <w:t>。</w:t>
      </w:r>
    </w:p>
    <w:p>
      <w:pPr>
        <w:pStyle w:val="BodyText"/>
        <w:ind w:left="460"/>
        <w:spacing w:before="59" w:line="228" w:lineRule="exact"/>
        <w:rPr/>
      </w:pPr>
      <w:r>
        <w:rPr>
          <w:color w:val="231F20"/>
          <w:spacing w:val="9"/>
          <w:position w:val="1"/>
        </w:rPr>
        <w:t>1.4  统计学处理  应用</w:t>
      </w:r>
      <w:r>
        <w:rPr>
          <w:color w:val="231F20"/>
          <w:spacing w:val="-28"/>
          <w:position w:val="1"/>
        </w:rPr>
        <w:t xml:space="preserve"> </w:t>
      </w:r>
      <w:r>
        <w:rPr>
          <w:color w:val="231F20"/>
          <w:position w:val="1"/>
        </w:rPr>
        <w:t>SPSS</w:t>
      </w:r>
      <w:r>
        <w:rPr>
          <w:color w:val="231F20"/>
          <w:spacing w:val="9"/>
          <w:position w:val="1"/>
        </w:rPr>
        <w:t xml:space="preserve"> 19.0</w:t>
      </w:r>
      <w:r>
        <w:rPr>
          <w:color w:val="231F20"/>
          <w:spacing w:val="-43"/>
          <w:position w:val="1"/>
        </w:rPr>
        <w:t xml:space="preserve"> </w:t>
      </w:r>
      <w:r>
        <w:rPr>
          <w:color w:val="231F20"/>
          <w:spacing w:val="9"/>
          <w:position w:val="1"/>
        </w:rPr>
        <w:t>统计学软件处理数据，以</w:t>
      </w:r>
      <w:r>
        <w:rPr>
          <w:color w:val="231F20"/>
          <w:spacing w:val="-32"/>
          <w:position w:val="1"/>
        </w:rPr>
        <w:t xml:space="preserve"> </w:t>
      </w:r>
      <w:r>
        <w:rPr>
          <w:sz w:val="17"/>
          <w:szCs w:val="17"/>
          <w:i/>
          <w:iCs/>
          <w:color w:val="231F20"/>
          <w:spacing w:val="9"/>
          <w:position w:val="1"/>
        </w:rPr>
        <w:t>P</w:t>
      </w:r>
      <w:r>
        <w:rPr>
          <w:color w:val="231F20"/>
          <w:spacing w:val="9"/>
          <w:position w:val="1"/>
        </w:rPr>
        <w:t>&lt;</w:t>
      </w:r>
    </w:p>
    <w:p>
      <w:pPr>
        <w:pStyle w:val="BodyText"/>
        <w:ind w:left="446"/>
        <w:spacing w:before="56" w:line="225" w:lineRule="exact"/>
        <w:rPr/>
      </w:pPr>
      <w:r>
        <w:rPr>
          <w:color w:val="231F20"/>
          <w:spacing w:val="8"/>
          <w:position w:val="1"/>
        </w:rPr>
        <w:t>0.05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spacing w:val="8"/>
          <w:position w:val="1"/>
        </w:rPr>
        <w:t>为差异有统计学意义。</w:t>
      </w:r>
    </w:p>
    <w:p>
      <w:pPr>
        <w:ind w:left="446"/>
        <w:spacing w:before="142" w:line="21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结果</w:t>
      </w:r>
    </w:p>
    <w:p>
      <w:pPr>
        <w:pStyle w:val="BodyText"/>
        <w:ind w:left="445" w:right="292" w:firstLine="1"/>
        <w:spacing w:before="135" w:line="307" w:lineRule="auto"/>
        <w:rPr/>
      </w:pPr>
      <w:r>
        <w:rPr>
          <w:color w:val="231F20"/>
          <w:spacing w:val="2"/>
        </w:rPr>
        <w:t>2.1  两组治疗效果比较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观察组：痊愈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34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"/>
        </w:rPr>
        <w:t>例、有效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11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"/>
        </w:rPr>
        <w:t>例、无效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例，治疗总有效率为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97.83%；对照组：痊愈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24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例、有</w:t>
      </w:r>
      <w:r>
        <w:rPr>
          <w:color w:val="231F20"/>
          <w:spacing w:val="2"/>
        </w:rPr>
        <w:t>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12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例、无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10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例，治疗总有效率为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1"/>
        </w:rPr>
        <w:t>78.26%。观察组治疗总有效率高于对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照组，两组比较差异有统计学意义(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  <w:position w:val="2"/>
        </w:rPr>
        <w:t>χ</w:t>
      </w:r>
      <w:r>
        <w:rPr>
          <w:rFonts w:ascii="Times New Roman" w:hAnsi="Times New Roman" w:eastAsia="Times New Roman" w:cs="Times New Roman"/>
          <w:sz w:val="8"/>
          <w:szCs w:val="8"/>
          <w:i/>
          <w:iCs/>
          <w:color w:val="231F20"/>
          <w:spacing w:val="2"/>
          <w:position w:val="7"/>
        </w:rPr>
        <w:t>2 </w:t>
      </w:r>
      <w:r>
        <w:rPr>
          <w:color w:val="231F20"/>
          <w:spacing w:val="2"/>
        </w:rPr>
        <w:t>＝8.364，</w:t>
      </w:r>
      <w:r>
        <w:rPr>
          <w:sz w:val="17"/>
          <w:szCs w:val="17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＜0.05</w:t>
      </w:r>
      <w:r>
        <w:rPr>
          <w:color w:val="231F20"/>
          <w:spacing w:val="1"/>
        </w:rPr>
        <w:t>）。</w:t>
      </w:r>
    </w:p>
    <w:p>
      <w:pPr>
        <w:pStyle w:val="BodyText"/>
        <w:ind w:left="446"/>
        <w:spacing w:before="56" w:line="225" w:lineRule="exact"/>
        <w:rPr/>
      </w:pPr>
      <w:r>
        <w:rPr>
          <w:color w:val="231F20"/>
          <w:spacing w:val="12"/>
          <w:position w:val="1"/>
        </w:rPr>
        <w:t>2.2  两组不良反应发生率比较  观察组：恶心呕吐</w:t>
      </w:r>
      <w:r>
        <w:rPr>
          <w:color w:val="231F20"/>
          <w:spacing w:val="-29"/>
          <w:position w:val="1"/>
        </w:rPr>
        <w:t xml:space="preserve"> </w:t>
      </w:r>
      <w:r>
        <w:rPr>
          <w:color w:val="231F20"/>
          <w:spacing w:val="12"/>
          <w:position w:val="1"/>
        </w:rPr>
        <w:t>2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12"/>
          <w:position w:val="1"/>
        </w:rPr>
        <w:t>例、皮肤</w:t>
      </w:r>
    </w:p>
    <w:p>
      <w:pPr>
        <w:spacing w:line="7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4" w:right="63"/>
        <w:spacing w:before="38" w:line="321" w:lineRule="auto"/>
        <w:jc w:val="both"/>
        <w:rPr/>
      </w:pPr>
      <w:r>
        <w:rPr>
          <w:color w:val="231F20"/>
          <w:spacing w:val="6"/>
        </w:rPr>
        <w:t>瘙痒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例，不良反应发生率为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8.70%；对照组：恶心呕吐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6"/>
        </w:rPr>
        <w:t>例、腹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泻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0"/>
        </w:rPr>
        <w:t>例、皮肤瘙痒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例，不良反应发生率为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0"/>
        </w:rPr>
        <w:t>8.70%。两组不良反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应发生率比较差异无统计学意义（</w:t>
      </w:r>
      <w:r>
        <w:rPr>
          <w:sz w:val="17"/>
          <w:szCs w:val="17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＞0.05）。</w:t>
      </w:r>
    </w:p>
    <w:p>
      <w:pPr>
        <w:pStyle w:val="BodyText"/>
        <w:ind w:firstLine="66"/>
        <w:spacing w:before="3" w:line="326" w:lineRule="auto"/>
        <w:jc w:val="both"/>
        <w:rPr/>
      </w:pPr>
      <w:r>
        <w:rPr>
          <w:color w:val="231F20"/>
          <w:spacing w:val="14"/>
        </w:rPr>
        <w:t>2.3  两组症状消失时间比较  观察组的腹痛消失、体温复常、 </w:t>
      </w:r>
      <w:r>
        <w:rPr>
          <w:color w:val="231F20"/>
          <w:spacing w:val="5"/>
        </w:rPr>
        <w:t>盆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5"/>
        </w:rPr>
        <w:t>腔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内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5"/>
        </w:rPr>
        <w:t>炎性包块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消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失、白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带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5"/>
        </w:rPr>
        <w:t>复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常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时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间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5"/>
        </w:rPr>
        <w:t>分别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5"/>
        </w:rPr>
        <w:t>为（3.3</w:t>
      </w:r>
      <w:r>
        <w:rPr>
          <w:color w:val="231F20"/>
          <w:spacing w:val="4"/>
        </w:rPr>
        <w:t>0±0.50）、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（2.50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±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2"/>
        </w:rPr>
        <w:t>0.50）、（6.50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±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2"/>
        </w:rPr>
        <w:t>0.50）、（5.20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1.20）d，对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照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2"/>
        </w:rPr>
        <w:t>组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3"/>
        </w:rPr>
        <w:t>分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3"/>
        </w:rPr>
        <w:t>别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为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（4.50±0.60）、（3.20±0.80）、（8.50±1.20）、（6.20±1.</w:t>
      </w:r>
      <w:r>
        <w:rPr>
          <w:color w:val="231F20"/>
          <w:spacing w:val="-14"/>
        </w:rPr>
        <w:t>50）d。观察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组上述症状的消失时间均短于对照组，两组比较差异均有统计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学意义（</w:t>
      </w:r>
      <w:r>
        <w:rPr>
          <w:sz w:val="17"/>
          <w:szCs w:val="17"/>
          <w:i/>
          <w:iCs/>
          <w:color w:val="231F20"/>
          <w:spacing w:val="-8"/>
        </w:rPr>
        <w:t>t</w:t>
      </w:r>
      <w:r>
        <w:rPr>
          <w:color w:val="231F20"/>
          <w:spacing w:val="-8"/>
        </w:rPr>
        <w:t>＝10.421、5.033、10.434、3.531，均</w:t>
      </w:r>
      <w:r>
        <w:rPr>
          <w:color w:val="231F20"/>
          <w:spacing w:val="-36"/>
        </w:rPr>
        <w:t xml:space="preserve"> </w:t>
      </w:r>
      <w:r>
        <w:rPr>
          <w:sz w:val="17"/>
          <w:szCs w:val="17"/>
          <w:i/>
          <w:iCs/>
          <w:color w:val="231F20"/>
          <w:spacing w:val="-8"/>
        </w:rPr>
        <w:t>P</w:t>
      </w:r>
      <w:r>
        <w:rPr>
          <w:color w:val="231F20"/>
          <w:spacing w:val="-9"/>
        </w:rPr>
        <w:t>＜0.05）。</w:t>
      </w:r>
    </w:p>
    <w:p>
      <w:pPr>
        <w:ind w:left="67"/>
        <w:spacing w:before="71" w:line="215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讨论</w:t>
      </w:r>
    </w:p>
    <w:p>
      <w:pPr>
        <w:pStyle w:val="BodyText"/>
        <w:ind w:left="64" w:right="2" w:firstLine="358"/>
        <w:spacing w:before="137" w:line="326" w:lineRule="auto"/>
        <w:jc w:val="both"/>
        <w:rPr/>
      </w:pPr>
      <w:r>
        <w:rPr>
          <w:color w:val="231F20"/>
          <w:spacing w:val="17"/>
        </w:rPr>
        <w:t>急性盆腔炎起病急、进展快，需积极治疗以避免其由急性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转为慢性，从而提高患者的安全性及生活质量。急性盆腔炎的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主要病原体包括衣原体、支原体、淋病奈瑟菌等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。该病的治疗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以抗生素为主，可以抑制细菌生长。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6"/>
        </w:rPr>
        <w:t>甲硝唑抗生素属于硝</w:t>
      </w:r>
      <w:r>
        <w:rPr>
          <w:color w:val="231F20"/>
          <w:spacing w:val="15"/>
        </w:rPr>
        <w:t>基咪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唑类，其抗菌作用强，对多数肠杆菌科细菌有较强的抗菌活性。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左氧氟沙星属于喹诺酮类抗生素，其抗菌能力强、作用时间长，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8"/>
        </w:rPr>
        <w:t>可以有效抑制细菌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DNA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8"/>
        </w:rPr>
        <w:t>旋转酶活性，起到杀菌、抑制细菌生长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的效果。两种药物联合应用可以互为补充，可覆盖女性盆腔炎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大部分致病菌，能促进患者康复，提升疾病的治疗效果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。本文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结果显示，观察组治疗总有效率高于对照组，临床症状的消失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7"/>
        </w:rPr>
        <w:t>时间均短于对照组；但两组不良反应发生率比较差异无统计学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意义（</w:t>
      </w:r>
      <w:r>
        <w:rPr>
          <w:sz w:val="17"/>
          <w:szCs w:val="17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＞0.05）。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综上所述，联合左氧氟沙星、甲硝唑治疗急性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盆腔炎的效果理想，可加速患者康复，是有效</w:t>
      </w:r>
      <w:r>
        <w:rPr>
          <w:color w:val="231F20"/>
          <w:spacing w:val="10"/>
        </w:rPr>
        <w:t>的用药方案。</w:t>
      </w:r>
    </w:p>
    <w:p>
      <w:pPr>
        <w:ind w:left="68"/>
        <w:spacing w:before="81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参考文献</w:t>
      </w:r>
    </w:p>
    <w:p>
      <w:pPr>
        <w:pStyle w:val="BodyText"/>
        <w:ind w:left="504" w:right="63" w:hanging="497"/>
        <w:spacing w:before="137" w:line="3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［1］</w:t>
      </w:r>
      <w:r>
        <w:rPr>
          <w:sz w:val="15"/>
          <w:szCs w:val="15"/>
          <w:color w:val="231F20"/>
          <w:spacing w:val="6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肖飞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甲硝唑联合左氧氟沙星治疗急性盆腔炎疗效观察［J］.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2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国药物与临床，2020，20（18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4"/>
        </w:rPr>
        <w:t>3109-3110.</w:t>
      </w:r>
    </w:p>
    <w:p>
      <w:pPr>
        <w:pStyle w:val="BodyText"/>
        <w:spacing w:line="21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（收稿日期：</w:t>
      </w:r>
      <w:r>
        <w:rPr>
          <w:sz w:val="15"/>
          <w:szCs w:val="15"/>
          <w:b/>
          <w:bCs/>
          <w:color w:val="231F20"/>
          <w:spacing w:val="-1"/>
        </w:rPr>
        <w:t>2023-06-27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p>
      <w:pPr>
        <w:spacing w:line="211" w:lineRule="auto"/>
        <w:sectPr>
          <w:type w:val="continuous"/>
          <w:pgSz w:w="11906" w:h="16838"/>
          <w:pgMar w:top="400" w:right="957" w:bottom="0" w:left="407" w:header="0" w:footer="0" w:gutter="0"/>
          <w:cols w:equalWidth="0" w:num="2">
            <w:col w:w="5526" w:space="100"/>
            <w:col w:w="4916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527"/>
        <w:spacing w:before="101" w:line="218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18"/>
        </w:rPr>
        <w:t>香砂六君子联合四磨汤加减治疗功能性腹泻的疗</w:t>
      </w:r>
      <w:r>
        <w:rPr>
          <w:sz w:val="31"/>
          <w:szCs w:val="31"/>
          <w:color w:val="231F20"/>
          <w:spacing w:val="17"/>
        </w:rPr>
        <w:t>效观察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5165"/>
        <w:spacing w:before="63" w:line="24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0"/>
        </w:rPr>
        <w:t>卢秀怡</w:t>
      </w:r>
    </w:p>
    <w:p>
      <w:pPr>
        <w:ind w:left="3622"/>
        <w:spacing w:before="55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1"/>
        </w:rPr>
        <w:t>丹东市中医院脾胃科，辽宁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丹东</w:t>
      </w:r>
      <w:r>
        <w:rPr>
          <w:rFonts w:ascii="KaiTi" w:hAnsi="KaiTi" w:eastAsia="KaiTi" w:cs="KaiTi"/>
          <w:sz w:val="19"/>
          <w:szCs w:val="19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1"/>
        </w:rPr>
        <w:t>118000</w:t>
      </w:r>
    </w:p>
    <w:p>
      <w:pPr>
        <w:spacing w:before="70"/>
        <w:rPr/>
      </w:pPr>
      <w:r/>
    </w:p>
    <w:p>
      <w:pPr>
        <w:sectPr>
          <w:type w:val="continuous"/>
          <w:pgSz w:w="11906" w:h="16838"/>
          <w:pgMar w:top="400" w:right="957" w:bottom="0" w:left="407" w:header="0" w:footer="0" w:gutter="0"/>
          <w:cols w:equalWidth="0" w:num="1">
            <w:col w:w="10541" w:space="0"/>
          </w:cols>
        </w:sectPr>
        <w:rPr/>
      </w:pPr>
    </w:p>
    <w:p>
      <w:pPr>
        <w:pStyle w:val="BodyText"/>
        <w:ind w:left="445" w:right="292" w:firstLine="357"/>
        <w:spacing w:before="43" w:line="346" w:lineRule="auto"/>
        <w:jc w:val="both"/>
        <w:rPr/>
      </w:pPr>
      <w:r>
        <w:rPr>
          <w:color w:val="231F20"/>
          <w:spacing w:val="17"/>
        </w:rPr>
        <w:t>功能性腹泻的发病率较高，此病属于中医泄泻范畴，患者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有持续、反复稀水样便表现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4"/>
        </w:rPr>
        <w:t>中医药的治疗注重整体调节，有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明显优势，其疗效显著、安全性高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。本文探讨香砂六君子联合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四磨汤治疗的整体效果，报告如下。</w:t>
      </w:r>
    </w:p>
    <w:p>
      <w:pPr>
        <w:ind w:left="459"/>
        <w:spacing w:before="80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资料与方法</w:t>
      </w:r>
    </w:p>
    <w:p>
      <w:pPr>
        <w:pStyle w:val="BodyText"/>
        <w:ind w:left="460"/>
        <w:spacing w:before="136" w:line="226" w:lineRule="exact"/>
        <w:rPr/>
      </w:pPr>
      <w:r>
        <w:rPr>
          <w:color w:val="231F20"/>
          <w:spacing w:val="10"/>
          <w:position w:val="1"/>
        </w:rPr>
        <w:t>1.1  临床资料</w:t>
      </w:r>
      <w:r>
        <w:rPr>
          <w:color w:val="231F20"/>
          <w:spacing w:val="23"/>
          <w:position w:val="1"/>
        </w:rPr>
        <w:t xml:space="preserve">  </w:t>
      </w:r>
      <w:r>
        <w:rPr>
          <w:color w:val="231F20"/>
          <w:spacing w:val="10"/>
          <w:position w:val="1"/>
        </w:rPr>
        <w:t>选择</w:t>
      </w:r>
      <w:r>
        <w:rPr>
          <w:color w:val="231F20"/>
          <w:spacing w:val="-38"/>
          <w:position w:val="1"/>
        </w:rPr>
        <w:t xml:space="preserve"> </w:t>
      </w:r>
      <w:r>
        <w:rPr>
          <w:color w:val="231F20"/>
          <w:spacing w:val="10"/>
          <w:position w:val="1"/>
        </w:rPr>
        <w:t>2020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10"/>
          <w:position w:val="1"/>
        </w:rPr>
        <w:t>年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10"/>
          <w:position w:val="1"/>
        </w:rPr>
        <w:t>2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10"/>
          <w:position w:val="1"/>
        </w:rPr>
        <w:t>月—2021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10"/>
          <w:position w:val="1"/>
        </w:rPr>
        <w:t>年</w:t>
      </w:r>
      <w:r>
        <w:rPr>
          <w:color w:val="231F20"/>
          <w:spacing w:val="-23"/>
          <w:position w:val="1"/>
        </w:rPr>
        <w:t xml:space="preserve"> </w:t>
      </w:r>
      <w:r>
        <w:rPr>
          <w:color w:val="231F20"/>
          <w:spacing w:val="10"/>
          <w:position w:val="1"/>
        </w:rPr>
        <w:t>1</w:t>
      </w:r>
      <w:r>
        <w:rPr>
          <w:color w:val="231F20"/>
          <w:spacing w:val="-37"/>
          <w:position w:val="1"/>
        </w:rPr>
        <w:t xml:space="preserve"> </w:t>
      </w:r>
      <w:r>
        <w:rPr>
          <w:color w:val="231F20"/>
          <w:spacing w:val="10"/>
          <w:position w:val="1"/>
        </w:rPr>
        <w:t>月我院收治的90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6"/>
        <w:spacing w:before="38" w:line="313" w:lineRule="auto"/>
        <w:jc w:val="both"/>
        <w:rPr/>
      </w:pPr>
      <w:r>
        <w:rPr>
          <w:color w:val="231F20"/>
          <w:spacing w:val="11"/>
        </w:rPr>
        <w:t>例功能性腹泻患者，年龄＞18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岁，有反复水样便表现，伴肠鸣、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腹痛，近期未服用止泻类药物，对治疗药物知情同意，本研究获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5"/>
        </w:rPr>
        <w:t>伦理委员会批准。排除严重疾病，器质性疾病所致腹泻，精神、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3"/>
        </w:rPr>
        <w:t>神经疾病，妊娠、哺乳者。随机将其分为对照组与观察组，每组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45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对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照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"/>
        </w:rPr>
        <w:t>组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：男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，女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25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；年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"/>
        </w:rPr>
        <w:t>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20～55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岁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，平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均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（46.50±7.20）岁；病程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1～6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个月，平均（3.30±1.50）个月。观察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组：男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22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例，女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23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例；年龄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22～58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岁，平均（45.80±7.60）岁；病</w:t>
      </w:r>
    </w:p>
    <w:sectPr>
      <w:type w:val="continuous"/>
      <w:pgSz w:w="11906" w:h="16838"/>
      <w:pgMar w:top="400" w:right="957" w:bottom="0" w:left="407" w:header="0" w:footer="0" w:gutter="0"/>
      <w:cols w:equalWidth="0" w:num="2">
        <w:col w:w="5526" w:space="100"/>
        <w:col w:w="491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2023-10-13T05:35:09Z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2025-10-28T21:30:03</vt:filetime>
  </property>
</Properties>
</file>