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02"/>
        <w:spacing w:before="198" w:line="497" w:lineRule="exact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231F20"/>
          <w:spacing w:val="-1"/>
          <w:position w:val="2"/>
        </w:rPr>
        <w:t>盐酸克林霉素对妇科急性盆腔炎治疗效果研究</w:t>
      </w:r>
    </w:p>
    <w:p>
      <w:pPr>
        <w:ind w:left="623"/>
        <w:spacing w:before="240" w:line="307" w:lineRule="exac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22"/>
          <w:szCs w:val="22"/>
          <w:color w:val="231F20"/>
          <w:spacing w:val="-4"/>
          <w:position w:val="1"/>
        </w:rPr>
        <w:t>尚玉红</w:t>
      </w:r>
      <w:r>
        <w:rPr>
          <w:rFonts w:ascii="SimSun" w:hAnsi="SimSun" w:eastAsia="SimSun" w:cs="SimSun"/>
          <w:sz w:val="22"/>
          <w:szCs w:val="22"/>
          <w:color w:val="231F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10"/>
        </w:rPr>
        <w:t>1</w:t>
      </w:r>
      <w:r>
        <w:rPr>
          <w:rFonts w:ascii="SimSun" w:hAnsi="SimSun" w:eastAsia="SimSun" w:cs="SimSun"/>
          <w:sz w:val="22"/>
          <w:szCs w:val="22"/>
          <w:color w:val="231F20"/>
          <w:spacing w:val="-4"/>
          <w:position w:val="1"/>
        </w:rPr>
        <w:t>，王景超</w:t>
      </w:r>
      <w:r>
        <w:rPr>
          <w:rFonts w:ascii="SimSun" w:hAnsi="SimSun" w:eastAsia="SimSun" w:cs="SimSun"/>
          <w:sz w:val="22"/>
          <w:szCs w:val="22"/>
          <w:color w:val="231F20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10"/>
        </w:rPr>
        <w:t>2</w:t>
      </w:r>
      <w:r>
        <w:rPr>
          <w:rFonts w:ascii="SimSun" w:hAnsi="SimSun" w:eastAsia="SimSun" w:cs="SimSun"/>
          <w:sz w:val="22"/>
          <w:szCs w:val="22"/>
          <w:color w:val="231F20"/>
          <w:spacing w:val="-4"/>
          <w:position w:val="1"/>
        </w:rPr>
        <w:t>，孙智善</w:t>
      </w:r>
      <w:r>
        <w:rPr>
          <w:rFonts w:ascii="SimSun" w:hAnsi="SimSun" w:eastAsia="SimSun" w:cs="SimSun"/>
          <w:sz w:val="22"/>
          <w:szCs w:val="22"/>
          <w:color w:val="231F20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10"/>
        </w:rPr>
        <w:t>3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87" w:firstLine="367"/>
        <w:spacing w:before="65" w:line="308" w:lineRule="auto"/>
        <w:tabs>
          <w:tab w:val="left" w:pos="617"/>
        </w:tabs>
        <w:jc w:val="both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5"/>
        </w:rPr>
        <w:t>【摘要】</w:t>
      </w:r>
      <w:r>
        <w:rPr>
          <w:rFonts w:ascii="SimHei" w:hAnsi="SimHei" w:eastAsia="SimHei" w:cs="SimHei"/>
          <w:color w:val="231F20"/>
          <w:spacing w:val="68"/>
        </w:rPr>
        <w:t xml:space="preserve"> </w:t>
      </w:r>
      <w:r>
        <w:rPr>
          <w:rFonts w:ascii="SimHei" w:hAnsi="SimHei" w:eastAsia="SimHei" w:cs="SimHei"/>
          <w:color w:val="231F20"/>
          <w:spacing w:val="5"/>
        </w:rPr>
        <w:t>目的</w:t>
      </w:r>
      <w:r>
        <w:rPr>
          <w:rFonts w:ascii="SimHei" w:hAnsi="SimHei" w:eastAsia="SimHei" w:cs="SimHei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5"/>
        </w:rPr>
        <w:t>探讨在基层医院采用盐酸克林霉素</w:t>
      </w:r>
      <w:r>
        <w:rPr>
          <w:rFonts w:ascii="SimSun" w:hAnsi="SimSun" w:eastAsia="SimSun" w:cs="SimSun"/>
          <w:color w:val="231F20"/>
          <w:spacing w:val="4"/>
        </w:rPr>
        <w:t>治疗急性盆腔炎的临床价值。 </w:t>
      </w:r>
      <w:r>
        <w:rPr>
          <w:rFonts w:ascii="SimHei" w:hAnsi="SimHei" w:eastAsia="SimHei" w:cs="SimHei"/>
          <w:color w:val="231F20"/>
          <w:spacing w:val="4"/>
        </w:rPr>
        <w:t>方法</w:t>
      </w:r>
      <w:r>
        <w:rPr>
          <w:rFonts w:ascii="SimHei" w:hAnsi="SimHei" w:eastAsia="SimHei" w:cs="SimHei"/>
          <w:color w:val="231F20"/>
          <w:spacing w:val="4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随机纳入2021年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  <w:spacing w:val="4"/>
        </w:rPr>
        <w:t>1月至2023年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12月在东营市垦利区社区卫生服务中心就诊的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120例急性盆腔炎患者，根据随机数字表法分为观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察组和对照组，每组各60例。对照组患者给予头孢曲松</w:t>
      </w:r>
      <w:r>
        <w:rPr>
          <w:color w:val="231F20"/>
          <w:spacing w:val="4"/>
        </w:rPr>
        <w:t>+ </w:t>
      </w:r>
      <w:r>
        <w:rPr>
          <w:rFonts w:ascii="SimSun" w:hAnsi="SimSun" w:eastAsia="SimSun" w:cs="SimSun"/>
          <w:color w:val="231F20"/>
          <w:spacing w:val="4"/>
        </w:rPr>
        <w:t>甲硝唑；观察</w:t>
      </w:r>
      <w:r>
        <w:rPr>
          <w:rFonts w:ascii="SimSun" w:hAnsi="SimSun" w:eastAsia="SimSun" w:cs="SimSun"/>
          <w:color w:val="231F20"/>
          <w:spacing w:val="3"/>
        </w:rPr>
        <w:t>组患者给予头孢曲松</w:t>
      </w:r>
      <w:r>
        <w:rPr>
          <w:color w:val="231F20"/>
          <w:spacing w:val="3"/>
        </w:rPr>
        <w:t>+ </w:t>
      </w:r>
      <w:r>
        <w:rPr>
          <w:rFonts w:ascii="SimSun" w:hAnsi="SimSun" w:eastAsia="SimSun" w:cs="SimSun"/>
          <w:color w:val="231F20"/>
          <w:spacing w:val="3"/>
        </w:rPr>
        <w:t>甲硝唑</w:t>
      </w:r>
      <w:r>
        <w:rPr>
          <w:color w:val="231F20"/>
          <w:spacing w:val="3"/>
        </w:rPr>
        <w:t>+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盐酸克林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霉素，比较两组患者临床症状改善时间、炎症因子水平、临床疗效和安全性。 </w:t>
      </w:r>
      <w:r>
        <w:rPr>
          <w:rFonts w:ascii="SimHei" w:hAnsi="SimHei" w:eastAsia="SimHei" w:cs="SimHei"/>
          <w:color w:val="231F20"/>
          <w:spacing w:val="3"/>
        </w:rPr>
        <w:t>结果</w:t>
      </w:r>
      <w:r>
        <w:rPr>
          <w:rFonts w:ascii="SimHei" w:hAnsi="SimHei" w:eastAsia="SimHei" w:cs="SimHei"/>
          <w:color w:val="231F20"/>
          <w:spacing w:val="3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观察组白带、月经恢复正</w:t>
      </w:r>
      <w:r>
        <w:rPr>
          <w:rFonts w:ascii="SimSun" w:hAnsi="SimSun" w:eastAsia="SimSun" w:cs="SimSun"/>
          <w:color w:val="231F20"/>
          <w:spacing w:val="4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常所用时间，以及子宫压痛、腰骶疼痛、下腹坠胀</w:t>
      </w:r>
      <w:r>
        <w:rPr>
          <w:rFonts w:ascii="SimSun" w:hAnsi="SimSun" w:eastAsia="SimSun" w:cs="SimSun"/>
          <w:color w:val="231F20"/>
          <w:spacing w:val="-3"/>
        </w:rPr>
        <w:t>消失时间均短于对照组（</w:t>
      </w:r>
      <w:r>
        <w:rPr>
          <w:color w:val="231F20"/>
          <w:spacing w:val="-3"/>
        </w:rPr>
        <w:t>P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均＜0</w:t>
      </w:r>
      <w:r>
        <w:rPr>
          <w:color w:val="231F20"/>
          <w:spacing w:val="-3"/>
        </w:rPr>
        <w:t>.</w:t>
      </w:r>
      <w:r>
        <w:rPr>
          <w:rFonts w:ascii="SimSun" w:hAnsi="SimSun" w:eastAsia="SimSun" w:cs="SimSun"/>
          <w:color w:val="231F20"/>
          <w:spacing w:val="-3"/>
        </w:rPr>
        <w:t>001）。治疗前，两组患者炎症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"/>
        </w:rPr>
        <w:t>指标血清内</w:t>
      </w:r>
      <w:r>
        <w:rPr>
          <w:color w:val="231F20"/>
          <w:spacing w:val="1"/>
        </w:rPr>
        <w:t>C</w:t>
      </w:r>
      <w:r>
        <w:rPr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反应蛋白</w:t>
      </w:r>
      <w:r>
        <w:rPr>
          <w:color w:val="231F20"/>
          <w:spacing w:val="1"/>
        </w:rPr>
        <w:t>(C</w:t>
      </w:r>
      <w:r>
        <w:rPr>
          <w:rFonts w:ascii="SimSun" w:hAnsi="SimSun" w:eastAsia="SimSun" w:cs="SimSun"/>
          <w:color w:val="231F20"/>
          <w:spacing w:val="1"/>
        </w:rPr>
        <w:t>-</w:t>
      </w:r>
      <w:r>
        <w:rPr>
          <w:color w:val="231F20"/>
        </w:rPr>
        <w:t>Reactionprotein</w:t>
      </w:r>
      <w:r>
        <w:rPr>
          <w:rFonts w:ascii="SimSun" w:hAnsi="SimSun" w:eastAsia="SimSun" w:cs="SimSun"/>
          <w:color w:val="231F20"/>
          <w:spacing w:val="1"/>
        </w:rPr>
        <w:t>，</w:t>
      </w:r>
      <w:r>
        <w:rPr>
          <w:color w:val="231F20"/>
        </w:rPr>
        <w:t>CRP</w:t>
      </w:r>
      <w:r>
        <w:rPr>
          <w:color w:val="231F20"/>
          <w:spacing w:val="1"/>
        </w:rPr>
        <w:t>)</w:t>
      </w:r>
      <w:r>
        <w:rPr>
          <w:rFonts w:ascii="SimSun" w:hAnsi="SimSun" w:eastAsia="SimSun" w:cs="SimSun"/>
          <w:color w:val="231F20"/>
          <w:spacing w:val="1"/>
        </w:rPr>
        <w:t>、转化生长因子-β（</w:t>
      </w:r>
      <w:r>
        <w:rPr>
          <w:color w:val="231F20"/>
        </w:rPr>
        <w:t>Transforming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Growth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Factor</w:t>
      </w:r>
      <w:r>
        <w:rPr>
          <w:rFonts w:ascii="SimSun" w:hAnsi="SimSun" w:eastAsia="SimSun" w:cs="SimSun"/>
          <w:color w:val="231F20"/>
          <w:spacing w:val="1"/>
        </w:rPr>
        <w:t>-β, </w:t>
      </w:r>
      <w:r>
        <w:rPr>
          <w:color w:val="231F20"/>
        </w:rPr>
        <w:t>TGF</w:t>
      </w:r>
      <w:r>
        <w:rPr>
          <w:rFonts w:ascii="SimSun" w:hAnsi="SimSun" w:eastAsia="SimSun" w:cs="SimSun"/>
          <w:color w:val="231F20"/>
          <w:spacing w:val="1"/>
        </w:rPr>
        <w:t>-β</w:t>
      </w:r>
      <w:r>
        <w:rPr>
          <w:color w:val="231F20"/>
          <w:spacing w:val="1"/>
        </w:rPr>
        <w:t>)</w:t>
      </w:r>
      <w:r>
        <w:rPr>
          <w:rFonts w:ascii="SimSun" w:hAnsi="SimSun" w:eastAsia="SimSun" w:cs="SimSun"/>
          <w:color w:val="231F20"/>
          <w:spacing w:val="1"/>
        </w:rPr>
        <w:t>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白介素-18（</w:t>
      </w:r>
      <w:r>
        <w:rPr>
          <w:color w:val="231F20"/>
          <w:spacing w:val="-3"/>
        </w:rPr>
        <w:t>Interleukin</w:t>
      </w:r>
      <w:r>
        <w:rPr>
          <w:rFonts w:ascii="SimSun" w:hAnsi="SimSun" w:eastAsia="SimSun" w:cs="SimSun"/>
          <w:color w:val="231F20"/>
          <w:spacing w:val="-3"/>
        </w:rPr>
        <w:t>-18，</w:t>
      </w:r>
      <w:r>
        <w:rPr>
          <w:color w:val="231F20"/>
          <w:spacing w:val="-3"/>
        </w:rPr>
        <w:t>IL</w:t>
      </w:r>
      <w:r>
        <w:rPr>
          <w:rFonts w:ascii="SimSun" w:hAnsi="SimSun" w:eastAsia="SimSun" w:cs="SimSun"/>
          <w:color w:val="231F20"/>
          <w:spacing w:val="-3"/>
        </w:rPr>
        <w:t>-18）均无显著差异（</w:t>
      </w:r>
      <w:r>
        <w:rPr>
          <w:i/>
          <w:iCs/>
          <w:color w:val="231F20"/>
          <w:spacing w:val="-3"/>
        </w:rPr>
        <w:t>P </w:t>
      </w:r>
      <w:r>
        <w:rPr>
          <w:rFonts w:ascii="SimSun" w:hAnsi="SimSun" w:eastAsia="SimSun" w:cs="SimSun"/>
          <w:color w:val="231F20"/>
          <w:spacing w:val="-3"/>
        </w:rPr>
        <w:t>＞0</w:t>
      </w:r>
      <w:r>
        <w:rPr>
          <w:color w:val="231F20"/>
          <w:spacing w:val="-3"/>
        </w:rPr>
        <w:t>.</w:t>
      </w:r>
      <w:r>
        <w:rPr>
          <w:rFonts w:ascii="SimSun" w:hAnsi="SimSun" w:eastAsia="SimSun" w:cs="SimSun"/>
          <w:color w:val="231F20"/>
          <w:spacing w:val="-3"/>
        </w:rPr>
        <w:t>05</w:t>
      </w:r>
      <w:r>
        <w:rPr>
          <w:rFonts w:ascii="SimSun" w:hAnsi="SimSun" w:eastAsia="SimSun" w:cs="SimSun"/>
          <w:color w:val="231F20"/>
          <w:spacing w:val="-46"/>
        </w:rPr>
        <w:t>）；</w:t>
      </w:r>
      <w:r>
        <w:rPr>
          <w:rFonts w:ascii="SimSun" w:hAnsi="SimSun" w:eastAsia="SimSun" w:cs="SimSun"/>
          <w:color w:val="231F20"/>
          <w:spacing w:val="-3"/>
        </w:rPr>
        <w:t>治疗</w:t>
      </w:r>
      <w:r>
        <w:rPr>
          <w:rFonts w:ascii="SimSun" w:hAnsi="SimSun" w:eastAsia="SimSun" w:cs="SimSun"/>
          <w:color w:val="231F20"/>
          <w:spacing w:val="-4"/>
        </w:rPr>
        <w:t>后，各项炎症指标均改善（</w:t>
      </w:r>
      <w:r>
        <w:rPr>
          <w:i/>
          <w:iCs/>
          <w:color w:val="231F20"/>
          <w:spacing w:val="-4"/>
        </w:rPr>
        <w:t>P</w:t>
      </w:r>
      <w:r>
        <w:rPr>
          <w:rFonts w:ascii="SimSun" w:hAnsi="SimSun" w:eastAsia="SimSun" w:cs="SimSun"/>
          <w:color w:val="231F20"/>
          <w:spacing w:val="-4"/>
        </w:rPr>
        <w:t>＜0</w:t>
      </w:r>
      <w:r>
        <w:rPr>
          <w:color w:val="231F20"/>
          <w:spacing w:val="-4"/>
        </w:rPr>
        <w:t>.</w:t>
      </w:r>
      <w:r>
        <w:rPr>
          <w:rFonts w:ascii="SimSun" w:hAnsi="SimSun" w:eastAsia="SimSun" w:cs="SimSun"/>
          <w:color w:val="231F20"/>
          <w:spacing w:val="-4"/>
        </w:rPr>
        <w:t>001</w:t>
      </w:r>
      <w:r>
        <w:rPr>
          <w:rFonts w:ascii="SimSun" w:hAnsi="SimSun" w:eastAsia="SimSun" w:cs="SimSun"/>
          <w:color w:val="231F20"/>
          <w:spacing w:val="-46"/>
        </w:rPr>
        <w:t>），</w:t>
      </w:r>
      <w:r>
        <w:rPr>
          <w:rFonts w:ascii="SimSun" w:hAnsi="SimSun" w:eastAsia="SimSun" w:cs="SimSun"/>
          <w:color w:val="231F20"/>
          <w:spacing w:val="-4"/>
        </w:rPr>
        <w:t>且观察</w:t>
      </w:r>
      <w:r>
        <w:rPr>
          <w:rFonts w:ascii="SimSun" w:hAnsi="SimSun" w:eastAsia="SimSun" w:cs="SimSun"/>
          <w:color w:val="231F20"/>
          <w:spacing w:val="1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组</w:t>
      </w:r>
      <w:r>
        <w:rPr>
          <w:color w:val="231F20"/>
        </w:rPr>
        <w:t>CRP</w:t>
      </w:r>
      <w:r>
        <w:rPr>
          <w:rFonts w:ascii="SimSun" w:hAnsi="SimSun" w:eastAsia="SimSun" w:cs="SimSun"/>
          <w:color w:val="231F20"/>
          <w:spacing w:val="2"/>
        </w:rPr>
        <w:t>、</w:t>
      </w:r>
      <w:r>
        <w:rPr>
          <w:color w:val="231F20"/>
        </w:rPr>
        <w:t>IL</w:t>
      </w:r>
      <w:r>
        <w:rPr>
          <w:rFonts w:ascii="SimSun" w:hAnsi="SimSun" w:eastAsia="SimSun" w:cs="SimSun"/>
          <w:color w:val="231F20"/>
          <w:spacing w:val="2"/>
        </w:rPr>
        <w:t>-18水平低于对照组（</w:t>
      </w:r>
      <w:r>
        <w:rPr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color w:val="231F20"/>
          <w:spacing w:val="2"/>
        </w:rPr>
        <w:t>＜0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001</w:t>
      </w:r>
      <w:r>
        <w:rPr>
          <w:rFonts w:ascii="SimSun" w:hAnsi="SimSun" w:eastAsia="SimSun" w:cs="SimSun"/>
          <w:color w:val="231F20"/>
          <w:spacing w:val="-42"/>
        </w:rPr>
        <w:t>），</w:t>
      </w:r>
      <w:r>
        <w:rPr>
          <w:color w:val="231F20"/>
        </w:rPr>
        <w:t>TGF</w:t>
      </w:r>
      <w:r>
        <w:rPr>
          <w:rFonts w:ascii="SimSun" w:hAnsi="SimSun" w:eastAsia="SimSun" w:cs="SimSun"/>
          <w:color w:val="231F20"/>
          <w:spacing w:val="2"/>
        </w:rPr>
        <w:t>-β水平高于</w:t>
      </w:r>
      <w:r>
        <w:rPr>
          <w:rFonts w:ascii="SimSun" w:hAnsi="SimSun" w:eastAsia="SimSun" w:cs="SimSun"/>
          <w:color w:val="231F20"/>
          <w:spacing w:val="1"/>
        </w:rPr>
        <w:t>对照组（</w:t>
      </w:r>
      <w:r>
        <w:rPr>
          <w:i/>
          <w:iCs/>
          <w:color w:val="231F20"/>
          <w:spacing w:val="1"/>
        </w:rPr>
        <w:t>P</w:t>
      </w:r>
      <w:r>
        <w:rPr>
          <w:rFonts w:ascii="SimSun" w:hAnsi="SimSun" w:eastAsia="SimSun" w:cs="SimSun"/>
          <w:color w:val="231F20"/>
          <w:spacing w:val="1"/>
        </w:rPr>
        <w:t>＜0</w:t>
      </w:r>
      <w:r>
        <w:rPr>
          <w:color w:val="231F20"/>
          <w:spacing w:val="1"/>
        </w:rPr>
        <w:t>.</w:t>
      </w:r>
      <w:r>
        <w:rPr>
          <w:rFonts w:ascii="SimSun" w:hAnsi="SimSun" w:eastAsia="SimSun" w:cs="SimSun"/>
          <w:color w:val="231F20"/>
          <w:spacing w:val="1"/>
        </w:rPr>
        <w:t>001）。观察组临床总有效率95</w:t>
      </w:r>
      <w:r>
        <w:rPr>
          <w:color w:val="231F20"/>
          <w:spacing w:val="1"/>
        </w:rPr>
        <w:t>.</w:t>
      </w:r>
      <w:r>
        <w:rPr>
          <w:rFonts w:ascii="SimSun" w:hAnsi="SimSun" w:eastAsia="SimSun" w:cs="SimSun"/>
          <w:color w:val="231F20"/>
          <w:spacing w:val="1"/>
        </w:rPr>
        <w:t>00%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（57</w:t>
      </w:r>
      <w:r>
        <w:rPr>
          <w:color w:val="231F20"/>
          <w:spacing w:val="3"/>
        </w:rPr>
        <w:t>/</w:t>
      </w:r>
      <w:r>
        <w:rPr>
          <w:rFonts w:ascii="SimSun" w:hAnsi="SimSun" w:eastAsia="SimSun" w:cs="SimSun"/>
          <w:color w:val="231F20"/>
          <w:spacing w:val="3"/>
        </w:rPr>
        <w:t>60</w:t>
      </w:r>
      <w:r>
        <w:rPr>
          <w:rFonts w:ascii="SimSun" w:hAnsi="SimSun" w:eastAsia="SimSun" w:cs="SimSun"/>
          <w:color w:val="231F20"/>
          <w:spacing w:val="-29"/>
        </w:rPr>
        <w:t>），</w:t>
      </w:r>
      <w:r>
        <w:rPr>
          <w:rFonts w:ascii="SimSun" w:hAnsi="SimSun" w:eastAsia="SimSun" w:cs="SimSun"/>
          <w:color w:val="231F20"/>
          <w:spacing w:val="3"/>
        </w:rPr>
        <w:t>高于对照组的76</w:t>
      </w:r>
      <w:r>
        <w:rPr>
          <w:color w:val="231F20"/>
          <w:spacing w:val="3"/>
        </w:rPr>
        <w:t>.</w:t>
      </w:r>
      <w:r>
        <w:rPr>
          <w:rFonts w:ascii="SimSun" w:hAnsi="SimSun" w:eastAsia="SimSun" w:cs="SimSun"/>
          <w:color w:val="231F20"/>
          <w:spacing w:val="3"/>
        </w:rPr>
        <w:t>67</w:t>
      </w:r>
      <w:r>
        <w:rPr>
          <w:rFonts w:ascii="SimSun" w:hAnsi="SimSun" w:eastAsia="SimSun" w:cs="SimSun"/>
          <w:color w:val="231F20"/>
          <w:spacing w:val="-29"/>
        </w:rPr>
        <w:t>％（</w:t>
      </w:r>
      <w:r>
        <w:rPr>
          <w:rFonts w:ascii="SimSun" w:hAnsi="SimSun" w:eastAsia="SimSun" w:cs="SimSun"/>
          <w:color w:val="231F20"/>
          <w:spacing w:val="3"/>
        </w:rPr>
        <w:t>46</w:t>
      </w:r>
      <w:r>
        <w:rPr>
          <w:color w:val="231F20"/>
          <w:spacing w:val="3"/>
        </w:rPr>
        <w:t>/</w:t>
      </w:r>
      <w:r>
        <w:rPr>
          <w:rFonts w:ascii="SimSun" w:hAnsi="SimSun" w:eastAsia="SimSun" w:cs="SimSun"/>
          <w:color w:val="231F20"/>
          <w:spacing w:val="3"/>
        </w:rPr>
        <w:t>6</w:t>
      </w:r>
      <w:r>
        <w:rPr>
          <w:rFonts w:ascii="SimSun" w:hAnsi="SimSun" w:eastAsia="SimSun" w:cs="SimSun"/>
          <w:color w:val="231F20"/>
          <w:spacing w:val="2"/>
        </w:rPr>
        <w:t>0</w:t>
      </w:r>
      <w:r>
        <w:rPr>
          <w:rFonts w:ascii="SimSun" w:hAnsi="SimSun" w:eastAsia="SimSun" w:cs="SimSun"/>
          <w:color w:val="231F20"/>
          <w:spacing w:val="-29"/>
        </w:rPr>
        <w:t>）（</w:t>
      </w:r>
      <w:r>
        <w:rPr>
          <w:i/>
          <w:iCs/>
          <w:color w:val="231F20"/>
          <w:spacing w:val="2"/>
        </w:rPr>
        <w:t>P</w:t>
      </w:r>
      <w:r>
        <w:rPr>
          <w:i/>
          <w:iCs/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＜0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05）。观察组不良反应总发生率为</w:t>
      </w:r>
      <w:r>
        <w:rPr>
          <w:rFonts w:ascii="SimSun" w:hAnsi="SimSun" w:eastAsia="SimSun" w:cs="SimSun"/>
          <w:color w:val="231F20"/>
          <w:spacing w:val="-59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5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00</w:t>
      </w:r>
      <w:r>
        <w:rPr>
          <w:rFonts w:ascii="SimSun" w:hAnsi="SimSun" w:eastAsia="SimSun" w:cs="SimSun"/>
          <w:color w:val="231F20"/>
          <w:spacing w:val="-29"/>
        </w:rPr>
        <w:t>％（</w:t>
      </w:r>
      <w:r>
        <w:rPr>
          <w:rFonts w:ascii="SimSun" w:hAnsi="SimSun" w:eastAsia="SimSun" w:cs="SimSun"/>
          <w:color w:val="231F20"/>
          <w:spacing w:val="2"/>
        </w:rPr>
        <w:t>3</w:t>
      </w:r>
      <w:r>
        <w:rPr>
          <w:color w:val="231F20"/>
          <w:spacing w:val="2"/>
        </w:rPr>
        <w:t>/</w:t>
      </w:r>
      <w:r>
        <w:rPr>
          <w:rFonts w:ascii="SimSun" w:hAnsi="SimSun" w:eastAsia="SimSun" w:cs="SimSun"/>
          <w:color w:val="231F20"/>
          <w:spacing w:val="2"/>
        </w:rPr>
        <w:t>60</w:t>
      </w:r>
      <w:r>
        <w:rPr>
          <w:rFonts w:ascii="SimSun" w:hAnsi="SimSun" w:eastAsia="SimSun" w:cs="SimSun"/>
          <w:color w:val="231F20"/>
          <w:spacing w:val="-29"/>
        </w:rPr>
        <w:t>），</w:t>
      </w:r>
      <w:r>
        <w:rPr>
          <w:rFonts w:ascii="SimSun" w:hAnsi="SimSun" w:eastAsia="SimSun" w:cs="SimSun"/>
          <w:color w:val="231F20"/>
          <w:spacing w:val="2"/>
        </w:rPr>
        <w:t>与对照组的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  <w:spacing w:val="-3"/>
        </w:rPr>
        <w:t>11</w:t>
      </w:r>
      <w:r>
        <w:rPr>
          <w:color w:val="231F20"/>
          <w:spacing w:val="-3"/>
        </w:rPr>
        <w:t>.</w:t>
      </w:r>
      <w:r>
        <w:rPr>
          <w:rFonts w:ascii="SimSun" w:hAnsi="SimSun" w:eastAsia="SimSun" w:cs="SimSun"/>
          <w:color w:val="231F20"/>
          <w:spacing w:val="-3"/>
        </w:rPr>
        <w:t>67</w:t>
      </w:r>
      <w:r>
        <w:rPr>
          <w:rFonts w:ascii="SimSun" w:hAnsi="SimSun" w:eastAsia="SimSun" w:cs="SimSun"/>
          <w:color w:val="231F20"/>
          <w:spacing w:val="-23"/>
        </w:rPr>
        <w:t>％（</w:t>
      </w:r>
      <w:r>
        <w:rPr>
          <w:rFonts w:ascii="SimSun" w:hAnsi="SimSun" w:eastAsia="SimSun" w:cs="SimSun"/>
          <w:color w:val="231F20"/>
          <w:spacing w:val="-3"/>
        </w:rPr>
        <w:t>7</w:t>
      </w:r>
      <w:r>
        <w:rPr>
          <w:color w:val="231F20"/>
          <w:spacing w:val="-3"/>
        </w:rPr>
        <w:t>/</w:t>
      </w:r>
      <w:r>
        <w:rPr>
          <w:rFonts w:ascii="SimSun" w:hAnsi="SimSun" w:eastAsia="SimSun" w:cs="SimSun"/>
          <w:color w:val="231F20"/>
          <w:spacing w:val="-3"/>
        </w:rPr>
        <w:t>60）相比，无显著差异（</w:t>
      </w:r>
      <w:r>
        <w:rPr>
          <w:i/>
          <w:iCs/>
          <w:color w:val="231F20"/>
          <w:spacing w:val="-3"/>
        </w:rPr>
        <w:t>P </w:t>
      </w:r>
      <w:r>
        <w:rPr>
          <w:rFonts w:ascii="SimSun" w:hAnsi="SimSun" w:eastAsia="SimSun" w:cs="SimSun"/>
          <w:color w:val="231F20"/>
          <w:spacing w:val="-3"/>
        </w:rPr>
        <w:t>＞0</w:t>
      </w:r>
      <w:r>
        <w:rPr>
          <w:color w:val="231F20"/>
          <w:spacing w:val="-3"/>
        </w:rPr>
        <w:t>.</w:t>
      </w:r>
      <w:r>
        <w:rPr>
          <w:rFonts w:ascii="SimSun" w:hAnsi="SimSun" w:eastAsia="SimSun" w:cs="SimSun"/>
          <w:color w:val="231F20"/>
          <w:spacing w:val="-3"/>
        </w:rPr>
        <w:t>05）。 </w:t>
      </w:r>
      <w:r>
        <w:rPr>
          <w:rFonts w:ascii="SimHei" w:hAnsi="SimHei" w:eastAsia="SimHei" w:cs="SimHei"/>
          <w:color w:val="231F20"/>
          <w:spacing w:val="-3"/>
        </w:rPr>
        <w:t>结论</w:t>
      </w:r>
      <w:r>
        <w:rPr>
          <w:rFonts w:ascii="SimHei" w:hAnsi="SimHei" w:eastAsia="SimHei" w:cs="SimHei"/>
          <w:color w:val="231F20"/>
          <w:spacing w:val="-3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盐酸克林霉素可有效改善急性盆腔炎的临床症状和体征，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</w:rPr>
        <w:t>控制炎症的进展，且不良反应少，与头孢曲松</w:t>
      </w:r>
      <w:r>
        <w:rPr>
          <w:color w:val="231F20"/>
        </w:rPr>
        <w:t>+ </w:t>
      </w:r>
      <w:r>
        <w:rPr>
          <w:rFonts w:ascii="SimSun" w:hAnsi="SimSun" w:eastAsia="SimSun" w:cs="SimSun"/>
          <w:color w:val="231F20"/>
        </w:rPr>
        <w:t>甲硝唑联用治疗急性盆腔炎疗效理想。</w:t>
      </w:r>
    </w:p>
    <w:p>
      <w:pPr>
        <w:ind w:left="855"/>
        <w:spacing w:before="11" w:line="263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【关键词】</w:t>
      </w: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  <w:position w:val="1"/>
        </w:rPr>
        <w:t>盆腔炎性疾病；炎症趋化因子类；临床方案</w:t>
      </w:r>
    </w:p>
    <w:p>
      <w:pPr>
        <w:pStyle w:val="BodyText"/>
        <w:ind w:left="855"/>
        <w:spacing w:before="61" w:line="273" w:lineRule="exact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position w:val="1"/>
        </w:rPr>
        <w:t>【中图分类号】</w:t>
      </w:r>
      <w:r>
        <w:rPr>
          <w:rFonts w:ascii="SimHei" w:hAnsi="SimHei" w:eastAsia="SimHei" w:cs="SimHei"/>
          <w:color w:val="231F20"/>
          <w:position w:val="1"/>
        </w:rPr>
        <w:t xml:space="preserve"> </w:t>
      </w:r>
      <w:r>
        <w:rPr>
          <w:color w:val="231F20"/>
          <w:position w:val="1"/>
        </w:rPr>
        <w:t>R</w:t>
      </w:r>
      <w:r>
        <w:rPr>
          <w:rFonts w:ascii="SimSun" w:hAnsi="SimSun" w:eastAsia="SimSun" w:cs="SimSun"/>
          <w:color w:val="231F20"/>
          <w:position w:val="1"/>
        </w:rPr>
        <w:t>711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59" w:line="189" w:lineRule="auto"/>
        <w:rPr/>
      </w:pPr>
      <w:r>
        <w:rPr>
          <w:b/>
          <w:bCs/>
          <w:color w:val="231F20"/>
        </w:rPr>
        <w:t>Eﬀect of clindamycin hydrochloride on the treatment of gynecological acute pelvic</w:t>
      </w:r>
      <w:r>
        <w:rPr>
          <w:b/>
          <w:bCs/>
          <w:color w:val="231F20"/>
          <w:spacing w:val="-1"/>
        </w:rPr>
        <w:t xml:space="preserve"> inﬂammatory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1"/>
        </w:rPr>
        <w:t>disease</w:t>
      </w:r>
    </w:p>
    <w:p>
      <w:pPr>
        <w:pStyle w:val="BodyText"/>
        <w:ind w:left="612" w:right="87" w:firstLine="3"/>
        <w:spacing w:before="95" w:line="386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SHANG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Yuhong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0"/>
          <w:szCs w:val="10"/>
          <w:i/>
          <w:iCs/>
          <w:color w:val="231F20"/>
          <w:spacing w:val="4"/>
          <w:position w:val="8"/>
        </w:rPr>
        <w:t>1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WANG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Jingchao</w:t>
      </w:r>
      <w:r>
        <w:rPr>
          <w:rFonts w:ascii="Arial" w:hAnsi="Arial" w:eastAsia="Arial" w:cs="Arial"/>
          <w:sz w:val="10"/>
          <w:szCs w:val="10"/>
          <w:i/>
          <w:iCs/>
          <w:color w:val="231F20"/>
          <w:spacing w:val="4"/>
          <w:position w:val="8"/>
        </w:rPr>
        <w:t>2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SUN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Zhishan</w:t>
      </w:r>
      <w:r>
        <w:rPr>
          <w:rFonts w:ascii="Arial" w:hAnsi="Arial" w:eastAsia="Arial" w:cs="Arial"/>
          <w:sz w:val="10"/>
          <w:szCs w:val="10"/>
          <w:i/>
          <w:iCs/>
          <w:color w:val="231F20"/>
          <w:spacing w:val="4"/>
          <w:position w:val="8"/>
        </w:rPr>
        <w:t>3   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1.  Kenli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Sub</w:t>
      </w:r>
      <w:r>
        <w:rPr>
          <w:sz w:val="18"/>
          <w:szCs w:val="18"/>
          <w:i/>
          <w:iCs/>
          <w:color w:val="231F20"/>
          <w:spacing w:val="4"/>
        </w:rPr>
        <w:t>-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Distr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ict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Office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of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Kenli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District,  Dongying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"/>
        </w:rPr>
        <w:t>City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Community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Health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Service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Center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(Kenli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Sub</w:t>
      </w:r>
      <w:r>
        <w:rPr>
          <w:sz w:val="18"/>
          <w:szCs w:val="18"/>
          <w:i/>
          <w:iCs/>
          <w:color w:val="231F20"/>
          <w:spacing w:val="5"/>
        </w:rPr>
        <w:t>-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District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Office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of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Maternal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and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Child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Health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nd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"/>
        </w:rPr>
        <w:t>family  Planning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6"/>
        </w:rPr>
        <w:t>Service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6"/>
        </w:rPr>
        <w:t>Station)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6"/>
        </w:rPr>
        <w:t>Obstetrics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6"/>
        </w:rPr>
        <w:t>and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6"/>
        </w:rPr>
        <w:t>Gynecology,  Dongying  257500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China.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2.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7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Shandong  University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of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Traditional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Chinese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Medicine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6"/>
        </w:rPr>
        <w:t>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Jinan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6"/>
        </w:rPr>
        <w:t>250000,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7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China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6"/>
        </w:rPr>
        <w:t>.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6"/>
        </w:rPr>
        <w:t>3.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Department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of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Neurosurgery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6"/>
        </w:rPr>
        <w:t>,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Weifang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PeopleIs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Hospital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6"/>
        </w:rPr>
        <w:t>, 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Weifang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261000,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China</w:t>
      </w:r>
    </w:p>
    <w:p>
      <w:pPr>
        <w:pStyle w:val="BodyText"/>
        <w:ind w:left="626"/>
        <w:spacing w:before="21" w:line="239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i/>
          <w:iCs/>
          <w:color w:val="231F20"/>
        </w:rPr>
        <w:t>Corresponding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author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3"/>
        </w:rPr>
        <w:t>: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SUN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Zhishan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3"/>
        </w:rPr>
        <w:t>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3"/>
        </w:rPr>
        <w:t>E</w:t>
      </w:r>
      <w:r>
        <w:rPr>
          <w:sz w:val="18"/>
          <w:szCs w:val="18"/>
          <w:i/>
          <w:iCs/>
          <w:color w:val="231F20"/>
          <w:spacing w:val="23"/>
        </w:rPr>
        <w:t>-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mail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3"/>
        </w:rPr>
        <w:t>: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sunsz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3"/>
        </w:rPr>
        <w:t>86@163.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</w:rPr>
        <w:t>com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597" w:right="58" w:firstLine="388"/>
        <w:spacing w:before="58" w:line="342" w:lineRule="auto"/>
        <w:jc w:val="both"/>
        <w:rPr/>
      </w:pPr>
      <w:r>
        <w:rPr>
          <w:b/>
          <w:bCs/>
          <w:color w:val="231F20"/>
          <w:spacing w:val="3"/>
        </w:rPr>
        <w:t>[Abstract]    Objective    </w:t>
      </w:r>
      <w:r>
        <w:rPr>
          <w:color w:val="231F20"/>
          <w:spacing w:val="3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explore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value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of using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clindamycin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hyd</w:t>
      </w:r>
      <w:r>
        <w:rPr>
          <w:color w:val="231F20"/>
          <w:spacing w:val="2"/>
        </w:rPr>
        <w:t>rochloride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treatment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acute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pelvic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inﬂammatory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primary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hospitals.    </w:t>
      </w:r>
      <w:r>
        <w:rPr>
          <w:b/>
          <w:bCs/>
          <w:color w:val="231F20"/>
          <w:spacing w:val="4"/>
        </w:rPr>
        <w:t>Meth</w:t>
      </w:r>
      <w:r>
        <w:rPr>
          <w:b/>
          <w:bCs/>
          <w:color w:val="231F20"/>
          <w:spacing w:val="3"/>
        </w:rPr>
        <w:t>ods    </w:t>
      </w:r>
      <w:r>
        <w:rPr>
          <w:color w:val="231F20"/>
          <w:spacing w:val="3"/>
        </w:rPr>
        <w:t>120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acute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pelvic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inﬂammatory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disease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who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visited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Community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Health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Servic</w:t>
      </w:r>
      <w:r>
        <w:rPr>
          <w:color w:val="231F20"/>
          <w:spacing w:val="2"/>
        </w:rPr>
        <w:t>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Center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Kenli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District,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Dongying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City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from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January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2021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December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2023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were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randomly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"/>
        </w:rPr>
        <w:t>cluded.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They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divided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into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observation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group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control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group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using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random number table method, 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60 patients 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each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group.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control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were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given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ce</w:t>
      </w:r>
      <w:r>
        <w:rPr>
          <w:color w:val="231F20"/>
          <w:spacing w:val="2"/>
        </w:rPr>
        <w:t>ftriaxone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metronidazole;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Observation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grou</w:t>
      </w:r>
      <w:r>
        <w:rPr>
          <w:color w:val="231F20"/>
          <w:spacing w:val="3"/>
        </w:rPr>
        <w:t>p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were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given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ceftriaxone+metronidazole+clindamycin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hydrochloride,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symptom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improvement time,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inﬂammatory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factor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levels,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eﬃ</w:t>
      </w:r>
      <w:r>
        <w:rPr>
          <w:color w:val="231F20"/>
          <w:spacing w:val="2"/>
        </w:rPr>
        <w:t>cacy,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safety were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compared be-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tween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groups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of patients.    </w:t>
      </w:r>
      <w:r>
        <w:rPr>
          <w:b/>
          <w:bCs/>
          <w:color w:val="231F20"/>
          <w:spacing w:val="3"/>
        </w:rPr>
        <w:t>Results    </w:t>
      </w:r>
      <w:r>
        <w:rPr>
          <w:color w:val="231F20"/>
          <w:spacing w:val="3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observation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had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sho</w:t>
      </w:r>
      <w:r>
        <w:rPr>
          <w:color w:val="231F20"/>
          <w:spacing w:val="2"/>
        </w:rPr>
        <w:t>rter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time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recovery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of vaginal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discharge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and menstruati</w:t>
      </w:r>
      <w:r>
        <w:rPr>
          <w:color w:val="231F20"/>
          <w:spacing w:val="3"/>
        </w:rPr>
        <w:t>on,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as well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as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disappearance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uterine tenderness, lumbosacral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pain,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lower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abdom-</w:t>
      </w:r>
      <w:r>
        <w:rPr>
          <w:color w:val="231F20"/>
        </w:rPr>
        <w:t xml:space="preserve"> </w:t>
      </w:r>
      <w:r>
        <w:rPr>
          <w:color w:val="231F20"/>
        </w:rPr>
        <w:t>inal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bloating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7"/>
        </w:rPr>
        <w:t>(</w:t>
      </w:r>
      <w:r>
        <w:rPr>
          <w:i/>
          <w:iCs/>
          <w:color w:val="231F20"/>
          <w:spacing w:val="17"/>
        </w:rPr>
        <w:t>P</w:t>
      </w:r>
      <w:r>
        <w:rPr>
          <w:color w:val="231F20"/>
          <w:spacing w:val="17"/>
        </w:rPr>
        <w:t>&lt;0.001).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7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signi</w:t>
      </w:r>
      <w:r>
        <w:rPr>
          <w:color w:val="231F20"/>
          <w:spacing w:val="17"/>
        </w:rPr>
        <w:t>ﬁ</w:t>
      </w:r>
      <w:r>
        <w:rPr>
          <w:color w:val="231F20"/>
        </w:rPr>
        <w:t>cant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17"/>
        </w:rPr>
        <w:t>ﬀ</w:t>
      </w:r>
      <w:r>
        <w:rPr>
          <w:color w:val="231F20"/>
        </w:rPr>
        <w:t>erence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ﬂ</w:t>
      </w:r>
      <w:r>
        <w:rPr>
          <w:color w:val="231F20"/>
        </w:rPr>
        <w:t>ammatory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markers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</w:t>
      </w:r>
      <w:r>
        <w:rPr>
          <w:rFonts w:ascii="SimSun" w:hAnsi="SimSun" w:eastAsia="SimSun" w:cs="SimSun"/>
          <w:color w:val="231F20"/>
          <w:spacing w:val="18"/>
        </w:rPr>
        <w:t>-</w:t>
      </w:r>
      <w:r>
        <w:rPr>
          <w:color w:val="231F20"/>
        </w:rPr>
        <w:t>reactive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8"/>
        </w:rPr>
        <w:t>(</w:t>
      </w:r>
      <w:r>
        <w:rPr>
          <w:color w:val="231F20"/>
        </w:rPr>
        <w:t>CRP</w:t>
      </w:r>
      <w:r>
        <w:rPr>
          <w:color w:val="231F20"/>
          <w:spacing w:val="18"/>
        </w:rPr>
        <w:t>), </w:t>
      </w:r>
      <w:r>
        <w:rPr>
          <w:color w:val="231F20"/>
        </w:rPr>
        <w:t>transforming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growth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factor</w:t>
      </w:r>
      <w:r>
        <w:rPr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18"/>
        </w:rPr>
        <w:t>-</w:t>
      </w:r>
      <w:r>
        <w:rPr>
          <w:color w:val="231F20"/>
          <w:spacing w:val="18"/>
        </w:rPr>
        <w:t>β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8"/>
        </w:rPr>
        <w:t>(</w:t>
      </w:r>
      <w:r>
        <w:rPr>
          <w:color w:val="231F20"/>
        </w:rPr>
        <w:t>TGF</w:t>
      </w:r>
      <w:r>
        <w:rPr>
          <w:rFonts w:ascii="SimSun" w:hAnsi="SimSun" w:eastAsia="SimSun" w:cs="SimSun"/>
          <w:color w:val="231F20"/>
          <w:spacing w:val="18"/>
        </w:rPr>
        <w:t>-</w:t>
      </w:r>
      <w:r>
        <w:rPr>
          <w:color w:val="231F20"/>
          <w:spacing w:val="18"/>
        </w:rPr>
        <w:t>β),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interleukin</w:t>
      </w:r>
      <w:r>
        <w:rPr>
          <w:rFonts w:ascii="SimSun" w:hAnsi="SimSun" w:eastAsia="SimSun" w:cs="SimSun"/>
          <w:color w:val="231F20"/>
          <w:spacing w:val="18"/>
        </w:rPr>
        <w:t>-</w:t>
      </w:r>
      <w:r>
        <w:rPr>
          <w:color w:val="231F20"/>
          <w:spacing w:val="18"/>
        </w:rPr>
        <w:t>18</w:t>
      </w:r>
    </w:p>
    <w:p>
      <w:pPr>
        <w:spacing w:line="342" w:lineRule="auto"/>
        <w:sectPr>
          <w:headerReference w:type="default" r:id="rId1"/>
          <w:pgSz w:w="11906" w:h="16838"/>
          <w:pgMar w:top="1201" w:right="1053" w:bottom="0" w:left="424" w:header="863" w:footer="0" w:gutter="0"/>
          <w:cols w:equalWidth="0" w:num="1">
            <w:col w:w="10429" w:space="0"/>
          </w:cols>
        </w:sectPr>
        <w:rPr/>
      </w:pPr>
    </w:p>
    <w:p>
      <w:pPr>
        <w:spacing w:line="303" w:lineRule="auto"/>
        <w:rPr>
          <w:rFonts w:ascii="Arial"/>
          <w:sz w:val="21"/>
        </w:rPr>
      </w:pPr>
      <w:r>
        <w:pict>
          <v:shape id="_x0000_s4" style="position:absolute;margin-left:30.0361pt;margin-top:10.2591pt;mso-position-vertical-relative:text;mso-position-horizontal-relative:text;width:70.9pt;height:0.45pt;z-index:251658240;" filled="false" strokecolor="#231F20" strokeweight="0.43pt" coordsize="1418,8" coordorigin="0,0" path="m0,4l1417,4e">
            <v:stroke joinstyle="miter" miterlimit="4"/>
          </v:shape>
        </w:pict>
      </w:r>
      <w:r/>
    </w:p>
    <w:p>
      <w:pPr>
        <w:ind w:left="608"/>
        <w:spacing w:before="52" w:line="24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7"/>
        </w:rPr>
        <w:t>DOI：</w:t>
      </w:r>
      <w:r>
        <w:rPr>
          <w:rFonts w:ascii="SimHei" w:hAnsi="SimHei" w:eastAsia="SimHei" w:cs="SimHei"/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10.13919/j.issn.2095-6274.ZHJY202407030</w:t>
      </w:r>
    </w:p>
    <w:p>
      <w:pPr>
        <w:ind w:left="601"/>
        <w:spacing w:before="25" w:line="219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position w:val="1"/>
        </w:rPr>
        <w:t>基金项目：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2024</w:t>
      </w:r>
      <w:r>
        <w:rPr>
          <w:rFonts w:ascii="SimSun" w:hAnsi="SimSun" w:eastAsia="SimSun" w:cs="SimSun"/>
          <w:sz w:val="16"/>
          <w:szCs w:val="16"/>
          <w:color w:val="231F20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年山东省职工与职业教育重点课题（2024-</w:t>
      </w:r>
      <w:r>
        <w:rPr>
          <w:rFonts w:ascii="SimSun" w:hAnsi="SimSun" w:eastAsia="SimSun" w:cs="SimSun"/>
          <w:sz w:val="16"/>
          <w:szCs w:val="16"/>
          <w:color w:val="231F20"/>
          <w:spacing w:val="-1"/>
          <w:position w:val="1"/>
        </w:rPr>
        <w:t>089）</w:t>
      </w:r>
    </w:p>
    <w:p>
      <w:pPr>
        <w:ind w:left="1398" w:right="284" w:hanging="796"/>
        <w:spacing w:before="21" w:line="27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2"/>
        </w:rPr>
        <w:t>作者单位：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1．257500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山东东营，东营市垦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利区垦利街道办事处社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区卫生服务中心（垦利街道办事处妇幼保健计划生育服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务站）妇产科；2．250000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山东济南，山东中医药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大学；</w:t>
      </w:r>
    </w:p>
    <w:p>
      <w:pPr>
        <w:ind w:left="1403"/>
        <w:spacing w:line="213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  <w:position w:val="1"/>
        </w:rPr>
        <w:t>3．261000</w:t>
      </w:r>
      <w:r>
        <w:rPr>
          <w:rFonts w:ascii="SimSun" w:hAnsi="SimSun" w:eastAsia="SimSun" w:cs="SimSun"/>
          <w:sz w:val="16"/>
          <w:szCs w:val="16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  <w:position w:val="1"/>
        </w:rPr>
        <w:t>山东潍坊，潍坊市人民医院神</w:t>
      </w:r>
      <w:r>
        <w:rPr>
          <w:rFonts w:ascii="SimSun" w:hAnsi="SimSun" w:eastAsia="SimSun" w:cs="SimSun"/>
          <w:sz w:val="16"/>
          <w:szCs w:val="16"/>
          <w:color w:val="231F20"/>
          <w:spacing w:val="-2"/>
          <w:position w:val="1"/>
        </w:rPr>
        <w:t>经外科</w:t>
      </w:r>
    </w:p>
    <w:p>
      <w:pPr>
        <w:ind w:left="601"/>
        <w:spacing w:before="2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通信作者：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孙智善，E-mail；sunsz86@1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 w:firstLine="6"/>
        <w:spacing w:before="38" w:line="317" w:lineRule="auto"/>
        <w:jc w:val="both"/>
        <w:rPr/>
      </w:pPr>
      <w:r>
        <w:rPr>
          <w:color w:val="231F20"/>
          <w:spacing w:val="12"/>
        </w:rPr>
        <w:t>(</w:t>
      </w:r>
      <w:r>
        <w:rPr>
          <w:color w:val="231F20"/>
        </w:rPr>
        <w:t>IL</w:t>
      </w:r>
      <w:r>
        <w:rPr>
          <w:rFonts w:ascii="SimSun" w:hAnsi="SimSun" w:eastAsia="SimSun" w:cs="SimSun"/>
          <w:color w:val="231F20"/>
          <w:spacing w:val="12"/>
        </w:rPr>
        <w:t>-</w:t>
      </w:r>
      <w:r>
        <w:rPr>
          <w:color w:val="231F20"/>
          <w:spacing w:val="12"/>
        </w:rPr>
        <w:t>18)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2"/>
        </w:rPr>
        <w:t>(</w:t>
      </w:r>
      <w:r>
        <w:rPr>
          <w:i/>
          <w:iCs/>
          <w:color w:val="231F20"/>
          <w:spacing w:val="12"/>
        </w:rPr>
        <w:t>P</w:t>
      </w:r>
      <w:r>
        <w:rPr>
          <w:color w:val="231F20"/>
          <w:spacing w:val="12"/>
        </w:rPr>
        <w:t>&gt;0.05);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treatment,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all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inﬂammatory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indicators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improved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(</w:t>
      </w:r>
      <w:r>
        <w:rPr>
          <w:i/>
          <w:iCs/>
          <w:color w:val="231F20"/>
          <w:spacing w:val="7"/>
        </w:rPr>
        <w:t>P</w:t>
      </w:r>
      <w:r>
        <w:rPr>
          <w:color w:val="231F20"/>
          <w:spacing w:val="7"/>
        </w:rPr>
        <w:t>&lt;0.001),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IL</w:t>
      </w:r>
      <w:r>
        <w:rPr>
          <w:rFonts w:ascii="SimSun" w:hAnsi="SimSun" w:eastAsia="SimSun" w:cs="SimSun"/>
          <w:color w:val="231F20"/>
          <w:spacing w:val="7"/>
        </w:rPr>
        <w:t>-</w:t>
      </w:r>
      <w:r>
        <w:rPr>
          <w:color w:val="231F20"/>
          <w:spacing w:val="7"/>
        </w:rPr>
        <w:t>18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ob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servation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group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were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lower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than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those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control</w:t>
      </w:r>
      <w:r>
        <w:rPr>
          <w:color w:val="231F20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1"/>
        </w:rPr>
        <w:t>(</w:t>
      </w:r>
      <w:r>
        <w:rPr>
          <w:i/>
          <w:iCs/>
          <w:color w:val="231F20"/>
          <w:spacing w:val="11"/>
        </w:rPr>
        <w:t>P</w:t>
      </w:r>
      <w:r>
        <w:rPr>
          <w:color w:val="231F20"/>
          <w:spacing w:val="11"/>
        </w:rPr>
        <w:t>&lt;0.001), </w:t>
      </w:r>
      <w:r>
        <w:rPr>
          <w:color w:val="231F20"/>
        </w:rPr>
        <w:t>while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ofTGF</w:t>
      </w:r>
      <w:r>
        <w:rPr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-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11"/>
        </w:rPr>
        <w:t>β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higher </w:t>
      </w:r>
      <w:r>
        <w:rPr>
          <w:color w:val="231F20"/>
        </w:rPr>
        <w:t>than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0"/>
        </w:rPr>
        <w:t>(</w:t>
      </w:r>
      <w:r>
        <w:rPr>
          <w:i/>
          <w:iCs/>
          <w:color w:val="231F20"/>
          <w:spacing w:val="10"/>
        </w:rPr>
        <w:t>P</w:t>
      </w:r>
      <w:r>
        <w:rPr>
          <w:color w:val="231F20"/>
          <w:spacing w:val="10"/>
        </w:rPr>
        <w:t>&lt;0.001).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clin</w:t>
      </w:r>
      <w:r>
        <w:rPr>
          <w:color w:val="231F20"/>
          <w:spacing w:val="10"/>
        </w:rPr>
        <w:t>-</w:t>
      </w:r>
    </w:p>
    <w:p>
      <w:pPr>
        <w:spacing w:line="317" w:lineRule="auto"/>
        <w:sectPr>
          <w:type w:val="continuous"/>
          <w:pgSz w:w="11906" w:h="16838"/>
          <w:pgMar w:top="1201" w:right="1053" w:bottom="0" w:left="424" w:header="863" w:footer="0" w:gutter="0"/>
          <w:cols w:equalWidth="0" w:num="2">
            <w:col w:w="5573" w:space="100"/>
            <w:col w:w="4757" w:space="0"/>
          </w:cols>
        </w:sectPr>
        <w:rPr/>
      </w:pPr>
    </w:p>
    <w:p>
      <w:pPr>
        <w:pStyle w:val="BodyText"/>
        <w:ind w:left="711" w:right="79" w:firstLine="4"/>
        <w:spacing w:before="209" w:line="321" w:lineRule="auto"/>
        <w:jc w:val="both"/>
        <w:rPr/>
      </w:pPr>
      <w:r>
        <w:rPr>
          <w:color w:val="231F20"/>
        </w:rPr>
        <w:t>ical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15"/>
        </w:rPr>
        <w:t>ﬀ</w:t>
      </w:r>
      <w:r>
        <w:rPr>
          <w:color w:val="231F20"/>
        </w:rPr>
        <w:t>ective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observation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5"/>
        </w:rPr>
        <w:t>95.00</w:t>
      </w:r>
      <w:r>
        <w:rPr>
          <w:rFonts w:ascii="SimSun" w:hAnsi="SimSun" w:eastAsia="SimSun" w:cs="SimSun"/>
          <w:color w:val="231F20"/>
          <w:spacing w:val="15"/>
        </w:rPr>
        <w:t>%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15"/>
        </w:rPr>
        <w:t>(57/60),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5"/>
        </w:rPr>
        <w:t>'s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5"/>
        </w:rPr>
        <w:t>76.67</w:t>
      </w:r>
      <w:r>
        <w:rPr>
          <w:rFonts w:ascii="SimSun" w:hAnsi="SimSun" w:eastAsia="SimSun" w:cs="SimSun"/>
          <w:color w:val="231F20"/>
          <w:spacing w:val="15"/>
        </w:rPr>
        <w:t>%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11"/>
        </w:rPr>
        <w:t>(46/60)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1"/>
        </w:rPr>
        <w:t>(</w:t>
      </w:r>
      <w:r>
        <w:rPr>
          <w:i/>
          <w:iCs/>
          <w:color w:val="231F20"/>
          <w:spacing w:val="11"/>
        </w:rPr>
        <w:t>P</w:t>
      </w:r>
      <w:r>
        <w:rPr>
          <w:color w:val="231F20"/>
          <w:spacing w:val="11"/>
        </w:rPr>
        <w:t>&lt;0.05).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adverse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reactions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observation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1"/>
        </w:rPr>
        <w:t>5.00</w:t>
      </w:r>
      <w:r>
        <w:rPr>
          <w:rFonts w:ascii="SimSun" w:hAnsi="SimSun" w:eastAsia="SimSun" w:cs="SimSun"/>
          <w:color w:val="231F20"/>
          <w:spacing w:val="11"/>
        </w:rPr>
        <w:t>%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color w:val="231F20"/>
          <w:spacing w:val="11"/>
        </w:rPr>
        <w:t>(3/60),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was </w:t>
      </w:r>
      <w:r>
        <w:rPr>
          <w:color w:val="231F20"/>
        </w:rPr>
        <w:t>not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signi</w:t>
      </w:r>
      <w:r>
        <w:rPr>
          <w:color w:val="231F20"/>
          <w:spacing w:val="10"/>
        </w:rPr>
        <w:t>ﬁ</w:t>
      </w:r>
      <w:r>
        <w:rPr>
          <w:color w:val="231F20"/>
        </w:rPr>
        <w:t>cantly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10"/>
        </w:rPr>
        <w:t>ﬀ</w:t>
      </w:r>
      <w:r>
        <w:rPr>
          <w:color w:val="231F20"/>
        </w:rPr>
        <w:t>erent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10"/>
        </w:rPr>
        <w:t>11.67</w:t>
      </w:r>
      <w:r>
        <w:rPr>
          <w:rFonts w:ascii="SimSun" w:hAnsi="SimSun" w:eastAsia="SimSun" w:cs="SimSun"/>
          <w:color w:val="231F20"/>
          <w:spacing w:val="10"/>
        </w:rPr>
        <w:t>%</w:t>
      </w:r>
      <w:r>
        <w:rPr>
          <w:rFonts w:ascii="SimSun" w:hAnsi="SimSun" w:eastAsia="SimSun" w:cs="SimSun"/>
          <w:color w:val="231F20"/>
          <w:spacing w:val="-17"/>
        </w:rPr>
        <w:t xml:space="preserve"> </w:t>
      </w:r>
      <w:r>
        <w:rPr>
          <w:color w:val="231F20"/>
          <w:spacing w:val="10"/>
        </w:rPr>
        <w:t>(7/60)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0"/>
        </w:rPr>
        <w:t>(</w:t>
      </w:r>
      <w:r>
        <w:rPr>
          <w:i/>
          <w:iCs/>
          <w:color w:val="231F20"/>
          <w:spacing w:val="10"/>
        </w:rPr>
        <w:t>P</w:t>
      </w:r>
      <w:r>
        <w:rPr>
          <w:color w:val="231F20"/>
          <w:spacing w:val="10"/>
        </w:rPr>
        <w:t>&gt;0.05). </w:t>
      </w:r>
      <w:r>
        <w:rPr>
          <w:color w:val="231F20"/>
          <w:spacing w:val="9"/>
        </w:rPr>
        <w:t xml:space="preserve">   </w:t>
      </w:r>
      <w:r>
        <w:rPr>
          <w:b/>
          <w:bCs/>
          <w:color w:val="231F20"/>
        </w:rPr>
        <w:t>Conclusion</w:t>
      </w:r>
      <w:r>
        <w:rPr>
          <w:b/>
          <w:bCs/>
          <w:color w:val="231F20"/>
          <w:spacing w:val="9"/>
        </w:rPr>
        <w:t xml:space="preserve">    </w:t>
      </w:r>
      <w:r>
        <w:rPr>
          <w:color w:val="231F20"/>
        </w:rPr>
        <w:t>Clindamycin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hy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drochloride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eﬀectively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improve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symptoms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signs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of acute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pelvic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inﬂammatory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disease,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control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progression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of inﬂammation,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have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fewer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adverse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reactions.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combination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therapy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ceftriaxo</w:t>
      </w:r>
      <w:r>
        <w:rPr>
          <w:color w:val="231F20"/>
          <w:spacing w:val="2"/>
        </w:rPr>
        <w:t>ne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metronidazole is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eﬀective in treating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acute pelvic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inﬂammatory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disease.</w:t>
      </w:r>
    </w:p>
    <w:p>
      <w:pPr>
        <w:pStyle w:val="BodyText"/>
        <w:ind w:left="1099"/>
        <w:spacing w:before="45" w:line="192" w:lineRule="auto"/>
        <w:rPr/>
      </w:pPr>
      <w:r>
        <w:rPr>
          <w:b/>
          <w:bCs/>
          <w:color w:val="231F20"/>
          <w:spacing w:val="4"/>
        </w:rPr>
        <w:t>[key words]    </w:t>
      </w:r>
      <w:r>
        <w:rPr>
          <w:color w:val="231F20"/>
          <w:spacing w:val="4"/>
        </w:rPr>
        <w:t>pelv</w:t>
      </w:r>
      <w:r>
        <w:rPr>
          <w:color w:val="231F20"/>
          <w:spacing w:val="3"/>
        </w:rPr>
        <w:t>ic inﬂammatory disease; chemokines;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protocols</w:t>
      </w:r>
    </w:p>
    <w:p>
      <w:pPr>
        <w:spacing w:before="166"/>
        <w:rPr/>
      </w:pPr>
      <w:r/>
    </w:p>
    <w:p>
      <w:pPr>
        <w:sectPr>
          <w:headerReference w:type="default" r:id="rId2"/>
          <w:pgSz w:w="11906" w:h="16838"/>
          <w:pgMar w:top="1201" w:right="939" w:bottom="0" w:left="424" w:header="863" w:footer="0" w:gutter="0"/>
          <w:cols w:equalWidth="0" w:num="1">
            <w:col w:w="10542" w:space="0"/>
          </w:cols>
        </w:sectPr>
        <w:rPr/>
      </w:pPr>
    </w:p>
    <w:p>
      <w:pPr>
        <w:pStyle w:val="BodyText"/>
        <w:ind w:left="713" w:right="187" w:firstLine="373"/>
        <w:spacing w:before="50" w:line="33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急性盆腔炎作为临床妇科常见的炎性疾病，病因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复杂，多与卫生状况不良、久坐、饮食辛辣、免疫力低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</w:rPr>
        <w:t>下等有关，且多见于育龄期妇女</w:t>
      </w:r>
      <w:r>
        <w:rPr>
          <w:sz w:val="11"/>
          <w:szCs w:val="11"/>
          <w:color w:val="231F20"/>
          <w:position w:val="9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position w:val="9"/>
        </w:rPr>
        <w:t>1-2</w:t>
      </w:r>
      <w:r>
        <w:rPr>
          <w:sz w:val="11"/>
          <w:szCs w:val="11"/>
          <w:color w:val="231F20"/>
          <w:position w:val="9"/>
        </w:rPr>
        <w:t>] </w:t>
      </w:r>
      <w:r>
        <w:rPr>
          <w:rFonts w:ascii="SimSun" w:hAnsi="SimSun" w:eastAsia="SimSun" w:cs="SimSun"/>
          <w:color w:val="231F20"/>
        </w:rPr>
        <w:t>。临床主要表现为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白带异常、发热、下腹疼痛等，且极易反复发作，若控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制不及时，可导致月经不调、不孕、异位妊娠等不良反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</w:rPr>
        <w:t>应，严重影响患者的生活</w:t>
      </w:r>
      <w:r>
        <w:rPr>
          <w:sz w:val="11"/>
          <w:szCs w:val="11"/>
          <w:color w:val="231F20"/>
          <w:position w:val="9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position w:val="9"/>
        </w:rPr>
        <w:t>3-4</w:t>
      </w:r>
      <w:r>
        <w:rPr>
          <w:sz w:val="11"/>
          <w:szCs w:val="11"/>
          <w:color w:val="231F20"/>
          <w:position w:val="9"/>
        </w:rPr>
        <w:t>] </w:t>
      </w:r>
      <w:r>
        <w:rPr>
          <w:rFonts w:ascii="SimSun" w:hAnsi="SimSun" w:eastAsia="SimSun" w:cs="SimSun"/>
          <w:color w:val="231F20"/>
        </w:rPr>
        <w:t>。目前，基层医院对该病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主要以抗炎治疗为主，本研究以东营市垦利区社区卫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生服务中心就诊的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120例急性盆腔炎患者为对象</w:t>
      </w:r>
      <w:r>
        <w:rPr>
          <w:rFonts w:ascii="SimSun" w:hAnsi="SimSun" w:eastAsia="SimSun" w:cs="SimSun"/>
          <w:color w:val="231F20"/>
          <w:spacing w:val="4"/>
        </w:rPr>
        <w:t>，分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析了盐酸克林霉素在急性盆腔炎治疗中的价值。</w:t>
      </w:r>
    </w:p>
    <w:p>
      <w:pPr>
        <w:ind w:left="729"/>
        <w:spacing w:before="173" w:line="241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资料与方法</w:t>
      </w:r>
    </w:p>
    <w:p>
      <w:pPr>
        <w:pStyle w:val="BodyText"/>
        <w:ind w:left="713" w:right="187" w:firstLine="15"/>
        <w:spacing w:before="261" w:line="317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5"/>
        </w:rPr>
        <w:t>1</w:t>
      </w:r>
      <w:r>
        <w:rPr>
          <w:rFonts w:ascii="SimSun" w:hAnsi="SimSun" w:eastAsia="SimSun" w:cs="SimSun"/>
          <w:color w:val="231F20"/>
          <w:spacing w:val="5"/>
        </w:rPr>
        <w:t>.</w:t>
      </w:r>
      <w:r>
        <w:rPr>
          <w:rFonts w:ascii="SimHei" w:hAnsi="SimHei" w:eastAsia="SimHei" w:cs="SimHei"/>
          <w:color w:val="231F20"/>
          <w:spacing w:val="5"/>
        </w:rPr>
        <w:t>1</w:t>
      </w:r>
      <w:r>
        <w:rPr>
          <w:rFonts w:ascii="SimHei" w:hAnsi="SimHei" w:eastAsia="SimHei" w:cs="SimHei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5"/>
        </w:rPr>
        <w:t>一般资料  收集2021年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1月至2023年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12月在东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营市垦利区社区卫生服务中心就诊的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120例急性盆腔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炎患者，根据随机数字表法分为观察组和对照组，每组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各60例。两组患者年龄、病程、炎症程度、盆腔</w:t>
      </w:r>
      <w:r>
        <w:rPr>
          <w:rFonts w:ascii="SimSun" w:hAnsi="SimSun" w:eastAsia="SimSun" w:cs="SimSun"/>
          <w:color w:val="231F20"/>
          <w:spacing w:val="-6"/>
        </w:rPr>
        <w:t>炎类型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比较无统计学意义（</w:t>
      </w:r>
      <w:r>
        <w:rPr>
          <w:i/>
          <w:iCs/>
          <w:color w:val="231F20"/>
          <w:spacing w:val="-9"/>
        </w:rPr>
        <w:t>P </w:t>
      </w:r>
      <w:r>
        <w:rPr>
          <w:rFonts w:ascii="SimSun" w:hAnsi="SimSun" w:eastAsia="SimSun" w:cs="SimSun"/>
          <w:color w:val="231F20"/>
          <w:spacing w:val="-9"/>
        </w:rPr>
        <w:t>＞0</w:t>
      </w:r>
      <w:r>
        <w:rPr>
          <w:color w:val="231F20"/>
          <w:spacing w:val="-9"/>
        </w:rPr>
        <w:t>.</w:t>
      </w:r>
      <w:r>
        <w:rPr>
          <w:rFonts w:ascii="SimSun" w:hAnsi="SimSun" w:eastAsia="SimSun" w:cs="SimSun"/>
          <w:color w:val="231F20"/>
          <w:spacing w:val="-9"/>
        </w:rPr>
        <w:t>05</w:t>
      </w:r>
      <w:r>
        <w:rPr>
          <w:rFonts w:ascii="SimSun" w:hAnsi="SimSun" w:eastAsia="SimSun" w:cs="SimSun"/>
          <w:color w:val="231F20"/>
          <w:spacing w:val="-52"/>
          <w:w w:val="98"/>
        </w:rPr>
        <w:t>），</w:t>
      </w:r>
      <w:r>
        <w:rPr>
          <w:rFonts w:ascii="SimSun" w:hAnsi="SimSun" w:eastAsia="SimSun" w:cs="SimSun"/>
          <w:color w:val="231F20"/>
          <w:spacing w:val="-9"/>
        </w:rPr>
        <w:t>具有可比性，</w:t>
      </w:r>
      <w:r>
        <w:rPr>
          <w:rFonts w:ascii="SimSun" w:hAnsi="SimSun" w:eastAsia="SimSun" w:cs="SimSun"/>
          <w:color w:val="231F20"/>
          <w:spacing w:val="-10"/>
        </w:rPr>
        <w:t>见表</w:t>
      </w:r>
      <w:r>
        <w:rPr>
          <w:rFonts w:ascii="SimSun" w:hAnsi="SimSun" w:eastAsia="SimSun" w:cs="SimSun"/>
          <w:color w:val="231F20"/>
          <w:spacing w:val="-52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1。</w:t>
      </w:r>
    </w:p>
    <w:p>
      <w:pPr>
        <w:pStyle w:val="BodyText"/>
        <w:ind w:left="712" w:right="187" w:firstLine="17"/>
        <w:spacing w:before="89" w:line="323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</w:rPr>
        <w:t>1</w:t>
      </w:r>
      <w:r>
        <w:rPr>
          <w:rFonts w:ascii="SimSun" w:hAnsi="SimSun" w:eastAsia="SimSun" w:cs="SimSun"/>
          <w:color w:val="231F20"/>
        </w:rPr>
        <w:t>.</w:t>
      </w:r>
      <w:r>
        <w:rPr>
          <w:rFonts w:ascii="SimHei" w:hAnsi="SimHei" w:eastAsia="SimHei" w:cs="SimHei"/>
          <w:color w:val="231F20"/>
        </w:rPr>
        <w:t>2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纳入与排除标准</w:t>
      </w:r>
      <w:r>
        <w:rPr>
          <w:rFonts w:ascii="SimSun" w:hAnsi="SimSun" w:eastAsia="SimSun" w:cs="SimSun"/>
          <w:color w:val="231F20"/>
          <w:spacing w:val="11"/>
        </w:rPr>
        <w:t xml:space="preserve">  </w:t>
      </w:r>
      <w:r>
        <w:rPr>
          <w:rFonts w:ascii="SimSun" w:hAnsi="SimSun" w:eastAsia="SimSun" w:cs="SimSun"/>
          <w:color w:val="231F20"/>
        </w:rPr>
        <w:t>纳入标准</w:t>
      </w:r>
      <w:r>
        <w:rPr>
          <w:rFonts w:ascii="SimSun" w:hAnsi="SimSun" w:eastAsia="SimSun" w:cs="SimSun"/>
          <w:color w:val="231F20"/>
          <w:spacing w:val="-43"/>
          <w:w w:val="80"/>
        </w:rPr>
        <w:t>：（</w:t>
      </w:r>
      <w:r>
        <w:rPr>
          <w:rFonts w:ascii="SimSun" w:hAnsi="SimSun" w:eastAsia="SimSun" w:cs="SimSun"/>
          <w:color w:val="231F20"/>
        </w:rPr>
        <w:t>1）根据临床症状 </w:t>
      </w:r>
      <w:r>
        <w:rPr>
          <w:rFonts w:ascii="SimSun" w:hAnsi="SimSun" w:eastAsia="SimSun" w:cs="SimSun"/>
          <w:color w:val="231F20"/>
          <w:spacing w:val="-2"/>
        </w:rPr>
        <w:t>及妇科超声检查确诊为急性盆腔炎者</w:t>
      </w:r>
      <w:r>
        <w:rPr>
          <w:rFonts w:ascii="SimSun" w:hAnsi="SimSun" w:eastAsia="SimSun" w:cs="SimSun"/>
          <w:color w:val="231F20"/>
          <w:spacing w:val="-40"/>
          <w:w w:val="75"/>
        </w:rPr>
        <w:t>；（</w:t>
      </w:r>
      <w:r>
        <w:rPr>
          <w:rFonts w:ascii="SimSun" w:hAnsi="SimSun" w:eastAsia="SimSun" w:cs="SimSun"/>
          <w:color w:val="231F20"/>
          <w:spacing w:val="-2"/>
        </w:rPr>
        <w:t>2）治疗依从性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高者。排除标准</w:t>
      </w:r>
      <w:r>
        <w:rPr>
          <w:rFonts w:ascii="SimSun" w:hAnsi="SimSun" w:eastAsia="SimSun" w:cs="SimSun"/>
          <w:color w:val="231F20"/>
          <w:spacing w:val="-43"/>
          <w:w w:val="80"/>
        </w:rPr>
        <w:t>：（</w:t>
      </w:r>
      <w:r>
        <w:rPr>
          <w:rFonts w:ascii="SimSun" w:hAnsi="SimSun" w:eastAsia="SimSun" w:cs="SimSun"/>
          <w:color w:val="231F20"/>
        </w:rPr>
        <w:t>1）伴生殖系统肿瘤者</w:t>
      </w:r>
      <w:r>
        <w:rPr>
          <w:rFonts w:ascii="SimSun" w:hAnsi="SimSun" w:eastAsia="SimSun" w:cs="SimSun"/>
          <w:color w:val="231F20"/>
          <w:spacing w:val="-43"/>
          <w:w w:val="80"/>
        </w:rPr>
        <w:t>；（</w:t>
      </w:r>
      <w:r>
        <w:rPr>
          <w:rFonts w:ascii="SimSun" w:hAnsi="SimSun" w:eastAsia="SimSun" w:cs="SimSun"/>
          <w:color w:val="231F20"/>
        </w:rPr>
        <w:t>2）伴子宫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内膜异位者</w:t>
      </w:r>
      <w:r>
        <w:rPr>
          <w:rFonts w:ascii="SimSun" w:hAnsi="SimSun" w:eastAsia="SimSun" w:cs="SimSun"/>
          <w:color w:val="231F20"/>
          <w:spacing w:val="-42"/>
          <w:w w:val="78"/>
        </w:rPr>
        <w:t>；（</w:t>
      </w:r>
      <w:r>
        <w:rPr>
          <w:rFonts w:ascii="SimSun" w:hAnsi="SimSun" w:eastAsia="SimSun" w:cs="SimSun"/>
          <w:color w:val="231F20"/>
          <w:spacing w:val="-8"/>
        </w:rPr>
        <w:t>3）造血、神经、免疫系统障碍者</w:t>
      </w:r>
      <w:r>
        <w:rPr>
          <w:rFonts w:ascii="SimSun" w:hAnsi="SimSun" w:eastAsia="SimSun" w:cs="SimSun"/>
          <w:color w:val="231F20"/>
          <w:spacing w:val="-42"/>
          <w:w w:val="78"/>
        </w:rPr>
        <w:t>；（</w:t>
      </w:r>
      <w:r>
        <w:rPr>
          <w:rFonts w:ascii="SimSun" w:hAnsi="SimSun" w:eastAsia="SimSun" w:cs="SimSun"/>
          <w:color w:val="231F20"/>
          <w:spacing w:val="-8"/>
        </w:rPr>
        <w:t>4）重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要脏器严重功能障碍者</w:t>
      </w:r>
      <w:r>
        <w:rPr>
          <w:rFonts w:ascii="SimSun" w:hAnsi="SimSun" w:eastAsia="SimSun" w:cs="SimSun"/>
          <w:color w:val="231F20"/>
          <w:spacing w:val="-40"/>
          <w:w w:val="75"/>
        </w:rPr>
        <w:t>；（</w:t>
      </w:r>
      <w:r>
        <w:rPr>
          <w:rFonts w:ascii="SimSun" w:hAnsi="SimSun" w:eastAsia="SimSun" w:cs="SimSun"/>
          <w:color w:val="231F20"/>
          <w:spacing w:val="-2"/>
        </w:rPr>
        <w:t>5）近两周内进行过其他系统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治疗者</w:t>
      </w:r>
      <w:r>
        <w:rPr>
          <w:rFonts w:ascii="SimSun" w:hAnsi="SimSun" w:eastAsia="SimSun" w:cs="SimSun"/>
          <w:color w:val="231F20"/>
          <w:spacing w:val="-43"/>
          <w:w w:val="80"/>
        </w:rPr>
        <w:t>；（</w:t>
      </w:r>
      <w:r>
        <w:rPr>
          <w:rFonts w:ascii="SimSun" w:hAnsi="SimSun" w:eastAsia="SimSun" w:cs="SimSun"/>
          <w:color w:val="231F20"/>
        </w:rPr>
        <w:t>6）治疗药物过敏者</w:t>
      </w:r>
      <w:r>
        <w:rPr>
          <w:rFonts w:ascii="SimSun" w:hAnsi="SimSun" w:eastAsia="SimSun" w:cs="SimSun"/>
          <w:color w:val="231F20"/>
          <w:spacing w:val="-43"/>
          <w:w w:val="80"/>
        </w:rPr>
        <w:t>；（</w:t>
      </w:r>
      <w:r>
        <w:rPr>
          <w:rFonts w:ascii="SimSun" w:hAnsi="SimSun" w:eastAsia="SimSun" w:cs="SimSun"/>
          <w:color w:val="231F20"/>
        </w:rPr>
        <w:t>7）伴其他部位严重炎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</w:rPr>
        <w:t>症者</w:t>
      </w:r>
      <w:r>
        <w:rPr>
          <w:rFonts w:ascii="SimSun" w:hAnsi="SimSun" w:eastAsia="SimSun" w:cs="SimSun"/>
          <w:color w:val="231F20"/>
          <w:spacing w:val="-43"/>
          <w:w w:val="80"/>
        </w:rPr>
        <w:t>；（</w:t>
      </w:r>
      <w:r>
        <w:rPr>
          <w:rFonts w:ascii="SimSun" w:hAnsi="SimSun" w:eastAsia="SimSun" w:cs="SimSun"/>
          <w:color w:val="231F20"/>
        </w:rPr>
        <w:t>8）处于哺乳期或妊娠期女性</w:t>
      </w:r>
      <w:r>
        <w:rPr>
          <w:rFonts w:ascii="SimSun" w:hAnsi="SimSun" w:eastAsia="SimSun" w:cs="SimSun"/>
          <w:color w:val="231F20"/>
          <w:spacing w:val="-43"/>
          <w:w w:val="80"/>
        </w:rPr>
        <w:t>；（</w:t>
      </w:r>
      <w:r>
        <w:rPr>
          <w:rFonts w:ascii="SimSun" w:hAnsi="SimSun" w:eastAsia="SimSun" w:cs="SimSun"/>
          <w:color w:val="231F20"/>
        </w:rPr>
        <w:t>9）存在沟通障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碍者。本研究通过东营市垦利区社区卫生服务中心医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学伦理委员会审批（伦理编号：</w:t>
      </w:r>
      <w:r>
        <w:rPr>
          <w:color w:val="231F20"/>
          <w:spacing w:val="-6"/>
        </w:rPr>
        <w:t>dyk</w:t>
      </w:r>
      <w:r>
        <w:rPr>
          <w:rFonts w:ascii="SimSun" w:hAnsi="SimSun" w:eastAsia="SimSun" w:cs="SimSun"/>
          <w:color w:val="231F20"/>
          <w:spacing w:val="-6"/>
        </w:rPr>
        <w:t>1202411007</w:t>
      </w:r>
      <w:r>
        <w:rPr>
          <w:rFonts w:ascii="SimSun" w:hAnsi="SimSun" w:eastAsia="SimSun" w:cs="SimSun"/>
          <w:color w:val="231F20"/>
          <w:spacing w:val="-27"/>
        </w:rPr>
        <w:t>），</w:t>
      </w:r>
      <w:r>
        <w:rPr>
          <w:rFonts w:ascii="SimSun" w:hAnsi="SimSun" w:eastAsia="SimSun" w:cs="SimSun"/>
          <w:color w:val="231F20"/>
          <w:spacing w:val="-6"/>
        </w:rPr>
        <w:t>所有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参与研究患者均签署知情同意书。</w:t>
      </w:r>
    </w:p>
    <w:p>
      <w:pPr>
        <w:pStyle w:val="BodyText"/>
        <w:ind w:left="713" w:right="79" w:firstLine="16"/>
        <w:spacing w:before="100" w:line="316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3"/>
        </w:rPr>
        <w:t>1</w:t>
      </w:r>
      <w:r>
        <w:rPr>
          <w:rFonts w:ascii="SimSun" w:hAnsi="SimSun" w:eastAsia="SimSun" w:cs="SimSun"/>
          <w:color w:val="231F20"/>
          <w:spacing w:val="3"/>
        </w:rPr>
        <w:t>.</w:t>
      </w:r>
      <w:r>
        <w:rPr>
          <w:rFonts w:ascii="SimHei" w:hAnsi="SimHei" w:eastAsia="SimHei" w:cs="SimHei"/>
          <w:color w:val="231F20"/>
          <w:spacing w:val="3"/>
        </w:rPr>
        <w:t>3</w:t>
      </w:r>
      <w:r>
        <w:rPr>
          <w:rFonts w:ascii="SimHei" w:hAnsi="SimHei" w:eastAsia="SimHei" w:cs="SimHei"/>
          <w:color w:val="231F20"/>
          <w:spacing w:val="3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方法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（1）观察组患者给予盐酸克林霉素（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国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7"/>
        </w:rPr>
        <w:t>药准字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color w:val="231F20"/>
          <w:spacing w:val="7"/>
        </w:rPr>
        <w:t>H</w:t>
      </w:r>
      <w:r>
        <w:rPr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20066848，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苏州天马医药集团天吉生物制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药有限公司，规格2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color w:val="231F20"/>
          <w:spacing w:val="-2"/>
        </w:rPr>
        <w:t>ml:</w:t>
      </w:r>
      <w:r>
        <w:rPr>
          <w:rFonts w:ascii="SimSun" w:hAnsi="SimSun" w:eastAsia="SimSun" w:cs="SimSun"/>
          <w:color w:val="231F20"/>
          <w:spacing w:val="-2"/>
        </w:rPr>
        <w:t>0</w:t>
      </w:r>
      <w:r>
        <w:rPr>
          <w:color w:val="231F20"/>
          <w:spacing w:val="-2"/>
        </w:rPr>
        <w:t>.</w:t>
      </w:r>
      <w:r>
        <w:rPr>
          <w:rFonts w:ascii="SimSun" w:hAnsi="SimSun" w:eastAsia="SimSun" w:cs="SimSun"/>
          <w:color w:val="231F20"/>
          <w:spacing w:val="-2"/>
        </w:rPr>
        <w:t>6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-2"/>
        </w:rPr>
        <w:t>g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）0</w:t>
      </w:r>
      <w:r>
        <w:rPr>
          <w:color w:val="231F20"/>
          <w:spacing w:val="-2"/>
        </w:rPr>
        <w:t>.</w:t>
      </w:r>
      <w:r>
        <w:rPr>
          <w:rFonts w:ascii="SimSun" w:hAnsi="SimSun" w:eastAsia="SimSun" w:cs="SimSun"/>
          <w:color w:val="231F20"/>
          <w:spacing w:val="-2"/>
        </w:rPr>
        <w:t>3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-2"/>
        </w:rPr>
        <w:t>g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加入250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2"/>
        </w:rPr>
        <w:t>ml</w:t>
      </w:r>
      <w:r>
        <w:rPr>
          <w:color w:val="231F20"/>
          <w:spacing w:val="28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5％葡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"/>
        </w:rPr>
        <w:t>萄糖溶液静脉滴注，2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次</w:t>
      </w:r>
      <w:r>
        <w:rPr>
          <w:rFonts w:ascii="SimSun" w:hAnsi="SimSun" w:eastAsia="SimSun" w:cs="SimSun"/>
          <w:color w:val="231F20"/>
          <w:spacing w:val="-59"/>
        </w:rPr>
        <w:t xml:space="preserve"> </w:t>
      </w:r>
      <w:r>
        <w:rPr>
          <w:color w:val="231F20"/>
          <w:spacing w:val="1"/>
        </w:rPr>
        <w:t>/d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；头孢曲松钠（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国药准字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color w:val="231F20"/>
          <w:spacing w:val="-4"/>
        </w:rPr>
        <w:t>H</w:t>
      </w:r>
      <w:r>
        <w:rPr>
          <w:rFonts w:ascii="SimSun" w:hAnsi="SimSun" w:eastAsia="SimSun" w:cs="SimSun"/>
          <w:color w:val="231F20"/>
          <w:spacing w:val="-4"/>
        </w:rPr>
        <w:t>20058023，深圳立健药业有限公司，规格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1</w:t>
      </w:r>
      <w:r>
        <w:rPr>
          <w:color w:val="231F20"/>
          <w:spacing w:val="-4"/>
        </w:rPr>
        <w:t>.</w:t>
      </w:r>
      <w:r>
        <w:rPr>
          <w:rFonts w:ascii="SimSun" w:hAnsi="SimSun" w:eastAsia="SimSun" w:cs="SimSun"/>
          <w:color w:val="231F20"/>
          <w:spacing w:val="-4"/>
        </w:rPr>
        <w:t>0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-4"/>
        </w:rPr>
        <w:t>g*</w:t>
      </w:r>
      <w:r>
        <w:rPr>
          <w:rFonts w:ascii="SimSun" w:hAnsi="SimSun" w:eastAsia="SimSun" w:cs="SimSun"/>
          <w:color w:val="231F20"/>
          <w:spacing w:val="-4"/>
        </w:rPr>
        <w:t>10瓶）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2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color w:val="231F20"/>
          <w:spacing w:val="-5"/>
        </w:rPr>
        <w:t>g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加入</w:t>
      </w:r>
      <w:r>
        <w:rPr>
          <w:rFonts w:ascii="SimSun" w:hAnsi="SimSun" w:eastAsia="SimSun" w:cs="SimSun"/>
          <w:color w:val="231F20"/>
          <w:spacing w:val="-53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100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-5"/>
        </w:rPr>
        <w:t>ml</w:t>
      </w:r>
      <w:r>
        <w:rPr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0</w:t>
      </w:r>
      <w:r>
        <w:rPr>
          <w:color w:val="231F20"/>
          <w:spacing w:val="-5"/>
        </w:rPr>
        <w:t>.</w:t>
      </w:r>
      <w:r>
        <w:rPr>
          <w:rFonts w:ascii="SimSun" w:hAnsi="SimSun" w:eastAsia="SimSun" w:cs="SimSun"/>
          <w:color w:val="231F20"/>
          <w:spacing w:val="-5"/>
        </w:rPr>
        <w:t>9％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氯化钠溶液静脉滴注，1次</w:t>
      </w:r>
      <w:r>
        <w:rPr>
          <w:color w:val="231F20"/>
          <w:spacing w:val="-5"/>
        </w:rPr>
        <w:t>/d</w:t>
      </w:r>
      <w:r>
        <w:rPr>
          <w:rFonts w:ascii="SimSun" w:hAnsi="SimSun" w:eastAsia="SimSun" w:cs="SimSun"/>
          <w:color w:val="231F20"/>
          <w:spacing w:val="-5"/>
        </w:rPr>
        <w:t>；0</w:t>
      </w:r>
      <w:r>
        <w:rPr>
          <w:color w:val="231F20"/>
          <w:spacing w:val="-5"/>
        </w:rPr>
        <w:t>.</w:t>
      </w:r>
      <w:r>
        <w:rPr>
          <w:rFonts w:ascii="SimSun" w:hAnsi="SimSun" w:eastAsia="SimSun" w:cs="SimSun"/>
          <w:color w:val="231F20"/>
          <w:spacing w:val="-5"/>
        </w:rPr>
        <w:t>5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color w:val="231F20"/>
          <w:spacing w:val="-3"/>
        </w:rPr>
        <w:t>g </w:t>
      </w:r>
      <w:r>
        <w:rPr>
          <w:rFonts w:ascii="SimSun" w:hAnsi="SimSun" w:eastAsia="SimSun" w:cs="SimSun"/>
          <w:color w:val="231F20"/>
          <w:spacing w:val="-3"/>
        </w:rPr>
        <w:t>甲硝唑（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国药准字</w:t>
      </w:r>
      <w:r>
        <w:rPr>
          <w:color w:val="231F20"/>
          <w:spacing w:val="-3"/>
        </w:rPr>
        <w:t>H</w:t>
      </w:r>
      <w:r>
        <w:rPr>
          <w:rFonts w:ascii="SimSun" w:hAnsi="SimSun" w:eastAsia="SimSun" w:cs="SimSun"/>
          <w:color w:val="231F20"/>
          <w:spacing w:val="-3"/>
        </w:rPr>
        <w:t>34020648，安徽环球药业股份有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2" w:right="80" w:firstLine="14"/>
        <w:spacing w:before="47" w:line="33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限公司</w:t>
      </w:r>
      <w:r>
        <w:rPr>
          <w:color w:val="231F20"/>
          <w:spacing w:val="-3"/>
        </w:rPr>
        <w:t>,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规格0</w:t>
      </w:r>
      <w:r>
        <w:rPr>
          <w:color w:val="231F20"/>
          <w:spacing w:val="-3"/>
        </w:rPr>
        <w:t>.</w:t>
      </w:r>
      <w:r>
        <w:rPr>
          <w:rFonts w:ascii="SimSun" w:hAnsi="SimSun" w:eastAsia="SimSun" w:cs="SimSun"/>
          <w:color w:val="231F20"/>
          <w:spacing w:val="-3"/>
        </w:rPr>
        <w:t>2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color w:val="231F20"/>
          <w:spacing w:val="-3"/>
        </w:rPr>
        <w:t>g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-44"/>
          <w:w w:val="83"/>
        </w:rPr>
        <w:t>），</w:t>
      </w:r>
      <w:r>
        <w:rPr>
          <w:rFonts w:ascii="SimSun" w:hAnsi="SimSun" w:eastAsia="SimSun" w:cs="SimSun"/>
          <w:color w:val="231F20"/>
          <w:spacing w:val="-3"/>
        </w:rPr>
        <w:t>2次</w:t>
      </w:r>
      <w:r>
        <w:rPr>
          <w:color w:val="231F20"/>
          <w:spacing w:val="-3"/>
        </w:rPr>
        <w:t>/d</w:t>
      </w:r>
      <w:r>
        <w:rPr>
          <w:rFonts w:ascii="SimSun" w:hAnsi="SimSun" w:eastAsia="SimSun" w:cs="SimSun"/>
          <w:color w:val="231F20"/>
          <w:spacing w:val="-3"/>
        </w:rPr>
        <w:t>。（2）对照组患者给予头孢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曲松钠（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国药准字</w:t>
      </w:r>
      <w:r>
        <w:rPr>
          <w:color w:val="231F20"/>
          <w:spacing w:val="1"/>
        </w:rPr>
        <w:t>H</w:t>
      </w:r>
      <w:r>
        <w:rPr>
          <w:rFonts w:ascii="SimSun" w:hAnsi="SimSun" w:eastAsia="SimSun" w:cs="SimSun"/>
          <w:color w:val="231F20"/>
          <w:spacing w:val="1"/>
        </w:rPr>
        <w:t>20058023，</w:t>
      </w:r>
      <w:r>
        <w:rPr>
          <w:rFonts w:ascii="SimSun" w:hAnsi="SimSun" w:eastAsia="SimSun" w:cs="SimSun"/>
          <w:color w:val="231F20"/>
          <w:spacing w:val="-59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深圳立健药业有限公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司，规格</w:t>
      </w:r>
      <w:r>
        <w:rPr>
          <w:rFonts w:ascii="SimSun" w:hAnsi="SimSun" w:eastAsia="SimSun" w:cs="SimSun"/>
          <w:color w:val="231F20"/>
          <w:spacing w:val="-53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1</w:t>
      </w:r>
      <w:r>
        <w:rPr>
          <w:color w:val="231F20"/>
          <w:spacing w:val="-5"/>
        </w:rPr>
        <w:t>.</w:t>
      </w:r>
      <w:r>
        <w:rPr>
          <w:rFonts w:ascii="SimSun" w:hAnsi="SimSun" w:eastAsia="SimSun" w:cs="SimSun"/>
          <w:color w:val="231F20"/>
          <w:spacing w:val="-5"/>
        </w:rPr>
        <w:t>0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-5"/>
        </w:rPr>
        <w:t>g*</w:t>
      </w:r>
      <w:r>
        <w:rPr>
          <w:rFonts w:ascii="SimSun" w:hAnsi="SimSun" w:eastAsia="SimSun" w:cs="SimSun"/>
          <w:color w:val="231F20"/>
          <w:spacing w:val="-5"/>
        </w:rPr>
        <w:t>10瓶）2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-5"/>
        </w:rPr>
        <w:t>g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加入</w:t>
      </w:r>
      <w:r>
        <w:rPr>
          <w:rFonts w:ascii="SimSun" w:hAnsi="SimSun" w:eastAsia="SimSun" w:cs="SimSun"/>
          <w:color w:val="231F20"/>
          <w:spacing w:val="-53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100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-5"/>
        </w:rPr>
        <w:t>ml</w:t>
      </w:r>
      <w:r>
        <w:rPr>
          <w:color w:val="231F20"/>
          <w:spacing w:val="22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0</w:t>
      </w:r>
      <w:r>
        <w:rPr>
          <w:color w:val="231F20"/>
          <w:spacing w:val="-5"/>
        </w:rPr>
        <w:t>.</w:t>
      </w:r>
      <w:r>
        <w:rPr>
          <w:rFonts w:ascii="SimSun" w:hAnsi="SimSun" w:eastAsia="SimSun" w:cs="SimSun"/>
          <w:color w:val="231F20"/>
          <w:spacing w:val="-5"/>
        </w:rPr>
        <w:t>9％氯化钠溶液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静脉滴注，1次</w:t>
      </w:r>
      <w:r>
        <w:rPr>
          <w:color w:val="231F20"/>
          <w:spacing w:val="-3"/>
        </w:rPr>
        <w:t>/d</w:t>
      </w:r>
      <w:r>
        <w:rPr>
          <w:rFonts w:ascii="SimSun" w:hAnsi="SimSun" w:eastAsia="SimSun" w:cs="SimSun"/>
          <w:color w:val="231F20"/>
          <w:spacing w:val="-3"/>
        </w:rPr>
        <w:t>；0</w:t>
      </w:r>
      <w:r>
        <w:rPr>
          <w:color w:val="231F20"/>
          <w:spacing w:val="-3"/>
        </w:rPr>
        <w:t>.</w:t>
      </w:r>
      <w:r>
        <w:rPr>
          <w:rFonts w:ascii="SimSun" w:hAnsi="SimSun" w:eastAsia="SimSun" w:cs="SimSun"/>
          <w:color w:val="231F20"/>
          <w:spacing w:val="-3"/>
        </w:rPr>
        <w:t>5 </w:t>
      </w:r>
      <w:r>
        <w:rPr>
          <w:color w:val="231F20"/>
          <w:spacing w:val="-3"/>
        </w:rPr>
        <w:t>g </w:t>
      </w:r>
      <w:r>
        <w:rPr>
          <w:rFonts w:ascii="SimSun" w:hAnsi="SimSun" w:eastAsia="SimSun" w:cs="SimSun"/>
          <w:color w:val="231F20"/>
          <w:spacing w:val="-3"/>
        </w:rPr>
        <w:t>甲硝唑（安徽环球药业股份有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限公司，国药准字</w:t>
      </w:r>
      <w:r>
        <w:rPr>
          <w:color w:val="231F20"/>
          <w:spacing w:val="-1"/>
        </w:rPr>
        <w:t>H</w:t>
      </w:r>
      <w:r>
        <w:rPr>
          <w:rFonts w:ascii="SimSun" w:hAnsi="SimSun" w:eastAsia="SimSun" w:cs="SimSun"/>
          <w:color w:val="231F20"/>
          <w:spacing w:val="-1"/>
        </w:rPr>
        <w:t>34020648，规格0</w:t>
      </w:r>
      <w:r>
        <w:rPr>
          <w:color w:val="231F20"/>
          <w:spacing w:val="-1"/>
        </w:rPr>
        <w:t>.</w:t>
      </w:r>
      <w:r>
        <w:rPr>
          <w:rFonts w:ascii="SimSun" w:hAnsi="SimSun" w:eastAsia="SimSun" w:cs="SimSun"/>
          <w:color w:val="231F20"/>
          <w:spacing w:val="-1"/>
        </w:rPr>
        <w:t>2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color w:val="231F20"/>
          <w:spacing w:val="-1"/>
        </w:rPr>
        <w:t>g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-41"/>
          <w:w w:val="78"/>
        </w:rPr>
        <w:t>），</w:t>
      </w:r>
      <w:r>
        <w:rPr>
          <w:rFonts w:ascii="SimSun" w:hAnsi="SimSun" w:eastAsia="SimSun" w:cs="SimSun"/>
          <w:color w:val="231F20"/>
          <w:spacing w:val="-1"/>
        </w:rPr>
        <w:t>2次</w:t>
      </w:r>
      <w:r>
        <w:rPr>
          <w:color w:val="231F20"/>
          <w:spacing w:val="-1"/>
        </w:rPr>
        <w:t>/</w:t>
      </w:r>
      <w:r>
        <w:rPr>
          <w:color w:val="231F20"/>
          <w:spacing w:val="-2"/>
        </w:rPr>
        <w:t>d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。两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组患者均治疗7</w:t>
      </w:r>
      <w:r>
        <w:rPr>
          <w:color w:val="231F20"/>
        </w:rPr>
        <w:t>d</w:t>
      </w:r>
      <w:r>
        <w:rPr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</w:rPr>
        <w:t>后复查血常规、阴道分泌物及超声。</w:t>
      </w:r>
    </w:p>
    <w:p>
      <w:pPr>
        <w:pStyle w:val="BodyText"/>
        <w:ind w:firstLine="128"/>
        <w:spacing w:before="14" w:line="325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6"/>
        </w:rPr>
        <w:t>1</w:t>
      </w:r>
      <w:r>
        <w:rPr>
          <w:rFonts w:ascii="SimSun" w:hAnsi="SimSun" w:eastAsia="SimSun" w:cs="SimSun"/>
          <w:color w:val="231F20"/>
          <w:spacing w:val="6"/>
        </w:rPr>
        <w:t>.</w:t>
      </w:r>
      <w:r>
        <w:rPr>
          <w:rFonts w:ascii="SimHei" w:hAnsi="SimHei" w:eastAsia="SimHei" w:cs="SimHei"/>
          <w:color w:val="231F20"/>
          <w:spacing w:val="6"/>
        </w:rPr>
        <w:t>4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rFonts w:ascii="SimSun" w:hAnsi="SimSun" w:eastAsia="SimSun" w:cs="SimSun"/>
          <w:color w:val="231F20"/>
          <w:spacing w:val="6"/>
        </w:rPr>
        <w:t>观察指标 （1）盆腔炎症状改善时间：对两组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8"/>
        </w:rPr>
        <w:t>患者白带恢复正常的时间、月经恢复正常的时间，子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7"/>
        </w:rPr>
        <w:t>宫、腰骶、下腹疼痛消失的时间进行统计学比较分</w:t>
      </w:r>
      <w:r>
        <w:rPr>
          <w:rFonts w:ascii="SimSun" w:hAnsi="SimSun" w:eastAsia="SimSun" w:cs="SimSun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-1"/>
        </w:rPr>
        <w:t>析。（2）炎症因子：采集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3 </w:t>
      </w:r>
      <w:r>
        <w:rPr>
          <w:color w:val="231F20"/>
          <w:spacing w:val="-1"/>
        </w:rPr>
        <w:t>ml </w:t>
      </w:r>
      <w:r>
        <w:rPr>
          <w:rFonts w:ascii="SimSun" w:hAnsi="SimSun" w:eastAsia="SimSun" w:cs="SimSun"/>
          <w:color w:val="231F20"/>
          <w:spacing w:val="-1"/>
        </w:rPr>
        <w:t>空腹静脉血，离心，严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5"/>
        </w:rPr>
        <w:t>格按照试剂盒，通过放射免疫法检测血清内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15"/>
        </w:rPr>
        <w:t>C </w:t>
      </w:r>
      <w:r>
        <w:rPr>
          <w:rFonts w:ascii="SimSun" w:hAnsi="SimSun" w:eastAsia="SimSun" w:cs="SimSun"/>
          <w:color w:val="231F20"/>
          <w:spacing w:val="15"/>
        </w:rPr>
        <w:t>反应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21"/>
        </w:rPr>
        <w:t>蛋白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color w:val="231F20"/>
          <w:spacing w:val="21"/>
        </w:rPr>
        <w:t>(C-</w:t>
      </w:r>
      <w:r>
        <w:rPr>
          <w:color w:val="231F20"/>
        </w:rPr>
        <w:t>Reactionprotein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21"/>
        </w:rPr>
        <w:t>，</w:t>
      </w:r>
      <w:r>
        <w:rPr>
          <w:color w:val="231F20"/>
        </w:rPr>
        <w:t>CRP</w:t>
      </w:r>
      <w:r>
        <w:rPr>
          <w:color w:val="231F20"/>
          <w:spacing w:val="21"/>
        </w:rPr>
        <w:t>)</w:t>
      </w:r>
      <w:r>
        <w:rPr>
          <w:rFonts w:ascii="SimSun" w:hAnsi="SimSun" w:eastAsia="SimSun" w:cs="SimSun"/>
          <w:color w:val="231F20"/>
          <w:spacing w:val="21"/>
        </w:rPr>
        <w:t>、转化生长因子</w:t>
      </w:r>
      <w:r>
        <w:rPr>
          <w:rFonts w:ascii="SimSun" w:hAnsi="SimSun" w:eastAsia="SimSun" w:cs="SimSun"/>
          <w:color w:val="231F20"/>
          <w:spacing w:val="-53"/>
        </w:rPr>
        <w:t xml:space="preserve"> </w:t>
      </w:r>
      <w:r>
        <w:rPr>
          <w:color w:val="231F20"/>
          <w:spacing w:val="21"/>
        </w:rPr>
        <w:t>- </w:t>
      </w:r>
      <w:r>
        <w:rPr>
          <w:rFonts w:ascii="SimSun" w:hAnsi="SimSun" w:eastAsia="SimSun" w:cs="SimSun"/>
          <w:color w:val="231F20"/>
          <w:spacing w:val="21"/>
        </w:rPr>
        <w:t>β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1"/>
        </w:rPr>
        <w:t>（</w:t>
      </w:r>
      <w:r>
        <w:rPr>
          <w:color w:val="231F20"/>
          <w:spacing w:val="-1"/>
        </w:rPr>
        <w:t>Transforming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Growth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Factor-</w:t>
      </w:r>
      <w:r>
        <w:rPr>
          <w:rFonts w:ascii="SimSun" w:hAnsi="SimSun" w:eastAsia="SimSun" w:cs="SimSun"/>
          <w:color w:val="231F20"/>
          <w:spacing w:val="-1"/>
        </w:rPr>
        <w:t>β, </w:t>
      </w:r>
      <w:r>
        <w:rPr>
          <w:color w:val="231F20"/>
          <w:spacing w:val="-1"/>
        </w:rPr>
        <w:t>TGF-</w:t>
      </w:r>
      <w:r>
        <w:rPr>
          <w:rFonts w:ascii="SimSun" w:hAnsi="SimSun" w:eastAsia="SimSun" w:cs="SimSun"/>
          <w:color w:val="231F20"/>
          <w:spacing w:val="-1"/>
        </w:rPr>
        <w:t>β</w:t>
      </w:r>
      <w:r>
        <w:rPr>
          <w:color w:val="231F20"/>
          <w:spacing w:val="-1"/>
        </w:rPr>
        <w:t>)</w:t>
      </w:r>
      <w:r>
        <w:rPr>
          <w:rFonts w:ascii="SimSun" w:hAnsi="SimSun" w:eastAsia="SimSun" w:cs="SimSun"/>
          <w:color w:val="231F20"/>
          <w:spacing w:val="-1"/>
        </w:rPr>
        <w:t>、白介素</w:t>
      </w:r>
      <w:r>
        <w:rPr>
          <w:color w:val="231F20"/>
          <w:spacing w:val="-1"/>
        </w:rPr>
        <w:t>-</w:t>
      </w:r>
      <w:r>
        <w:rPr>
          <w:rFonts w:ascii="SimSun" w:hAnsi="SimSun" w:eastAsia="SimSun" w:cs="SimSun"/>
          <w:color w:val="231F20"/>
          <w:spacing w:val="-1"/>
        </w:rPr>
        <w:t>18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（</w:t>
      </w:r>
      <w:r>
        <w:rPr>
          <w:color w:val="231F20"/>
          <w:spacing w:val="-3"/>
        </w:rPr>
        <w:t>Interleukin-</w:t>
      </w:r>
      <w:r>
        <w:rPr>
          <w:rFonts w:ascii="SimSun" w:hAnsi="SimSun" w:eastAsia="SimSun" w:cs="SimSun"/>
          <w:color w:val="231F20"/>
          <w:spacing w:val="-3"/>
        </w:rPr>
        <w:t>18，</w:t>
      </w:r>
      <w:r>
        <w:rPr>
          <w:color w:val="231F20"/>
          <w:spacing w:val="-3"/>
        </w:rPr>
        <w:t>IL-</w:t>
      </w:r>
      <w:r>
        <w:rPr>
          <w:rFonts w:ascii="SimSun" w:hAnsi="SimSun" w:eastAsia="SimSun" w:cs="SimSun"/>
          <w:color w:val="231F20"/>
          <w:spacing w:val="-3"/>
        </w:rPr>
        <w:t>18）水平。（3）临</w:t>
      </w:r>
      <w:r>
        <w:rPr>
          <w:rFonts w:ascii="SimSun" w:hAnsi="SimSun" w:eastAsia="SimSun" w:cs="SimSun"/>
          <w:color w:val="231F20"/>
          <w:spacing w:val="-4"/>
        </w:rPr>
        <w:t>床疗效：分为痊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12"/>
        </w:rPr>
        <w:t>愈（症状、体征消失，</w:t>
      </w:r>
      <w:r>
        <w:rPr>
          <w:color w:val="231F20"/>
          <w:spacing w:val="-12"/>
        </w:rPr>
        <w:t>B</w:t>
      </w:r>
      <w:r>
        <w:rPr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超检查显示正常）、显效（症状、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体征及</w:t>
      </w:r>
      <w:r>
        <w:rPr>
          <w:color w:val="231F20"/>
          <w:spacing w:val="3"/>
        </w:rPr>
        <w:t>B</w:t>
      </w:r>
      <w:r>
        <w:rPr>
          <w:color w:val="231F20"/>
          <w:spacing w:val="-5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超检查均明显改善）、有效（症状、体征及</w:t>
      </w:r>
      <w:r>
        <w:rPr>
          <w:color w:val="231F20"/>
          <w:spacing w:val="3"/>
        </w:rPr>
        <w:t>B</w:t>
      </w:r>
      <w:r>
        <w:rPr>
          <w:color w:val="231F20"/>
        </w:rPr>
        <w:t xml:space="preserve">   </w:t>
      </w:r>
      <w:r>
        <w:rPr>
          <w:rFonts w:ascii="SimSun" w:hAnsi="SimSun" w:eastAsia="SimSun" w:cs="SimSun"/>
          <w:color w:val="231F20"/>
          <w:spacing w:val="-9"/>
        </w:rPr>
        <w:t>超检查均缓解）、无效（症状、体征无改善）。临床总有</w:t>
      </w:r>
      <w:r>
        <w:rPr>
          <w:rFonts w:ascii="SimSun" w:hAnsi="SimSun" w:eastAsia="SimSun" w:cs="SimSun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效率</w:t>
      </w:r>
      <w:r>
        <w:rPr>
          <w:color w:val="231F20"/>
          <w:spacing w:val="2"/>
        </w:rPr>
        <w:t>=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痊愈率</w:t>
      </w:r>
      <w:r>
        <w:rPr>
          <w:color w:val="231F20"/>
          <w:spacing w:val="2"/>
        </w:rPr>
        <w:t>+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显效率</w:t>
      </w:r>
      <w:r>
        <w:rPr>
          <w:color w:val="231F20"/>
          <w:spacing w:val="2"/>
        </w:rPr>
        <w:t>+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有效率。（4）安全性</w:t>
      </w:r>
      <w:r>
        <w:rPr>
          <w:rFonts w:ascii="SimSun" w:hAnsi="SimSun" w:eastAsia="SimSun" w:cs="SimSun"/>
          <w:color w:val="231F20"/>
          <w:spacing w:val="1"/>
        </w:rPr>
        <w:t>评价：统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8"/>
        </w:rPr>
        <w:t>计患者出现皮疹、胃肠道不适、头晕头痛、腹痛的例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5"/>
        </w:rPr>
        <w:t>数，并计算总发生率。</w:t>
      </w:r>
    </w:p>
    <w:p>
      <w:pPr>
        <w:pStyle w:val="BodyText"/>
        <w:ind w:left="110" w:right="16" w:firstLine="17"/>
        <w:spacing w:before="96" w:line="312" w:lineRule="auto"/>
        <w:rPr>
          <w:rFonts w:ascii="SimSun" w:hAnsi="SimSun" w:eastAsia="SimSun" w:cs="SimSun"/>
        </w:rPr>
      </w:pPr>
      <w:r>
        <w:pict>
          <v:shape id="_x0000_s8" style="position:absolute;margin-left:90.864pt;margin-top:42.7277pt;mso-position-vertical-relative:text;mso-position-horizontal-relative:text;width:4.6pt;height:0.5pt;z-index:-251657216;" filled="false" strokecolor="#231F20" strokeweight="0.49pt" coordsize="91,10" coordorigin="0,0" path="m0,4l91,4e">
            <v:stroke joinstyle="miter" miterlimit="10"/>
          </v:shape>
        </w:pict>
      </w:r>
      <w:r>
        <w:rPr>
          <w:rFonts w:ascii="SimHei" w:hAnsi="SimHei" w:eastAsia="SimHei" w:cs="SimHei"/>
          <w:color w:val="231F20"/>
          <w:spacing w:val="-1"/>
        </w:rPr>
        <w:t>1</w:t>
      </w:r>
      <w:r>
        <w:rPr>
          <w:rFonts w:ascii="SimSun" w:hAnsi="SimSun" w:eastAsia="SimSun" w:cs="SimSun"/>
          <w:color w:val="231F20"/>
          <w:spacing w:val="-1"/>
        </w:rPr>
        <w:t>.</w:t>
      </w:r>
      <w:r>
        <w:rPr>
          <w:rFonts w:ascii="SimHei" w:hAnsi="SimHei" w:eastAsia="SimHei" w:cs="SimHei"/>
          <w:color w:val="231F20"/>
          <w:spacing w:val="-1"/>
        </w:rPr>
        <w:t>5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rFonts w:ascii="SimSun" w:hAnsi="SimSun" w:eastAsia="SimSun" w:cs="SimSun"/>
          <w:color w:val="231F20"/>
          <w:spacing w:val="-1"/>
        </w:rPr>
        <w:t>统计学处理  应用</w:t>
      </w:r>
      <w:r>
        <w:rPr>
          <w:color w:val="231F20"/>
          <w:spacing w:val="-1"/>
        </w:rPr>
        <w:t>SPSS</w:t>
      </w:r>
      <w:r>
        <w:rPr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20</w:t>
      </w:r>
      <w:r>
        <w:rPr>
          <w:color w:val="231F20"/>
          <w:spacing w:val="-1"/>
        </w:rPr>
        <w:t>.</w:t>
      </w:r>
      <w:r>
        <w:rPr>
          <w:rFonts w:ascii="SimSun" w:hAnsi="SimSun" w:eastAsia="SimSun" w:cs="SimSun"/>
          <w:color w:val="231F20"/>
          <w:spacing w:val="-2"/>
        </w:rPr>
        <w:t>0软件进行数据分析，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计数资料以百分率</w:t>
      </w:r>
      <w:r>
        <w:rPr>
          <w:rFonts w:ascii="SimSun" w:hAnsi="SimSun" w:eastAsia="SimSun" w:cs="SimSun"/>
          <w:color w:val="231F20"/>
          <w:spacing w:val="-50"/>
        </w:rPr>
        <w:t>（％）</w:t>
      </w:r>
      <w:r>
        <w:rPr>
          <w:rFonts w:ascii="SimSun" w:hAnsi="SimSun" w:eastAsia="SimSun" w:cs="SimSun"/>
          <w:color w:val="231F20"/>
          <w:spacing w:val="2"/>
        </w:rPr>
        <w:t>描述，组间差异的比较采用</w:t>
      </w:r>
      <w:r>
        <w:rPr>
          <w:rFonts w:ascii="SimSun" w:hAnsi="SimSun" w:eastAsia="SimSun" w:cs="SimSun"/>
          <w:color w:val="231F20"/>
          <w:spacing w:val="-64"/>
        </w:rPr>
        <w:t xml:space="preserve"> </w:t>
      </w:r>
      <w:r>
        <w:rPr>
          <w:i/>
          <w:iCs/>
          <w:color w:val="231F20"/>
          <w:spacing w:val="2"/>
          <w:position w:val="2"/>
        </w:rPr>
        <w:t>χ</w:t>
      </w:r>
      <w:r>
        <w:rPr>
          <w:sz w:val="11"/>
          <w:szCs w:val="11"/>
          <w:color w:val="231F20"/>
          <w:spacing w:val="2"/>
          <w:position w:val="8"/>
        </w:rPr>
        <w:t>2</w:t>
      </w:r>
      <w:r>
        <w:rPr>
          <w:sz w:val="11"/>
          <w:szCs w:val="11"/>
          <w:color w:val="231F20"/>
          <w:position w:val="8"/>
        </w:rPr>
        <w:t xml:space="preserve">    </w:t>
      </w:r>
      <w:r>
        <w:rPr>
          <w:rFonts w:ascii="SimSun" w:hAnsi="SimSun" w:eastAsia="SimSun" w:cs="SimSun"/>
          <w:color w:val="231F20"/>
          <w:spacing w:val="-8"/>
        </w:rPr>
        <w:t>检验；计量资料用“</w:t>
      </w:r>
      <w:r>
        <w:rPr>
          <w:i/>
          <w:iCs/>
          <w:color w:val="231F20"/>
          <w:spacing w:val="-8"/>
        </w:rPr>
        <w:t>x</w:t>
      </w:r>
      <w:r>
        <w:rPr>
          <w:i/>
          <w:iCs/>
          <w:color w:val="231F20"/>
          <w:spacing w:val="-8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±</w:t>
      </w:r>
      <w:r>
        <w:rPr>
          <w:i/>
          <w:iCs/>
          <w:color w:val="231F20"/>
          <w:spacing w:val="-8"/>
        </w:rPr>
        <w:t>s</w:t>
      </w:r>
      <w:r>
        <w:rPr>
          <w:i/>
          <w:iCs/>
          <w:color w:val="231F20"/>
          <w:spacing w:val="-29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”描述，组间差异的比较采用</w:t>
      </w:r>
      <w:r>
        <w:rPr>
          <w:i/>
          <w:iCs/>
          <w:color w:val="231F20"/>
          <w:spacing w:val="-8"/>
        </w:rPr>
        <w:t>t</w:t>
      </w:r>
      <w:r>
        <w:rPr>
          <w:i/>
          <w:iCs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检验。以</w:t>
      </w:r>
      <w:r>
        <w:rPr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color w:val="231F20"/>
          <w:spacing w:val="2"/>
        </w:rPr>
        <w:t>＜0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05为差异有统计学意义。</w:t>
      </w:r>
    </w:p>
    <w:p>
      <w:pPr>
        <w:ind w:left="114"/>
        <w:spacing w:before="250" w:line="266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结果</w:t>
      </w:r>
    </w:p>
    <w:p>
      <w:pPr>
        <w:pStyle w:val="BodyText"/>
        <w:ind w:left="119" w:right="80" w:hanging="5"/>
        <w:spacing w:before="258" w:line="306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-1"/>
        </w:rPr>
        <w:t>2</w:t>
      </w:r>
      <w:r>
        <w:rPr>
          <w:rFonts w:ascii="SimSun" w:hAnsi="SimSun" w:eastAsia="SimSun" w:cs="SimSun"/>
          <w:color w:val="231F20"/>
          <w:spacing w:val="-1"/>
        </w:rPr>
        <w:t>.</w:t>
      </w:r>
      <w:r>
        <w:rPr>
          <w:rFonts w:ascii="SimHei" w:hAnsi="SimHei" w:eastAsia="SimHei" w:cs="SimHei"/>
          <w:color w:val="231F20"/>
          <w:spacing w:val="-1"/>
        </w:rPr>
        <w:t>1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rFonts w:ascii="SimSun" w:hAnsi="SimSun" w:eastAsia="SimSun" w:cs="SimSun"/>
          <w:color w:val="231F20"/>
          <w:spacing w:val="-1"/>
        </w:rPr>
        <w:t>盆腔炎症状改善时间  观察组白带、月经</w:t>
      </w:r>
      <w:r>
        <w:rPr>
          <w:rFonts w:ascii="SimSun" w:hAnsi="SimSun" w:eastAsia="SimSun" w:cs="SimSun"/>
          <w:color w:val="231F20"/>
          <w:spacing w:val="-2"/>
        </w:rPr>
        <w:t>恢复正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常的时间，以及子宫压痛、腰骶疼痛、下腹坠胀消失的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时间均短于对照组（</w:t>
      </w:r>
      <w:r>
        <w:rPr>
          <w:color w:val="231F20"/>
          <w:spacing w:val="-7"/>
        </w:rPr>
        <w:t>P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均＜0</w:t>
      </w:r>
      <w:r>
        <w:rPr>
          <w:color w:val="231F20"/>
          <w:spacing w:val="-7"/>
        </w:rPr>
        <w:t>.</w:t>
      </w:r>
      <w:r>
        <w:rPr>
          <w:rFonts w:ascii="SimSun" w:hAnsi="SimSun" w:eastAsia="SimSun" w:cs="SimSun"/>
          <w:color w:val="231F20"/>
          <w:spacing w:val="-7"/>
        </w:rPr>
        <w:t>001</w:t>
      </w:r>
      <w:r>
        <w:rPr>
          <w:rFonts w:ascii="SimSun" w:hAnsi="SimSun" w:eastAsia="SimSun" w:cs="SimSun"/>
          <w:color w:val="231F20"/>
          <w:spacing w:val="-40"/>
        </w:rPr>
        <w:t>），</w:t>
      </w:r>
      <w:r>
        <w:rPr>
          <w:rFonts w:ascii="SimSun" w:hAnsi="SimSun" w:eastAsia="SimSun" w:cs="SimSun"/>
          <w:color w:val="231F20"/>
          <w:spacing w:val="-7"/>
        </w:rPr>
        <w:t>见表2。</w:t>
      </w:r>
    </w:p>
    <w:p>
      <w:pPr>
        <w:pStyle w:val="BodyText"/>
        <w:ind w:right="15" w:firstLine="113"/>
        <w:spacing w:before="85" w:line="304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</w:rPr>
        <w:t>2</w:t>
      </w:r>
      <w:r>
        <w:rPr>
          <w:rFonts w:ascii="SimSun" w:hAnsi="SimSun" w:eastAsia="SimSun" w:cs="SimSun"/>
          <w:color w:val="231F20"/>
        </w:rPr>
        <w:t>.</w:t>
      </w:r>
      <w:r>
        <w:rPr>
          <w:rFonts w:ascii="SimHei" w:hAnsi="SimHei" w:eastAsia="SimHei" w:cs="SimHei"/>
          <w:color w:val="231F20"/>
        </w:rPr>
        <w:t>2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炎症指标水平  治疗前，两组患</w:t>
      </w:r>
      <w:r>
        <w:rPr>
          <w:rFonts w:ascii="SimSun" w:hAnsi="SimSun" w:eastAsia="SimSun" w:cs="SimSun"/>
          <w:color w:val="231F20"/>
          <w:spacing w:val="-1"/>
        </w:rPr>
        <w:t>者炎症指标</w:t>
      </w:r>
      <w:r>
        <w:rPr>
          <w:color w:val="231F20"/>
          <w:spacing w:val="-1"/>
        </w:rPr>
        <w:t>CRP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14"/>
        </w:rPr>
        <w:t>（</w:t>
      </w:r>
      <w:r>
        <w:rPr>
          <w:i/>
          <w:iCs/>
          <w:color w:val="231F20"/>
          <w:spacing w:val="-14"/>
        </w:rPr>
        <w:t>P</w:t>
      </w:r>
      <w:r>
        <w:rPr>
          <w:color w:val="231F20"/>
          <w:spacing w:val="-14"/>
        </w:rPr>
        <w:t>=</w:t>
      </w:r>
      <w:r>
        <w:rPr>
          <w:rFonts w:ascii="SimSun" w:hAnsi="SimSun" w:eastAsia="SimSun" w:cs="SimSun"/>
          <w:color w:val="231F20"/>
          <w:spacing w:val="-14"/>
        </w:rPr>
        <w:t>0</w:t>
      </w:r>
      <w:r>
        <w:rPr>
          <w:color w:val="231F20"/>
          <w:spacing w:val="-14"/>
        </w:rPr>
        <w:t>.</w:t>
      </w:r>
      <w:r>
        <w:rPr>
          <w:rFonts w:ascii="SimSun" w:hAnsi="SimSun" w:eastAsia="SimSun" w:cs="SimSun"/>
          <w:color w:val="231F20"/>
          <w:spacing w:val="-14"/>
        </w:rPr>
        <w:t>692）、</w:t>
      </w:r>
      <w:r>
        <w:rPr>
          <w:color w:val="231F20"/>
          <w:spacing w:val="-14"/>
        </w:rPr>
        <w:t>TGF-</w:t>
      </w:r>
      <w:r>
        <w:rPr>
          <w:rFonts w:ascii="SimSun" w:hAnsi="SimSun" w:eastAsia="SimSun" w:cs="SimSun"/>
          <w:color w:val="231F20"/>
          <w:spacing w:val="-14"/>
        </w:rPr>
        <w:t>β（</w:t>
      </w:r>
      <w:r>
        <w:rPr>
          <w:i/>
          <w:iCs/>
          <w:color w:val="231F20"/>
          <w:spacing w:val="-14"/>
        </w:rPr>
        <w:t>P</w:t>
      </w:r>
      <w:r>
        <w:rPr>
          <w:color w:val="231F20"/>
          <w:spacing w:val="-14"/>
        </w:rPr>
        <w:t>=</w:t>
      </w:r>
      <w:r>
        <w:rPr>
          <w:rFonts w:ascii="SimSun" w:hAnsi="SimSun" w:eastAsia="SimSun" w:cs="SimSun"/>
          <w:color w:val="231F20"/>
          <w:spacing w:val="-14"/>
        </w:rPr>
        <w:t>0</w:t>
      </w:r>
      <w:r>
        <w:rPr>
          <w:color w:val="231F20"/>
          <w:spacing w:val="-14"/>
        </w:rPr>
        <w:t>.</w:t>
      </w:r>
      <w:r>
        <w:rPr>
          <w:rFonts w:ascii="SimSun" w:hAnsi="SimSun" w:eastAsia="SimSun" w:cs="SimSun"/>
          <w:color w:val="231F20"/>
          <w:spacing w:val="-14"/>
        </w:rPr>
        <w:t>287）、</w:t>
      </w:r>
      <w:r>
        <w:rPr>
          <w:color w:val="231F20"/>
          <w:spacing w:val="-14"/>
        </w:rPr>
        <w:t>IL-</w:t>
      </w:r>
      <w:r>
        <w:rPr>
          <w:rFonts w:ascii="SimSun" w:hAnsi="SimSun" w:eastAsia="SimSun" w:cs="SimSun"/>
          <w:color w:val="231F20"/>
          <w:spacing w:val="-14"/>
        </w:rPr>
        <w:t>18（</w:t>
      </w:r>
      <w:r>
        <w:rPr>
          <w:i/>
          <w:iCs/>
          <w:color w:val="231F20"/>
          <w:spacing w:val="-14"/>
        </w:rPr>
        <w:t>P</w:t>
      </w:r>
      <w:r>
        <w:rPr>
          <w:color w:val="231F20"/>
          <w:spacing w:val="-14"/>
        </w:rPr>
        <w:t>=</w:t>
      </w:r>
      <w:r>
        <w:rPr>
          <w:rFonts w:ascii="SimSun" w:hAnsi="SimSun" w:eastAsia="SimSun" w:cs="SimSun"/>
          <w:color w:val="231F20"/>
          <w:spacing w:val="-14"/>
        </w:rPr>
        <w:t>0</w:t>
      </w:r>
      <w:r>
        <w:rPr>
          <w:color w:val="231F20"/>
          <w:spacing w:val="-14"/>
        </w:rPr>
        <w:t>.</w:t>
      </w:r>
      <w:r>
        <w:rPr>
          <w:rFonts w:ascii="SimSun" w:hAnsi="SimSun" w:eastAsia="SimSun" w:cs="SimSun"/>
          <w:color w:val="231F20"/>
          <w:spacing w:val="-14"/>
        </w:rPr>
        <w:t>437）均无显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著差异；治疗后，以上炎症指标均改善（</w:t>
      </w:r>
      <w:r>
        <w:rPr>
          <w:i/>
          <w:iCs/>
          <w:color w:val="231F20"/>
          <w:spacing w:val="-4"/>
        </w:rPr>
        <w:t>P</w:t>
      </w:r>
      <w:r>
        <w:rPr>
          <w:rFonts w:ascii="SimSun" w:hAnsi="SimSun" w:eastAsia="SimSun" w:cs="SimSun"/>
          <w:color w:val="231F20"/>
          <w:spacing w:val="-4"/>
        </w:rPr>
        <w:t>＜0</w:t>
      </w:r>
      <w:r>
        <w:rPr>
          <w:color w:val="231F20"/>
          <w:spacing w:val="-4"/>
        </w:rPr>
        <w:t>.</w:t>
      </w:r>
      <w:r>
        <w:rPr>
          <w:rFonts w:ascii="SimSun" w:hAnsi="SimSun" w:eastAsia="SimSun" w:cs="SimSun"/>
          <w:color w:val="231F20"/>
          <w:spacing w:val="-4"/>
        </w:rPr>
        <w:t>001</w:t>
      </w:r>
      <w:r>
        <w:rPr>
          <w:rFonts w:ascii="SimSun" w:hAnsi="SimSun" w:eastAsia="SimSun" w:cs="SimSun"/>
          <w:color w:val="231F20"/>
          <w:spacing w:val="-42"/>
        </w:rPr>
        <w:t>），</w:t>
      </w:r>
      <w:r>
        <w:rPr>
          <w:rFonts w:ascii="SimSun" w:hAnsi="SimSun" w:eastAsia="SimSun" w:cs="SimSun"/>
          <w:color w:val="231F20"/>
          <w:spacing w:val="-4"/>
        </w:rPr>
        <w:t>其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中，观察组</w:t>
      </w:r>
      <w:r>
        <w:rPr>
          <w:color w:val="231F20"/>
          <w:spacing w:val="-3"/>
        </w:rPr>
        <w:t>CRP</w:t>
      </w:r>
      <w:r>
        <w:rPr>
          <w:rFonts w:ascii="SimSun" w:hAnsi="SimSun" w:eastAsia="SimSun" w:cs="SimSun"/>
          <w:color w:val="231F20"/>
          <w:spacing w:val="-3"/>
        </w:rPr>
        <w:t>、</w:t>
      </w:r>
      <w:r>
        <w:rPr>
          <w:color w:val="231F20"/>
          <w:spacing w:val="-3"/>
        </w:rPr>
        <w:t>IL-</w:t>
      </w:r>
      <w:r>
        <w:rPr>
          <w:rFonts w:ascii="SimSun" w:hAnsi="SimSun" w:eastAsia="SimSun" w:cs="SimSun"/>
          <w:color w:val="231F20"/>
          <w:spacing w:val="-3"/>
        </w:rPr>
        <w:t>18水平低于对照组（</w:t>
      </w:r>
      <w:r>
        <w:rPr>
          <w:color w:val="231F20"/>
          <w:spacing w:val="-3"/>
        </w:rPr>
        <w:t>P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均＜0</w:t>
      </w:r>
      <w:r>
        <w:rPr>
          <w:color w:val="231F20"/>
          <w:spacing w:val="-4"/>
        </w:rPr>
        <w:t>.</w:t>
      </w:r>
      <w:r>
        <w:rPr>
          <w:rFonts w:ascii="SimSun" w:hAnsi="SimSun" w:eastAsia="SimSun" w:cs="SimSun"/>
          <w:color w:val="231F20"/>
          <w:spacing w:val="-4"/>
        </w:rPr>
        <w:t>001</w:t>
      </w:r>
      <w:r>
        <w:rPr>
          <w:rFonts w:ascii="SimSun" w:hAnsi="SimSun" w:eastAsia="SimSun" w:cs="SimSun"/>
          <w:color w:val="231F20"/>
          <w:spacing w:val="-40"/>
        </w:rPr>
        <w:t>），</w:t>
      </w:r>
    </w:p>
    <w:p>
      <w:pPr>
        <w:spacing w:line="304" w:lineRule="auto"/>
        <w:sectPr>
          <w:type w:val="continuous"/>
          <w:pgSz w:w="11906" w:h="16838"/>
          <w:pgMar w:top="1201" w:right="939" w:bottom="0" w:left="424" w:header="863" w:footer="0" w:gutter="0"/>
          <w:cols w:equalWidth="0" w:num="2">
            <w:col w:w="5576" w:space="100"/>
            <w:col w:w="4867" w:space="0"/>
          </w:cols>
        </w:sectPr>
        <w:rPr>
          <w:rFonts w:ascii="SimSun" w:hAnsi="SimSun" w:eastAsia="SimSun" w:cs="SimSun"/>
        </w:rPr>
      </w:pP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3"/>
          <w:pgSz w:w="11906" w:h="16838"/>
          <w:pgMar w:top="1201" w:right="1053" w:bottom="0" w:left="424" w:header="863" w:footer="0" w:gutter="0"/>
          <w:cols w:equalWidth="0" w:num="1">
            <w:col w:w="10429" w:space="0"/>
          </w:cols>
        </w:sectPr>
        <w:rPr/>
      </w:pPr>
    </w:p>
    <w:p>
      <w:pPr>
        <w:pStyle w:val="BodyText"/>
        <w:ind w:left="602"/>
        <w:spacing w:before="47" w:line="273" w:lineRule="exact"/>
        <w:rPr>
          <w:rFonts w:ascii="SimSun" w:hAnsi="SimSun" w:eastAsia="SimSun" w:cs="SimSun"/>
        </w:rPr>
      </w:pPr>
      <w:r>
        <w:rPr>
          <w:color w:val="231F20"/>
          <w:spacing w:val="-4"/>
          <w:position w:val="1"/>
        </w:rPr>
        <w:t>TGF-</w:t>
      </w:r>
      <w:r>
        <w:rPr>
          <w:rFonts w:ascii="SimSun" w:hAnsi="SimSun" w:eastAsia="SimSun" w:cs="SimSun"/>
          <w:color w:val="231F20"/>
          <w:spacing w:val="-4"/>
          <w:position w:val="1"/>
        </w:rPr>
        <w:t>β水平高于对照组（</w:t>
      </w:r>
      <w:r>
        <w:rPr>
          <w:i/>
          <w:iCs/>
          <w:color w:val="231F20"/>
          <w:spacing w:val="-4"/>
          <w:position w:val="1"/>
        </w:rPr>
        <w:t>P</w:t>
      </w:r>
      <w:r>
        <w:rPr>
          <w:rFonts w:ascii="SimSun" w:hAnsi="SimSun" w:eastAsia="SimSun" w:cs="SimSun"/>
          <w:color w:val="231F20"/>
          <w:spacing w:val="-4"/>
          <w:position w:val="1"/>
        </w:rPr>
        <w:t>＜0</w:t>
      </w:r>
      <w:r>
        <w:rPr>
          <w:color w:val="231F20"/>
          <w:spacing w:val="-4"/>
          <w:position w:val="1"/>
        </w:rPr>
        <w:t>.</w:t>
      </w:r>
      <w:r>
        <w:rPr>
          <w:rFonts w:ascii="SimSun" w:hAnsi="SimSun" w:eastAsia="SimSun" w:cs="SimSun"/>
          <w:color w:val="231F20"/>
          <w:spacing w:val="-4"/>
          <w:position w:val="1"/>
        </w:rPr>
        <w:t>001</w:t>
      </w:r>
      <w:r>
        <w:rPr>
          <w:rFonts w:ascii="SimSun" w:hAnsi="SimSun" w:eastAsia="SimSun" w:cs="SimSun"/>
          <w:color w:val="231F20"/>
          <w:spacing w:val="-46"/>
          <w:position w:val="1"/>
        </w:rPr>
        <w:t>），</w:t>
      </w:r>
      <w:r>
        <w:rPr>
          <w:rFonts w:ascii="SimSun" w:hAnsi="SimSun" w:eastAsia="SimSun" w:cs="SimSun"/>
          <w:color w:val="231F20"/>
          <w:spacing w:val="-4"/>
          <w:position w:val="1"/>
        </w:rPr>
        <w:t>见表3。</w:t>
      </w:r>
    </w:p>
    <w:p>
      <w:pPr>
        <w:ind w:left="601"/>
        <w:spacing w:before="75" w:line="263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3"/>
          <w:position w:val="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13"/>
          <w:position w:val="1"/>
        </w:rPr>
        <w:t>.</w:t>
      </w:r>
      <w:r>
        <w:rPr>
          <w:rFonts w:ascii="SimHei" w:hAnsi="SimHei" w:eastAsia="SimHei" w:cs="SimHei"/>
          <w:sz w:val="20"/>
          <w:szCs w:val="20"/>
          <w:color w:val="231F20"/>
          <w:spacing w:val="13"/>
          <w:position w:val="1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35"/>
          <w:position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3"/>
          <w:position w:val="1"/>
        </w:rPr>
        <w:t>临床疗效  治疗后，观察组临床总有效率达</w:t>
      </w:r>
    </w:p>
    <w:p>
      <w:pPr>
        <w:pStyle w:val="BodyText"/>
        <w:ind w:left="487" w:right="190" w:firstLine="114"/>
        <w:spacing w:before="87" w:line="29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3"/>
        </w:rPr>
        <w:t>95</w:t>
      </w:r>
      <w:r>
        <w:rPr>
          <w:color w:val="231F20"/>
          <w:spacing w:val="3"/>
        </w:rPr>
        <w:t>.</w:t>
      </w:r>
      <w:r>
        <w:rPr>
          <w:rFonts w:ascii="SimSun" w:hAnsi="SimSun" w:eastAsia="SimSun" w:cs="SimSun"/>
          <w:color w:val="231F20"/>
          <w:spacing w:val="3"/>
        </w:rPr>
        <w:t>00</w:t>
      </w:r>
      <w:r>
        <w:rPr>
          <w:rFonts w:ascii="SimSun" w:hAnsi="SimSun" w:eastAsia="SimSun" w:cs="SimSun"/>
          <w:color w:val="231F20"/>
          <w:spacing w:val="-20"/>
        </w:rPr>
        <w:t>％（</w:t>
      </w:r>
      <w:r>
        <w:rPr>
          <w:rFonts w:ascii="SimSun" w:hAnsi="SimSun" w:eastAsia="SimSun" w:cs="SimSun"/>
          <w:color w:val="231F20"/>
          <w:spacing w:val="3"/>
        </w:rPr>
        <w:t>57</w:t>
      </w:r>
      <w:r>
        <w:rPr>
          <w:color w:val="231F20"/>
          <w:spacing w:val="3"/>
        </w:rPr>
        <w:t>/</w:t>
      </w:r>
      <w:r>
        <w:rPr>
          <w:rFonts w:ascii="SimSun" w:hAnsi="SimSun" w:eastAsia="SimSun" w:cs="SimSun"/>
          <w:color w:val="231F20"/>
          <w:spacing w:val="3"/>
        </w:rPr>
        <w:t>60</w:t>
      </w:r>
      <w:r>
        <w:rPr>
          <w:rFonts w:ascii="SimSun" w:hAnsi="SimSun" w:eastAsia="SimSun" w:cs="SimSun"/>
          <w:color w:val="231F20"/>
          <w:spacing w:val="-20"/>
        </w:rPr>
        <w:t>），</w:t>
      </w:r>
      <w:r>
        <w:rPr>
          <w:rFonts w:ascii="SimSun" w:hAnsi="SimSun" w:eastAsia="SimSun" w:cs="SimSun"/>
          <w:color w:val="231F20"/>
          <w:spacing w:val="3"/>
        </w:rPr>
        <w:t>显著高于对照组的76</w:t>
      </w:r>
      <w:r>
        <w:rPr>
          <w:color w:val="231F20"/>
          <w:spacing w:val="3"/>
        </w:rPr>
        <w:t>.</w:t>
      </w:r>
      <w:r>
        <w:rPr>
          <w:rFonts w:ascii="SimSun" w:hAnsi="SimSun" w:eastAsia="SimSun" w:cs="SimSun"/>
          <w:color w:val="231F20"/>
          <w:spacing w:val="3"/>
        </w:rPr>
        <w:t>67</w:t>
      </w:r>
      <w:r>
        <w:rPr>
          <w:rFonts w:ascii="SimSun" w:hAnsi="SimSun" w:eastAsia="SimSun" w:cs="SimSun"/>
          <w:color w:val="231F20"/>
          <w:spacing w:val="-20"/>
        </w:rPr>
        <w:t>％（</w:t>
      </w:r>
      <w:r>
        <w:rPr>
          <w:rFonts w:ascii="SimSun" w:hAnsi="SimSun" w:eastAsia="SimSun" w:cs="SimSun"/>
          <w:color w:val="231F20"/>
          <w:spacing w:val="3"/>
        </w:rPr>
        <w:t>46</w:t>
      </w:r>
      <w:r>
        <w:rPr>
          <w:color w:val="231F20"/>
          <w:spacing w:val="3"/>
        </w:rPr>
        <w:t>/</w:t>
      </w:r>
      <w:r>
        <w:rPr>
          <w:rFonts w:ascii="SimSun" w:hAnsi="SimSun" w:eastAsia="SimSun" w:cs="SimSun"/>
          <w:color w:val="231F20"/>
          <w:spacing w:val="3"/>
        </w:rPr>
        <w:t>60）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（</w:t>
      </w:r>
      <w:r>
        <w:rPr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=</w:t>
      </w:r>
      <w:r>
        <w:rPr>
          <w:rFonts w:ascii="SimSun" w:hAnsi="SimSun" w:eastAsia="SimSun" w:cs="SimSun"/>
          <w:color w:val="231F20"/>
          <w:spacing w:val="-3"/>
        </w:rPr>
        <w:t>0</w:t>
      </w:r>
      <w:r>
        <w:rPr>
          <w:color w:val="231F20"/>
          <w:spacing w:val="-3"/>
        </w:rPr>
        <w:t>.</w:t>
      </w:r>
      <w:r>
        <w:rPr>
          <w:rFonts w:ascii="SimSun" w:hAnsi="SimSun" w:eastAsia="SimSun" w:cs="SimSun"/>
          <w:color w:val="231F20"/>
          <w:spacing w:val="-3"/>
        </w:rPr>
        <w:t>004</w:t>
      </w:r>
      <w:r>
        <w:rPr>
          <w:rFonts w:ascii="SimSun" w:hAnsi="SimSun" w:eastAsia="SimSun" w:cs="SimSun"/>
          <w:color w:val="231F20"/>
          <w:spacing w:val="-46"/>
        </w:rPr>
        <w:t>），</w:t>
      </w:r>
      <w:r>
        <w:rPr>
          <w:rFonts w:ascii="SimSun" w:hAnsi="SimSun" w:eastAsia="SimSun" w:cs="SimSun"/>
          <w:color w:val="231F20"/>
          <w:spacing w:val="-3"/>
        </w:rPr>
        <w:t>见表4。</w:t>
      </w:r>
    </w:p>
    <w:p>
      <w:pPr>
        <w:pStyle w:val="BodyText"/>
        <w:ind w:left="487" w:right="298" w:firstLine="114"/>
        <w:spacing w:before="71" w:line="301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3"/>
        </w:rPr>
        <w:t>2</w:t>
      </w:r>
      <w:r>
        <w:rPr>
          <w:rFonts w:ascii="SimSun" w:hAnsi="SimSun" w:eastAsia="SimSun" w:cs="SimSun"/>
          <w:color w:val="231F20"/>
          <w:spacing w:val="3"/>
        </w:rPr>
        <w:t>.</w:t>
      </w:r>
      <w:r>
        <w:rPr>
          <w:rFonts w:ascii="SimHei" w:hAnsi="SimHei" w:eastAsia="SimHei" w:cs="SimHei"/>
          <w:color w:val="231F20"/>
          <w:spacing w:val="3"/>
        </w:rPr>
        <w:t>4</w:t>
      </w:r>
      <w:r>
        <w:rPr>
          <w:rFonts w:ascii="SimHei" w:hAnsi="SimHei" w:eastAsia="SimHei" w:cs="SimHei"/>
          <w:color w:val="231F20"/>
          <w:spacing w:val="3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安全性比较  观察组不良反应总发生率为5</w:t>
      </w:r>
      <w:r>
        <w:rPr>
          <w:color w:val="231F20"/>
          <w:spacing w:val="3"/>
        </w:rPr>
        <w:t>.</w:t>
      </w:r>
      <w:r>
        <w:rPr>
          <w:rFonts w:ascii="SimSun" w:hAnsi="SimSun" w:eastAsia="SimSun" w:cs="SimSun"/>
          <w:color w:val="231F20"/>
          <w:spacing w:val="3"/>
        </w:rPr>
        <w:t>00%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（3</w:t>
      </w:r>
      <w:r>
        <w:rPr>
          <w:color w:val="231F20"/>
          <w:spacing w:val="6"/>
        </w:rPr>
        <w:t>/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60</w:t>
      </w:r>
      <w:r>
        <w:rPr>
          <w:rFonts w:ascii="SimSun" w:hAnsi="SimSun" w:eastAsia="SimSun" w:cs="SimSun"/>
          <w:color w:val="231F20"/>
          <w:spacing w:val="-16"/>
        </w:rPr>
        <w:t>），</w:t>
      </w:r>
      <w:r>
        <w:rPr>
          <w:rFonts w:ascii="SimSun" w:hAnsi="SimSun" w:eastAsia="SimSun" w:cs="SimSun"/>
          <w:color w:val="231F20"/>
          <w:spacing w:val="6"/>
        </w:rPr>
        <w:t>与对照组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11</w:t>
      </w:r>
      <w:r>
        <w:rPr>
          <w:color w:val="231F20"/>
          <w:spacing w:val="6"/>
        </w:rPr>
        <w:t>.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67</w:t>
      </w:r>
      <w:r>
        <w:rPr>
          <w:rFonts w:ascii="SimSun" w:hAnsi="SimSun" w:eastAsia="SimSun" w:cs="SimSun"/>
          <w:color w:val="231F20"/>
          <w:spacing w:val="-16"/>
        </w:rPr>
        <w:t>％（</w:t>
      </w:r>
      <w:r>
        <w:rPr>
          <w:rFonts w:ascii="SimSun" w:hAnsi="SimSun" w:eastAsia="SimSun" w:cs="SimSun"/>
          <w:color w:val="231F20"/>
          <w:spacing w:val="6"/>
        </w:rPr>
        <w:t>7</w:t>
      </w:r>
      <w:r>
        <w:rPr>
          <w:color w:val="231F20"/>
          <w:spacing w:val="6"/>
        </w:rPr>
        <w:t>/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60）相比差异不</w:t>
      </w:r>
      <w:r>
        <w:rPr>
          <w:rFonts w:ascii="SimSun" w:hAnsi="SimSun" w:eastAsia="SimSun" w:cs="SimSun"/>
          <w:color w:val="231F20"/>
          <w:spacing w:val="5"/>
        </w:rPr>
        <w:t>显著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（</w:t>
      </w:r>
      <w:r>
        <w:rPr>
          <w:i/>
          <w:iCs/>
          <w:color w:val="231F20"/>
          <w:spacing w:val="-4"/>
        </w:rPr>
        <w:t>P</w:t>
      </w:r>
      <w:r>
        <w:rPr>
          <w:color w:val="231F20"/>
          <w:spacing w:val="-4"/>
        </w:rPr>
        <w:t>=</w:t>
      </w:r>
      <w:r>
        <w:rPr>
          <w:rFonts w:ascii="SimSun" w:hAnsi="SimSun" w:eastAsia="SimSun" w:cs="SimSun"/>
          <w:color w:val="231F20"/>
          <w:spacing w:val="-4"/>
        </w:rPr>
        <w:t>0</w:t>
      </w:r>
      <w:r>
        <w:rPr>
          <w:color w:val="231F20"/>
          <w:spacing w:val="-4"/>
        </w:rPr>
        <w:t>.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186</w:t>
      </w:r>
      <w:r>
        <w:rPr>
          <w:rFonts w:ascii="SimSun" w:hAnsi="SimSun" w:eastAsia="SimSun" w:cs="SimSun"/>
          <w:color w:val="231F20"/>
          <w:spacing w:val="-50"/>
        </w:rPr>
        <w:t>），</w:t>
      </w:r>
      <w:r>
        <w:rPr>
          <w:rFonts w:ascii="SimSun" w:hAnsi="SimSun" w:eastAsia="SimSun" w:cs="SimSun"/>
          <w:color w:val="231F20"/>
          <w:spacing w:val="-4"/>
        </w:rPr>
        <w:t>见表5。</w:t>
      </w:r>
    </w:p>
    <w:p>
      <w:pPr>
        <w:ind w:left="603"/>
        <w:spacing w:before="235" w:line="264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>讨论</w:t>
      </w:r>
    </w:p>
    <w:p>
      <w:pPr>
        <w:pStyle w:val="BodyText"/>
        <w:ind w:left="598" w:right="217" w:firstLine="373"/>
        <w:spacing w:before="251" w:line="32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盆腔炎是好发于中青年女性生殖系统及周围组织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rFonts w:ascii="SimSun" w:hAnsi="SimSun" w:eastAsia="SimSun" w:cs="SimSun"/>
          <w:color w:val="231F20"/>
          <w:spacing w:val="-6"/>
        </w:rPr>
        <w:t>的炎症，如子宫内膜炎、输卵管炎、盆腔结缔组织炎和</w:t>
      </w:r>
      <w:r>
        <w:rPr>
          <w:rFonts w:ascii="SimSun" w:hAnsi="SimSun" w:eastAsia="SimSun" w:cs="SimSun"/>
          <w:color w:val="231F20"/>
          <w:spacing w:val="9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腹膜炎等，与患者的体质和病原体感染相关，性生活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-6"/>
        </w:rPr>
        <w:t>活跃、卫生状况不良、宫腔手术、免疫力低下时均可诱</w:t>
      </w:r>
      <w:r>
        <w:rPr>
          <w:rFonts w:ascii="SimSun" w:hAnsi="SimSun" w:eastAsia="SimSun" w:cs="SimSun"/>
          <w:color w:val="231F20"/>
          <w:spacing w:val="9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发</w:t>
      </w:r>
      <w:r>
        <w:rPr>
          <w:rFonts w:ascii="SimSun" w:hAnsi="SimSun" w:eastAsia="SimSun" w:cs="SimSun"/>
          <w:color w:val="231F20"/>
          <w:spacing w:val="-56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3"/>
          <w:position w:val="9"/>
        </w:rPr>
        <w:t>5</w:t>
      </w:r>
      <w:r>
        <w:rPr>
          <w:sz w:val="11"/>
          <w:szCs w:val="11"/>
          <w:color w:val="231F20"/>
          <w:spacing w:val="3"/>
          <w:position w:val="9"/>
        </w:rPr>
        <w:t>] </w:t>
      </w:r>
      <w:r>
        <w:rPr>
          <w:rFonts w:ascii="SimSun" w:hAnsi="SimSun" w:eastAsia="SimSun" w:cs="SimSun"/>
          <w:color w:val="231F20"/>
          <w:spacing w:val="3"/>
        </w:rPr>
        <w:t>。近年来，随着社会的发展、生活习惯和</w:t>
      </w:r>
      <w:r>
        <w:rPr>
          <w:rFonts w:ascii="SimSun" w:hAnsi="SimSun" w:eastAsia="SimSun" w:cs="SimSun"/>
          <w:color w:val="231F20"/>
          <w:spacing w:val="2"/>
        </w:rPr>
        <w:t>观念的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改变，盆腔炎的发病率明显升高，且盆腔炎病情一般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比较顽固，极易反复，导致临床彻底治愈的难度较大。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若患者治疗不及时，可诱发输卵管妊娠、不孕、肾炎、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弥漫性腹膜炎等</w:t>
      </w:r>
      <w:r>
        <w:rPr>
          <w:sz w:val="11"/>
          <w:szCs w:val="11"/>
          <w:color w:val="231F20"/>
          <w:spacing w:val="2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2"/>
          <w:position w:val="8"/>
        </w:rPr>
        <w:t>6</w:t>
      </w:r>
      <w:r>
        <w:rPr>
          <w:sz w:val="11"/>
          <w:szCs w:val="11"/>
          <w:color w:val="231F20"/>
          <w:spacing w:val="2"/>
          <w:position w:val="8"/>
        </w:rPr>
        <w:t>]</w:t>
      </w:r>
      <w:r>
        <w:rPr>
          <w:rFonts w:ascii="SimSun" w:hAnsi="SimSun" w:eastAsia="SimSun" w:cs="SimSun"/>
          <w:color w:val="231F20"/>
          <w:spacing w:val="2"/>
        </w:rPr>
        <w:t>。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70"/>
        <w:spacing w:before="46" w:line="32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需氧菌和厌氧菌均可导致急性盆腔炎的发生。随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着抗生素的发展以及细菌培养技术的完善，药敏试验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已在临床广泛应用，为制定有针对性的治疗方案提供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了依据。有研究显示，对于急性盆腔炎患者，若给予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及时有效的规范化治疗，可大大降低不良反应的发生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率，患者的预后较好</w:t>
      </w:r>
      <w:r>
        <w:rPr>
          <w:rFonts w:ascii="SimSun" w:hAnsi="SimSun" w:eastAsia="SimSun" w:cs="SimSun"/>
          <w:color w:val="231F20"/>
          <w:spacing w:val="-5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3"/>
          <w:position w:val="9"/>
        </w:rPr>
        <w:t>7</w:t>
      </w:r>
      <w:r>
        <w:rPr>
          <w:sz w:val="11"/>
          <w:szCs w:val="11"/>
          <w:color w:val="231F20"/>
          <w:spacing w:val="3"/>
          <w:position w:val="9"/>
        </w:rPr>
        <w:t>] </w:t>
      </w:r>
      <w:r>
        <w:rPr>
          <w:rFonts w:ascii="SimSun" w:hAnsi="SimSun" w:eastAsia="SimSun" w:cs="SimSun"/>
          <w:color w:val="231F20"/>
          <w:spacing w:val="3"/>
        </w:rPr>
        <w:t>。盐酸克林霉素是一种以盐酸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盐的形式存在的广谱抗生素，在链球菌、葡萄球菌、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厌氧菌、需氧菌等的感染中均适用，其中对厌氧菌的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抑制效果最显著，而大部分急性盆腔炎多由厌氧菌为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主的混合感染所致。盐酸克林霉素进入血液后，迅速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分解出克林霉素，通过抑制细菌蛋白，而达到杀菌的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-1"/>
        </w:rPr>
        <w:t>目的。</w:t>
      </w:r>
    </w:p>
    <w:p>
      <w:pPr>
        <w:pStyle w:val="BodyText"/>
        <w:ind w:right="15" w:firstLine="371"/>
        <w:spacing w:before="4" w:line="32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炎症因子在急性盆腔炎的发生、发展中发挥着关</w:t>
      </w:r>
      <w:r>
        <w:rPr>
          <w:rFonts w:ascii="SimSun" w:hAnsi="SimSun" w:eastAsia="SimSun" w:cs="SimSun"/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键作用。其中，</w:t>
      </w:r>
      <w:r>
        <w:rPr>
          <w:color w:val="231F20"/>
        </w:rPr>
        <w:t>CRP</w:t>
      </w:r>
      <w:r>
        <w:rPr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可促进血小板活化，增加粘附能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力，促进血栓的形成，感染后水平迅速升高，常用于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评估感染的程度和患者的预后。</w:t>
      </w:r>
      <w:r>
        <w:rPr>
          <w:color w:val="231F20"/>
        </w:rPr>
        <w:t>TGF</w:t>
      </w:r>
      <w:r>
        <w:rPr>
          <w:rFonts w:ascii="SimSun" w:hAnsi="SimSun" w:eastAsia="SimSun" w:cs="SimSun"/>
          <w:color w:val="231F20"/>
          <w:spacing w:val="2"/>
        </w:rPr>
        <w:t>-β是抗炎因子，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可抑制炎性递质释放、抑制巨噬细胞功能、促进血管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再生，控制炎症的进展。</w:t>
      </w:r>
      <w:r>
        <w:rPr>
          <w:color w:val="231F20"/>
          <w:spacing w:val="-1"/>
        </w:rPr>
        <w:t>IL</w:t>
      </w:r>
      <w:r>
        <w:rPr>
          <w:rFonts w:ascii="SimSun" w:hAnsi="SimSun" w:eastAsia="SimSun" w:cs="SimSun"/>
          <w:color w:val="231F20"/>
          <w:spacing w:val="-1"/>
        </w:rPr>
        <w:t>-18可调节</w:t>
      </w:r>
      <w:r>
        <w:rPr>
          <w:color w:val="231F20"/>
          <w:spacing w:val="-1"/>
        </w:rPr>
        <w:t>Th</w:t>
      </w:r>
      <w:r>
        <w:rPr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1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的表达，促</w:t>
      </w:r>
    </w:p>
    <w:p>
      <w:pPr>
        <w:spacing w:line="324" w:lineRule="auto"/>
        <w:sectPr>
          <w:type w:val="continuous"/>
          <w:pgSz w:w="11906" w:h="16838"/>
          <w:pgMar w:top="1201" w:right="1053" w:bottom="0" w:left="424" w:header="863" w:footer="0" w:gutter="0"/>
          <w:cols w:equalWidth="0" w:num="2">
            <w:col w:w="5573" w:space="100"/>
            <w:col w:w="4757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3979"/>
        <w:spacing w:before="236" w:line="24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表</w:t>
      </w:r>
      <w:r>
        <w:rPr>
          <w:sz w:val="17"/>
          <w:szCs w:val="17"/>
          <w:b/>
          <w:bCs/>
          <w:color w:val="231F20"/>
        </w:rPr>
        <w:t>1    </w:t>
      </w:r>
      <w:r>
        <w:rPr>
          <w:rFonts w:ascii="SimHei" w:hAnsi="SimHei" w:eastAsia="SimHei" w:cs="SimHei"/>
          <w:sz w:val="17"/>
          <w:szCs w:val="17"/>
          <w:color w:val="231F20"/>
        </w:rPr>
        <w:t>两组急性盆腔炎患者一般资料比较</w:t>
      </w:r>
    </w:p>
    <w:p>
      <w:pPr>
        <w:spacing w:line="68" w:lineRule="exact"/>
        <w:rPr/>
      </w:pPr>
      <w:r/>
    </w:p>
    <w:tbl>
      <w:tblPr>
        <w:tblStyle w:val="TableNormal"/>
        <w:tblW w:w="9751" w:type="dxa"/>
        <w:tblInd w:w="5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56"/>
        <w:gridCol w:w="1797"/>
        <w:gridCol w:w="1746"/>
        <w:gridCol w:w="349"/>
        <w:gridCol w:w="498"/>
        <w:gridCol w:w="314"/>
        <w:gridCol w:w="2537"/>
        <w:gridCol w:w="1254"/>
      </w:tblGrid>
      <w:tr>
        <w:trPr>
          <w:trHeight w:val="182" w:hRule="atLeast"/>
        </w:trPr>
        <w:tc>
          <w:tcPr>
            <w:tcW w:w="1256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20"/>
              <w:spacing w:before="3" w:line="241" w:lineRule="auto"/>
              <w:rPr/>
            </w:pPr>
            <w:r>
              <w:rPr>
                <w:color w:val="231F20"/>
                <w:spacing w:val="-1"/>
              </w:rPr>
              <w:t>分组</w:t>
            </w:r>
          </w:p>
        </w:tc>
        <w:tc>
          <w:tcPr>
            <w:tcW w:w="1797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314"/>
              <w:spacing w:before="3" w:line="218" w:lineRule="exact"/>
              <w:rPr/>
            </w:pPr>
            <w:r>
              <w:rPr>
                <w:color w:val="231F20"/>
                <w:position w:val="1"/>
              </w:rPr>
              <w:t>年龄（岁，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position w:val="1"/>
              </w:rPr>
              <w:t>x</w:t>
            </w:r>
            <w:r>
              <w:rPr>
                <w:color w:val="231F20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position w:val="1"/>
              </w:rPr>
              <w:t>s</w:t>
            </w:r>
            <w:r>
              <w:rPr>
                <w:color w:val="231F20"/>
                <w:position w:val="1"/>
              </w:rPr>
              <w:t>）</w:t>
            </w:r>
          </w:p>
        </w:tc>
        <w:tc>
          <w:tcPr>
            <w:tcW w:w="1746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293"/>
              <w:spacing w:before="3" w:line="219" w:lineRule="exact"/>
              <w:rPr/>
            </w:pPr>
            <w:r>
              <w:rPr>
                <w:color w:val="231F20"/>
                <w:position w:val="1"/>
              </w:rPr>
              <w:t>病程（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d</w:t>
            </w:r>
            <w:r>
              <w:rPr>
                <w:color w:val="231F20"/>
                <w:position w:val="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position w:val="1"/>
              </w:rPr>
              <w:t>x</w:t>
            </w:r>
            <w:r>
              <w:rPr>
                <w:color w:val="231F20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position w:val="1"/>
              </w:rPr>
              <w:t>s</w:t>
            </w:r>
            <w:r>
              <w:rPr>
                <w:color w:val="231F20"/>
                <w:position w:val="1"/>
              </w:rPr>
              <w:t>）</w:t>
            </w:r>
          </w:p>
        </w:tc>
        <w:tc>
          <w:tcPr>
            <w:tcW w:w="1161" w:type="dxa"/>
            <w:vAlign w:val="top"/>
            <w:gridSpan w:val="3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82"/>
              <w:spacing w:before="3" w:line="195" w:lineRule="auto"/>
              <w:rPr/>
            </w:pPr>
            <w:r>
              <w:rPr>
                <w:color w:val="231F20"/>
                <w:spacing w:val="-1"/>
              </w:rPr>
              <w:t>炎症程度</w:t>
            </w:r>
          </w:p>
        </w:tc>
        <w:tc>
          <w:tcPr>
            <w:tcW w:w="3791" w:type="dxa"/>
            <w:vAlign w:val="top"/>
            <w:gridSpan w:val="2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518"/>
              <w:spacing w:before="3" w:line="195" w:lineRule="auto"/>
              <w:rPr/>
            </w:pPr>
            <w:r>
              <w:rPr>
                <w:color w:val="231F20"/>
                <w:spacing w:val="-1"/>
              </w:rPr>
              <w:t>盆腔炎类型</w:t>
            </w:r>
          </w:p>
        </w:tc>
      </w:tr>
      <w:tr>
        <w:trPr>
          <w:trHeight w:val="180" w:hRule="atLeast"/>
        </w:trPr>
        <w:tc>
          <w:tcPr>
            <w:tcW w:w="125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97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3"/>
              <w:spacing w:before="5" w:line="190" w:lineRule="auto"/>
              <w:rPr/>
            </w:pPr>
            <w:r>
              <w:rPr>
                <w:color w:val="231F20"/>
              </w:rPr>
              <w:t>轻</w:t>
            </w:r>
          </w:p>
        </w:tc>
        <w:tc>
          <w:tcPr>
            <w:tcW w:w="49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8"/>
              <w:spacing w:before="5" w:line="190" w:lineRule="auto"/>
              <w:rPr/>
            </w:pPr>
            <w:r>
              <w:rPr>
                <w:color w:val="231F20"/>
              </w:rPr>
              <w:t>中</w:t>
            </w:r>
          </w:p>
        </w:tc>
        <w:tc>
          <w:tcPr>
            <w:tcW w:w="3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4"/>
              <w:spacing w:before="5" w:line="190" w:lineRule="auto"/>
              <w:rPr/>
            </w:pPr>
            <w:r>
              <w:rPr>
                <w:color w:val="231F20"/>
              </w:rPr>
              <w:t>重</w:t>
            </w:r>
          </w:p>
        </w:tc>
        <w:tc>
          <w:tcPr>
            <w:tcW w:w="253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8"/>
              <w:spacing w:before="5" w:line="190" w:lineRule="auto"/>
              <w:rPr/>
            </w:pPr>
            <w:r>
              <w:rPr>
                <w:color w:val="231F20"/>
                <w:spacing w:val="-1"/>
              </w:rPr>
              <w:t>子宫内膜炎 输卵管炎 盆腔腹膜炎</w:t>
            </w:r>
          </w:p>
        </w:tc>
        <w:tc>
          <w:tcPr>
            <w:tcW w:w="125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5"/>
              <w:spacing w:before="5" w:line="190" w:lineRule="auto"/>
              <w:rPr/>
            </w:pPr>
            <w:r>
              <w:rPr>
                <w:color w:val="231F20"/>
                <w:spacing w:val="-1"/>
              </w:rPr>
              <w:t>盆腔结缔组织炎</w:t>
            </w:r>
          </w:p>
        </w:tc>
      </w:tr>
      <w:tr>
        <w:trPr>
          <w:trHeight w:val="181" w:hRule="atLeast"/>
        </w:trPr>
        <w:tc>
          <w:tcPr>
            <w:tcW w:w="125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3"/>
              <w:spacing w:line="197" w:lineRule="auto"/>
              <w:rPr/>
            </w:pPr>
            <w:r>
              <w:rPr>
                <w:color w:val="231F20"/>
                <w:spacing w:val="-1"/>
              </w:rPr>
              <w:t>观察组（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=</w:t>
            </w:r>
            <w:r>
              <w:rPr>
                <w:color w:val="231F20"/>
                <w:spacing w:val="-1"/>
              </w:rPr>
              <w:t>60）</w:t>
            </w:r>
          </w:p>
        </w:tc>
        <w:tc>
          <w:tcPr>
            <w:tcW w:w="179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83"/>
              <w:spacing w:before="14" w:line="181" w:lineRule="auto"/>
              <w:rPr/>
            </w:pPr>
            <w:r>
              <w:rPr>
                <w:color w:val="231F20"/>
                <w:spacing w:val="-1"/>
              </w:rPr>
              <w:t>35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72±7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04（21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~</w:t>
            </w:r>
            <w:r>
              <w:rPr>
                <w:color w:val="231F20"/>
                <w:spacing w:val="-1"/>
              </w:rPr>
              <w:t>51）</w:t>
            </w:r>
          </w:p>
        </w:tc>
        <w:tc>
          <w:tcPr>
            <w:tcW w:w="174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4"/>
              <w:spacing w:before="14" w:line="181" w:lineRule="auto"/>
              <w:rPr/>
            </w:pPr>
            <w:r>
              <w:rPr>
                <w:color w:val="231F20"/>
                <w:spacing w:val="-2"/>
              </w:rPr>
              <w:t>16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87±3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25（7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~</w:t>
            </w:r>
            <w:r>
              <w:rPr>
                <w:color w:val="231F20"/>
                <w:spacing w:val="-2"/>
              </w:rPr>
              <w:t>26）</w:t>
            </w:r>
          </w:p>
        </w:tc>
        <w:tc>
          <w:tcPr>
            <w:tcW w:w="34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24"/>
              <w:spacing w:before="14" w:line="181" w:lineRule="auto"/>
              <w:rPr/>
            </w:pPr>
            <w:r>
              <w:rPr>
                <w:color w:val="231F20"/>
                <w:spacing w:val="-2"/>
              </w:rPr>
              <w:t>27</w:t>
            </w:r>
          </w:p>
        </w:tc>
        <w:tc>
          <w:tcPr>
            <w:tcW w:w="49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4"/>
              <w:spacing w:before="14" w:line="181" w:lineRule="auto"/>
              <w:rPr/>
            </w:pPr>
            <w:r>
              <w:rPr>
                <w:color w:val="231F20"/>
                <w:spacing w:val="-2"/>
              </w:rPr>
              <w:t>26</w:t>
            </w:r>
          </w:p>
        </w:tc>
        <w:tc>
          <w:tcPr>
            <w:tcW w:w="31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13"/>
              <w:spacing w:before="14" w:line="181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253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08"/>
              <w:spacing w:before="14" w:line="181" w:lineRule="auto"/>
              <w:rPr/>
            </w:pPr>
            <w:r>
              <w:rPr>
                <w:color w:val="231F20"/>
                <w:spacing w:val="-6"/>
              </w:rPr>
              <w:t>22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16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13</w:t>
            </w:r>
          </w:p>
        </w:tc>
        <w:tc>
          <w:tcPr>
            <w:tcW w:w="125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85"/>
              <w:spacing w:before="14" w:line="181" w:lineRule="auto"/>
              <w:rPr/>
            </w:pPr>
            <w:r>
              <w:rPr>
                <w:color w:val="231F20"/>
              </w:rPr>
              <w:t>9</w:t>
            </w:r>
          </w:p>
        </w:tc>
      </w:tr>
      <w:tr>
        <w:trPr>
          <w:trHeight w:val="189" w:hRule="atLeast"/>
        </w:trPr>
        <w:tc>
          <w:tcPr>
            <w:tcW w:w="1256" w:type="dxa"/>
            <w:vAlign w:val="top"/>
          </w:tcPr>
          <w:p>
            <w:pPr>
              <w:pStyle w:val="TableText"/>
              <w:ind w:left="19"/>
              <w:spacing w:line="206" w:lineRule="auto"/>
              <w:rPr/>
            </w:pPr>
            <w:r>
              <w:rPr>
                <w:color w:val="231F20"/>
              </w:rPr>
              <w:t>对照组（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=</w:t>
            </w:r>
            <w:r>
              <w:rPr>
                <w:color w:val="231F20"/>
              </w:rPr>
              <w:t>60）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83"/>
              <w:spacing w:before="26" w:line="176" w:lineRule="auto"/>
              <w:rPr/>
            </w:pPr>
            <w:r>
              <w:rPr>
                <w:color w:val="231F20"/>
                <w:spacing w:val="-2"/>
              </w:rPr>
              <w:t>35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81±7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16（20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~</w:t>
            </w:r>
            <w:r>
              <w:rPr>
                <w:color w:val="231F20"/>
                <w:spacing w:val="-2"/>
              </w:rPr>
              <w:t>53）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174"/>
              <w:spacing w:before="26" w:line="176" w:lineRule="auto"/>
              <w:rPr/>
            </w:pPr>
            <w:r>
              <w:rPr>
                <w:color w:val="231F20"/>
                <w:spacing w:val="-3"/>
              </w:rPr>
              <w:t>16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.</w:t>
            </w:r>
            <w:r>
              <w:rPr>
                <w:color w:val="231F20"/>
                <w:spacing w:val="-3"/>
              </w:rPr>
              <w:t>29±3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.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3"/>
              </w:rPr>
              <w:t>14（6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~</w:t>
            </w:r>
            <w:r>
              <w:rPr>
                <w:color w:val="231F20"/>
                <w:spacing w:val="-3"/>
              </w:rPr>
              <w:t>25）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124"/>
              <w:spacing w:before="26" w:line="176" w:lineRule="auto"/>
              <w:rPr/>
            </w:pPr>
            <w:r>
              <w:rPr>
                <w:color w:val="231F20"/>
                <w:spacing w:val="-2"/>
              </w:rPr>
              <w:t>25</w:t>
            </w:r>
          </w:p>
        </w:tc>
        <w:tc>
          <w:tcPr>
            <w:tcW w:w="498" w:type="dxa"/>
            <w:vAlign w:val="top"/>
          </w:tcPr>
          <w:p>
            <w:pPr>
              <w:pStyle w:val="TableText"/>
              <w:ind w:left="174"/>
              <w:spacing w:before="26" w:line="176" w:lineRule="auto"/>
              <w:rPr/>
            </w:pPr>
            <w:r>
              <w:rPr>
                <w:color w:val="231F20"/>
                <w:spacing w:val="-2"/>
              </w:rPr>
              <w:t>25</w:t>
            </w:r>
          </w:p>
        </w:tc>
        <w:tc>
          <w:tcPr>
            <w:tcW w:w="314" w:type="dxa"/>
            <w:vAlign w:val="top"/>
          </w:tcPr>
          <w:p>
            <w:pPr>
              <w:pStyle w:val="TableText"/>
              <w:ind w:left="88"/>
              <w:spacing w:before="26" w:line="176" w:lineRule="auto"/>
              <w:rPr/>
            </w:pPr>
            <w:r>
              <w:rPr>
                <w:color w:val="231F20"/>
                <w:spacing w:val="-5"/>
              </w:rPr>
              <w:t>10</w:t>
            </w:r>
          </w:p>
        </w:tc>
        <w:tc>
          <w:tcPr>
            <w:tcW w:w="2537" w:type="dxa"/>
            <w:vAlign w:val="top"/>
          </w:tcPr>
          <w:p>
            <w:pPr>
              <w:pStyle w:val="TableText"/>
              <w:ind w:left="408"/>
              <w:spacing w:before="26" w:line="176" w:lineRule="auto"/>
              <w:rPr/>
            </w:pPr>
            <w:r>
              <w:rPr>
                <w:color w:val="231F20"/>
                <w:spacing w:val="-6"/>
              </w:rPr>
              <w:t>24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17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15</w:t>
            </w:r>
          </w:p>
        </w:tc>
        <w:tc>
          <w:tcPr>
            <w:tcW w:w="1254" w:type="dxa"/>
            <w:vAlign w:val="top"/>
          </w:tcPr>
          <w:p>
            <w:pPr>
              <w:pStyle w:val="TableText"/>
              <w:ind w:left="583"/>
              <w:spacing w:before="26" w:line="176" w:lineRule="auto"/>
              <w:rPr/>
            </w:pPr>
            <w:r>
              <w:rPr>
                <w:color w:val="231F20"/>
              </w:rPr>
              <w:t>4</w:t>
            </w:r>
          </w:p>
        </w:tc>
      </w:tr>
      <w:tr>
        <w:trPr>
          <w:trHeight w:val="192" w:hRule="atLeast"/>
        </w:trPr>
        <w:tc>
          <w:tcPr>
            <w:tcW w:w="1256" w:type="dxa"/>
            <w:vAlign w:val="top"/>
          </w:tcPr>
          <w:p>
            <w:pPr>
              <w:pStyle w:val="TableText"/>
              <w:ind w:left="23"/>
              <w:spacing w:before="27" w:line="17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</w:rPr>
              <w:t>t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761"/>
              <w:spacing w:before="32" w:line="173" w:lineRule="auto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069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702"/>
              <w:spacing w:before="32" w:line="173" w:lineRule="auto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994</w:t>
            </w:r>
          </w:p>
        </w:tc>
        <w:tc>
          <w:tcPr>
            <w:tcW w:w="349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498" w:type="dxa"/>
            <w:vAlign w:val="top"/>
          </w:tcPr>
          <w:p>
            <w:pPr>
              <w:pStyle w:val="TableText"/>
              <w:ind w:left="74"/>
              <w:spacing w:before="32" w:line="173" w:lineRule="auto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626</w:t>
            </w:r>
          </w:p>
        </w:tc>
        <w:tc>
          <w:tcPr>
            <w:tcW w:w="314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  <w:tc>
          <w:tcPr>
            <w:tcW w:w="2537" w:type="dxa"/>
            <w:vAlign w:val="top"/>
          </w:tcPr>
          <w:p>
            <w:pPr>
              <w:pStyle w:val="TableText"/>
              <w:ind w:left="1738"/>
              <w:spacing w:before="32" w:line="173" w:lineRule="auto"/>
              <w:rPr/>
            </w:pPr>
            <w:r>
              <w:rPr>
                <w:color w:val="231F20"/>
                <w:spacing w:val="-2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183</w:t>
            </w:r>
          </w:p>
        </w:tc>
        <w:tc>
          <w:tcPr>
            <w:tcW w:w="1254" w:type="dxa"/>
            <w:vAlign w:val="top"/>
          </w:tcPr>
          <w:p>
            <w:pPr>
              <w:spacing w:line="182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202" w:hRule="atLeast"/>
        </w:trPr>
        <w:tc>
          <w:tcPr>
            <w:tcW w:w="125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3"/>
              <w:spacing w:before="29" w:line="18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"/>
              </w:rPr>
              <w:t>P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797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761"/>
              <w:spacing w:before="34" w:line="182" w:lineRule="auto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472</w:t>
            </w:r>
          </w:p>
        </w:tc>
        <w:tc>
          <w:tcPr>
            <w:tcW w:w="174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702"/>
              <w:spacing w:before="34" w:line="182" w:lineRule="auto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161</w:t>
            </w:r>
          </w:p>
        </w:tc>
        <w:tc>
          <w:tcPr>
            <w:tcW w:w="349" w:type="dxa"/>
            <w:vAlign w:val="top"/>
            <w:tcBorders>
              <w:bottom w:val="single" w:color="231F20" w:sz="8" w:space="0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49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74"/>
              <w:spacing w:before="34" w:line="182" w:lineRule="auto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731</w:t>
            </w:r>
          </w:p>
        </w:tc>
        <w:tc>
          <w:tcPr>
            <w:tcW w:w="314" w:type="dxa"/>
            <w:vAlign w:val="top"/>
            <w:tcBorders>
              <w:bottom w:val="single" w:color="231F20" w:sz="8" w:space="0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2537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738"/>
              <w:spacing w:before="34" w:line="182" w:lineRule="auto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535</w:t>
            </w:r>
          </w:p>
        </w:tc>
        <w:tc>
          <w:tcPr>
            <w:tcW w:w="1254" w:type="dxa"/>
            <w:vAlign w:val="top"/>
            <w:tcBorders>
              <w:bottom w:val="single" w:color="231F20" w:sz="8" w:space="0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</w:tbl>
    <w:p>
      <w:pPr>
        <w:pStyle w:val="BodyText"/>
        <w:ind w:left="3379"/>
        <w:spacing w:before="220" w:line="24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表</w:t>
      </w:r>
      <w:r>
        <w:rPr>
          <w:sz w:val="17"/>
          <w:szCs w:val="17"/>
          <w:b/>
          <w:bCs/>
          <w:color w:val="231F20"/>
          <w:spacing w:val="-2"/>
        </w:rPr>
        <w:t>2   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两组急性盆腔炎患者临床症状改善时间比较（</w:t>
      </w:r>
      <w:r>
        <w:rPr>
          <w:sz w:val="17"/>
          <w:szCs w:val="17"/>
          <w:b/>
          <w:bCs/>
          <w:i/>
          <w:iCs/>
          <w:color w:val="231F20"/>
          <w:spacing w:val="-2"/>
        </w:rPr>
        <w:t>x </w:t>
      </w:r>
      <w:r>
        <w:rPr>
          <w:sz w:val="17"/>
          <w:szCs w:val="17"/>
          <w:b/>
          <w:bCs/>
          <w:color w:val="231F20"/>
          <w:spacing w:val="-2"/>
        </w:rPr>
        <w:t>± </w:t>
      </w:r>
      <w:r>
        <w:rPr>
          <w:sz w:val="17"/>
          <w:szCs w:val="17"/>
          <w:b/>
          <w:bCs/>
          <w:i/>
          <w:iCs/>
          <w:color w:val="231F20"/>
          <w:spacing w:val="-2"/>
        </w:rPr>
        <w:t>s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）</w:t>
      </w:r>
    </w:p>
    <w:p>
      <w:pPr>
        <w:spacing w:line="68" w:lineRule="exact"/>
        <w:rPr/>
      </w:pPr>
      <w:r/>
    </w:p>
    <w:tbl>
      <w:tblPr>
        <w:tblStyle w:val="TableNormal"/>
        <w:tblW w:w="9751" w:type="dxa"/>
        <w:tblInd w:w="5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2"/>
        <w:gridCol w:w="1706"/>
        <w:gridCol w:w="1671"/>
        <w:gridCol w:w="1673"/>
        <w:gridCol w:w="1662"/>
        <w:gridCol w:w="1717"/>
      </w:tblGrid>
      <w:tr>
        <w:trPr>
          <w:trHeight w:val="204" w:hRule="atLeast"/>
        </w:trPr>
        <w:tc>
          <w:tcPr>
            <w:tcW w:w="1322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0"/>
              <w:spacing w:before="3" w:line="220" w:lineRule="auto"/>
              <w:rPr/>
            </w:pPr>
            <w:r>
              <w:rPr>
                <w:color w:val="231F20"/>
                <w:spacing w:val="-1"/>
              </w:rPr>
              <w:t>分组</w:t>
            </w:r>
          </w:p>
        </w:tc>
        <w:tc>
          <w:tcPr>
            <w:tcW w:w="1706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49"/>
              <w:spacing w:before="3" w:line="220" w:lineRule="auto"/>
              <w:rPr/>
            </w:pPr>
            <w:r>
              <w:rPr>
                <w:color w:val="231F20"/>
                <w:spacing w:val="-3"/>
              </w:rPr>
              <w:t>白带恢复正常（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d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167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95"/>
              <w:spacing w:before="3" w:line="220" w:lineRule="auto"/>
              <w:rPr/>
            </w:pPr>
            <w:r>
              <w:rPr>
                <w:color w:val="231F20"/>
                <w:spacing w:val="-1"/>
              </w:rPr>
              <w:t>子宫压痛消失（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1673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94"/>
              <w:spacing w:before="3" w:line="220" w:lineRule="auto"/>
              <w:rPr/>
            </w:pPr>
            <w:r>
              <w:rPr>
                <w:color w:val="231F20"/>
                <w:spacing w:val="-1"/>
              </w:rPr>
              <w:t>腰骶疼痛消失（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1662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94"/>
              <w:spacing w:before="3" w:line="220" w:lineRule="auto"/>
              <w:rPr/>
            </w:pPr>
            <w:r>
              <w:rPr>
                <w:color w:val="231F20"/>
                <w:spacing w:val="-1"/>
              </w:rPr>
              <w:t>下腹坠胀消失（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d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1717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84"/>
              <w:spacing w:before="3" w:line="220" w:lineRule="auto"/>
              <w:rPr/>
            </w:pPr>
            <w:r>
              <w:rPr>
                <w:color w:val="231F20"/>
                <w:spacing w:val="-1"/>
              </w:rPr>
              <w:t>月经恢复正常（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）</w:t>
            </w:r>
          </w:p>
        </w:tc>
      </w:tr>
      <w:tr>
        <w:trPr>
          <w:trHeight w:val="180" w:hRule="atLeast"/>
        </w:trPr>
        <w:tc>
          <w:tcPr>
            <w:tcW w:w="132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3"/>
              <w:spacing w:line="196" w:lineRule="auto"/>
              <w:rPr/>
            </w:pPr>
            <w:r>
              <w:rPr>
                <w:color w:val="231F20"/>
                <w:spacing w:val="-1"/>
              </w:rPr>
              <w:t>观察组（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=</w:t>
            </w:r>
            <w:r>
              <w:rPr>
                <w:color w:val="231F20"/>
                <w:spacing w:val="-1"/>
              </w:rPr>
              <w:t>60）</w:t>
            </w:r>
          </w:p>
        </w:tc>
        <w:tc>
          <w:tcPr>
            <w:tcW w:w="170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48"/>
              <w:spacing w:before="10" w:line="184" w:lineRule="auto"/>
              <w:rPr/>
            </w:pPr>
            <w:r>
              <w:rPr>
                <w:color w:val="231F20"/>
                <w:spacing w:val="-1"/>
              </w:rPr>
              <w:t>4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05±0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81</w:t>
            </w:r>
          </w:p>
        </w:tc>
        <w:tc>
          <w:tcPr>
            <w:tcW w:w="167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17"/>
              <w:spacing w:before="10" w:line="184" w:lineRule="auto"/>
              <w:rPr/>
            </w:pPr>
            <w:r>
              <w:rPr>
                <w:color w:val="231F20"/>
                <w:spacing w:val="-1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54±1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15</w:t>
            </w:r>
          </w:p>
        </w:tc>
        <w:tc>
          <w:tcPr>
            <w:tcW w:w="167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20"/>
              <w:spacing w:before="10" w:line="184" w:lineRule="auto"/>
              <w:rPr/>
            </w:pPr>
            <w:r>
              <w:rPr>
                <w:color w:val="231F20"/>
                <w:spacing w:val="-3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.</w:t>
            </w:r>
            <w:r>
              <w:rPr>
                <w:rFonts w:ascii="Times New Roman" w:hAnsi="Times New Roman" w:eastAsia="Times New Roman" w:cs="Times New Roman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12±1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.</w:t>
            </w:r>
            <w:r>
              <w:rPr>
                <w:color w:val="231F20"/>
                <w:spacing w:val="-3"/>
              </w:rPr>
              <w:t>62</w:t>
            </w:r>
          </w:p>
        </w:tc>
        <w:tc>
          <w:tcPr>
            <w:tcW w:w="166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16"/>
              <w:spacing w:before="10" w:line="184" w:lineRule="auto"/>
              <w:rPr/>
            </w:pPr>
            <w:r>
              <w:rPr>
                <w:color w:val="231F20"/>
                <w:spacing w:val="-1"/>
              </w:rPr>
              <w:t>7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09±1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47</w:t>
            </w:r>
          </w:p>
        </w:tc>
        <w:tc>
          <w:tcPr>
            <w:tcW w:w="171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27"/>
              <w:spacing w:before="10" w:line="184" w:lineRule="auto"/>
              <w:rPr/>
            </w:pPr>
            <w:r>
              <w:rPr>
                <w:color w:val="231F20"/>
                <w:spacing w:val="-1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33±0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46</w:t>
            </w:r>
          </w:p>
        </w:tc>
      </w:tr>
      <w:tr>
        <w:trPr>
          <w:trHeight w:val="189" w:hRule="atLeast"/>
        </w:trPr>
        <w:tc>
          <w:tcPr>
            <w:tcW w:w="1322" w:type="dxa"/>
            <w:vAlign w:val="top"/>
          </w:tcPr>
          <w:p>
            <w:pPr>
              <w:pStyle w:val="TableText"/>
              <w:ind w:left="19"/>
              <w:spacing w:line="206" w:lineRule="auto"/>
              <w:rPr/>
            </w:pPr>
            <w:r>
              <w:rPr>
                <w:color w:val="231F20"/>
              </w:rPr>
              <w:t>对照组（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=</w:t>
            </w:r>
            <w:r>
              <w:rPr>
                <w:color w:val="231F20"/>
              </w:rPr>
              <w:t>60）</w:t>
            </w:r>
          </w:p>
        </w:tc>
        <w:tc>
          <w:tcPr>
            <w:tcW w:w="1706" w:type="dxa"/>
            <w:vAlign w:val="top"/>
          </w:tcPr>
          <w:p>
            <w:pPr>
              <w:pStyle w:val="TableText"/>
              <w:ind w:left="551"/>
              <w:spacing w:before="24" w:line="178" w:lineRule="auto"/>
              <w:rPr/>
            </w:pPr>
            <w:r>
              <w:rPr>
                <w:color w:val="231F20"/>
                <w:spacing w:val="-1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78±1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14</w:t>
            </w:r>
          </w:p>
        </w:tc>
        <w:tc>
          <w:tcPr>
            <w:tcW w:w="1671" w:type="dxa"/>
            <w:vAlign w:val="top"/>
          </w:tcPr>
          <w:p>
            <w:pPr>
              <w:pStyle w:val="TableText"/>
              <w:ind w:left="518"/>
              <w:spacing w:before="24" w:line="178" w:lineRule="auto"/>
              <w:rPr/>
            </w:pPr>
            <w:r>
              <w:rPr>
                <w:color w:val="231F20"/>
                <w:spacing w:val="-2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58±1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72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491"/>
              <w:spacing w:before="24" w:line="178" w:lineRule="auto"/>
              <w:rPr/>
            </w:pPr>
            <w:r>
              <w:rPr>
                <w:color w:val="231F20"/>
                <w:spacing w:val="-3"/>
              </w:rPr>
              <w:t>11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.</w:t>
            </w:r>
            <w:r>
              <w:rPr>
                <w:color w:val="231F20"/>
                <w:spacing w:val="-3"/>
              </w:rPr>
              <w:t>45±2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.</w:t>
            </w:r>
            <w:r>
              <w:rPr>
                <w:color w:val="231F20"/>
                <w:spacing w:val="-3"/>
              </w:rPr>
              <w:t>28</w:t>
            </w:r>
          </w:p>
        </w:tc>
        <w:tc>
          <w:tcPr>
            <w:tcW w:w="1662" w:type="dxa"/>
            <w:vAlign w:val="top"/>
          </w:tcPr>
          <w:p>
            <w:pPr>
              <w:pStyle w:val="TableText"/>
              <w:ind w:left="490"/>
              <w:spacing w:before="24" w:line="178" w:lineRule="auto"/>
              <w:rPr/>
            </w:pPr>
            <w:r>
              <w:rPr>
                <w:color w:val="231F20"/>
                <w:spacing w:val="-3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.</w:t>
            </w:r>
            <w:r>
              <w:rPr>
                <w:color w:val="231F20"/>
                <w:spacing w:val="-3"/>
              </w:rPr>
              <w:t>76±2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.</w:t>
            </w:r>
            <w:r>
              <w:rPr>
                <w:color w:val="231F20"/>
                <w:spacing w:val="-3"/>
              </w:rPr>
              <w:t>44</w:t>
            </w:r>
          </w:p>
        </w:tc>
        <w:tc>
          <w:tcPr>
            <w:tcW w:w="1717" w:type="dxa"/>
            <w:vAlign w:val="top"/>
          </w:tcPr>
          <w:p>
            <w:pPr>
              <w:pStyle w:val="TableText"/>
              <w:ind w:left="527"/>
              <w:spacing w:before="24" w:line="178" w:lineRule="auto"/>
              <w:rPr/>
            </w:pPr>
            <w:r>
              <w:rPr>
                <w:color w:val="231F20"/>
                <w:spacing w:val="-1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01±0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97</w:t>
            </w:r>
          </w:p>
        </w:tc>
      </w:tr>
      <w:tr>
        <w:trPr>
          <w:trHeight w:val="191" w:hRule="atLeast"/>
        </w:trPr>
        <w:tc>
          <w:tcPr>
            <w:tcW w:w="1322" w:type="dxa"/>
            <w:vAlign w:val="top"/>
          </w:tcPr>
          <w:p>
            <w:pPr>
              <w:pStyle w:val="TableText"/>
              <w:ind w:left="23"/>
              <w:spacing w:before="24" w:line="180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</w:rPr>
              <w:t>t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1706" w:type="dxa"/>
            <w:vAlign w:val="top"/>
          </w:tcPr>
          <w:p>
            <w:pPr>
              <w:pStyle w:val="TableText"/>
              <w:ind w:left="730"/>
              <w:spacing w:before="29" w:line="175" w:lineRule="auto"/>
              <w:rPr/>
            </w:pPr>
            <w:r>
              <w:rPr>
                <w:color w:val="231F20"/>
                <w:spacing w:val="-2"/>
              </w:rPr>
              <w:t>9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582</w:t>
            </w:r>
          </w:p>
        </w:tc>
        <w:tc>
          <w:tcPr>
            <w:tcW w:w="1671" w:type="dxa"/>
            <w:vAlign w:val="top"/>
          </w:tcPr>
          <w:p>
            <w:pPr>
              <w:pStyle w:val="TableText"/>
              <w:ind w:left="669"/>
              <w:spacing w:before="29" w:line="175" w:lineRule="auto"/>
              <w:rPr/>
            </w:pPr>
            <w:r>
              <w:rPr>
                <w:color w:val="231F20"/>
                <w:spacing w:val="-4"/>
              </w:rPr>
              <w:t>11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.</w:t>
            </w:r>
            <w:r>
              <w:rPr>
                <w:color w:val="231F20"/>
                <w:spacing w:val="-4"/>
              </w:rPr>
              <w:t>381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97"/>
              <w:spacing w:before="29" w:line="175" w:lineRule="auto"/>
              <w:rPr/>
            </w:pPr>
            <w:r>
              <w:rPr>
                <w:color w:val="231F20"/>
                <w:spacing w:val="-2"/>
              </w:rPr>
              <w:t>9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222</w:t>
            </w:r>
          </w:p>
        </w:tc>
        <w:tc>
          <w:tcPr>
            <w:tcW w:w="1662" w:type="dxa"/>
            <w:vAlign w:val="top"/>
          </w:tcPr>
          <w:p>
            <w:pPr>
              <w:pStyle w:val="TableText"/>
              <w:ind w:left="696"/>
              <w:spacing w:before="29" w:line="175" w:lineRule="auto"/>
              <w:rPr/>
            </w:pPr>
            <w:r>
              <w:rPr>
                <w:color w:val="231F20"/>
                <w:spacing w:val="-2"/>
              </w:rPr>
              <w:t>9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980</w:t>
            </w:r>
          </w:p>
        </w:tc>
        <w:tc>
          <w:tcPr>
            <w:tcW w:w="1717" w:type="dxa"/>
            <w:vAlign w:val="top"/>
          </w:tcPr>
          <w:p>
            <w:pPr>
              <w:pStyle w:val="TableText"/>
              <w:ind w:left="640"/>
              <w:spacing w:before="29" w:line="175" w:lineRule="auto"/>
              <w:rPr/>
            </w:pPr>
            <w:r>
              <w:rPr>
                <w:color w:val="231F20"/>
                <w:spacing w:val="-3"/>
              </w:rPr>
              <w:t>19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.</w:t>
            </w:r>
            <w:r>
              <w:rPr>
                <w:color w:val="231F20"/>
                <w:spacing w:val="-3"/>
              </w:rPr>
              <w:t>3337</w:t>
            </w:r>
          </w:p>
        </w:tc>
      </w:tr>
      <w:tr>
        <w:trPr>
          <w:trHeight w:val="201" w:hRule="atLeast"/>
        </w:trPr>
        <w:tc>
          <w:tcPr>
            <w:tcW w:w="1322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3"/>
              <w:spacing w:before="28" w:line="18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"/>
              </w:rPr>
              <w:t>P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70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44"/>
              <w:spacing w:before="32" w:line="183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.</w:t>
            </w:r>
            <w:r>
              <w:rPr>
                <w:color w:val="231F20"/>
                <w:spacing w:val="5"/>
              </w:rPr>
              <w:t>001</w:t>
            </w:r>
          </w:p>
        </w:tc>
        <w:tc>
          <w:tcPr>
            <w:tcW w:w="167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10"/>
              <w:spacing w:before="32" w:line="183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.</w:t>
            </w:r>
            <w:r>
              <w:rPr>
                <w:color w:val="231F20"/>
                <w:spacing w:val="5"/>
              </w:rPr>
              <w:t>001</w:t>
            </w:r>
          </w:p>
        </w:tc>
        <w:tc>
          <w:tcPr>
            <w:tcW w:w="167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11"/>
              <w:spacing w:before="32" w:line="183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.</w:t>
            </w:r>
            <w:r>
              <w:rPr>
                <w:color w:val="231F20"/>
                <w:spacing w:val="5"/>
              </w:rPr>
              <w:t>001</w:t>
            </w:r>
          </w:p>
        </w:tc>
        <w:tc>
          <w:tcPr>
            <w:tcW w:w="1662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10"/>
              <w:spacing w:before="32" w:line="183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.</w:t>
            </w:r>
            <w:r>
              <w:rPr>
                <w:color w:val="231F20"/>
                <w:spacing w:val="5"/>
              </w:rPr>
              <w:t>001</w:t>
            </w:r>
          </w:p>
        </w:tc>
        <w:tc>
          <w:tcPr>
            <w:tcW w:w="1717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21"/>
              <w:spacing w:before="32" w:line="183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.</w:t>
            </w:r>
            <w:r>
              <w:rPr>
                <w:color w:val="231F20"/>
                <w:spacing w:val="5"/>
              </w:rPr>
              <w:t>001</w:t>
            </w:r>
          </w:p>
        </w:tc>
      </w:tr>
    </w:tbl>
    <w:p>
      <w:pPr>
        <w:pStyle w:val="BodyText"/>
        <w:ind w:left="3549"/>
        <w:spacing w:before="220" w:line="24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表</w:t>
      </w:r>
      <w:r>
        <w:rPr>
          <w:sz w:val="17"/>
          <w:szCs w:val="17"/>
          <w:b/>
          <w:bCs/>
          <w:color w:val="231F20"/>
          <w:spacing w:val="-2"/>
        </w:rPr>
        <w:t>3   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两组急性盆腔炎患者炎症指标水平比较（</w:t>
      </w:r>
      <w:r>
        <w:rPr>
          <w:sz w:val="17"/>
          <w:szCs w:val="17"/>
          <w:b/>
          <w:bCs/>
          <w:i/>
          <w:iCs/>
          <w:color w:val="231F20"/>
          <w:spacing w:val="-2"/>
        </w:rPr>
        <w:t>x </w:t>
      </w:r>
      <w:r>
        <w:rPr>
          <w:sz w:val="17"/>
          <w:szCs w:val="17"/>
          <w:b/>
          <w:bCs/>
          <w:color w:val="231F20"/>
          <w:spacing w:val="-2"/>
        </w:rPr>
        <w:t>± </w:t>
      </w:r>
      <w:r>
        <w:rPr>
          <w:sz w:val="17"/>
          <w:szCs w:val="17"/>
          <w:b/>
          <w:bCs/>
          <w:i/>
          <w:iCs/>
          <w:color w:val="231F20"/>
          <w:spacing w:val="-2"/>
        </w:rPr>
        <w:t>s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）</w:t>
      </w:r>
    </w:p>
    <w:p>
      <w:pPr>
        <w:spacing w:line="68" w:lineRule="exact"/>
        <w:rPr/>
      </w:pPr>
      <w:r/>
    </w:p>
    <w:tbl>
      <w:tblPr>
        <w:tblStyle w:val="TableNormal"/>
        <w:tblW w:w="9751" w:type="dxa"/>
        <w:tblInd w:w="5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9"/>
        <w:gridCol w:w="911"/>
        <w:gridCol w:w="884"/>
        <w:gridCol w:w="544"/>
        <w:gridCol w:w="584"/>
        <w:gridCol w:w="898"/>
        <w:gridCol w:w="897"/>
        <w:gridCol w:w="492"/>
        <w:gridCol w:w="524"/>
        <w:gridCol w:w="898"/>
        <w:gridCol w:w="897"/>
        <w:gridCol w:w="554"/>
        <w:gridCol w:w="679"/>
      </w:tblGrid>
      <w:tr>
        <w:trPr>
          <w:trHeight w:val="181" w:hRule="atLeast"/>
        </w:trPr>
        <w:tc>
          <w:tcPr>
            <w:tcW w:w="989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20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分组</w:t>
            </w:r>
          </w:p>
        </w:tc>
        <w:tc>
          <w:tcPr>
            <w:tcW w:w="1795" w:type="dxa"/>
            <w:vAlign w:val="top"/>
            <w:gridSpan w:val="2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78"/>
              <w:spacing w:before="7" w:line="215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CRP</w:t>
            </w:r>
            <w:r>
              <w:rPr>
                <w:sz w:val="14"/>
                <w:szCs w:val="14"/>
                <w:color w:val="231F20"/>
              </w:rPr>
              <w:t>（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mg/L</w:t>
            </w:r>
            <w:r>
              <w:rPr>
                <w:sz w:val="14"/>
                <w:szCs w:val="14"/>
                <w:color w:val="231F20"/>
              </w:rPr>
              <w:t>）</w:t>
            </w:r>
          </w:p>
        </w:tc>
        <w:tc>
          <w:tcPr>
            <w:tcW w:w="544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181"/>
              <w:spacing w:before="3" w:line="241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-2"/>
              </w:rPr>
              <w:t>t </w:t>
            </w:r>
            <w:r>
              <w:rPr>
                <w:sz w:val="14"/>
                <w:szCs w:val="14"/>
                <w:color w:val="231F20"/>
                <w:spacing w:val="-2"/>
              </w:rPr>
              <w:t>值</w:t>
            </w:r>
          </w:p>
        </w:tc>
        <w:tc>
          <w:tcPr>
            <w:tcW w:w="584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169"/>
              <w:spacing w:before="3" w:line="241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1"/>
              </w:rPr>
              <w:t>P </w:t>
            </w:r>
            <w:r>
              <w:rPr>
                <w:sz w:val="14"/>
                <w:szCs w:val="14"/>
                <w:color w:val="231F20"/>
                <w:spacing w:val="1"/>
              </w:rPr>
              <w:t>值</w:t>
            </w:r>
          </w:p>
        </w:tc>
        <w:tc>
          <w:tcPr>
            <w:tcW w:w="1795" w:type="dxa"/>
            <w:vAlign w:val="top"/>
            <w:gridSpan w:val="2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388"/>
              <w:spacing w:line="225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TGF</w:t>
            </w:r>
            <w:r>
              <w:rPr>
                <w:sz w:val="14"/>
                <w:szCs w:val="14"/>
                <w:color w:val="231F20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2"/>
              </w:rPr>
              <w:t>β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"/>
              </w:rPr>
              <w:t>µg/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ml</w:t>
            </w:r>
            <w:r>
              <w:rPr>
                <w:sz w:val="14"/>
                <w:szCs w:val="14"/>
                <w:color w:val="231F20"/>
                <w:spacing w:val="2"/>
              </w:rPr>
              <w:t>）</w:t>
            </w:r>
          </w:p>
        </w:tc>
        <w:tc>
          <w:tcPr>
            <w:tcW w:w="492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153"/>
              <w:spacing w:before="3" w:line="241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-2"/>
              </w:rPr>
              <w:t>t </w:t>
            </w:r>
            <w:r>
              <w:rPr>
                <w:sz w:val="14"/>
                <w:szCs w:val="14"/>
                <w:color w:val="231F20"/>
                <w:spacing w:val="-2"/>
              </w:rPr>
              <w:t>值</w:t>
            </w:r>
          </w:p>
        </w:tc>
        <w:tc>
          <w:tcPr>
            <w:tcW w:w="524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137"/>
              <w:spacing w:before="3" w:line="241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1"/>
              </w:rPr>
              <w:t>P </w:t>
            </w:r>
            <w:r>
              <w:rPr>
                <w:sz w:val="14"/>
                <w:szCs w:val="14"/>
                <w:color w:val="231F20"/>
                <w:spacing w:val="1"/>
              </w:rPr>
              <w:t>值</w:t>
            </w:r>
          </w:p>
        </w:tc>
        <w:tc>
          <w:tcPr>
            <w:tcW w:w="1795" w:type="dxa"/>
            <w:vAlign w:val="top"/>
            <w:gridSpan w:val="2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24"/>
              <w:spacing w:before="7" w:line="215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IL</w:t>
            </w:r>
            <w:r>
              <w:rPr>
                <w:sz w:val="14"/>
                <w:szCs w:val="14"/>
                <w:color w:val="231F20"/>
                <w:spacing w:val="1"/>
              </w:rPr>
              <w:t>-18（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pg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"/>
              </w:rPr>
              <w:t>/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ml</w:t>
            </w:r>
            <w:r>
              <w:rPr>
                <w:sz w:val="14"/>
                <w:szCs w:val="14"/>
                <w:color w:val="231F20"/>
                <w:spacing w:val="1"/>
              </w:rPr>
              <w:t>）</w:t>
            </w:r>
          </w:p>
        </w:tc>
        <w:tc>
          <w:tcPr>
            <w:tcW w:w="554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166"/>
              <w:spacing w:before="3" w:line="241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-2"/>
              </w:rPr>
              <w:t>t </w:t>
            </w:r>
            <w:r>
              <w:rPr>
                <w:sz w:val="14"/>
                <w:szCs w:val="14"/>
                <w:color w:val="231F20"/>
                <w:spacing w:val="-2"/>
              </w:rPr>
              <w:t>值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195"/>
              <w:spacing w:before="3" w:line="241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1"/>
              </w:rPr>
              <w:t>P </w:t>
            </w:r>
            <w:r>
              <w:rPr>
                <w:sz w:val="14"/>
                <w:szCs w:val="14"/>
                <w:color w:val="231F20"/>
                <w:spacing w:val="1"/>
              </w:rPr>
              <w:t>值</w:t>
            </w:r>
          </w:p>
        </w:tc>
      </w:tr>
      <w:tr>
        <w:trPr>
          <w:trHeight w:val="161" w:hRule="atLeast"/>
        </w:trPr>
        <w:tc>
          <w:tcPr>
            <w:tcW w:w="989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3"/>
              <w:spacing w:before="6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治疗前</w:t>
            </w:r>
          </w:p>
        </w:tc>
        <w:tc>
          <w:tcPr>
            <w:tcW w:w="88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9"/>
              <w:spacing w:before="6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治疗后</w:t>
            </w:r>
          </w:p>
        </w:tc>
        <w:tc>
          <w:tcPr>
            <w:tcW w:w="54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3"/>
              <w:spacing w:before="6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治疗前</w:t>
            </w:r>
          </w:p>
        </w:tc>
        <w:tc>
          <w:tcPr>
            <w:tcW w:w="89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3"/>
              <w:spacing w:before="6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治疗后</w:t>
            </w:r>
          </w:p>
        </w:tc>
        <w:tc>
          <w:tcPr>
            <w:tcW w:w="492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3"/>
              <w:spacing w:before="6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治疗前</w:t>
            </w:r>
          </w:p>
        </w:tc>
        <w:tc>
          <w:tcPr>
            <w:tcW w:w="89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3"/>
              <w:spacing w:before="6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治疗后</w:t>
            </w:r>
          </w:p>
        </w:tc>
        <w:tc>
          <w:tcPr>
            <w:tcW w:w="55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1" w:hRule="atLeast"/>
        </w:trPr>
        <w:tc>
          <w:tcPr>
            <w:tcW w:w="98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2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观察组（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-4"/>
              </w:rPr>
              <w:t>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4"/>
              </w:rPr>
              <w:t>=</w:t>
            </w:r>
            <w:r>
              <w:rPr>
                <w:sz w:val="14"/>
                <w:szCs w:val="14"/>
                <w:color w:val="231F20"/>
                <w:spacing w:val="-4"/>
              </w:rPr>
              <w:t>60）</w:t>
            </w:r>
          </w:p>
        </w:tc>
        <w:tc>
          <w:tcPr>
            <w:tcW w:w="91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7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4"/>
              </w:rPr>
              <w:t>.</w:t>
            </w:r>
            <w:r>
              <w:rPr>
                <w:sz w:val="14"/>
                <w:szCs w:val="14"/>
                <w:color w:val="231F20"/>
                <w:spacing w:val="-4"/>
              </w:rPr>
              <w:t>54 ±6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4"/>
              </w:rPr>
              <w:t>.</w:t>
            </w:r>
            <w:r>
              <w:rPr>
                <w:sz w:val="14"/>
                <w:szCs w:val="14"/>
                <w:color w:val="231F20"/>
                <w:spacing w:val="-4"/>
              </w:rPr>
              <w:t>09</w:t>
            </w:r>
          </w:p>
        </w:tc>
        <w:tc>
          <w:tcPr>
            <w:tcW w:w="88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2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sz w:val="14"/>
                <w:szCs w:val="14"/>
                <w:color w:val="231F20"/>
                <w:spacing w:val="-2"/>
              </w:rPr>
              <w:t>32±2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sz w:val="14"/>
                <w:szCs w:val="14"/>
                <w:color w:val="231F20"/>
                <w:spacing w:val="-2"/>
              </w:rPr>
              <w:t>64</w:t>
            </w:r>
          </w:p>
        </w:tc>
        <w:tc>
          <w:tcPr>
            <w:tcW w:w="54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5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sz w:val="14"/>
                <w:szCs w:val="14"/>
                <w:color w:val="231F20"/>
                <w:spacing w:val="-2"/>
              </w:rPr>
              <w:t>262</w:t>
            </w:r>
          </w:p>
        </w:tc>
        <w:tc>
          <w:tcPr>
            <w:tcW w:w="58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5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&lt;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5"/>
              </w:rPr>
              <w:t>.</w:t>
            </w:r>
            <w:r>
              <w:rPr>
                <w:sz w:val="14"/>
                <w:szCs w:val="14"/>
                <w:color w:val="231F20"/>
                <w:spacing w:val="5"/>
              </w:rPr>
              <w:t>001</w:t>
            </w:r>
          </w:p>
        </w:tc>
        <w:tc>
          <w:tcPr>
            <w:tcW w:w="89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16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sz w:val="14"/>
                <w:szCs w:val="14"/>
                <w:color w:val="231F20"/>
                <w:spacing w:val="-2"/>
              </w:rPr>
              <w:t>36±3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sz w:val="14"/>
                <w:szCs w:val="14"/>
                <w:color w:val="231F20"/>
                <w:spacing w:val="-2"/>
              </w:rPr>
              <w:t>47</w:t>
            </w:r>
          </w:p>
        </w:tc>
        <w:tc>
          <w:tcPr>
            <w:tcW w:w="89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7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58±6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70</w:t>
            </w:r>
          </w:p>
        </w:tc>
        <w:tc>
          <w:tcPr>
            <w:tcW w:w="49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8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.</w:t>
            </w:r>
            <w:r>
              <w:rPr>
                <w:sz w:val="14"/>
                <w:szCs w:val="14"/>
                <w:color w:val="231F20"/>
                <w:spacing w:val="-3"/>
              </w:rPr>
              <w:t>651</w:t>
            </w:r>
          </w:p>
        </w:tc>
        <w:tc>
          <w:tcPr>
            <w:tcW w:w="52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0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&lt;0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2"/>
              </w:rPr>
              <w:t>.</w:t>
            </w:r>
            <w:r>
              <w:rPr>
                <w:sz w:val="14"/>
                <w:szCs w:val="14"/>
                <w:color w:val="231F20"/>
                <w:spacing w:val="12"/>
              </w:rPr>
              <w:t>001</w:t>
            </w:r>
          </w:p>
        </w:tc>
        <w:tc>
          <w:tcPr>
            <w:tcW w:w="89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0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72±12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44</w:t>
            </w:r>
          </w:p>
        </w:tc>
        <w:tc>
          <w:tcPr>
            <w:tcW w:w="89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2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58±8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92</w:t>
            </w:r>
          </w:p>
        </w:tc>
        <w:tc>
          <w:tcPr>
            <w:tcW w:w="55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1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.</w:t>
            </w:r>
            <w:r>
              <w:rPr>
                <w:sz w:val="14"/>
                <w:szCs w:val="14"/>
                <w:color w:val="231F20"/>
                <w:spacing w:val="-3"/>
              </w:rPr>
              <w:t>709</w:t>
            </w:r>
          </w:p>
        </w:tc>
        <w:tc>
          <w:tcPr>
            <w:tcW w:w="67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1"/>
              <w:spacing w:before="1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&lt;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5"/>
              </w:rPr>
              <w:t>.</w:t>
            </w:r>
            <w:r>
              <w:rPr>
                <w:sz w:val="14"/>
                <w:szCs w:val="14"/>
                <w:color w:val="231F20"/>
                <w:spacing w:val="5"/>
              </w:rPr>
              <w:t>001</w:t>
            </w:r>
          </w:p>
        </w:tc>
      </w:tr>
      <w:tr>
        <w:trPr>
          <w:trHeight w:val="169" w:hRule="atLeast"/>
        </w:trPr>
        <w:tc>
          <w:tcPr>
            <w:tcW w:w="989" w:type="dxa"/>
            <w:vAlign w:val="top"/>
          </w:tcPr>
          <w:p>
            <w:pPr>
              <w:pStyle w:val="TableText"/>
              <w:ind w:left="19"/>
              <w:spacing w:before="2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对照组（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-4"/>
              </w:rPr>
              <w:t>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4"/>
              </w:rPr>
              <w:t>=</w:t>
            </w:r>
            <w:r>
              <w:rPr>
                <w:sz w:val="14"/>
                <w:szCs w:val="14"/>
                <w:color w:val="231F20"/>
                <w:spacing w:val="-4"/>
              </w:rPr>
              <w:t>60）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104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11±5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.</w:t>
            </w:r>
            <w:r>
              <w:rPr>
                <w:sz w:val="14"/>
                <w:szCs w:val="14"/>
                <w:color w:val="231F20"/>
                <w:spacing w:val="-3"/>
              </w:rPr>
              <w:t>78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102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sz w:val="14"/>
                <w:szCs w:val="14"/>
                <w:color w:val="231F20"/>
                <w:spacing w:val="-2"/>
              </w:rPr>
              <w:t>46±2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sz w:val="14"/>
                <w:szCs w:val="14"/>
                <w:color w:val="231F20"/>
                <w:spacing w:val="-2"/>
              </w:rPr>
              <w:t>85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06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.</w:t>
            </w:r>
            <w:r>
              <w:rPr>
                <w:sz w:val="14"/>
                <w:szCs w:val="14"/>
                <w:color w:val="231F20"/>
                <w:spacing w:val="-3"/>
              </w:rPr>
              <w:t>384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75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&lt;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5"/>
              </w:rPr>
              <w:t>.</w:t>
            </w:r>
            <w:r>
              <w:rPr>
                <w:sz w:val="14"/>
                <w:szCs w:val="14"/>
                <w:color w:val="231F20"/>
                <w:spacing w:val="5"/>
              </w:rPr>
              <w:t>001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16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sz w:val="14"/>
                <w:szCs w:val="14"/>
                <w:color w:val="231F20"/>
                <w:spacing w:val="-2"/>
              </w:rPr>
              <w:t>72±3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sz w:val="14"/>
                <w:szCs w:val="14"/>
                <w:color w:val="231F20"/>
                <w:spacing w:val="-2"/>
              </w:rPr>
              <w:t>54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104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62±5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62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ind w:left="78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.</w:t>
            </w:r>
            <w:r>
              <w:rPr>
                <w:sz w:val="14"/>
                <w:szCs w:val="14"/>
                <w:color w:val="231F20"/>
                <w:spacing w:val="-3"/>
              </w:rPr>
              <w:t>712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50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&lt;0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2"/>
              </w:rPr>
              <w:t>.</w:t>
            </w:r>
            <w:r>
              <w:rPr>
                <w:sz w:val="14"/>
                <w:szCs w:val="14"/>
                <w:color w:val="231F20"/>
                <w:spacing w:val="12"/>
              </w:rPr>
              <w:t>001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70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35±13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06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70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52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69±10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45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15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sz w:val="14"/>
                <w:szCs w:val="14"/>
                <w:color w:val="231F20"/>
                <w:spacing w:val="-2"/>
              </w:rPr>
              <w:t>789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101"/>
              <w:spacing w:before="2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&lt;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5"/>
              </w:rPr>
              <w:t>.</w:t>
            </w:r>
            <w:r>
              <w:rPr>
                <w:sz w:val="14"/>
                <w:szCs w:val="14"/>
                <w:color w:val="231F20"/>
                <w:spacing w:val="5"/>
              </w:rPr>
              <w:t>001</w:t>
            </w:r>
          </w:p>
        </w:tc>
      </w:tr>
      <w:tr>
        <w:trPr>
          <w:trHeight w:val="172" w:hRule="atLeast"/>
        </w:trPr>
        <w:tc>
          <w:tcPr>
            <w:tcW w:w="989" w:type="dxa"/>
            <w:vAlign w:val="top"/>
          </w:tcPr>
          <w:p>
            <w:pPr>
              <w:pStyle w:val="TableText"/>
              <w:ind w:left="22"/>
              <w:spacing w:before="27" w:line="177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-2"/>
              </w:rPr>
              <w:t>t </w:t>
            </w:r>
            <w:r>
              <w:rPr>
                <w:sz w:val="14"/>
                <w:szCs w:val="14"/>
                <w:color w:val="231F20"/>
                <w:spacing w:val="-2"/>
              </w:rPr>
              <w:t>值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295"/>
              <w:spacing w:before="31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397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284"/>
              <w:spacing w:before="31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sz w:val="14"/>
                <w:szCs w:val="14"/>
                <w:color w:val="231F20"/>
                <w:spacing w:val="-2"/>
              </w:rPr>
              <w:t>255</w:t>
            </w:r>
          </w:p>
        </w:tc>
        <w:tc>
          <w:tcPr>
            <w:tcW w:w="544" w:type="dxa"/>
            <w:vAlign w:val="top"/>
          </w:tcPr>
          <w:p>
            <w:pPr>
              <w:spacing w:line="162" w:lineRule="exact"/>
              <w:rPr>
                <w:rFonts w:ascii="Arial"/>
                <w:sz w:val="14"/>
              </w:rPr>
            </w:pPr>
            <w:r/>
          </w:p>
        </w:tc>
        <w:tc>
          <w:tcPr>
            <w:tcW w:w="584" w:type="dxa"/>
            <w:vAlign w:val="top"/>
          </w:tcPr>
          <w:p>
            <w:pPr>
              <w:spacing w:line="162" w:lineRule="exact"/>
              <w:rPr>
                <w:rFonts w:ascii="Arial"/>
                <w:sz w:val="14"/>
              </w:rPr>
            </w:pPr>
            <w:r/>
          </w:p>
        </w:tc>
        <w:tc>
          <w:tcPr>
            <w:tcW w:w="898" w:type="dxa"/>
            <w:vAlign w:val="top"/>
          </w:tcPr>
          <w:p>
            <w:pPr>
              <w:pStyle w:val="TableText"/>
              <w:ind w:left="296"/>
              <w:spacing w:before="31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563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294"/>
              <w:spacing w:before="31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393</w:t>
            </w:r>
          </w:p>
        </w:tc>
        <w:tc>
          <w:tcPr>
            <w:tcW w:w="492" w:type="dxa"/>
            <w:vAlign w:val="top"/>
          </w:tcPr>
          <w:p>
            <w:pPr>
              <w:spacing w:line="162" w:lineRule="exact"/>
              <w:rPr>
                <w:rFonts w:ascii="Arial"/>
                <w:sz w:val="14"/>
              </w:rPr>
            </w:pPr>
            <w:r/>
          </w:p>
        </w:tc>
        <w:tc>
          <w:tcPr>
            <w:tcW w:w="524" w:type="dxa"/>
            <w:vAlign w:val="top"/>
          </w:tcPr>
          <w:p>
            <w:pPr>
              <w:spacing w:line="162" w:lineRule="exact"/>
              <w:rPr>
                <w:rFonts w:ascii="Arial"/>
                <w:sz w:val="14"/>
              </w:rPr>
            </w:pPr>
            <w:r/>
          </w:p>
        </w:tc>
        <w:tc>
          <w:tcPr>
            <w:tcW w:w="898" w:type="dxa"/>
            <w:vAlign w:val="top"/>
          </w:tcPr>
          <w:p>
            <w:pPr>
              <w:pStyle w:val="TableText"/>
              <w:ind w:left="296"/>
              <w:spacing w:before="31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159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294"/>
              <w:spacing w:before="31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572</w:t>
            </w:r>
          </w:p>
        </w:tc>
        <w:tc>
          <w:tcPr>
            <w:tcW w:w="554" w:type="dxa"/>
            <w:vAlign w:val="top"/>
          </w:tcPr>
          <w:p>
            <w:pPr>
              <w:spacing w:line="162" w:lineRule="exact"/>
              <w:rPr>
                <w:rFonts w:ascii="Arial"/>
                <w:sz w:val="14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spacing w:line="162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82" w:hRule="atLeast"/>
        </w:trPr>
        <w:tc>
          <w:tcPr>
            <w:tcW w:w="989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3"/>
              <w:spacing w:before="30" w:line="187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spacing w:val="1"/>
              </w:rPr>
              <w:t>P </w:t>
            </w:r>
            <w:r>
              <w:rPr>
                <w:sz w:val="14"/>
                <w:szCs w:val="14"/>
                <w:color w:val="231F20"/>
                <w:spacing w:val="1"/>
              </w:rPr>
              <w:t>值</w:t>
            </w:r>
          </w:p>
        </w:tc>
        <w:tc>
          <w:tcPr>
            <w:tcW w:w="91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295"/>
              <w:spacing w:before="3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692</w:t>
            </w:r>
          </w:p>
        </w:tc>
        <w:tc>
          <w:tcPr>
            <w:tcW w:w="884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207"/>
              <w:spacing w:before="3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&lt;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5"/>
              </w:rPr>
              <w:t>.</w:t>
            </w:r>
            <w:r>
              <w:rPr>
                <w:sz w:val="14"/>
                <w:szCs w:val="14"/>
                <w:color w:val="231F20"/>
                <w:spacing w:val="5"/>
              </w:rPr>
              <w:t>001</w:t>
            </w:r>
          </w:p>
        </w:tc>
        <w:tc>
          <w:tcPr>
            <w:tcW w:w="544" w:type="dxa"/>
            <w:vAlign w:val="top"/>
            <w:tcBorders>
              <w:bottom w:val="single" w:color="231F20" w:sz="8" w:space="0"/>
            </w:tcBorders>
          </w:tcPr>
          <w:p>
            <w:pPr>
              <w:spacing w:line="172" w:lineRule="exact"/>
              <w:rPr>
                <w:rFonts w:ascii="Arial"/>
                <w:sz w:val="14"/>
              </w:rPr>
            </w:pPr>
            <w:r/>
          </w:p>
        </w:tc>
        <w:tc>
          <w:tcPr>
            <w:tcW w:w="584" w:type="dxa"/>
            <w:vAlign w:val="top"/>
            <w:tcBorders>
              <w:bottom w:val="single" w:color="231F20" w:sz="8" w:space="0"/>
            </w:tcBorders>
          </w:tcPr>
          <w:p>
            <w:pPr>
              <w:spacing w:line="172" w:lineRule="exact"/>
              <w:rPr>
                <w:rFonts w:ascii="Arial"/>
                <w:sz w:val="14"/>
              </w:rPr>
            </w:pPr>
            <w:r/>
          </w:p>
        </w:tc>
        <w:tc>
          <w:tcPr>
            <w:tcW w:w="89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296"/>
              <w:spacing w:before="3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287</w:t>
            </w:r>
          </w:p>
        </w:tc>
        <w:tc>
          <w:tcPr>
            <w:tcW w:w="897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221"/>
              <w:spacing w:before="3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&lt;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5"/>
              </w:rPr>
              <w:t>.</w:t>
            </w:r>
            <w:r>
              <w:rPr>
                <w:sz w:val="14"/>
                <w:szCs w:val="14"/>
                <w:color w:val="231F20"/>
                <w:spacing w:val="5"/>
              </w:rPr>
              <w:t>001</w:t>
            </w:r>
          </w:p>
        </w:tc>
        <w:tc>
          <w:tcPr>
            <w:tcW w:w="492" w:type="dxa"/>
            <w:vAlign w:val="top"/>
            <w:tcBorders>
              <w:bottom w:val="single" w:color="231F20" w:sz="8" w:space="0"/>
            </w:tcBorders>
          </w:tcPr>
          <w:p>
            <w:pPr>
              <w:spacing w:line="172" w:lineRule="exact"/>
              <w:rPr>
                <w:rFonts w:ascii="Arial"/>
                <w:sz w:val="14"/>
              </w:rPr>
            </w:pPr>
            <w:r/>
          </w:p>
        </w:tc>
        <w:tc>
          <w:tcPr>
            <w:tcW w:w="524" w:type="dxa"/>
            <w:vAlign w:val="top"/>
            <w:tcBorders>
              <w:bottom w:val="single" w:color="231F20" w:sz="8" w:space="0"/>
            </w:tcBorders>
          </w:tcPr>
          <w:p>
            <w:pPr>
              <w:spacing w:line="172" w:lineRule="exact"/>
              <w:rPr>
                <w:rFonts w:ascii="Arial"/>
                <w:sz w:val="14"/>
              </w:rPr>
            </w:pPr>
            <w:r/>
          </w:p>
        </w:tc>
        <w:tc>
          <w:tcPr>
            <w:tcW w:w="89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296"/>
              <w:spacing w:before="3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.</w:t>
            </w:r>
            <w:r>
              <w:rPr>
                <w:sz w:val="14"/>
                <w:szCs w:val="14"/>
                <w:color w:val="231F20"/>
                <w:spacing w:val="-1"/>
              </w:rPr>
              <w:t>437</w:t>
            </w:r>
          </w:p>
        </w:tc>
        <w:tc>
          <w:tcPr>
            <w:tcW w:w="897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221"/>
              <w:spacing w:before="3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&lt;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5"/>
              </w:rPr>
              <w:t>.</w:t>
            </w:r>
            <w:r>
              <w:rPr>
                <w:sz w:val="14"/>
                <w:szCs w:val="14"/>
                <w:color w:val="231F20"/>
                <w:spacing w:val="5"/>
              </w:rPr>
              <w:t>001</w:t>
            </w:r>
          </w:p>
        </w:tc>
        <w:tc>
          <w:tcPr>
            <w:tcW w:w="554" w:type="dxa"/>
            <w:vAlign w:val="top"/>
            <w:tcBorders>
              <w:bottom w:val="single" w:color="231F20" w:sz="8" w:space="0"/>
            </w:tcBorders>
          </w:tcPr>
          <w:p>
            <w:pPr>
              <w:spacing w:line="172" w:lineRule="exact"/>
              <w:rPr>
                <w:rFonts w:ascii="Arial"/>
                <w:sz w:val="14"/>
              </w:rPr>
            </w:pPr>
            <w:r/>
          </w:p>
        </w:tc>
        <w:tc>
          <w:tcPr>
            <w:tcW w:w="679" w:type="dxa"/>
            <w:vAlign w:val="top"/>
            <w:tcBorders>
              <w:bottom w:val="single" w:color="231F20" w:sz="8" w:space="0"/>
            </w:tcBorders>
          </w:tcPr>
          <w:p>
            <w:pPr>
              <w:spacing w:line="172" w:lineRule="exact"/>
              <w:rPr>
                <w:rFonts w:ascii="Arial"/>
                <w:sz w:val="14"/>
              </w:rPr>
            </w:pPr>
            <w:r/>
          </w:p>
        </w:tc>
      </w:tr>
    </w:tbl>
    <w:p>
      <w:pPr>
        <w:spacing w:line="190" w:lineRule="exact"/>
        <w:rPr>
          <w:rFonts w:ascii="Arial"/>
          <w:sz w:val="16"/>
        </w:rPr>
      </w:pPr>
      <w:r/>
    </w:p>
    <w:p>
      <w:pPr>
        <w:spacing w:line="190" w:lineRule="exact"/>
        <w:sectPr>
          <w:type w:val="continuous"/>
          <w:pgSz w:w="11906" w:h="16838"/>
          <w:pgMar w:top="1201" w:right="1053" w:bottom="0" w:left="424" w:header="863" w:footer="0" w:gutter="0"/>
          <w:cols w:equalWidth="0" w:num="1">
            <w:col w:w="10429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left="1120"/>
        <w:spacing w:before="47" w:line="23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表</w:t>
      </w:r>
      <w:r>
        <w:rPr>
          <w:sz w:val="17"/>
          <w:szCs w:val="17"/>
          <w:b/>
          <w:bCs/>
          <w:color w:val="231F20"/>
        </w:rPr>
        <w:t>4    </w:t>
      </w:r>
      <w:r>
        <w:rPr>
          <w:rFonts w:ascii="SimHei" w:hAnsi="SimHei" w:eastAsia="SimHei" w:cs="SimHei"/>
          <w:sz w:val="17"/>
          <w:szCs w:val="17"/>
          <w:color w:val="231F20"/>
        </w:rPr>
        <w:t>两组急性盆腔炎患者临床疗效比较</w:t>
      </w:r>
      <w:r>
        <w:rPr>
          <w:rFonts w:ascii="SimHei" w:hAnsi="SimHei" w:eastAsia="SimHei" w:cs="SimHei"/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b/>
          <w:bCs/>
          <w:color w:val="231F20"/>
        </w:rPr>
        <w:t>[ </w:t>
      </w:r>
      <w:r>
        <w:rPr>
          <w:sz w:val="17"/>
          <w:szCs w:val="17"/>
          <w:i/>
          <w:iCs/>
          <w:color w:val="231F20"/>
        </w:rPr>
        <w:t>n</w:t>
      </w:r>
      <w:r>
        <w:rPr>
          <w:sz w:val="17"/>
          <w:szCs w:val="17"/>
          <w:i/>
          <w:iCs/>
          <w:color w:val="231F20"/>
          <w:spacing w:val="-1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(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％</w:t>
      </w:r>
      <w:r>
        <w:rPr>
          <w:sz w:val="17"/>
          <w:szCs w:val="17"/>
          <w:b/>
          <w:bCs/>
          <w:color w:val="231F20"/>
          <w:spacing w:val="-1"/>
        </w:rPr>
        <w:t>) ]</w:t>
      </w:r>
    </w:p>
    <w:p>
      <w:pPr>
        <w:spacing w:line="74" w:lineRule="exact"/>
        <w:rPr/>
      </w:pPr>
      <w:r/>
    </w:p>
    <w:tbl>
      <w:tblPr>
        <w:tblStyle w:val="TableNormal"/>
        <w:tblW w:w="4677" w:type="dxa"/>
        <w:tblInd w:w="5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4"/>
        <w:gridCol w:w="1790"/>
        <w:gridCol w:w="1553"/>
      </w:tblGrid>
      <w:tr>
        <w:trPr>
          <w:trHeight w:val="181" w:hRule="atLeast"/>
        </w:trPr>
        <w:tc>
          <w:tcPr>
            <w:tcW w:w="1334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0"/>
              <w:spacing w:before="2" w:line="194" w:lineRule="auto"/>
              <w:rPr/>
            </w:pPr>
            <w:r>
              <w:rPr>
                <w:color w:val="231F20"/>
                <w:spacing w:val="-1"/>
              </w:rPr>
              <w:t>分组</w:t>
            </w:r>
          </w:p>
        </w:tc>
        <w:tc>
          <w:tcPr>
            <w:tcW w:w="179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60"/>
              <w:spacing w:before="2" w:line="194" w:lineRule="auto"/>
              <w:rPr/>
            </w:pPr>
            <w:r>
              <w:rPr>
                <w:color w:val="231F20"/>
                <w:spacing w:val="-3"/>
              </w:rPr>
              <w:t>痊愈 显效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3"/>
              </w:rPr>
              <w:t>有效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无效</w:t>
            </w:r>
          </w:p>
        </w:tc>
        <w:tc>
          <w:tcPr>
            <w:tcW w:w="1553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8"/>
              <w:spacing w:before="2" w:line="194" w:lineRule="auto"/>
              <w:rPr/>
            </w:pPr>
            <w:r>
              <w:rPr>
                <w:color w:val="231F20"/>
                <w:spacing w:val="9"/>
              </w:rPr>
              <w:t>临床总有效率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9"/>
              </w:rPr>
              <w:t>(%)</w:t>
            </w:r>
          </w:p>
        </w:tc>
      </w:tr>
      <w:tr>
        <w:trPr>
          <w:trHeight w:val="180" w:hRule="atLeast"/>
        </w:trPr>
        <w:tc>
          <w:tcPr>
            <w:tcW w:w="133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3"/>
              <w:spacing w:line="196" w:lineRule="auto"/>
              <w:rPr/>
            </w:pPr>
            <w:r>
              <w:rPr>
                <w:color w:val="231F20"/>
                <w:spacing w:val="-1"/>
              </w:rPr>
              <w:t>观察组（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=</w:t>
            </w:r>
            <w:r>
              <w:rPr>
                <w:color w:val="231F20"/>
                <w:spacing w:val="-1"/>
              </w:rPr>
              <w:t>60）</w:t>
            </w:r>
          </w:p>
        </w:tc>
        <w:tc>
          <w:tcPr>
            <w:tcW w:w="179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43"/>
              <w:spacing w:before="10" w:line="184" w:lineRule="auto"/>
              <w:rPr/>
            </w:pPr>
            <w:r>
              <w:rPr>
                <w:color w:val="231F20"/>
                <w:spacing w:val="-3"/>
              </w:rPr>
              <w:t>24   25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3"/>
              </w:rPr>
              <w:t>8    3</w:t>
            </w:r>
          </w:p>
        </w:tc>
        <w:tc>
          <w:tcPr>
            <w:tcW w:w="155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0"/>
              <w:spacing w:before="10" w:line="184" w:lineRule="auto"/>
              <w:rPr/>
            </w:pPr>
            <w:r>
              <w:rPr>
                <w:color w:val="231F20"/>
                <w:spacing w:val="-1"/>
              </w:rPr>
              <w:t>95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00</w:t>
            </w:r>
            <w:r>
              <w:rPr>
                <w:color w:val="231F20"/>
                <w:spacing w:val="3"/>
              </w:rPr>
              <w:t>％（</w:t>
            </w:r>
            <w:r>
              <w:rPr>
                <w:color w:val="231F20"/>
                <w:spacing w:val="-1"/>
              </w:rPr>
              <w:t>57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/</w:t>
            </w:r>
            <w:r>
              <w:rPr>
                <w:color w:val="231F20"/>
                <w:spacing w:val="-1"/>
              </w:rPr>
              <w:t>60）</w:t>
            </w:r>
          </w:p>
        </w:tc>
      </w:tr>
      <w:tr>
        <w:trPr>
          <w:trHeight w:val="189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19"/>
              <w:spacing w:line="206" w:lineRule="auto"/>
              <w:rPr/>
            </w:pPr>
            <w:r>
              <w:rPr>
                <w:color w:val="231F20"/>
              </w:rPr>
              <w:t>对照组（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=</w:t>
            </w:r>
            <w:r>
              <w:rPr>
                <w:color w:val="231F20"/>
              </w:rPr>
              <w:t>60）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356"/>
              <w:spacing w:before="24" w:line="178" w:lineRule="auto"/>
              <w:rPr/>
            </w:pPr>
            <w:r>
              <w:rPr>
                <w:color w:val="231F20"/>
                <w:spacing w:val="-6"/>
              </w:rPr>
              <w:t>16</w:t>
            </w:r>
            <w:r>
              <w:rPr>
                <w:color w:val="231F20"/>
                <w:spacing w:val="37"/>
              </w:rPr>
              <w:t xml:space="preserve">  </w:t>
            </w:r>
            <w:r>
              <w:rPr>
                <w:color w:val="231F20"/>
                <w:spacing w:val="-6"/>
              </w:rPr>
              <w:t>23</w:t>
            </w:r>
            <w:r>
              <w:rPr>
                <w:color w:val="231F20"/>
                <w:spacing w:val="10"/>
              </w:rPr>
              <w:t xml:space="preserve">   </w:t>
            </w:r>
            <w:r>
              <w:rPr>
                <w:color w:val="231F20"/>
                <w:spacing w:val="-6"/>
              </w:rPr>
              <w:t>7</w:t>
            </w:r>
            <w:r>
              <w:rPr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-6"/>
              </w:rPr>
              <w:t>14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169"/>
              <w:spacing w:before="24" w:line="178" w:lineRule="auto"/>
              <w:rPr/>
            </w:pPr>
            <w:r>
              <w:rPr>
                <w:color w:val="231F20"/>
                <w:spacing w:val="-1"/>
              </w:rPr>
              <w:t>76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67</w:t>
            </w:r>
            <w:r>
              <w:rPr>
                <w:color w:val="231F20"/>
                <w:spacing w:val="4"/>
              </w:rPr>
              <w:t>％（</w:t>
            </w:r>
            <w:r>
              <w:rPr>
                <w:color w:val="231F20"/>
                <w:spacing w:val="-1"/>
              </w:rPr>
              <w:t>46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/</w:t>
            </w:r>
            <w:r>
              <w:rPr>
                <w:color w:val="231F20"/>
                <w:spacing w:val="-1"/>
              </w:rPr>
              <w:t>60）</w:t>
            </w:r>
          </w:p>
        </w:tc>
      </w:tr>
      <w:tr>
        <w:trPr>
          <w:trHeight w:val="191" w:hRule="atLeast"/>
        </w:trPr>
        <w:tc>
          <w:tcPr>
            <w:tcW w:w="1334" w:type="dxa"/>
            <w:vAlign w:val="top"/>
          </w:tcPr>
          <w:p>
            <w:pPr>
              <w:pStyle w:val="TableText"/>
              <w:ind w:left="22"/>
              <w:spacing w:before="24" w:line="171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8"/>
                <w:position w:val="1"/>
              </w:rPr>
              <w:t>χ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8"/>
                <w:position w:val="5"/>
              </w:rPr>
              <w:t>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9"/>
                <w:w w:val="102"/>
                <w:position w:val="5"/>
              </w:rPr>
              <w:t xml:space="preserve"> </w:t>
            </w:r>
            <w:r>
              <w:rPr>
                <w:color w:val="231F20"/>
                <w:spacing w:val="8"/>
                <w:position w:val="-1"/>
              </w:rPr>
              <w:t>值</w:t>
            </w:r>
          </w:p>
        </w:tc>
        <w:tc>
          <w:tcPr>
            <w:tcW w:w="1790" w:type="dxa"/>
            <w:vAlign w:val="top"/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53" w:type="dxa"/>
            <w:vAlign w:val="top"/>
          </w:tcPr>
          <w:p>
            <w:pPr>
              <w:pStyle w:val="TableText"/>
              <w:ind w:left="593"/>
              <w:spacing w:before="30" w:line="174" w:lineRule="auto"/>
              <w:rPr/>
            </w:pPr>
            <w:r>
              <w:rPr>
                <w:color w:val="231F20"/>
                <w:spacing w:val="-2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292</w:t>
            </w:r>
          </w:p>
        </w:tc>
      </w:tr>
      <w:tr>
        <w:trPr>
          <w:trHeight w:val="201" w:hRule="atLeast"/>
        </w:trPr>
        <w:tc>
          <w:tcPr>
            <w:tcW w:w="1334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3"/>
              <w:spacing w:before="28" w:line="18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"/>
              </w:rPr>
              <w:t>P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790" w:type="dxa"/>
            <w:vAlign w:val="top"/>
            <w:tcBorders>
              <w:bottom w:val="single" w:color="231F20" w:sz="8" w:space="0"/>
            </w:tcBorders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155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90"/>
              <w:spacing w:before="32" w:line="183" w:lineRule="auto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004</w:t>
            </w:r>
          </w:p>
        </w:tc>
      </w:tr>
    </w:tbl>
    <w:p>
      <w:pPr>
        <w:pStyle w:val="BodyText"/>
        <w:ind w:left="1120"/>
        <w:spacing w:before="220" w:line="23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表</w:t>
      </w:r>
      <w:r>
        <w:rPr>
          <w:sz w:val="17"/>
          <w:szCs w:val="17"/>
          <w:b/>
          <w:bCs/>
          <w:color w:val="231F20"/>
        </w:rPr>
        <w:t>5    </w:t>
      </w:r>
      <w:r>
        <w:rPr>
          <w:rFonts w:ascii="SimHei" w:hAnsi="SimHei" w:eastAsia="SimHei" w:cs="SimHei"/>
          <w:sz w:val="17"/>
          <w:szCs w:val="17"/>
          <w:color w:val="231F20"/>
        </w:rPr>
        <w:t>两组急性盆腔炎患者不良反应比较</w:t>
      </w:r>
      <w:r>
        <w:rPr>
          <w:rFonts w:ascii="SimHei" w:hAnsi="SimHei" w:eastAsia="SimHei" w:cs="SimHei"/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b/>
          <w:bCs/>
          <w:color w:val="231F20"/>
        </w:rPr>
        <w:t>[ </w:t>
      </w:r>
      <w:r>
        <w:rPr>
          <w:sz w:val="17"/>
          <w:szCs w:val="17"/>
          <w:i/>
          <w:iCs/>
          <w:color w:val="231F20"/>
        </w:rPr>
        <w:t>n</w:t>
      </w:r>
      <w:r>
        <w:rPr>
          <w:sz w:val="17"/>
          <w:szCs w:val="17"/>
          <w:i/>
          <w:iCs/>
          <w:color w:val="231F20"/>
          <w:spacing w:val="-1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(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％</w:t>
      </w:r>
      <w:r>
        <w:rPr>
          <w:sz w:val="17"/>
          <w:szCs w:val="17"/>
          <w:b/>
          <w:bCs/>
          <w:color w:val="231F20"/>
          <w:spacing w:val="-1"/>
        </w:rPr>
        <w:t>) ]</w:t>
      </w:r>
    </w:p>
    <w:p>
      <w:pPr>
        <w:spacing w:line="73" w:lineRule="exact"/>
        <w:rPr/>
      </w:pPr>
      <w:r/>
    </w:p>
    <w:tbl>
      <w:tblPr>
        <w:tblStyle w:val="TableNormal"/>
        <w:tblW w:w="4677" w:type="dxa"/>
        <w:tblInd w:w="5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1"/>
        <w:gridCol w:w="536"/>
        <w:gridCol w:w="647"/>
        <w:gridCol w:w="454"/>
        <w:gridCol w:w="469"/>
        <w:gridCol w:w="1380"/>
      </w:tblGrid>
      <w:tr>
        <w:trPr>
          <w:trHeight w:val="358" w:hRule="atLeast"/>
        </w:trPr>
        <w:tc>
          <w:tcPr>
            <w:tcW w:w="119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0"/>
              <w:spacing w:before="3" w:line="241" w:lineRule="auto"/>
              <w:rPr/>
            </w:pPr>
            <w:r>
              <w:rPr>
                <w:color w:val="231F20"/>
                <w:spacing w:val="-1"/>
              </w:rPr>
              <w:t>分组</w:t>
            </w:r>
          </w:p>
        </w:tc>
        <w:tc>
          <w:tcPr>
            <w:tcW w:w="536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18"/>
              <w:spacing w:before="3" w:line="241" w:lineRule="auto"/>
              <w:rPr/>
            </w:pPr>
            <w:r>
              <w:rPr>
                <w:color w:val="231F20"/>
                <w:spacing w:val="-1"/>
              </w:rPr>
              <w:t>皮疹</w:t>
            </w:r>
          </w:p>
        </w:tc>
        <w:tc>
          <w:tcPr>
            <w:tcW w:w="647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61" w:right="88" w:hanging="57"/>
              <w:spacing w:before="3" w:line="199" w:lineRule="auto"/>
              <w:rPr/>
            </w:pPr>
            <w:r>
              <w:rPr>
                <w:color w:val="231F20"/>
                <w:spacing w:val="-9"/>
              </w:rPr>
              <w:t>胃肠道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不适</w:t>
            </w:r>
          </w:p>
        </w:tc>
        <w:tc>
          <w:tcPr>
            <w:tcW w:w="454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96"/>
              <w:spacing w:before="3" w:line="207" w:lineRule="auto"/>
              <w:rPr/>
            </w:pPr>
            <w:r>
              <w:rPr>
                <w:color w:val="231F20"/>
                <w:spacing w:val="-2"/>
              </w:rPr>
              <w:t>头晕</w:t>
            </w:r>
          </w:p>
          <w:p>
            <w:pPr>
              <w:pStyle w:val="TableText"/>
              <w:ind w:left="96"/>
              <w:spacing w:line="190" w:lineRule="auto"/>
              <w:rPr/>
            </w:pPr>
            <w:r>
              <w:rPr>
                <w:color w:val="231F20"/>
                <w:spacing w:val="-2"/>
              </w:rPr>
              <w:t>头痛</w:t>
            </w:r>
          </w:p>
        </w:tc>
        <w:tc>
          <w:tcPr>
            <w:tcW w:w="469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0"/>
              <w:spacing w:before="3"/>
              <w:rPr/>
            </w:pPr>
            <w:r>
              <w:rPr>
                <w:color w:val="231F20"/>
                <w:spacing w:val="-1"/>
              </w:rPr>
              <w:t>腹痛</w:t>
            </w:r>
          </w:p>
        </w:tc>
        <w:tc>
          <w:tcPr>
            <w:tcW w:w="138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345"/>
              <w:spacing w:before="3" w:line="207" w:lineRule="auto"/>
              <w:rPr/>
            </w:pPr>
            <w:r>
              <w:rPr>
                <w:color w:val="231F20"/>
                <w:spacing w:val="-1"/>
              </w:rPr>
              <w:t>不良反应</w:t>
            </w:r>
          </w:p>
          <w:p>
            <w:pPr>
              <w:pStyle w:val="TableText"/>
              <w:ind w:left="111"/>
              <w:spacing w:line="190" w:lineRule="auto"/>
              <w:rPr/>
            </w:pPr>
            <w:r>
              <w:rPr>
                <w:color w:val="231F20"/>
                <w:spacing w:val="12"/>
              </w:rPr>
              <w:t>总发生率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12"/>
              </w:rPr>
              <w:t>(%)</w:t>
            </w:r>
          </w:p>
        </w:tc>
      </w:tr>
      <w:tr>
        <w:trPr>
          <w:trHeight w:val="180" w:hRule="atLeast"/>
        </w:trPr>
        <w:tc>
          <w:tcPr>
            <w:tcW w:w="119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3"/>
              <w:spacing w:line="196" w:lineRule="auto"/>
              <w:rPr/>
            </w:pPr>
            <w:r>
              <w:rPr>
                <w:color w:val="231F20"/>
                <w:spacing w:val="-1"/>
              </w:rPr>
              <w:t>观察组（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=</w:t>
            </w:r>
            <w:r>
              <w:rPr>
                <w:color w:val="231F20"/>
                <w:spacing w:val="-1"/>
              </w:rPr>
              <w:t>60）</w:t>
            </w:r>
          </w:p>
        </w:tc>
        <w:tc>
          <w:tcPr>
            <w:tcW w:w="53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39"/>
              <w:spacing w:before="13" w:line="181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64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96"/>
              <w:spacing w:before="13" w:line="181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45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28"/>
              <w:spacing w:before="13" w:line="181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46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85"/>
              <w:spacing w:before="13" w:line="181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38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46"/>
              <w:spacing w:before="13" w:line="181" w:lineRule="auto"/>
              <w:rPr/>
            </w:pPr>
            <w:r>
              <w:rPr>
                <w:color w:val="231F20"/>
                <w:spacing w:val="-1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00</w:t>
            </w:r>
            <w:r>
              <w:rPr>
                <w:color w:val="231F20"/>
                <w:spacing w:val="3"/>
              </w:rPr>
              <w:t>％（</w:t>
            </w:r>
            <w:r>
              <w:rPr>
                <w:color w:val="231F20"/>
                <w:spacing w:val="-1"/>
              </w:rPr>
              <w:t>3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/</w:t>
            </w:r>
            <w:r>
              <w:rPr>
                <w:color w:val="231F20"/>
                <w:spacing w:val="-1"/>
              </w:rPr>
              <w:t>60）</w:t>
            </w:r>
          </w:p>
        </w:tc>
      </w:tr>
      <w:tr>
        <w:trPr>
          <w:trHeight w:val="189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19"/>
              <w:spacing w:line="206" w:lineRule="auto"/>
              <w:rPr/>
            </w:pPr>
            <w:r>
              <w:rPr>
                <w:color w:val="231F20"/>
              </w:rPr>
              <w:t>对照组（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=</w:t>
            </w:r>
            <w:r>
              <w:rPr>
                <w:color w:val="231F20"/>
              </w:rPr>
              <w:t>60）</w:t>
            </w:r>
          </w:p>
        </w:tc>
        <w:tc>
          <w:tcPr>
            <w:tcW w:w="536" w:type="dxa"/>
            <w:vAlign w:val="top"/>
          </w:tcPr>
          <w:p>
            <w:pPr>
              <w:pStyle w:val="TableText"/>
              <w:ind w:left="253"/>
              <w:spacing w:before="27" w:line="175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647" w:type="dxa"/>
            <w:vAlign w:val="top"/>
          </w:tcPr>
          <w:p>
            <w:pPr>
              <w:pStyle w:val="TableText"/>
              <w:ind w:left="283"/>
              <w:spacing w:before="27" w:line="175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215"/>
              <w:spacing w:before="27" w:line="175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72"/>
              <w:spacing w:before="27" w:line="175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119"/>
              <w:spacing w:before="27" w:line="175" w:lineRule="auto"/>
              <w:rPr/>
            </w:pPr>
            <w:r>
              <w:rPr>
                <w:color w:val="231F20"/>
                <w:spacing w:val="-2"/>
              </w:rPr>
              <w:t>11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67</w:t>
            </w:r>
            <w:r>
              <w:rPr>
                <w:color w:val="231F20"/>
                <w:spacing w:val="1"/>
              </w:rPr>
              <w:t>％（</w:t>
            </w:r>
            <w:r>
              <w:rPr>
                <w:color w:val="231F20"/>
                <w:spacing w:val="-2"/>
              </w:rPr>
              <w:t>7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/</w:t>
            </w:r>
            <w:r>
              <w:rPr>
                <w:color w:val="231F20"/>
                <w:spacing w:val="-2"/>
              </w:rPr>
              <w:t>60）</w:t>
            </w:r>
          </w:p>
        </w:tc>
      </w:tr>
      <w:tr>
        <w:trPr>
          <w:trHeight w:val="192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22"/>
              <w:spacing w:before="27" w:line="169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8"/>
                <w:position w:val="1"/>
              </w:rPr>
              <w:t>χ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8"/>
                <w:position w:val="5"/>
              </w:rPr>
              <w:t>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9"/>
                <w:w w:val="102"/>
                <w:position w:val="5"/>
              </w:rPr>
              <w:t xml:space="preserve"> </w:t>
            </w:r>
            <w:r>
              <w:rPr>
                <w:color w:val="231F20"/>
                <w:spacing w:val="8"/>
                <w:position w:val="-1"/>
              </w:rPr>
              <w:t>值</w:t>
            </w:r>
          </w:p>
        </w:tc>
        <w:tc>
          <w:tcPr>
            <w:tcW w:w="536" w:type="dxa"/>
            <w:vAlign w:val="top"/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  <w:tc>
          <w:tcPr>
            <w:tcW w:w="647" w:type="dxa"/>
            <w:vAlign w:val="top"/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  <w:tc>
          <w:tcPr>
            <w:tcW w:w="454" w:type="dxa"/>
            <w:vAlign w:val="top"/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  <w:tc>
          <w:tcPr>
            <w:tcW w:w="1380" w:type="dxa"/>
            <w:vAlign w:val="top"/>
          </w:tcPr>
          <w:p>
            <w:pPr>
              <w:pStyle w:val="TableText"/>
              <w:ind w:left="487"/>
              <w:spacing w:before="32" w:line="173" w:lineRule="auto"/>
              <w:rPr/>
            </w:pPr>
            <w:r>
              <w:rPr>
                <w:color w:val="231F20"/>
                <w:spacing w:val="-2"/>
              </w:rPr>
              <w:t>2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745</w:t>
            </w:r>
          </w:p>
        </w:tc>
      </w:tr>
      <w:tr>
        <w:trPr>
          <w:trHeight w:val="202" w:hRule="atLeast"/>
        </w:trPr>
        <w:tc>
          <w:tcPr>
            <w:tcW w:w="119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3"/>
              <w:spacing w:before="29" w:line="18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"/>
              </w:rPr>
              <w:t>P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536" w:type="dxa"/>
            <w:vAlign w:val="top"/>
            <w:tcBorders>
              <w:bottom w:val="single" w:color="231F20" w:sz="8" w:space="0"/>
            </w:tcBorders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647" w:type="dxa"/>
            <w:vAlign w:val="top"/>
            <w:tcBorders>
              <w:bottom w:val="single" w:color="231F20" w:sz="8" w:space="0"/>
            </w:tcBorders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454" w:type="dxa"/>
            <w:vAlign w:val="top"/>
            <w:tcBorders>
              <w:bottom w:val="single" w:color="231F20" w:sz="8" w:space="0"/>
            </w:tcBorders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469" w:type="dxa"/>
            <w:vAlign w:val="top"/>
            <w:tcBorders>
              <w:bottom w:val="single" w:color="231F20" w:sz="8" w:space="0"/>
            </w:tcBorders>
          </w:tcPr>
          <w:p>
            <w:pPr>
              <w:spacing w:line="191" w:lineRule="exact"/>
              <w:rPr>
                <w:rFonts w:ascii="Arial"/>
                <w:sz w:val="16"/>
              </w:rPr>
            </w:pPr>
            <w:r/>
          </w:p>
        </w:tc>
        <w:tc>
          <w:tcPr>
            <w:tcW w:w="1380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486"/>
              <w:spacing w:before="33" w:line="183" w:lineRule="auto"/>
              <w:rPr/>
            </w:pPr>
            <w:r>
              <w:rPr>
                <w:color w:val="231F20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186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" w:firstLine="112"/>
        <w:spacing w:before="212" w:line="32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进</w:t>
      </w:r>
      <w:r>
        <w:rPr>
          <w:rFonts w:ascii="SimSun" w:hAnsi="SimSun" w:eastAsia="SimSun" w:cs="SimSun"/>
          <w:color w:val="231F20"/>
          <w:spacing w:val="-52"/>
        </w:rPr>
        <w:t xml:space="preserve"> </w:t>
      </w:r>
      <w:r>
        <w:rPr>
          <w:color w:val="231F20"/>
          <w:spacing w:val="-1"/>
        </w:rPr>
        <w:t>Th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1</w:t>
      </w:r>
      <w:r>
        <w:rPr>
          <w:rFonts w:ascii="SimSun" w:hAnsi="SimSun" w:eastAsia="SimSun" w:cs="SimSun"/>
          <w:color w:val="231F20"/>
          <w:spacing w:val="-55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细胞的分化和增殖，增强</w:t>
      </w:r>
      <w:r>
        <w:rPr>
          <w:rFonts w:ascii="SimSun" w:hAnsi="SimSun" w:eastAsia="SimSun" w:cs="SimSun"/>
          <w:color w:val="231F20"/>
          <w:spacing w:val="-59"/>
        </w:rPr>
        <w:t xml:space="preserve"> </w:t>
      </w:r>
      <w:r>
        <w:rPr>
          <w:color w:val="231F20"/>
          <w:spacing w:val="-1"/>
        </w:rPr>
        <w:t>Th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1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的细胞毒性，促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进炎症的进展</w:t>
      </w:r>
      <w:r>
        <w:rPr>
          <w:rFonts w:ascii="SimSun" w:hAnsi="SimSun" w:eastAsia="SimSun" w:cs="SimSun"/>
          <w:color w:val="231F20"/>
          <w:spacing w:val="-53"/>
        </w:rPr>
        <w:t xml:space="preserve"> </w:t>
      </w:r>
      <w:r>
        <w:rPr>
          <w:sz w:val="11"/>
          <w:szCs w:val="11"/>
          <w:color w:val="231F20"/>
          <w:spacing w:val="7"/>
          <w:position w:val="9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7"/>
          <w:position w:val="9"/>
        </w:rPr>
        <w:t>8</w:t>
      </w:r>
      <w:r>
        <w:rPr>
          <w:sz w:val="11"/>
          <w:szCs w:val="11"/>
          <w:color w:val="231F20"/>
          <w:spacing w:val="7"/>
          <w:position w:val="9"/>
        </w:rPr>
        <w:t>] </w:t>
      </w:r>
      <w:r>
        <w:rPr>
          <w:rFonts w:ascii="SimSun" w:hAnsi="SimSun" w:eastAsia="SimSun" w:cs="SimSun"/>
          <w:color w:val="231F20"/>
          <w:spacing w:val="7"/>
        </w:rPr>
        <w:t>。本研究结果显示，治疗后，炎症指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标均改善（</w:t>
      </w:r>
      <w:r>
        <w:rPr>
          <w:i/>
          <w:iCs/>
          <w:color w:val="231F20"/>
          <w:spacing w:val="1"/>
        </w:rPr>
        <w:t>P</w:t>
      </w:r>
      <w:r>
        <w:rPr>
          <w:rFonts w:ascii="SimSun" w:hAnsi="SimSun" w:eastAsia="SimSun" w:cs="SimSun"/>
          <w:color w:val="231F20"/>
          <w:spacing w:val="1"/>
        </w:rPr>
        <w:t>＜0</w:t>
      </w:r>
      <w:r>
        <w:rPr>
          <w:color w:val="231F20"/>
          <w:spacing w:val="1"/>
        </w:rPr>
        <w:t>.</w:t>
      </w:r>
      <w:r>
        <w:rPr>
          <w:rFonts w:ascii="SimSun" w:hAnsi="SimSun" w:eastAsia="SimSun" w:cs="SimSun"/>
          <w:color w:val="231F20"/>
          <w:spacing w:val="1"/>
        </w:rPr>
        <w:t>001</w:t>
      </w:r>
      <w:r>
        <w:rPr>
          <w:rFonts w:ascii="SimSun" w:hAnsi="SimSun" w:eastAsia="SimSun" w:cs="SimSun"/>
          <w:color w:val="231F20"/>
          <w:spacing w:val="-40"/>
        </w:rPr>
        <w:t>），</w:t>
      </w:r>
      <w:r>
        <w:rPr>
          <w:rFonts w:ascii="SimSun" w:hAnsi="SimSun" w:eastAsia="SimSun" w:cs="SimSun"/>
          <w:color w:val="231F20"/>
          <w:spacing w:val="1"/>
        </w:rPr>
        <w:t>其中，观察组</w:t>
      </w:r>
      <w:r>
        <w:rPr>
          <w:color w:val="231F20"/>
        </w:rPr>
        <w:t>CRP</w:t>
      </w:r>
      <w:r>
        <w:rPr>
          <w:rFonts w:ascii="SimSun" w:hAnsi="SimSun" w:eastAsia="SimSun" w:cs="SimSun"/>
          <w:color w:val="231F20"/>
          <w:spacing w:val="1"/>
        </w:rPr>
        <w:t>、</w:t>
      </w:r>
      <w:r>
        <w:rPr>
          <w:color w:val="231F20"/>
        </w:rPr>
        <w:t>IL</w:t>
      </w:r>
      <w:r>
        <w:rPr>
          <w:rFonts w:ascii="SimSun" w:hAnsi="SimSun" w:eastAsia="SimSun" w:cs="SimSun"/>
          <w:color w:val="231F20"/>
          <w:spacing w:val="1"/>
        </w:rPr>
        <w:t>-18水平 </w:t>
      </w:r>
      <w:r>
        <w:rPr>
          <w:rFonts w:ascii="SimSun" w:hAnsi="SimSun" w:eastAsia="SimSun" w:cs="SimSun"/>
          <w:color w:val="231F20"/>
          <w:spacing w:val="7"/>
        </w:rPr>
        <w:t>低于对照组（</w:t>
      </w:r>
      <w:r>
        <w:rPr>
          <w:color w:val="231F20"/>
          <w:spacing w:val="7"/>
        </w:rPr>
        <w:t>P</w:t>
      </w:r>
      <w:r>
        <w:rPr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均＜0</w:t>
      </w:r>
      <w:r>
        <w:rPr>
          <w:color w:val="231F20"/>
          <w:spacing w:val="7"/>
        </w:rPr>
        <w:t>.</w:t>
      </w:r>
      <w:r>
        <w:rPr>
          <w:rFonts w:ascii="SimSun" w:hAnsi="SimSun" w:eastAsia="SimSun" w:cs="SimSun"/>
          <w:color w:val="231F20"/>
          <w:spacing w:val="7"/>
        </w:rPr>
        <w:t>001</w:t>
      </w:r>
      <w:r>
        <w:rPr>
          <w:rFonts w:ascii="SimSun" w:hAnsi="SimSun" w:eastAsia="SimSun" w:cs="SimSun"/>
          <w:color w:val="231F20"/>
          <w:spacing w:val="-28"/>
        </w:rPr>
        <w:t>），</w:t>
      </w:r>
      <w:r>
        <w:rPr>
          <w:color w:val="231F20"/>
        </w:rPr>
        <w:t>TGF</w:t>
      </w:r>
      <w:r>
        <w:rPr>
          <w:rFonts w:ascii="SimSun" w:hAnsi="SimSun" w:eastAsia="SimSun" w:cs="SimSun"/>
          <w:color w:val="231F20"/>
          <w:spacing w:val="7"/>
        </w:rPr>
        <w:t>-β水平高于对照组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（</w:t>
      </w:r>
      <w:r>
        <w:rPr>
          <w:i/>
          <w:iCs/>
          <w:color w:val="231F20"/>
        </w:rPr>
        <w:t>P</w:t>
      </w:r>
      <w:r>
        <w:rPr>
          <w:rFonts w:ascii="SimSun" w:hAnsi="SimSun" w:eastAsia="SimSun" w:cs="SimSun"/>
          <w:color w:val="231F20"/>
        </w:rPr>
        <w:t>＜0</w:t>
      </w:r>
      <w:r>
        <w:rPr>
          <w:color w:val="231F20"/>
        </w:rPr>
        <w:t>.</w:t>
      </w:r>
      <w:r>
        <w:rPr>
          <w:rFonts w:ascii="SimSun" w:hAnsi="SimSun" w:eastAsia="SimSun" w:cs="SimSun"/>
          <w:color w:val="231F20"/>
        </w:rPr>
        <w:t>001）。说明盐酸克林霉素可有效抑制炎症的进</w:t>
      </w:r>
      <w:r>
        <w:rPr>
          <w:rFonts w:ascii="SimSun" w:hAnsi="SimSun" w:eastAsia="SimSun" w:cs="SimSun"/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展。研究还发现，观察组白带、月经恢复正常的时间， </w:t>
      </w:r>
      <w:r>
        <w:rPr>
          <w:rFonts w:ascii="SimSun" w:hAnsi="SimSun" w:eastAsia="SimSun" w:cs="SimSun"/>
          <w:color w:val="231F20"/>
          <w:spacing w:val="8"/>
        </w:rPr>
        <w:t>以及子宫压痛、腰骶疼痛、下腹坠胀消失时间均短于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对照组。观察组临床总有效率95</w:t>
      </w:r>
      <w:r>
        <w:rPr>
          <w:color w:val="231F20"/>
          <w:spacing w:val="7"/>
        </w:rPr>
        <w:t>.</w:t>
      </w:r>
      <w:r>
        <w:rPr>
          <w:rFonts w:ascii="SimSun" w:hAnsi="SimSun" w:eastAsia="SimSun" w:cs="SimSun"/>
          <w:color w:val="231F20"/>
          <w:spacing w:val="7"/>
        </w:rPr>
        <w:t>00</w:t>
      </w:r>
      <w:r>
        <w:rPr>
          <w:rFonts w:ascii="SimSun" w:hAnsi="SimSun" w:eastAsia="SimSun" w:cs="SimSun"/>
          <w:color w:val="231F20"/>
          <w:spacing w:val="-24"/>
        </w:rPr>
        <w:t>％（</w:t>
      </w:r>
      <w:r>
        <w:rPr>
          <w:rFonts w:ascii="SimSun" w:hAnsi="SimSun" w:eastAsia="SimSun" w:cs="SimSun"/>
          <w:color w:val="231F20"/>
          <w:spacing w:val="7"/>
        </w:rPr>
        <w:t>57</w:t>
      </w:r>
      <w:r>
        <w:rPr>
          <w:color w:val="231F20"/>
          <w:spacing w:val="7"/>
        </w:rPr>
        <w:t>/</w:t>
      </w:r>
      <w:r>
        <w:rPr>
          <w:rFonts w:ascii="SimSun" w:hAnsi="SimSun" w:eastAsia="SimSun" w:cs="SimSun"/>
          <w:color w:val="231F20"/>
          <w:spacing w:val="7"/>
        </w:rPr>
        <w:t>60</w:t>
      </w:r>
      <w:r>
        <w:rPr>
          <w:rFonts w:ascii="SimSun" w:hAnsi="SimSun" w:eastAsia="SimSun" w:cs="SimSun"/>
          <w:color w:val="231F20"/>
          <w:spacing w:val="-24"/>
        </w:rPr>
        <w:t>），</w:t>
      </w:r>
      <w:r>
        <w:rPr>
          <w:rFonts w:ascii="SimSun" w:hAnsi="SimSun" w:eastAsia="SimSun" w:cs="SimSun"/>
          <w:color w:val="231F20"/>
          <w:spacing w:val="7"/>
        </w:rPr>
        <w:t>高于</w:t>
      </w:r>
    </w:p>
    <w:p>
      <w:pPr>
        <w:spacing w:line="323" w:lineRule="auto"/>
        <w:sectPr>
          <w:type w:val="continuous"/>
          <w:pgSz w:w="11906" w:h="16838"/>
          <w:pgMar w:top="1201" w:right="1053" w:bottom="0" w:left="424" w:header="863" w:footer="0" w:gutter="0"/>
          <w:cols w:equalWidth="0" w:num="2">
            <w:col w:w="5462" w:space="100"/>
            <w:col w:w="4867" w:space="0"/>
          </w:cols>
        </w:sectPr>
        <w:rPr>
          <w:rFonts w:ascii="SimSun" w:hAnsi="SimSun" w:eastAsia="SimSun" w:cs="SimSun"/>
        </w:rPr>
      </w:pP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4"/>
          <w:pgSz w:w="11906" w:h="16838"/>
          <w:pgMar w:top="1201" w:right="1000" w:bottom="0" w:left="424" w:header="863" w:footer="0" w:gutter="0"/>
          <w:cols w:equalWidth="0" w:num="1">
            <w:col w:w="10482" w:space="0"/>
          </w:cols>
        </w:sectPr>
        <w:rPr/>
      </w:pPr>
    </w:p>
    <w:p>
      <w:pPr>
        <w:pStyle w:val="BodyText"/>
        <w:ind w:left="713" w:right="297"/>
        <w:spacing w:before="46" w:line="32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对照组的76</w:t>
      </w:r>
      <w:r>
        <w:rPr>
          <w:color w:val="231F20"/>
        </w:rPr>
        <w:t>.</w:t>
      </w:r>
      <w:r>
        <w:rPr>
          <w:rFonts w:ascii="SimSun" w:hAnsi="SimSun" w:eastAsia="SimSun" w:cs="SimSun"/>
          <w:color w:val="231F20"/>
        </w:rPr>
        <w:t>67</w:t>
      </w:r>
      <w:r>
        <w:rPr>
          <w:rFonts w:ascii="SimSun" w:hAnsi="SimSun" w:eastAsia="SimSun" w:cs="SimSun"/>
          <w:color w:val="231F20"/>
          <w:spacing w:val="-17"/>
        </w:rPr>
        <w:t>％（</w:t>
      </w:r>
      <w:r>
        <w:rPr>
          <w:rFonts w:ascii="SimSun" w:hAnsi="SimSun" w:eastAsia="SimSun" w:cs="SimSun"/>
          <w:color w:val="231F20"/>
        </w:rPr>
        <w:t>46</w:t>
      </w:r>
      <w:r>
        <w:rPr>
          <w:color w:val="231F20"/>
        </w:rPr>
        <w:t>/</w:t>
      </w:r>
      <w:r>
        <w:rPr>
          <w:rFonts w:ascii="SimSun" w:hAnsi="SimSun" w:eastAsia="SimSun" w:cs="SimSun"/>
          <w:color w:val="231F20"/>
        </w:rPr>
        <w:t>60）。观察组不良反应总发生率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与对照组相比差异不显著（</w:t>
      </w:r>
      <w:r>
        <w:rPr>
          <w:i/>
          <w:iCs/>
          <w:color w:val="231F20"/>
          <w:spacing w:val="-2"/>
        </w:rPr>
        <w:t>P </w:t>
      </w:r>
      <w:r>
        <w:rPr>
          <w:rFonts w:ascii="SimSun" w:hAnsi="SimSun" w:eastAsia="SimSun" w:cs="SimSun"/>
          <w:color w:val="231F20"/>
          <w:spacing w:val="-2"/>
        </w:rPr>
        <w:t>＞0</w:t>
      </w:r>
      <w:r>
        <w:rPr>
          <w:color w:val="231F20"/>
          <w:spacing w:val="-2"/>
        </w:rPr>
        <w:t>.</w:t>
      </w:r>
      <w:r>
        <w:rPr>
          <w:rFonts w:ascii="SimSun" w:hAnsi="SimSun" w:eastAsia="SimSun" w:cs="SimSun"/>
          <w:color w:val="231F20"/>
          <w:spacing w:val="-2"/>
        </w:rPr>
        <w:t>05）。以上结果均说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明盐酸克林霉素具有较强的抗菌活性和较高的安全</w:t>
      </w:r>
      <w:r>
        <w:rPr>
          <w:rFonts w:ascii="SimSun" w:hAnsi="SimSun" w:eastAsia="SimSun" w:cs="SimSun"/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性，与以往报道一致</w:t>
      </w:r>
      <w:r>
        <w:rPr>
          <w:sz w:val="11"/>
          <w:szCs w:val="11"/>
          <w:color w:val="231F20"/>
          <w:spacing w:val="-2"/>
          <w:position w:val="8"/>
        </w:rPr>
        <w:t>[</w:t>
      </w:r>
      <w:r>
        <w:rPr>
          <w:rFonts w:ascii="SimSun" w:hAnsi="SimSun" w:eastAsia="SimSun" w:cs="SimSun"/>
          <w:sz w:val="11"/>
          <w:szCs w:val="11"/>
          <w:color w:val="231F20"/>
          <w:spacing w:val="-2"/>
          <w:position w:val="8"/>
        </w:rPr>
        <w:t>9</w:t>
      </w:r>
      <w:r>
        <w:rPr>
          <w:sz w:val="11"/>
          <w:szCs w:val="11"/>
          <w:color w:val="231F20"/>
          <w:spacing w:val="-2"/>
          <w:position w:val="8"/>
        </w:rPr>
        <w:t>]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ind w:left="710" w:right="297" w:firstLine="395"/>
        <w:spacing w:before="14" w:line="3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由于大部分急性盆腔炎是由厌氧菌为主的混合感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染引起，因此，在使用抗生素治疗时加入盐酸克林霉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素则能够有效实现更全面的抗菌效果。此外，盐酸克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林霉素还具有较好的组织穿透能力，能够迅速达到炎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症部位，发挥局部抗菌作用，这一特点对于盆腔炎这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种多发于深部组织的感染尤为重要。总体来看，炎症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因子的动态变化进一步证实了盐酸克林霉素在控制急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性盆腔炎中的积极作用。</w:t>
      </w:r>
    </w:p>
    <w:p>
      <w:pPr>
        <w:ind w:left="712" w:right="233" w:firstLine="368"/>
        <w:spacing w:before="1" w:line="3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综上所述，盐酸克林霉素可有效改善急性盆腔炎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的临床症状和体征，控制炎症的进展，且不良反应少，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疗效理想。</w:t>
      </w:r>
    </w:p>
    <w:p>
      <w:pPr>
        <w:ind w:left="611"/>
        <w:spacing w:before="167" w:line="24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【参考文献】</w:t>
      </w:r>
    </w:p>
    <w:p>
      <w:pPr>
        <w:pStyle w:val="BodyText"/>
        <w:ind w:left="715" w:right="298" w:firstLine="9"/>
        <w:spacing w:before="292" w:line="33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sz w:val="18"/>
          <w:szCs w:val="18"/>
          <w:color w:val="231F20"/>
        </w:rPr>
        <w:t>]      Okazaki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Y,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Tsujim</w:t>
      </w:r>
      <w:r>
        <w:rPr>
          <w:sz w:val="18"/>
          <w:szCs w:val="18"/>
          <w:color w:val="231F20"/>
          <w:spacing w:val="-1"/>
        </w:rPr>
        <w:t>oto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Y,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Yamada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K,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al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Diagnostic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accuracy of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</w:rPr>
        <w:t>pelvic imaging for acute pelvic inﬂammator</w:t>
      </w:r>
      <w:r>
        <w:rPr>
          <w:sz w:val="18"/>
          <w:szCs w:val="18"/>
          <w:color w:val="231F20"/>
          <w:spacing w:val="-1"/>
        </w:rPr>
        <w:t>y disease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emergency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care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setting: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systematic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review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meta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-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analysis[J].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Acute Med Surg, </w:t>
      </w:r>
      <w:r>
        <w:rPr>
          <w:rFonts w:ascii="SimSun" w:hAnsi="SimSun" w:eastAsia="SimSun" w:cs="SimSun"/>
          <w:sz w:val="18"/>
          <w:szCs w:val="18"/>
          <w:color w:val="231F20"/>
        </w:rPr>
        <w:t>2022</w:t>
      </w:r>
      <w:r>
        <w:rPr>
          <w:sz w:val="18"/>
          <w:szCs w:val="18"/>
          <w:color w:val="231F20"/>
        </w:rPr>
        <w:t>,</w:t>
      </w:r>
      <w:r>
        <w:rPr>
          <w:rFonts w:ascii="SimSun" w:hAnsi="SimSun" w:eastAsia="SimSun" w:cs="SimSun"/>
          <w:sz w:val="18"/>
          <w:szCs w:val="18"/>
          <w:color w:val="231F20"/>
        </w:rPr>
        <w:t>9</w:t>
      </w:r>
      <w:r>
        <w:rPr>
          <w:sz w:val="18"/>
          <w:szCs w:val="18"/>
          <w:color w:val="231F20"/>
        </w:rPr>
        <w:t>(</w:t>
      </w:r>
      <w:r>
        <w:rPr>
          <w:rFonts w:ascii="SimSun" w:hAnsi="SimSun" w:eastAsia="SimSun" w:cs="SimSun"/>
          <w:sz w:val="18"/>
          <w:szCs w:val="18"/>
          <w:color w:val="231F20"/>
        </w:rPr>
        <w:t>1</w:t>
      </w:r>
      <w:r>
        <w:rPr>
          <w:sz w:val="18"/>
          <w:szCs w:val="18"/>
          <w:color w:val="231F20"/>
        </w:rPr>
        <w:t>)</w:t>
      </w:r>
      <w:r>
        <w:rPr>
          <w:sz w:val="18"/>
          <w:szCs w:val="18"/>
          <w:color w:val="231F20"/>
          <w:spacing w:val="-1"/>
        </w:rPr>
        <w:t>: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806</w:t>
      </w:r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left="712" w:right="280" w:firstLine="11"/>
        <w:spacing w:before="130" w:line="2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sz w:val="18"/>
          <w:szCs w:val="18"/>
          <w:color w:val="231F20"/>
          <w:spacing w:val="5"/>
        </w:rPr>
        <w:t>]</w:t>
      </w:r>
      <w:r>
        <w:rPr>
          <w:sz w:val="18"/>
          <w:szCs w:val="18"/>
          <w:color w:val="231F20"/>
          <w:spacing w:val="9"/>
        </w:rPr>
        <w:t xml:space="preserve">     </w:t>
      </w:r>
      <w:r>
        <w:rPr>
          <w:sz w:val="18"/>
          <w:szCs w:val="18"/>
          <w:color w:val="231F20"/>
          <w:spacing w:val="5"/>
        </w:rPr>
        <w:t>Villanueva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5"/>
        </w:rPr>
        <w:t>DH,</w:t>
      </w:r>
      <w:r>
        <w:rPr>
          <w:sz w:val="18"/>
          <w:szCs w:val="18"/>
          <w:color w:val="231F20"/>
          <w:spacing w:val="43"/>
          <w:w w:val="102"/>
        </w:rPr>
        <w:t xml:space="preserve"> </w:t>
      </w:r>
      <w:r>
        <w:rPr>
          <w:sz w:val="18"/>
          <w:szCs w:val="18"/>
          <w:color w:val="231F20"/>
          <w:spacing w:val="5"/>
        </w:rPr>
        <w:t>St</w:t>
      </w:r>
      <w:r>
        <w:rPr>
          <w:sz w:val="18"/>
          <w:szCs w:val="18"/>
          <w:color w:val="231F20"/>
          <w:spacing w:val="4"/>
        </w:rPr>
        <w:t>aton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JP,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Gupte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AA.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Report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Haemophilus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10"/>
        </w:rPr>
        <w:t>influenzae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Bacteremia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0"/>
        </w:rPr>
        <w:t>With</w:t>
      </w:r>
      <w:r>
        <w:rPr>
          <w:sz w:val="18"/>
          <w:szCs w:val="18"/>
          <w:color w:val="231F20"/>
          <w:spacing w:val="31"/>
          <w:w w:val="102"/>
        </w:rPr>
        <w:t xml:space="preserve"> </w:t>
      </w:r>
      <w:r>
        <w:rPr>
          <w:sz w:val="18"/>
          <w:szCs w:val="18"/>
          <w:color w:val="231F20"/>
          <w:spacing w:val="10"/>
        </w:rPr>
        <w:t>Acute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0"/>
        </w:rPr>
        <w:t>Pelvic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51" w:line="22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Inﬂammatory Disease[J]. Cur</w:t>
      </w:r>
      <w:r>
        <w:rPr>
          <w:sz w:val="18"/>
          <w:szCs w:val="18"/>
          <w:color w:val="231F20"/>
          <w:spacing w:val="-1"/>
        </w:rPr>
        <w:t>eus,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2022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14</w:t>
      </w:r>
      <w:r>
        <w:rPr>
          <w:sz w:val="18"/>
          <w:szCs w:val="18"/>
          <w:color w:val="231F20"/>
          <w:spacing w:val="-1"/>
        </w:rPr>
        <w:t>(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9</w:t>
      </w:r>
      <w:r>
        <w:rPr>
          <w:sz w:val="18"/>
          <w:szCs w:val="18"/>
          <w:color w:val="231F20"/>
          <w:spacing w:val="-1"/>
        </w:rPr>
        <w:t>):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28970</w:t>
      </w:r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firstLine="13"/>
        <w:spacing w:before="130" w:line="35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  <w:spacing w:val="8"/>
        </w:rPr>
        <w:t>]     Wiesenfeld  HC,  Meyn  LA, </w:t>
      </w:r>
      <w:r>
        <w:rPr>
          <w:sz w:val="18"/>
          <w:szCs w:val="18"/>
          <w:color w:val="231F20"/>
          <w:spacing w:val="7"/>
        </w:rPr>
        <w:t xml:space="preserve"> Darville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7"/>
        </w:rPr>
        <w:t>T,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  <w:spacing w:val="7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  <w:spacing w:val="7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7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Randomized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Controlled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Trial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Ceftriaxone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>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Doxycycline, </w:t>
      </w:r>
      <w:r>
        <w:rPr>
          <w:sz w:val="18"/>
          <w:szCs w:val="18"/>
          <w:color w:val="231F20"/>
          <w:spacing w:val="11"/>
        </w:rPr>
        <w:t>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11"/>
        </w:rPr>
        <w:t>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1"/>
        </w:rPr>
        <w:t>Without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11"/>
        </w:rPr>
        <w:t>Metronidaz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11"/>
        </w:rPr>
        <w:t>ole,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11"/>
        </w:rPr>
        <w:t>for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1"/>
        </w:rPr>
        <w:t>the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11"/>
        </w:rPr>
        <w:t>Treatment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11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9"/>
        </w:rPr>
        <w:t>Acute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Pelvic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9"/>
        </w:rPr>
        <w:t>Inflammatory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Disease[J]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9"/>
        </w:rPr>
        <w:t>Clin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Infect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Dis,</w:t>
      </w:r>
      <w:r>
        <w:rPr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2021</w:t>
      </w:r>
      <w:r>
        <w:rPr>
          <w:sz w:val="18"/>
          <w:szCs w:val="18"/>
          <w:color w:val="231F20"/>
        </w:rPr>
        <w:t>,</w:t>
      </w:r>
      <w:r>
        <w:rPr>
          <w:rFonts w:ascii="SimSun" w:hAnsi="SimSun" w:eastAsia="SimSun" w:cs="SimSun"/>
          <w:sz w:val="18"/>
          <w:szCs w:val="18"/>
          <w:color w:val="231F20"/>
        </w:rPr>
        <w:t>72</w:t>
      </w:r>
      <w:r>
        <w:rPr>
          <w:sz w:val="18"/>
          <w:szCs w:val="18"/>
          <w:color w:val="231F20"/>
        </w:rPr>
        <w:t>(</w:t>
      </w:r>
      <w:r>
        <w:rPr>
          <w:rFonts w:ascii="SimSun" w:hAnsi="SimSun" w:eastAsia="SimSun" w:cs="SimSun"/>
          <w:sz w:val="18"/>
          <w:szCs w:val="18"/>
          <w:color w:val="231F20"/>
        </w:rPr>
        <w:t>7</w:t>
      </w:r>
      <w:r>
        <w:rPr>
          <w:sz w:val="18"/>
          <w:szCs w:val="18"/>
          <w:color w:val="231F20"/>
        </w:rPr>
        <w:t>):</w:t>
      </w:r>
      <w:r>
        <w:rPr>
          <w:rFonts w:ascii="SimSun" w:hAnsi="SimSun" w:eastAsia="SimSun" w:cs="SimSun"/>
          <w:sz w:val="18"/>
          <w:szCs w:val="18"/>
          <w:color w:val="231F20"/>
        </w:rPr>
        <w:t>1181-1189</w:t>
      </w:r>
      <w:r>
        <w:rPr>
          <w:sz w:val="18"/>
          <w:szCs w:val="18"/>
          <w:color w:val="231F20"/>
        </w:rPr>
        <w:t>.</w:t>
      </w:r>
    </w:p>
    <w:p>
      <w:pPr>
        <w:pStyle w:val="BodyText"/>
        <w:ind w:left="1" w:right="19" w:firstLine="11"/>
        <w:spacing w:before="124" w:line="2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1"/>
        </w:rPr>
        <w:t>]    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梁海花</w:t>
      </w:r>
      <w:r>
        <w:rPr>
          <w:rFonts w:ascii="SimSun" w:hAnsi="SimSun" w:eastAsia="SimSun" w:cs="SimSun"/>
          <w:sz w:val="18"/>
          <w:szCs w:val="18"/>
          <w:color w:val="231F20"/>
          <w:spacing w:val="-54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妇科急性盆腔炎应用盐酸克林霉素治疗效果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探究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sz w:val="18"/>
          <w:szCs w:val="18"/>
          <w:color w:val="231F20"/>
        </w:rPr>
        <w:t>[J]. </w:t>
      </w:r>
      <w:r>
        <w:rPr>
          <w:rFonts w:ascii="SimSun" w:hAnsi="SimSun" w:eastAsia="SimSun" w:cs="SimSun"/>
          <w:sz w:val="18"/>
          <w:szCs w:val="18"/>
          <w:color w:val="231F20"/>
        </w:rPr>
        <w:t>实用妇科内分泌杂志</w:t>
      </w:r>
      <w:r>
        <w:rPr>
          <w:sz w:val="18"/>
          <w:szCs w:val="18"/>
          <w:color w:val="231F20"/>
        </w:rPr>
        <w:t>( </w:t>
      </w:r>
      <w:r>
        <w:rPr>
          <w:rFonts w:ascii="SimSun" w:hAnsi="SimSun" w:eastAsia="SimSun" w:cs="SimSun"/>
          <w:sz w:val="18"/>
          <w:szCs w:val="18"/>
          <w:color w:val="231F20"/>
        </w:rPr>
        <w:t>电子版</w:t>
      </w:r>
      <w:r>
        <w:rPr>
          <w:sz w:val="18"/>
          <w:szCs w:val="18"/>
          <w:color w:val="231F20"/>
        </w:rPr>
        <w:t>), </w:t>
      </w:r>
      <w:r>
        <w:rPr>
          <w:rFonts w:ascii="SimSun" w:hAnsi="SimSun" w:eastAsia="SimSun" w:cs="SimSun"/>
          <w:sz w:val="18"/>
          <w:szCs w:val="18"/>
          <w:color w:val="231F20"/>
        </w:rPr>
        <w:t>2019</w:t>
      </w:r>
      <w:r>
        <w:rPr>
          <w:sz w:val="18"/>
          <w:szCs w:val="18"/>
          <w:color w:val="231F20"/>
        </w:rPr>
        <w:t>,</w:t>
      </w:r>
      <w:r>
        <w:rPr>
          <w:rFonts w:ascii="SimSun" w:hAnsi="SimSun" w:eastAsia="SimSun" w:cs="SimSun"/>
          <w:sz w:val="18"/>
          <w:szCs w:val="18"/>
          <w:color w:val="231F20"/>
        </w:rPr>
        <w:t>6</w:t>
      </w:r>
      <w:r>
        <w:rPr>
          <w:sz w:val="18"/>
          <w:szCs w:val="18"/>
          <w:color w:val="231F20"/>
        </w:rPr>
        <w:t>(</w:t>
      </w:r>
      <w:r>
        <w:rPr>
          <w:rFonts w:ascii="SimSun" w:hAnsi="SimSun" w:eastAsia="SimSun" w:cs="SimSun"/>
          <w:sz w:val="18"/>
          <w:szCs w:val="18"/>
          <w:color w:val="231F20"/>
        </w:rPr>
        <w:t>2</w:t>
      </w:r>
      <w:r>
        <w:rPr>
          <w:sz w:val="18"/>
          <w:szCs w:val="18"/>
          <w:color w:val="231F20"/>
        </w:rPr>
        <w:t>):</w:t>
      </w:r>
      <w:r>
        <w:rPr>
          <w:rFonts w:ascii="SimSun" w:hAnsi="SimSun" w:eastAsia="SimSun" w:cs="SimSun"/>
          <w:sz w:val="18"/>
          <w:szCs w:val="18"/>
          <w:color w:val="231F20"/>
        </w:rPr>
        <w:t>80-81</w:t>
      </w:r>
      <w:r>
        <w:rPr>
          <w:sz w:val="18"/>
          <w:szCs w:val="18"/>
          <w:color w:val="231F20"/>
        </w:rPr>
        <w:t>.</w:t>
      </w:r>
    </w:p>
    <w:p>
      <w:pPr>
        <w:pStyle w:val="BodyText"/>
        <w:ind w:left="4" w:right="20" w:firstLine="8"/>
        <w:spacing w:before="129" w:line="32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5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  <w:spacing w:val="-1"/>
        </w:rPr>
        <w:t>]      Taylor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Lee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H,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Singh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R.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Inn</w:t>
      </w:r>
      <w:r>
        <w:rPr>
          <w:sz w:val="18"/>
          <w:szCs w:val="18"/>
          <w:color w:val="231F20"/>
          <w:spacing w:val="-2"/>
        </w:rPr>
        <w:t>ocent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until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proven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guilty: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acute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chronic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tubal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torsion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  <w:spacing w:val="1"/>
        </w:rPr>
        <w:t>mimicking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pelvic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inf</w:t>
      </w:r>
      <w:r>
        <w:rPr>
          <w:sz w:val="18"/>
          <w:szCs w:val="18"/>
          <w:color w:val="231F20"/>
        </w:rPr>
        <w:t>lammatory </w:t>
      </w:r>
      <w:r>
        <w:rPr>
          <w:sz w:val="18"/>
          <w:szCs w:val="18"/>
          <w:color w:val="231F20"/>
        </w:rPr>
        <w:t>disease[J]. J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Surg C</w:t>
      </w:r>
      <w:r>
        <w:rPr>
          <w:sz w:val="18"/>
          <w:szCs w:val="18"/>
          <w:color w:val="231F20"/>
          <w:spacing w:val="-1"/>
        </w:rPr>
        <w:t>ase Rep,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2021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(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5</w:t>
      </w:r>
      <w:r>
        <w:rPr>
          <w:sz w:val="18"/>
          <w:szCs w:val="18"/>
          <w:color w:val="231F20"/>
          <w:spacing w:val="-1"/>
        </w:rPr>
        <w:t>):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187</w:t>
      </w:r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left="4" w:right="18" w:firstLine="9"/>
        <w:spacing w:before="130" w:line="3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sz w:val="18"/>
          <w:szCs w:val="18"/>
          <w:color w:val="231F20"/>
          <w:spacing w:val="-1"/>
        </w:rPr>
        <w:t>]      Frock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-</w:t>
      </w:r>
      <w:r>
        <w:rPr>
          <w:sz w:val="18"/>
          <w:szCs w:val="18"/>
          <w:color w:val="231F20"/>
          <w:spacing w:val="-1"/>
        </w:rPr>
        <w:t>Welnak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DN,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Tam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Iden</w:t>
      </w:r>
      <w:r>
        <w:rPr>
          <w:sz w:val="18"/>
          <w:szCs w:val="18"/>
          <w:color w:val="231F20"/>
          <w:spacing w:val="-2"/>
        </w:rPr>
        <w:t>tiﬁcation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of Acute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2"/>
        </w:rPr>
        <w:t>Pelvic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12"/>
        </w:rPr>
        <w:t>Inflammatory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1"/>
        </w:rPr>
        <w:t>Disease  and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sz w:val="18"/>
          <w:szCs w:val="18"/>
          <w:color w:val="231F20"/>
          <w:spacing w:val="11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Sequelae</w:t>
      </w:r>
      <w:r>
        <w:rPr>
          <w:sz w:val="18"/>
          <w:szCs w:val="18"/>
          <w:color w:val="231F20"/>
          <w:spacing w:val="3"/>
        </w:rPr>
        <w:t>[J].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North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2022</w:t>
      </w:r>
      <w:r>
        <w:rPr>
          <w:sz w:val="18"/>
          <w:szCs w:val="18"/>
          <w:color w:val="231F20"/>
          <w:spacing w:val="3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49</w:t>
      </w:r>
      <w:r>
        <w:rPr>
          <w:sz w:val="18"/>
          <w:szCs w:val="18"/>
          <w:color w:val="231F20"/>
          <w:spacing w:val="3"/>
        </w:rPr>
        <w:t>(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  <w:spacing w:val="3"/>
        </w:rPr>
        <w:t>):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551-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579</w:t>
      </w:r>
      <w:r>
        <w:rPr>
          <w:sz w:val="18"/>
          <w:szCs w:val="18"/>
          <w:color w:val="231F20"/>
          <w:spacing w:val="-2"/>
        </w:rPr>
        <w:t>.</w:t>
      </w:r>
    </w:p>
    <w:p>
      <w:pPr>
        <w:pStyle w:val="BodyText"/>
        <w:ind w:left="13" w:right="19"/>
        <w:spacing w:before="88" w:line="2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7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1"/>
        </w:rPr>
        <w:t>]    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黄才英</w:t>
      </w:r>
      <w:r>
        <w:rPr>
          <w:rFonts w:ascii="SimSun" w:hAnsi="SimSun" w:eastAsia="SimSun" w:cs="SimSun"/>
          <w:sz w:val="18"/>
          <w:szCs w:val="18"/>
          <w:color w:val="231F20"/>
          <w:spacing w:val="-54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盐酸克林霉素配合中药灌肠治疗急性盆腔炎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[J].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临床和实验医学杂志</w:t>
      </w:r>
      <w:r>
        <w:rPr>
          <w:sz w:val="18"/>
          <w:szCs w:val="18"/>
          <w:color w:val="231F20"/>
        </w:rPr>
        <w:t>, </w:t>
      </w:r>
      <w:r>
        <w:rPr>
          <w:rFonts w:ascii="SimSun" w:hAnsi="SimSun" w:eastAsia="SimSun" w:cs="SimSun"/>
          <w:sz w:val="18"/>
          <w:szCs w:val="18"/>
          <w:color w:val="231F20"/>
        </w:rPr>
        <w:t>2010</w:t>
      </w:r>
      <w:r>
        <w:rPr>
          <w:sz w:val="18"/>
          <w:szCs w:val="18"/>
          <w:color w:val="231F20"/>
        </w:rPr>
        <w:t>,</w:t>
      </w:r>
      <w:r>
        <w:rPr>
          <w:rFonts w:ascii="SimSun" w:hAnsi="SimSun" w:eastAsia="SimSun" w:cs="SimSun"/>
          <w:sz w:val="18"/>
          <w:szCs w:val="18"/>
          <w:color w:val="231F20"/>
        </w:rPr>
        <w:t>9</w:t>
      </w:r>
      <w:r>
        <w:rPr>
          <w:sz w:val="18"/>
          <w:szCs w:val="18"/>
          <w:color w:val="231F20"/>
        </w:rPr>
        <w:t>(</w:t>
      </w:r>
      <w:r>
        <w:rPr>
          <w:rFonts w:ascii="SimSun" w:hAnsi="SimSun" w:eastAsia="SimSun" w:cs="SimSun"/>
          <w:sz w:val="18"/>
          <w:szCs w:val="18"/>
          <w:color w:val="231F20"/>
        </w:rPr>
        <w:t>22</w:t>
      </w:r>
      <w:r>
        <w:rPr>
          <w:sz w:val="18"/>
          <w:szCs w:val="18"/>
          <w:color w:val="231F20"/>
        </w:rPr>
        <w:t>):</w:t>
      </w:r>
      <w:r>
        <w:rPr>
          <w:rFonts w:ascii="SimSun" w:hAnsi="SimSun" w:eastAsia="SimSun" w:cs="SimSun"/>
          <w:sz w:val="18"/>
          <w:szCs w:val="18"/>
          <w:color w:val="231F20"/>
        </w:rPr>
        <w:t>1718-1720</w:t>
      </w:r>
      <w:r>
        <w:rPr>
          <w:sz w:val="18"/>
          <w:szCs w:val="18"/>
          <w:color w:val="231F20"/>
        </w:rPr>
        <w:t>.</w:t>
      </w:r>
    </w:p>
    <w:p>
      <w:pPr>
        <w:pStyle w:val="BodyText"/>
        <w:ind w:left="1" w:right="20" w:firstLine="11"/>
        <w:spacing w:before="125" w:line="2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8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sz w:val="18"/>
          <w:szCs w:val="18"/>
          <w:color w:val="231F20"/>
          <w:spacing w:val="-1"/>
        </w:rPr>
        <w:t>]    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张梅</w:t>
      </w:r>
      <w:r>
        <w:rPr>
          <w:rFonts w:ascii="SimSun" w:hAnsi="SimSun" w:eastAsia="SimSun" w:cs="SimSun"/>
          <w:sz w:val="18"/>
          <w:szCs w:val="18"/>
          <w:color w:val="231F20"/>
          <w:spacing w:val="-49"/>
        </w:rPr>
        <w:t xml:space="preserve"> </w:t>
      </w:r>
      <w:r>
        <w:rPr>
          <w:sz w:val="18"/>
          <w:szCs w:val="18"/>
          <w:color w:val="231F20"/>
          <w:spacing w:val="-1"/>
        </w:rPr>
        <w:t>.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克林霉素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、庆大霉素、替硝唑联合应用治疗急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性盆腔炎的疗效观察</w:t>
      </w:r>
      <w:r>
        <w:rPr>
          <w:rFonts w:ascii="SimSun" w:hAnsi="SimSun" w:eastAsia="SimSun" w:cs="SimSun"/>
          <w:sz w:val="18"/>
          <w:szCs w:val="18"/>
          <w:color w:val="231F20"/>
          <w:spacing w:val="-53"/>
        </w:rPr>
        <w:t xml:space="preserve"> </w:t>
      </w:r>
      <w:r>
        <w:rPr>
          <w:sz w:val="18"/>
          <w:szCs w:val="18"/>
          <w:color w:val="231F20"/>
        </w:rPr>
        <w:t>[J].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中国医学创新</w:t>
      </w:r>
      <w:r>
        <w:rPr>
          <w:sz w:val="18"/>
          <w:szCs w:val="18"/>
          <w:color w:val="231F20"/>
        </w:rPr>
        <w:t>, </w:t>
      </w:r>
      <w:r>
        <w:rPr>
          <w:rFonts w:ascii="SimSun" w:hAnsi="SimSun" w:eastAsia="SimSun" w:cs="SimSun"/>
          <w:sz w:val="18"/>
          <w:szCs w:val="18"/>
          <w:color w:val="231F20"/>
        </w:rPr>
        <w:t>2011</w:t>
      </w:r>
      <w:r>
        <w:rPr>
          <w:sz w:val="18"/>
          <w:szCs w:val="18"/>
          <w:color w:val="231F20"/>
        </w:rPr>
        <w:t>,</w:t>
      </w:r>
      <w:r>
        <w:rPr>
          <w:rFonts w:ascii="SimSun" w:hAnsi="SimSun" w:eastAsia="SimSun" w:cs="SimSun"/>
          <w:sz w:val="18"/>
          <w:szCs w:val="18"/>
          <w:color w:val="231F20"/>
        </w:rPr>
        <w:t>8</w:t>
      </w:r>
      <w:r>
        <w:rPr>
          <w:sz w:val="18"/>
          <w:szCs w:val="18"/>
          <w:color w:val="231F20"/>
        </w:rPr>
        <w:t>(</w:t>
      </w:r>
      <w:r>
        <w:rPr>
          <w:rFonts w:ascii="SimSun" w:hAnsi="SimSun" w:eastAsia="SimSun" w:cs="SimSun"/>
          <w:sz w:val="18"/>
          <w:szCs w:val="18"/>
          <w:color w:val="231F20"/>
        </w:rPr>
        <w:t>12</w:t>
      </w:r>
      <w:r>
        <w:rPr>
          <w:sz w:val="18"/>
          <w:szCs w:val="18"/>
          <w:color w:val="231F20"/>
        </w:rPr>
        <w:t>):</w:t>
      </w:r>
      <w:r>
        <w:rPr>
          <w:rFonts w:ascii="SimSun" w:hAnsi="SimSun" w:eastAsia="SimSun" w:cs="SimSun"/>
          <w:sz w:val="18"/>
          <w:szCs w:val="18"/>
          <w:color w:val="231F20"/>
        </w:rPr>
        <w:t>7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2-73</w:t>
      </w:r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left="5" w:right="20" w:firstLine="7"/>
        <w:spacing w:before="126" w:line="31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 </w:t>
      </w:r>
      <w:r>
        <w:rPr>
          <w:rFonts w:ascii="SimSun" w:hAnsi="SimSun" w:eastAsia="SimSun" w:cs="SimSun"/>
          <w:sz w:val="18"/>
          <w:szCs w:val="18"/>
          <w:color w:val="231F20"/>
        </w:rPr>
        <w:t>9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</w:rPr>
        <w:t>]      </w:t>
      </w:r>
      <w:r>
        <w:rPr>
          <w:rFonts w:ascii="SimSun" w:hAnsi="SimSun" w:eastAsia="SimSun" w:cs="SimSun"/>
          <w:sz w:val="18"/>
          <w:szCs w:val="18"/>
          <w:color w:val="231F20"/>
        </w:rPr>
        <w:t>李晓红</w:t>
      </w:r>
      <w:r>
        <w:rPr>
          <w:rFonts w:ascii="SimSun" w:hAnsi="SimSun" w:eastAsia="SimSun" w:cs="SimSun"/>
          <w:sz w:val="18"/>
          <w:szCs w:val="18"/>
          <w:color w:val="231F20"/>
          <w:spacing w:val="-52"/>
        </w:rPr>
        <w:t xml:space="preserve"> 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龙旭</w:t>
      </w:r>
      <w:r>
        <w:rPr>
          <w:rFonts w:ascii="SimSun" w:hAnsi="SimSun" w:eastAsia="SimSun" w:cs="SimSun"/>
          <w:sz w:val="18"/>
          <w:szCs w:val="18"/>
          <w:color w:val="231F20"/>
          <w:spacing w:val="-53"/>
        </w:rPr>
        <w:t xml:space="preserve"> 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李芳</w:t>
      </w:r>
      <w:r>
        <w:rPr>
          <w:rFonts w:ascii="SimSun" w:hAnsi="SimSun" w:eastAsia="SimSun" w:cs="SimSun"/>
          <w:sz w:val="18"/>
          <w:szCs w:val="18"/>
          <w:color w:val="231F20"/>
          <w:spacing w:val="-50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盆炎舒方联合盐酸克林霉素对 </w:t>
      </w:r>
      <w:r>
        <w:rPr>
          <w:rFonts w:ascii="SimSun" w:hAnsi="SimSun" w:eastAsia="SimSun" w:cs="SimSun"/>
          <w:sz w:val="18"/>
          <w:szCs w:val="18"/>
          <w:color w:val="231F20"/>
        </w:rPr>
        <w:t>急性盆腔炎患者</w:t>
      </w:r>
      <w:r>
        <w:rPr>
          <w:sz w:val="18"/>
          <w:szCs w:val="18"/>
          <w:color w:val="231F20"/>
        </w:rPr>
        <w:t>TGF</w:t>
      </w:r>
      <w:r>
        <w:rPr>
          <w:rFonts w:ascii="SimSun" w:hAnsi="SimSun" w:eastAsia="SimSun" w:cs="SimSun"/>
          <w:sz w:val="18"/>
          <w:szCs w:val="18"/>
          <w:color w:val="231F20"/>
        </w:rPr>
        <w:t>-β</w:t>
      </w:r>
      <w:r>
        <w:rPr>
          <w:sz w:val="18"/>
          <w:szCs w:val="18"/>
          <w:color w:val="231F20"/>
        </w:rPr>
        <w:t>_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1、</w:t>
      </w:r>
      <w:r>
        <w:rPr>
          <w:sz w:val="18"/>
          <w:szCs w:val="18"/>
          <w:color w:val="231F20"/>
        </w:rPr>
        <w:t>IL</w:t>
      </w:r>
      <w:r>
        <w:rPr>
          <w:rFonts w:ascii="SimSun" w:hAnsi="SimSun" w:eastAsia="SimSun" w:cs="SimSun"/>
          <w:sz w:val="18"/>
          <w:szCs w:val="18"/>
          <w:color w:val="231F20"/>
        </w:rPr>
        <w:t>-18和</w:t>
      </w:r>
      <w:r>
        <w:rPr>
          <w:sz w:val="18"/>
          <w:szCs w:val="18"/>
          <w:color w:val="231F20"/>
        </w:rPr>
        <w:t>CRP </w:t>
      </w:r>
      <w:r>
        <w:rPr>
          <w:rFonts w:ascii="SimSun" w:hAnsi="SimSun" w:eastAsia="SimSun" w:cs="SimSun"/>
          <w:sz w:val="18"/>
          <w:szCs w:val="18"/>
          <w:color w:val="231F20"/>
        </w:rPr>
        <w:t>的影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响</w:t>
      </w:r>
      <w:r>
        <w:rPr>
          <w:rFonts w:ascii="SimSun" w:hAnsi="SimSun" w:eastAsia="SimSun" w:cs="SimSun"/>
          <w:sz w:val="18"/>
          <w:szCs w:val="18"/>
          <w:color w:val="231F20"/>
          <w:spacing w:val="-52"/>
        </w:rPr>
        <w:t xml:space="preserve"> </w:t>
      </w:r>
      <w:r>
        <w:rPr>
          <w:sz w:val="18"/>
          <w:szCs w:val="18"/>
          <w:color w:val="231F20"/>
          <w:spacing w:val="-1"/>
        </w:rPr>
        <w:t>[J].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西部中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医药</w:t>
      </w:r>
      <w:r>
        <w:rPr>
          <w:sz w:val="18"/>
          <w:szCs w:val="18"/>
          <w:color w:val="231F20"/>
          <w:spacing w:val="1"/>
        </w:rPr>
        <w:t>,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2019</w:t>
      </w:r>
      <w:r>
        <w:rPr>
          <w:sz w:val="18"/>
          <w:szCs w:val="18"/>
          <w:color w:val="231F20"/>
          <w:spacing w:val="1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32</w:t>
      </w:r>
      <w:r>
        <w:rPr>
          <w:sz w:val="18"/>
          <w:szCs w:val="18"/>
          <w:color w:val="231F20"/>
          <w:spacing w:val="1"/>
        </w:rPr>
        <w:t>(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11</w:t>
      </w:r>
      <w:r>
        <w:rPr>
          <w:sz w:val="18"/>
          <w:szCs w:val="18"/>
          <w:color w:val="231F20"/>
          <w:spacing w:val="1"/>
        </w:rPr>
        <w:t>):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57-60</w:t>
      </w:r>
      <w:r>
        <w:rPr>
          <w:sz w:val="18"/>
          <w:szCs w:val="18"/>
          <w:color w:val="231F20"/>
          <w:spacing w:val="1"/>
        </w:rPr>
        <w:t>.</w:t>
      </w:r>
    </w:p>
    <w:p>
      <w:pPr>
        <w:spacing w:line="316" w:lineRule="auto"/>
        <w:sectPr>
          <w:type w:val="continuous"/>
          <w:pgSz w:w="11906" w:h="16838"/>
          <w:pgMar w:top="1201" w:right="1000" w:bottom="0" w:left="424" w:header="863" w:footer="0" w:gutter="0"/>
          <w:cols w:equalWidth="0" w:num="2">
            <w:col w:w="5686" w:space="100"/>
            <w:col w:w="4697" w:space="0"/>
          </w:cols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pict>
          <v:shape id="_x0000_s14" style="position:absolute;margin-left:35.7429pt;margin-top:9.26035pt;mso-position-vertical-relative:text;mso-position-horizontal-relative:text;width:487.6pt;height:0.5pt;z-index:251662336;" filled="false" strokecolor="#231F20" strokeweight="0.50pt" coordsize="9752,10" coordorigin="0,0" path="m0,5l9751,5e">
            <v:stroke joinstyle="miter" miterlimit="4"/>
          </v:shape>
        </w:pict>
      </w:r>
      <w:r/>
    </w:p>
    <w:p>
      <w:pPr>
        <w:ind w:left="629"/>
        <w:spacing w:before="59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"/>
          <w:position w:val="1"/>
        </w:rPr>
        <w:t>（上接第</w:t>
      </w:r>
      <w:r>
        <w:rPr>
          <w:rFonts w:ascii="SimSun" w:hAnsi="SimSun" w:eastAsia="SimSun" w:cs="SimSun"/>
          <w:sz w:val="18"/>
          <w:szCs w:val="18"/>
          <w:color w:val="231F20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  <w:position w:val="1"/>
        </w:rPr>
        <w:t>1192页）</w:t>
      </w:r>
    </w:p>
    <w:p>
      <w:pPr>
        <w:spacing w:line="207" w:lineRule="exact"/>
        <w:rPr/>
      </w:pPr>
      <w:r/>
    </w:p>
    <w:p>
      <w:pPr>
        <w:spacing w:line="207" w:lineRule="exact"/>
        <w:sectPr>
          <w:type w:val="continuous"/>
          <w:pgSz w:w="11906" w:h="16838"/>
          <w:pgMar w:top="1201" w:right="1000" w:bottom="0" w:left="424" w:header="863" w:footer="0" w:gutter="0"/>
          <w:cols w:equalWidth="0" w:num="1">
            <w:col w:w="10482" w:space="0"/>
          </w:cols>
        </w:sectPr>
        <w:rPr/>
      </w:pPr>
    </w:p>
    <w:p>
      <w:pPr>
        <w:ind w:left="611"/>
        <w:spacing w:before="42" w:line="24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【参考文献】</w:t>
      </w:r>
    </w:p>
    <w:p>
      <w:pPr>
        <w:pStyle w:val="BodyText"/>
        <w:ind w:left="712" w:right="288" w:firstLine="11"/>
        <w:spacing w:before="260" w:line="30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  <w:spacing w:val="-1"/>
        </w:rPr>
        <w:t>]      Anjum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Ikram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M, Abdulhameed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al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Uri</w:t>
      </w:r>
      <w:r>
        <w:rPr>
          <w:sz w:val="18"/>
          <w:szCs w:val="18"/>
          <w:color w:val="231F20"/>
          <w:spacing w:val="-2"/>
        </w:rPr>
        <w:t>noma: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Rare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Differential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Acute Abdomen[J].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Cureus,</w:t>
      </w:r>
      <w:r>
        <w:rPr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2024</w:t>
      </w:r>
      <w:r>
        <w:rPr>
          <w:sz w:val="18"/>
          <w:szCs w:val="18"/>
          <w:color w:val="231F20"/>
          <w:spacing w:val="-2"/>
        </w:rPr>
        <w:t>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16</w:t>
      </w:r>
      <w:r>
        <w:rPr>
          <w:sz w:val="18"/>
          <w:szCs w:val="18"/>
          <w:color w:val="231F20"/>
          <w:spacing w:val="-2"/>
        </w:rPr>
        <w:t>(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8</w:t>
      </w:r>
      <w:r>
        <w:rPr>
          <w:sz w:val="18"/>
          <w:szCs w:val="18"/>
          <w:color w:val="231F20"/>
          <w:spacing w:val="-2"/>
        </w:rPr>
        <w:t>):e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67368</w:t>
      </w:r>
      <w:r>
        <w:rPr>
          <w:sz w:val="18"/>
          <w:szCs w:val="18"/>
          <w:color w:val="231F20"/>
          <w:spacing w:val="-2"/>
        </w:rPr>
        <w:t>.</w:t>
      </w:r>
    </w:p>
    <w:p>
      <w:pPr>
        <w:pStyle w:val="BodyText"/>
        <w:ind w:left="714" w:right="299" w:firstLine="10"/>
        <w:spacing w:before="100" w:line="27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 </w:t>
      </w:r>
      <w:r>
        <w:rPr>
          <w:rFonts w:ascii="SimSun" w:hAnsi="SimSun" w:eastAsia="SimSun" w:cs="SimSun"/>
          <w:sz w:val="18"/>
          <w:szCs w:val="18"/>
          <w:color w:val="231F20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</w:rPr>
        <w:t>]      Van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Ballaer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V,Hustings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N. Acute Abdomen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Caused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by </w:t>
      </w:r>
      <w:r>
        <w:rPr>
          <w:sz w:val="18"/>
          <w:szCs w:val="18"/>
          <w:color w:val="231F20"/>
        </w:rPr>
        <w:t>Infected Mesenteric Cyst[J]. J </w:t>
      </w:r>
      <w:r>
        <w:rPr>
          <w:sz w:val="18"/>
          <w:szCs w:val="18"/>
          <w:color w:val="231F20"/>
          <w:spacing w:val="-1"/>
        </w:rPr>
        <w:t>Belg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Soc Radiol,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2024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108</w:t>
      </w:r>
      <w:r>
        <w:rPr>
          <w:sz w:val="18"/>
          <w:szCs w:val="18"/>
          <w:color w:val="231F20"/>
          <w:spacing w:val="-1"/>
        </w:rPr>
        <w:t>(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</w:t>
      </w:r>
      <w:r>
        <w:rPr>
          <w:sz w:val="18"/>
          <w:szCs w:val="18"/>
          <w:color w:val="231F20"/>
          <w:spacing w:val="-1"/>
        </w:rPr>
        <w:t>):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41</w:t>
      </w:r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left="713" w:right="297" w:firstLine="11"/>
        <w:spacing w:before="100" w:line="32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4"/>
        </w:rPr>
        <w:t>]      </w:t>
      </w:r>
      <w:r>
        <w:rPr>
          <w:sz w:val="18"/>
          <w:szCs w:val="18"/>
          <w:color w:val="231F20"/>
        </w:rPr>
        <w:t>Thanasa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Thanasa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Grapsidi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V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Emergency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 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-1"/>
        </w:rPr>
        <w:t>arge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Pedunculated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Subserosal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Uterine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Leiomyoma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Torsion: A Rare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Acute Abdomen[J].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Cureus,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2024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16</w:t>
      </w:r>
      <w:r>
        <w:rPr>
          <w:sz w:val="18"/>
          <w:szCs w:val="18"/>
          <w:color w:val="231F20"/>
          <w:spacing w:val="-1"/>
        </w:rPr>
        <w:t>(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</w:t>
      </w:r>
      <w:r>
        <w:rPr>
          <w:sz w:val="18"/>
          <w:szCs w:val="18"/>
          <w:color w:val="231F20"/>
          <w:spacing w:val="-1"/>
        </w:rPr>
        <w:t>): e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52136</w:t>
      </w:r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left="713" w:right="297" w:firstLine="10"/>
        <w:spacing w:before="94" w:line="28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1"/>
        </w:rPr>
        <w:t>]    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刘江</w:t>
      </w:r>
      <w:r>
        <w:rPr>
          <w:rFonts w:ascii="SimSun" w:hAnsi="SimSun" w:eastAsia="SimSun" w:cs="SimSun"/>
          <w:sz w:val="18"/>
          <w:szCs w:val="18"/>
          <w:color w:val="231F20"/>
          <w:spacing w:val="-54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腹腔镜微创技术在急诊普外手术中的应用效果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分析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sz w:val="18"/>
          <w:szCs w:val="18"/>
          <w:color w:val="231F20"/>
        </w:rPr>
        <w:t>[J]. </w:t>
      </w:r>
      <w:r>
        <w:rPr>
          <w:rFonts w:ascii="SimSun" w:hAnsi="SimSun" w:eastAsia="SimSun" w:cs="SimSun"/>
          <w:sz w:val="18"/>
          <w:szCs w:val="18"/>
          <w:color w:val="231F20"/>
        </w:rPr>
        <w:t>智慧健康</w:t>
      </w:r>
      <w:r>
        <w:rPr>
          <w:sz w:val="18"/>
          <w:szCs w:val="18"/>
          <w:color w:val="231F20"/>
        </w:rPr>
        <w:t>, </w:t>
      </w:r>
      <w:r>
        <w:rPr>
          <w:rFonts w:ascii="SimSun" w:hAnsi="SimSun" w:eastAsia="SimSun" w:cs="SimSun"/>
          <w:sz w:val="18"/>
          <w:szCs w:val="18"/>
          <w:color w:val="231F20"/>
        </w:rPr>
        <w:t>2020</w:t>
      </w:r>
      <w:r>
        <w:rPr>
          <w:sz w:val="18"/>
          <w:szCs w:val="18"/>
          <w:color w:val="231F20"/>
        </w:rPr>
        <w:t>,</w:t>
      </w:r>
      <w:r>
        <w:rPr>
          <w:rFonts w:ascii="SimSun" w:hAnsi="SimSun" w:eastAsia="SimSun" w:cs="SimSun"/>
          <w:sz w:val="18"/>
          <w:szCs w:val="18"/>
          <w:color w:val="231F20"/>
        </w:rPr>
        <w:t>6</w:t>
      </w:r>
      <w:r>
        <w:rPr>
          <w:sz w:val="18"/>
          <w:szCs w:val="18"/>
          <w:color w:val="231F20"/>
        </w:rPr>
        <w:t>(</w:t>
      </w:r>
      <w:r>
        <w:rPr>
          <w:rFonts w:ascii="SimSun" w:hAnsi="SimSun" w:eastAsia="SimSun" w:cs="SimSun"/>
          <w:sz w:val="18"/>
          <w:szCs w:val="18"/>
          <w:color w:val="231F20"/>
        </w:rPr>
        <w:t>30</w:t>
      </w:r>
      <w:r>
        <w:rPr>
          <w:sz w:val="18"/>
          <w:szCs w:val="18"/>
          <w:color w:val="231F20"/>
        </w:rPr>
        <w:t>):</w:t>
      </w:r>
      <w:r>
        <w:rPr>
          <w:rFonts w:ascii="SimSun" w:hAnsi="SimSun" w:eastAsia="SimSun" w:cs="SimSun"/>
          <w:sz w:val="18"/>
          <w:szCs w:val="18"/>
          <w:color w:val="231F20"/>
        </w:rPr>
        <w:t>54-55</w:t>
      </w:r>
      <w:r>
        <w:rPr>
          <w:sz w:val="18"/>
          <w:szCs w:val="18"/>
          <w:color w:val="231F20"/>
        </w:rPr>
        <w:t>.</w:t>
      </w:r>
    </w:p>
    <w:p>
      <w:pPr>
        <w:pStyle w:val="BodyText"/>
        <w:ind w:left="711" w:right="296" w:firstLine="12"/>
        <w:spacing w:before="99" w:line="28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5</w:t>
      </w:r>
      <w:r>
        <w:rPr>
          <w:rFonts w:ascii="SimSun" w:hAnsi="SimSun" w:eastAsia="SimSun" w:cs="SimSun"/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2"/>
        </w:rPr>
        <w:t>]      </w:t>
      </w:r>
      <w:r>
        <w:rPr>
          <w:sz w:val="18"/>
          <w:szCs w:val="18"/>
          <w:color w:val="231F20"/>
        </w:rPr>
        <w:t>Dev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Luitel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Paudel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8"/>
          <w:w w:val="10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abdomen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due </w:t>
      </w:r>
      <w:r>
        <w:rPr>
          <w:sz w:val="18"/>
          <w:szCs w:val="18"/>
          <w:color w:val="231F20"/>
          <w:spacing w:val="5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perforated jejunal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gastrointestinal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stromal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tumor: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ca</w:t>
      </w:r>
      <w:r>
        <w:rPr>
          <w:sz w:val="18"/>
          <w:szCs w:val="18"/>
          <w:color w:val="231F20"/>
          <w:spacing w:val="4"/>
        </w:rPr>
        <w:t>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2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report[J]. Int J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Surg Case Rep,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2024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121</w:t>
      </w:r>
      <w:r>
        <w:rPr>
          <w:sz w:val="18"/>
          <w:szCs w:val="18"/>
          <w:color w:val="231F20"/>
          <w:spacing w:val="-1"/>
        </w:rPr>
        <w:t>: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109922</w:t>
      </w:r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left="2" w:right="21" w:firstLine="10"/>
        <w:spacing w:before="100" w:line="27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sz w:val="18"/>
          <w:szCs w:val="18"/>
          <w:color w:val="231F20"/>
          <w:spacing w:val="-1"/>
        </w:rPr>
        <w:t>]      Rogers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SO Jr, Kirton OC.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Acute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Abdomen in the Mo</w:t>
      </w:r>
      <w:r>
        <w:rPr>
          <w:sz w:val="18"/>
          <w:szCs w:val="18"/>
          <w:color w:val="231F20"/>
          <w:spacing w:val="-2"/>
        </w:rPr>
        <w:t>dern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Era[J]. N Engl J Med, </w:t>
      </w:r>
      <w:r>
        <w:rPr>
          <w:rFonts w:ascii="SimSun" w:hAnsi="SimSun" w:eastAsia="SimSun" w:cs="SimSun"/>
          <w:sz w:val="18"/>
          <w:szCs w:val="18"/>
          <w:color w:val="231F20"/>
        </w:rPr>
        <w:t>2024</w:t>
      </w:r>
      <w:r>
        <w:rPr>
          <w:sz w:val="18"/>
          <w:szCs w:val="18"/>
          <w:color w:val="231F20"/>
        </w:rPr>
        <w:t>,</w:t>
      </w:r>
      <w:r>
        <w:rPr>
          <w:rFonts w:ascii="SimSun" w:hAnsi="SimSun" w:eastAsia="SimSun" w:cs="SimSun"/>
          <w:sz w:val="18"/>
          <w:szCs w:val="18"/>
          <w:color w:val="231F20"/>
        </w:rPr>
        <w:t>391</w:t>
      </w:r>
      <w:r>
        <w:rPr>
          <w:sz w:val="18"/>
          <w:szCs w:val="18"/>
          <w:color w:val="231F20"/>
        </w:rPr>
        <w:t>(</w:t>
      </w:r>
      <w:r>
        <w:rPr>
          <w:rFonts w:ascii="SimSun" w:hAnsi="SimSun" w:eastAsia="SimSun" w:cs="SimSun"/>
          <w:sz w:val="18"/>
          <w:szCs w:val="18"/>
          <w:color w:val="231F20"/>
        </w:rPr>
        <w:t>1</w:t>
      </w:r>
      <w:r>
        <w:rPr>
          <w:sz w:val="18"/>
          <w:szCs w:val="18"/>
          <w:color w:val="231F20"/>
        </w:rPr>
        <w:t>):</w:t>
      </w:r>
      <w:r>
        <w:rPr>
          <w:rFonts w:ascii="SimSun" w:hAnsi="SimSun" w:eastAsia="SimSun" w:cs="SimSun"/>
          <w:sz w:val="18"/>
          <w:szCs w:val="18"/>
          <w:color w:val="231F20"/>
        </w:rPr>
        <w:t>60-67</w:t>
      </w:r>
      <w:r>
        <w:rPr>
          <w:sz w:val="18"/>
          <w:szCs w:val="18"/>
          <w:color w:val="231F20"/>
        </w:rPr>
        <w:t>.</w:t>
      </w:r>
    </w:p>
    <w:p>
      <w:pPr>
        <w:pStyle w:val="BodyText"/>
        <w:ind w:right="20" w:firstLine="13"/>
        <w:spacing w:before="101" w:line="29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>7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sz w:val="18"/>
          <w:szCs w:val="18"/>
          <w:color w:val="231F20"/>
          <w:spacing w:val="10"/>
        </w:rPr>
        <w:t>]</w:t>
      </w:r>
      <w:r>
        <w:rPr>
          <w:sz w:val="18"/>
          <w:szCs w:val="18"/>
          <w:color w:val="231F20"/>
        </w:rPr>
        <w:t xml:space="preserve">      Kurian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Winant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AJ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Hull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NC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Pediatric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Acute </w:t>
      </w:r>
      <w:r>
        <w:rPr>
          <w:sz w:val="18"/>
          <w:szCs w:val="18"/>
          <w:color w:val="231F20"/>
        </w:rPr>
        <w:t>Abdomen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Bread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and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Butter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Diagnoses</w:t>
      </w:r>
      <w:r>
        <w:rPr>
          <w:sz w:val="18"/>
          <w:szCs w:val="18"/>
          <w:color w:val="231F20"/>
          <w:spacing w:val="1"/>
        </w:rPr>
        <w:t>[J].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Semin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Roentgenol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2024</w:t>
      </w:r>
      <w:r>
        <w:rPr>
          <w:sz w:val="18"/>
          <w:szCs w:val="18"/>
          <w:color w:val="231F20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59</w:t>
      </w:r>
      <w:r>
        <w:rPr>
          <w:sz w:val="18"/>
          <w:szCs w:val="18"/>
          <w:color w:val="231F20"/>
          <w:spacing w:val="-1"/>
        </w:rPr>
        <w:t>(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3</w:t>
      </w:r>
      <w:r>
        <w:rPr>
          <w:sz w:val="18"/>
          <w:szCs w:val="18"/>
          <w:color w:val="231F20"/>
          <w:spacing w:val="-1"/>
        </w:rPr>
        <w:t>):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312-331</w:t>
      </w:r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left="1" w:right="20" w:firstLine="11"/>
        <w:spacing w:before="94" w:line="28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8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  <w:spacing w:val="1"/>
        </w:rPr>
        <w:t>]     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孙庆飞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单颖</w:t>
      </w:r>
      <w:r>
        <w:rPr>
          <w:rFonts w:ascii="SimSun" w:hAnsi="SimSun" w:eastAsia="SimSun" w:cs="SimSun"/>
          <w:sz w:val="18"/>
          <w:szCs w:val="18"/>
          <w:color w:val="231F20"/>
          <w:spacing w:val="-52"/>
        </w:rPr>
        <w:t xml:space="preserve"> 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腹腔镜微创技术在急诊普外手术中的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应用效果研究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sz w:val="18"/>
          <w:szCs w:val="18"/>
          <w:color w:val="231F20"/>
        </w:rPr>
        <w:t>[J]. </w:t>
      </w:r>
      <w:r>
        <w:rPr>
          <w:rFonts w:ascii="SimSun" w:hAnsi="SimSun" w:eastAsia="SimSun" w:cs="SimSun"/>
          <w:sz w:val="18"/>
          <w:szCs w:val="18"/>
          <w:color w:val="231F20"/>
        </w:rPr>
        <w:t>名医</w:t>
      </w:r>
      <w:r>
        <w:rPr>
          <w:sz w:val="18"/>
          <w:szCs w:val="18"/>
          <w:color w:val="231F20"/>
        </w:rPr>
        <w:t>, </w:t>
      </w:r>
      <w:r>
        <w:rPr>
          <w:rFonts w:ascii="SimSun" w:hAnsi="SimSun" w:eastAsia="SimSun" w:cs="SimSun"/>
          <w:sz w:val="18"/>
          <w:szCs w:val="18"/>
          <w:color w:val="231F20"/>
        </w:rPr>
        <w:t>2020</w:t>
      </w:r>
      <w:r>
        <w:rPr>
          <w:sz w:val="18"/>
          <w:szCs w:val="18"/>
          <w:color w:val="231F20"/>
        </w:rPr>
        <w:t>(</w:t>
      </w:r>
      <w:r>
        <w:rPr>
          <w:rFonts w:ascii="SimSun" w:hAnsi="SimSun" w:eastAsia="SimSun" w:cs="SimSun"/>
          <w:sz w:val="18"/>
          <w:szCs w:val="18"/>
          <w:color w:val="231F20"/>
        </w:rPr>
        <w:t>8</w:t>
      </w:r>
      <w:r>
        <w:rPr>
          <w:sz w:val="18"/>
          <w:szCs w:val="18"/>
          <w:color w:val="231F20"/>
        </w:rPr>
        <w:t>):</w:t>
      </w:r>
      <w:r>
        <w:rPr>
          <w:rFonts w:ascii="SimSun" w:hAnsi="SimSun" w:eastAsia="SimSun" w:cs="SimSun"/>
          <w:sz w:val="18"/>
          <w:szCs w:val="18"/>
          <w:color w:val="231F20"/>
        </w:rPr>
        <w:t>79-80</w:t>
      </w:r>
      <w:r>
        <w:rPr>
          <w:sz w:val="18"/>
          <w:szCs w:val="18"/>
          <w:color w:val="231F20"/>
        </w:rPr>
        <w:t>.</w:t>
      </w:r>
    </w:p>
    <w:p>
      <w:pPr>
        <w:pStyle w:val="BodyText"/>
        <w:ind w:left="3" w:right="19" w:firstLine="10"/>
        <w:spacing w:before="94" w:line="28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9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1"/>
        </w:rPr>
        <w:t>]    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常书海</w:t>
      </w:r>
      <w:r>
        <w:rPr>
          <w:rFonts w:ascii="SimSun" w:hAnsi="SimSun" w:eastAsia="SimSun" w:cs="SimSun"/>
          <w:sz w:val="18"/>
          <w:szCs w:val="18"/>
          <w:color w:val="231F20"/>
          <w:spacing w:val="-54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腹腔镜微创手术治疗急腹症的临床应用效果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分析</w:t>
      </w:r>
      <w:r>
        <w:rPr>
          <w:rFonts w:ascii="SimSun" w:hAnsi="SimSun" w:eastAsia="SimSun" w:cs="SimSun"/>
          <w:sz w:val="18"/>
          <w:szCs w:val="18"/>
          <w:color w:val="231F20"/>
          <w:spacing w:val="-53"/>
        </w:rPr>
        <w:t xml:space="preserve"> </w:t>
      </w:r>
      <w:r>
        <w:rPr>
          <w:sz w:val="18"/>
          <w:szCs w:val="18"/>
          <w:color w:val="231F20"/>
        </w:rPr>
        <w:t>[J]. </w:t>
      </w:r>
      <w:r>
        <w:rPr>
          <w:rFonts w:ascii="SimSun" w:hAnsi="SimSun" w:eastAsia="SimSun" w:cs="SimSun"/>
          <w:sz w:val="18"/>
          <w:szCs w:val="18"/>
          <w:color w:val="231F20"/>
        </w:rPr>
        <w:t>世界最新医学信息文摘</w:t>
      </w:r>
      <w:r>
        <w:rPr>
          <w:sz w:val="18"/>
          <w:szCs w:val="18"/>
          <w:color w:val="231F20"/>
        </w:rPr>
        <w:t>, </w:t>
      </w:r>
      <w:r>
        <w:rPr>
          <w:rFonts w:ascii="SimSun" w:hAnsi="SimSun" w:eastAsia="SimSun" w:cs="SimSun"/>
          <w:sz w:val="18"/>
          <w:szCs w:val="18"/>
          <w:color w:val="231F20"/>
        </w:rPr>
        <w:t>2018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18</w:t>
      </w:r>
      <w:r>
        <w:rPr>
          <w:sz w:val="18"/>
          <w:szCs w:val="18"/>
          <w:color w:val="231F20"/>
        </w:rPr>
        <w:t>(</w:t>
      </w:r>
      <w:r>
        <w:rPr>
          <w:rFonts w:ascii="SimSun" w:hAnsi="SimSun" w:eastAsia="SimSun" w:cs="SimSun"/>
          <w:sz w:val="18"/>
          <w:szCs w:val="18"/>
          <w:color w:val="231F20"/>
        </w:rPr>
        <w:t>87</w:t>
      </w:r>
      <w:r>
        <w:rPr>
          <w:sz w:val="18"/>
          <w:szCs w:val="18"/>
          <w:color w:val="231F20"/>
        </w:rPr>
        <w:t>):</w:t>
      </w:r>
      <w:r>
        <w:rPr>
          <w:rFonts w:ascii="SimSun" w:hAnsi="SimSun" w:eastAsia="SimSun" w:cs="SimSun"/>
          <w:sz w:val="18"/>
          <w:szCs w:val="18"/>
          <w:color w:val="231F20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9-73</w:t>
      </w:r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left="13" w:right="19"/>
        <w:spacing w:before="94" w:line="28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10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sz w:val="18"/>
          <w:szCs w:val="18"/>
          <w:color w:val="231F20"/>
          <w:spacing w:val="-1"/>
        </w:rPr>
        <w:t>]  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穆金海</w:t>
      </w:r>
      <w:r>
        <w:rPr>
          <w:rFonts w:ascii="SimSun" w:hAnsi="SimSun" w:eastAsia="SimSun" w:cs="SimSun"/>
          <w:sz w:val="18"/>
          <w:szCs w:val="18"/>
          <w:color w:val="231F20"/>
          <w:spacing w:val="-54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腹腔镜微创手术在急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腹症患者治疗中的效果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[J].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中国实用医药</w:t>
      </w:r>
      <w:r>
        <w:rPr>
          <w:sz w:val="18"/>
          <w:szCs w:val="18"/>
          <w:color w:val="231F20"/>
          <w:spacing w:val="-1"/>
        </w:rPr>
        <w:t>,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2020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15</w:t>
      </w:r>
      <w:r>
        <w:rPr>
          <w:sz w:val="18"/>
          <w:szCs w:val="18"/>
          <w:color w:val="231F20"/>
          <w:spacing w:val="-1"/>
        </w:rPr>
        <w:t>(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36</w:t>
      </w:r>
      <w:r>
        <w:rPr>
          <w:sz w:val="18"/>
          <w:szCs w:val="18"/>
          <w:color w:val="231F20"/>
          <w:spacing w:val="-1"/>
        </w:rPr>
        <w:t>):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71-73</w:t>
      </w:r>
      <w:r>
        <w:rPr>
          <w:sz w:val="18"/>
          <w:szCs w:val="18"/>
          <w:color w:val="231F20"/>
          <w:spacing w:val="-1"/>
        </w:rPr>
        <w:t>.</w:t>
      </w:r>
    </w:p>
    <w:p>
      <w:pPr>
        <w:pStyle w:val="BodyText"/>
        <w:ind w:left="1" w:right="19" w:firstLine="11"/>
        <w:spacing w:before="95" w:line="29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  <w:spacing w:val="-1"/>
        </w:rPr>
        <w:t>]  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钟志辉</w:t>
      </w:r>
      <w:r>
        <w:rPr>
          <w:rFonts w:ascii="SimSun" w:hAnsi="SimSun" w:eastAsia="SimSun" w:cs="SimSun"/>
          <w:sz w:val="18"/>
          <w:szCs w:val="18"/>
          <w:color w:val="231F20"/>
          <w:spacing w:val="-51"/>
        </w:rPr>
        <w:t xml:space="preserve"> 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莫伟峰</w:t>
      </w:r>
      <w:r>
        <w:rPr>
          <w:rFonts w:ascii="SimSun" w:hAnsi="SimSun" w:eastAsia="SimSun" w:cs="SimSun"/>
          <w:sz w:val="18"/>
          <w:szCs w:val="18"/>
          <w:color w:val="231F20"/>
          <w:spacing w:val="-51"/>
        </w:rPr>
        <w:t xml:space="preserve"> </w:t>
      </w:r>
      <w:r>
        <w:rPr>
          <w:sz w:val="18"/>
          <w:szCs w:val="18"/>
          <w:color w:val="231F20"/>
          <w:spacing w:val="-1"/>
        </w:rPr>
        <w:t>,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叶雪莲</w:t>
      </w:r>
      <w:r>
        <w:rPr>
          <w:rFonts w:ascii="SimSun" w:hAnsi="SimSun" w:eastAsia="SimSun" w:cs="SimSun"/>
          <w:sz w:val="18"/>
          <w:szCs w:val="18"/>
          <w:color w:val="231F20"/>
          <w:spacing w:val="-51"/>
        </w:rPr>
        <w:t xml:space="preserve"> 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等</w:t>
      </w:r>
      <w:r>
        <w:rPr>
          <w:rFonts w:ascii="SimSun" w:hAnsi="SimSun" w:eastAsia="SimSun" w:cs="SimSun"/>
          <w:sz w:val="18"/>
          <w:szCs w:val="18"/>
          <w:color w:val="231F20"/>
          <w:spacing w:val="-48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开腹手术与腹腔镜微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创治疗急腹症的临床比较研究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4"/>
        </w:rPr>
        <w:t>[J]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现代诊断与治疗</w:t>
      </w:r>
      <w:r>
        <w:rPr>
          <w:rFonts w:ascii="SimSun" w:hAnsi="SimSun" w:eastAsia="SimSun" w:cs="SimSun"/>
          <w:sz w:val="18"/>
          <w:szCs w:val="18"/>
          <w:color w:val="231F20"/>
          <w:spacing w:val="-50"/>
        </w:rPr>
        <w:t xml:space="preserve"> 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2015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26</w:t>
      </w:r>
      <w:r>
        <w:rPr>
          <w:sz w:val="18"/>
          <w:szCs w:val="18"/>
          <w:color w:val="231F20"/>
          <w:spacing w:val="-2"/>
        </w:rPr>
        <w:t>(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01</w:t>
      </w:r>
      <w:r>
        <w:rPr>
          <w:sz w:val="18"/>
          <w:szCs w:val="18"/>
          <w:color w:val="231F20"/>
          <w:spacing w:val="-2"/>
        </w:rPr>
        <w:t>):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147-148</w:t>
      </w:r>
      <w:r>
        <w:rPr>
          <w:sz w:val="18"/>
          <w:szCs w:val="18"/>
          <w:color w:val="231F20"/>
          <w:spacing w:val="-2"/>
        </w:rPr>
        <w:t>.</w:t>
      </w:r>
    </w:p>
    <w:sectPr>
      <w:type w:val="continuous"/>
      <w:pgSz w:w="11906" w:h="16838"/>
      <w:pgMar w:top="1201" w:right="1000" w:bottom="0" w:left="424" w:header="863" w:footer="0" w:gutter="0"/>
      <w:cols w:equalWidth="0" w:num="2">
        <w:col w:w="5685" w:space="100"/>
        <w:col w:w="469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0"/>
      <w:spacing w:before="42"/>
      <w:rPr>
        <w:rFonts w:ascii="SimSun" w:hAnsi="SimSun" w:eastAsia="SimSun" w:cs="SimSun"/>
        <w:sz w:val="16"/>
        <w:szCs w:val="16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22"/>
        <w:szCs w:val="22"/>
        <w:color w:val="231F20"/>
        <w:spacing w:val="-9"/>
        <w:position w:val="-3"/>
      </w:rPr>
      <w:t>1200       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5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中华灾害救援医学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2"/>
      </w:rPr>
      <w:t xml:space="preserve">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2024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年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10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月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1"/>
      </w:rPr>
      <w:t xml:space="preserve">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11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卷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1"/>
      </w:rPr>
      <w:t xml:space="preserve">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10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期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3"/>
      </w:rPr>
      <w:t xml:space="preserve">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Chinese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9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Journal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of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4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Disaster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Medicine,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Vol.11,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No.10,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October,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2024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9"/>
      <w:spacing w:before="42"/>
      <w:rPr>
        <w:rFonts w:ascii="SimSun" w:hAnsi="SimSun" w:eastAsia="SimSun" w:cs="SimSun"/>
        <w:sz w:val="22"/>
        <w:szCs w:val="22"/>
      </w:rPr>
    </w:pPr>
    <w:r>
      <w:pict>
        <v:shape id="WordPictureWatermark6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中华灾害救援医学  2024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年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10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月  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11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卷  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2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10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8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期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3"/>
      </w:rPr>
      <w:t xml:space="preserve">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Chinese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9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Journal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of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4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D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isaster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Medicine,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Vol.11,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No.10,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October,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2024 </w:t>
    </w:r>
    <w:r>
      <w:rPr>
        <w:rFonts w:ascii="SimSun" w:hAnsi="SimSun" w:eastAsia="SimSun" w:cs="SimSun"/>
        <w:sz w:val="16"/>
        <w:szCs w:val="16"/>
        <w:color w:val="231F20"/>
        <w:spacing w:val="-10"/>
      </w:rPr>
      <w:t xml:space="preserve">             </w:t>
    </w:r>
    <w:r>
      <w:rPr>
        <w:rFonts w:ascii="SimSun" w:hAnsi="SimSun" w:eastAsia="SimSun" w:cs="SimSun"/>
        <w:sz w:val="22"/>
        <w:szCs w:val="22"/>
        <w:color w:val="231F20"/>
        <w:spacing w:val="-10"/>
        <w:position w:val="-3"/>
      </w:rPr>
      <w:t>1201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0"/>
      <w:spacing w:before="42"/>
      <w:rPr>
        <w:rFonts w:ascii="SimSun" w:hAnsi="SimSun" w:eastAsia="SimSun" w:cs="SimSun"/>
        <w:sz w:val="16"/>
        <w:szCs w:val="16"/>
      </w:rPr>
    </w:pPr>
    <w:r>
      <w:pict>
        <v:shape id="WordPictureWatermark10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22"/>
        <w:szCs w:val="22"/>
        <w:color w:val="231F20"/>
        <w:spacing w:val="-9"/>
        <w:position w:val="-3"/>
      </w:rPr>
      <w:t>1202       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5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中华灾害救援医学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2"/>
      </w:rPr>
      <w:t xml:space="preserve">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2024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年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10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月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1"/>
      </w:rPr>
      <w:t xml:space="preserve">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11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卷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1"/>
      </w:rPr>
      <w:t xml:space="preserve">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10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期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3"/>
      </w:rPr>
      <w:t xml:space="preserve">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Chinese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9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Journal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of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4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Disaster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Medicine,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Vol.11,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No.10,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October,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2024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9"/>
      <w:spacing w:before="42"/>
      <w:rPr>
        <w:rFonts w:ascii="SimSun" w:hAnsi="SimSun" w:eastAsia="SimSun" w:cs="SimSun"/>
        <w:sz w:val="22"/>
        <w:szCs w:val="22"/>
      </w:rPr>
    </w:pPr>
    <w:r>
      <w:pict>
        <v:shape id="WordPictureWatermark12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中华灾害救援医学  2024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年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10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月  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11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卷  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2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10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8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期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3"/>
      </w:rPr>
      <w:t xml:space="preserve">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Chinese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9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Journal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of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4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9"/>
      </w:rPr>
      <w:t>D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isaster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Medicine,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Vol.11,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5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No.10,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October,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3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0"/>
      </w:rPr>
      <w:t>2024 </w:t>
    </w:r>
    <w:r>
      <w:rPr>
        <w:rFonts w:ascii="SimSun" w:hAnsi="SimSun" w:eastAsia="SimSun" w:cs="SimSun"/>
        <w:sz w:val="16"/>
        <w:szCs w:val="16"/>
        <w:color w:val="231F20"/>
        <w:spacing w:val="-10"/>
      </w:rPr>
      <w:t xml:space="preserve">             </w:t>
    </w:r>
    <w:r>
      <w:rPr>
        <w:rFonts w:ascii="SimSun" w:hAnsi="SimSun" w:eastAsia="SimSun" w:cs="SimSun"/>
        <w:sz w:val="22"/>
        <w:szCs w:val="22"/>
        <w:color w:val="231F20"/>
        <w:spacing w:val="-10"/>
        <w:position w:val="-3"/>
      </w:rPr>
      <w:t>1203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2025-01-02T16:29:34Z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2025-10-28T21:30:15</vt:filetime>
  </property>
</Properties>
</file>