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right="2"/>
        <w:spacing w:before="49" w:line="177" w:lineRule="auto"/>
        <w:jc w:val="right"/>
        <w:rPr>
          <w:rFonts w:ascii="SimHei" w:hAnsi="SimHei" w:eastAsia="SimHei" w:cs="SimHei"/>
          <w:sz w:val="21"/>
          <w:szCs w:val="21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8"/>
        </w:rPr>
        <w:t>• 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8"/>
          <w:position w:val="-2"/>
        </w:rPr>
        <w:t>临床护理 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8"/>
        </w:rPr>
        <w:t>•             </w:t>
      </w:r>
      <w:r>
        <w:rPr>
          <w:shd w:val="clear" w:fill="DCDDDF"/>
          <w:rFonts w:ascii="Microsoft YaHei" w:hAnsi="Microsoft YaHei" w:eastAsia="Microsoft YaHei" w:cs="Microsoft YaHei"/>
          <w:sz w:val="24"/>
          <w:szCs w:val="24"/>
          <w:color w:val="231F20"/>
          <w:spacing w:val="-8"/>
        </w:rPr>
        <w:t xml:space="preserve"> 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8"/>
        </w:rPr>
        <w:t>Electronic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49"/>
        </w:rPr>
        <w:t xml:space="preserve"> 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8"/>
        </w:rPr>
        <w:t>Journal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42"/>
        </w:rPr>
        <w:t xml:space="preserve"> 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8"/>
        </w:rPr>
        <w:t>of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32"/>
        </w:rPr>
        <w:t xml:space="preserve"> 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8"/>
        </w:rPr>
        <w:t>Practic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9"/>
        </w:rPr>
        <w:t>al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38"/>
        </w:rPr>
        <w:t xml:space="preserve"> 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9"/>
        </w:rPr>
        <w:t>Gynecological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31"/>
        </w:rPr>
        <w:t xml:space="preserve"> 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9"/>
        </w:rPr>
        <w:t>Endocrinology</w:t>
      </w:r>
      <w:r>
        <w:rPr>
          <w:rFonts w:ascii="SimHei" w:hAnsi="SimHei" w:eastAsia="SimHei" w:cs="SimHei"/>
          <w:sz w:val="21"/>
          <w:szCs w:val="21"/>
          <w:color w:val="231F20"/>
          <w:spacing w:val="-9"/>
        </w:rPr>
        <w:t xml:space="preserve">   </w:t>
      </w:r>
      <w:r>
        <w:rPr>
          <w:rFonts w:ascii="SimHei" w:hAnsi="SimHei" w:eastAsia="SimHei" w:cs="SimHei"/>
          <w:sz w:val="21"/>
          <w:szCs w:val="21"/>
          <w:color w:val="231F20"/>
          <w:spacing w:val="-9"/>
        </w:rPr>
        <w:t>2024</w:t>
      </w:r>
      <w:r>
        <w:rPr>
          <w:rFonts w:ascii="SimHei" w:hAnsi="SimHei" w:eastAsia="SimHei" w:cs="SimHei"/>
          <w:sz w:val="21"/>
          <w:szCs w:val="21"/>
          <w:color w:val="231F20"/>
          <w:spacing w:val="-63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9"/>
        </w:rPr>
        <w:t>Vol.11</w:t>
      </w:r>
      <w:r>
        <w:rPr>
          <w:rFonts w:ascii="SimHei" w:hAnsi="SimHei" w:eastAsia="SimHei" w:cs="SimHei"/>
          <w:sz w:val="21"/>
          <w:szCs w:val="21"/>
          <w:color w:val="231F20"/>
          <w:spacing w:val="-49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9"/>
        </w:rPr>
        <w:t>No.13</w:t>
      </w:r>
    </w:p>
    <w:p>
      <w:pPr>
        <w:ind w:firstLine="709"/>
        <w:spacing w:before="4" w:line="56" w:lineRule="exact"/>
        <w:rPr/>
      </w:pPr>
      <w:r>
        <w:rPr>
          <w:position w:val="-1"/>
        </w:rPr>
        <w:pict>
          <v:group id="_x0000_s2" style="mso-position-vertical-relative:line;mso-position-horizontal-relative:char;width:481.9pt;height:2.85pt;" filled="false" stroked="false" coordsize="9637,56" coordorigin="0,0">
            <v:shape id="_x0000_s4" style="position:absolute;left:0;top:0;width:9637;height:29;" filled="false" strokecolor="#939598" strokeweight="1.42pt" coordsize="9637,29" coordorigin="0,0" path="m0,14l9637,14e">
              <v:stroke joinstyle="miter" miterlimit="4"/>
            </v:shape>
            <v:shape id="_x0000_s6" style="position:absolute;left:0;top:47;width:9637;height:10;" filled="false" strokecolor="#939598" strokeweight="0.47pt" coordsize="9637,10" coordorigin="0,0" path="m0,4l9637,4e">
              <v:stroke joinstyle="miter" miterlimit="4"/>
            </v:shape>
          </v:group>
        </w:pict>
      </w:r>
    </w:p>
    <w:p>
      <w:pPr>
        <w:ind w:left="734"/>
        <w:spacing w:before="268" w:line="17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6"/>
        </w:rPr>
        <w:t>DOI：10.3969/j. issn.2095-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7"/>
        </w:rPr>
        <w:t>8803.2024.13.046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726"/>
        <w:spacing w:before="137" w:line="213" w:lineRule="auto"/>
        <w:rPr>
          <w:sz w:val="42"/>
          <w:szCs w:val="42"/>
        </w:rPr>
      </w:pPr>
      <w:r>
        <w:rPr>
          <w:sz w:val="42"/>
          <w:szCs w:val="42"/>
          <w:color w:val="231F20"/>
          <w:spacing w:val="-1"/>
        </w:rPr>
        <w:t>综合护理对急性盆腔炎患者的干预效果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ind w:left="734"/>
        <w:spacing w:before="69" w:line="22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color w:val="231F20"/>
          <w:spacing w:val="-3"/>
        </w:rPr>
        <w:t>高佳乐，杜洋，杜丽丽</w:t>
      </w:r>
    </w:p>
    <w:p>
      <w:pPr>
        <w:pStyle w:val="BodyText"/>
        <w:ind w:left="700"/>
        <w:spacing w:before="53" w:line="236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color w:val="231F20"/>
        </w:rPr>
        <w:t>（青岛市胶州中心医院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</w:rPr>
        <w:t>护理部，山东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</w:rPr>
        <w:t>青岛</w:t>
      </w:r>
      <w:r>
        <w:rPr>
          <w:rFonts w:ascii="KaiTi" w:hAnsi="KaiTi" w:eastAsia="KaiTi" w:cs="KaiTi"/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</w:rPr>
        <w:t>266300</w:t>
      </w:r>
      <w:r>
        <w:rPr>
          <w:rFonts w:ascii="KaiTi" w:hAnsi="KaiTi" w:eastAsia="KaiTi" w:cs="KaiTi"/>
          <w:sz w:val="21"/>
          <w:szCs w:val="21"/>
          <w:color w:val="231F20"/>
        </w:rPr>
        <w:t>）</w:t>
      </w:r>
    </w:p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ind w:left="699" w:right="2" w:firstLine="319"/>
        <w:spacing w:before="78" w:line="265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【摘要】目的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  </w:t>
      </w:r>
      <w:r>
        <w:rPr>
          <w:sz w:val="18"/>
          <w:szCs w:val="18"/>
          <w:color w:val="231F20"/>
          <w:spacing w:val="-1"/>
        </w:rPr>
        <w:t>探讨综合护理对急性盆腔炎患者的干预效果。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方法   </w:t>
      </w:r>
      <w:r>
        <w:rPr>
          <w:sz w:val="18"/>
          <w:szCs w:val="18"/>
          <w:color w:val="231F20"/>
          <w:spacing w:val="-1"/>
        </w:rPr>
        <w:t>选取70例急性盆腔炎患者为研究对象，根据随机数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字表法分为两组，各35例，对照组实施常规护理，观察组实施综合护理，比较</w:t>
      </w:r>
      <w:r>
        <w:rPr>
          <w:sz w:val="18"/>
          <w:szCs w:val="18"/>
          <w:color w:val="231F20"/>
          <w:spacing w:val="1"/>
        </w:rPr>
        <w:t>两组的护理满意度、心理状态、生活质量。</w:t>
      </w:r>
      <w:r>
        <w:rPr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结果   </w:t>
      </w:r>
      <w:r>
        <w:rPr>
          <w:sz w:val="18"/>
          <w:szCs w:val="18"/>
          <w:color w:val="231F20"/>
          <w:spacing w:val="-2"/>
        </w:rPr>
        <w:t>观察组护理满意度为94.29%，高于对照组的77.14%，观察组复发率为2.86%，低于对照组的1</w:t>
      </w:r>
      <w:r>
        <w:rPr>
          <w:sz w:val="18"/>
          <w:szCs w:val="18"/>
          <w:color w:val="231F20"/>
          <w:spacing w:val="-3"/>
        </w:rPr>
        <w:t>7.14%，差异有统计学意义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5"/>
        </w:rPr>
        <w:t>P</w:t>
      </w:r>
      <w:r>
        <w:rPr>
          <w:sz w:val="18"/>
          <w:szCs w:val="18"/>
          <w:color w:val="231F20"/>
          <w:spacing w:val="-5"/>
        </w:rPr>
        <w:t>＜0.05</w:t>
      </w:r>
      <w:r>
        <w:rPr>
          <w:sz w:val="18"/>
          <w:szCs w:val="18"/>
          <w:color w:val="231F20"/>
          <w:spacing w:val="-4"/>
        </w:rPr>
        <w:t>）；</w:t>
      </w:r>
      <w:r>
        <w:rPr>
          <w:sz w:val="18"/>
          <w:szCs w:val="18"/>
          <w:color w:val="231F20"/>
          <w:spacing w:val="-5"/>
        </w:rPr>
        <w:t>干预后，观察组焦虑自评量表、抑郁自评量表评分低于对照组（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5"/>
        </w:rPr>
        <w:t>P</w:t>
      </w:r>
      <w:r>
        <w:rPr>
          <w:sz w:val="18"/>
          <w:szCs w:val="18"/>
          <w:color w:val="231F20"/>
          <w:spacing w:val="-5"/>
        </w:rPr>
        <w:t>＜0.05</w:t>
      </w:r>
      <w:r>
        <w:rPr>
          <w:sz w:val="18"/>
          <w:szCs w:val="18"/>
          <w:color w:val="231F20"/>
          <w:spacing w:val="-4"/>
        </w:rPr>
        <w:t>）；</w:t>
      </w:r>
      <w:r>
        <w:rPr>
          <w:sz w:val="18"/>
          <w:szCs w:val="18"/>
          <w:color w:val="231F20"/>
          <w:spacing w:val="-5"/>
        </w:rPr>
        <w:t>干预后，观察组躯体健康、生理功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3"/>
        </w:rPr>
        <w:t>能、心理功能、情感活动、社会关系评分高于对照组（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</w:rPr>
        <w:t>P</w:t>
      </w:r>
      <w:r>
        <w:rPr>
          <w:sz w:val="18"/>
          <w:szCs w:val="18"/>
          <w:color w:val="231F20"/>
          <w:spacing w:val="-3"/>
        </w:rPr>
        <w:t>＜0.05）。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结论   </w:t>
      </w:r>
      <w:r>
        <w:rPr>
          <w:sz w:val="18"/>
          <w:szCs w:val="18"/>
          <w:color w:val="231F20"/>
          <w:spacing w:val="-3"/>
        </w:rPr>
        <w:t>综合护理对急性盆腔炎患者的干预效果显著，能提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5"/>
        </w:rPr>
        <w:t>高患者的护理满意度，调节患者的心理状态，改善患者的生活质量。</w:t>
      </w:r>
    </w:p>
    <w:p>
      <w:pPr>
        <w:pStyle w:val="BodyText"/>
        <w:ind w:left="1019"/>
        <w:spacing w:line="203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【关键词】</w:t>
      </w:r>
      <w:r>
        <w:rPr>
          <w:sz w:val="18"/>
          <w:szCs w:val="18"/>
          <w:color w:val="231F20"/>
          <w:spacing w:val="-6"/>
        </w:rPr>
        <w:t>综合护理；急性盆腔炎；护理满意度；生活质量</w:t>
      </w:r>
    </w:p>
    <w:p>
      <w:pPr>
        <w:spacing w:line="448" w:lineRule="auto"/>
        <w:rPr>
          <w:rFonts w:ascii="Arial"/>
          <w:sz w:val="21"/>
        </w:rPr>
      </w:pPr>
      <w:r/>
    </w:p>
    <w:p>
      <w:pPr>
        <w:pStyle w:val="BodyText"/>
        <w:ind w:left="713"/>
        <w:spacing w:before="53" w:line="236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11"/>
        </w:rPr>
        <w:t>The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b/>
          <w:bCs/>
          <w:color w:val="231F20"/>
          <w:spacing w:val="11"/>
        </w:rPr>
        <w:t>intervention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1"/>
        </w:rPr>
        <w:t>eﬀ</w:t>
      </w:r>
      <w:r>
        <w:rPr>
          <w:sz w:val="16"/>
          <w:szCs w:val="16"/>
          <w:b/>
          <w:bCs/>
          <w:color w:val="231F20"/>
          <w:spacing w:val="11"/>
        </w:rPr>
        <w:t>ect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b/>
          <w:bCs/>
          <w:color w:val="231F20"/>
          <w:spacing w:val="11"/>
        </w:rPr>
        <w:t>of</w:t>
      </w:r>
      <w:r>
        <w:rPr>
          <w:sz w:val="16"/>
          <w:szCs w:val="16"/>
          <w:color w:val="231F20"/>
          <w:spacing w:val="-51"/>
        </w:rPr>
        <w:t xml:space="preserve"> </w:t>
      </w:r>
      <w:r>
        <w:rPr>
          <w:sz w:val="16"/>
          <w:szCs w:val="16"/>
          <w:b/>
          <w:bCs/>
          <w:color w:val="231F20"/>
          <w:spacing w:val="11"/>
        </w:rPr>
        <w:t>comprehensive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b/>
          <w:bCs/>
          <w:color w:val="231F20"/>
          <w:spacing w:val="11"/>
        </w:rPr>
        <w:t>nursing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b/>
          <w:bCs/>
          <w:color w:val="231F20"/>
          <w:spacing w:val="11"/>
        </w:rPr>
        <w:t>on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b/>
          <w:bCs/>
          <w:color w:val="231F20"/>
          <w:spacing w:val="11"/>
        </w:rPr>
        <w:t>patients</w:t>
      </w:r>
      <w:r>
        <w:rPr>
          <w:sz w:val="16"/>
          <w:szCs w:val="16"/>
          <w:color w:val="231F20"/>
          <w:spacing w:val="-42"/>
        </w:rPr>
        <w:t xml:space="preserve"> </w:t>
      </w:r>
      <w:r>
        <w:rPr>
          <w:sz w:val="16"/>
          <w:szCs w:val="16"/>
          <w:b/>
          <w:bCs/>
          <w:color w:val="231F20"/>
          <w:spacing w:val="11"/>
        </w:rPr>
        <w:t>with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b/>
          <w:bCs/>
          <w:color w:val="231F20"/>
          <w:spacing w:val="11"/>
        </w:rPr>
        <w:t>acute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b/>
          <w:bCs/>
          <w:color w:val="231F20"/>
          <w:spacing w:val="11"/>
        </w:rPr>
        <w:t>pelvic</w:t>
      </w:r>
      <w:r>
        <w:rPr>
          <w:sz w:val="16"/>
          <w:szCs w:val="16"/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1"/>
        </w:rPr>
        <w:t>inﬂ</w:t>
      </w:r>
      <w:r>
        <w:rPr>
          <w:sz w:val="16"/>
          <w:szCs w:val="16"/>
          <w:b/>
          <w:bCs/>
          <w:color w:val="231F20"/>
          <w:spacing w:val="11"/>
        </w:rPr>
        <w:t>ammatory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b/>
          <w:bCs/>
          <w:color w:val="231F20"/>
          <w:spacing w:val="11"/>
        </w:rPr>
        <w:t>disease</w:t>
      </w:r>
    </w:p>
    <w:p>
      <w:pPr>
        <w:ind w:left="722"/>
        <w:spacing w:before="230" w:line="22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5"/>
        </w:rPr>
        <w:t>Gao Jiale,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5"/>
        </w:rPr>
        <w:t>Du Yang,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5"/>
        </w:rPr>
        <w:t>Du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5"/>
        </w:rPr>
        <w:t>Lili</w:t>
      </w:r>
    </w:p>
    <w:p>
      <w:pPr>
        <w:ind w:left="735"/>
        <w:spacing w:before="66" w:line="22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10"/>
        </w:rPr>
        <w:t>(Department of Nursing,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9"/>
        </w:rPr>
        <w:t xml:space="preserve"> Jiaozhou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9"/>
        </w:rPr>
        <w:t>Central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9"/>
        </w:rPr>
        <w:t>Hospital,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9"/>
        </w:rPr>
        <w:t>Qingdao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9"/>
        </w:rPr>
        <w:t>266300,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9"/>
        </w:rPr>
        <w:t>China)</w:t>
      </w:r>
    </w:p>
    <w:p>
      <w:pPr>
        <w:pStyle w:val="BodyText"/>
        <w:ind w:left="709" w:firstLine="303"/>
        <w:spacing w:before="231" w:line="320" w:lineRule="auto"/>
        <w:jc w:val="both"/>
        <w:rPr/>
      </w:pPr>
      <w:r>
        <w:rPr>
          <w:b/>
          <w:bCs/>
          <w:color w:val="231F20"/>
          <w:spacing w:val="9"/>
        </w:rPr>
        <w:t>【Abstract】Objective</w:t>
      </w:r>
      <w:r>
        <w:rPr>
          <w:color w:val="231F20"/>
          <w:spacing w:val="8"/>
        </w:rPr>
        <w:t xml:space="preserve">  </w:t>
      </w:r>
      <w:r>
        <w:rPr>
          <w:b/>
          <w:bCs/>
          <w:color w:val="231F20"/>
          <w:spacing w:val="9"/>
        </w:rPr>
        <w:t>To</w:t>
      </w:r>
      <w:r>
        <w:rPr>
          <w:color w:val="231F20"/>
          <w:spacing w:val="-5"/>
        </w:rPr>
        <w:t xml:space="preserve"> </w:t>
      </w:r>
      <w:r>
        <w:rPr>
          <w:b/>
          <w:bCs/>
          <w:color w:val="231F20"/>
          <w:spacing w:val="9"/>
        </w:rPr>
        <w:t>explore</w:t>
      </w:r>
      <w:r>
        <w:rPr>
          <w:color w:val="231F20"/>
          <w:spacing w:val="-9"/>
        </w:rPr>
        <w:t xml:space="preserve"> </w:t>
      </w:r>
      <w:r>
        <w:rPr>
          <w:b/>
          <w:bCs/>
          <w:color w:val="231F20"/>
          <w:spacing w:val="9"/>
        </w:rPr>
        <w:t>the</w:t>
      </w:r>
      <w:r>
        <w:rPr>
          <w:color w:val="231F20"/>
          <w:spacing w:val="-7"/>
        </w:rPr>
        <w:t xml:space="preserve"> </w:t>
      </w:r>
      <w:r>
        <w:rPr>
          <w:b/>
          <w:bCs/>
          <w:color w:val="231F20"/>
          <w:spacing w:val="9"/>
        </w:rPr>
        <w:t>intervention</w:t>
      </w:r>
      <w:r>
        <w:rPr>
          <w:color w:val="231F20"/>
          <w:spacing w:val="-4"/>
        </w:rPr>
        <w:t xml:space="preserve"> </w:t>
      </w:r>
      <w:r>
        <w:rPr>
          <w:b/>
          <w:bCs/>
          <w:color w:val="231F20"/>
          <w:spacing w:val="9"/>
        </w:rPr>
        <w:t>effect</w:t>
      </w:r>
      <w:r>
        <w:rPr>
          <w:color w:val="231F20"/>
          <w:spacing w:val="-4"/>
        </w:rPr>
        <w:t xml:space="preserve"> </w:t>
      </w:r>
      <w:r>
        <w:rPr>
          <w:b/>
          <w:bCs/>
          <w:color w:val="231F20"/>
          <w:spacing w:val="9"/>
        </w:rPr>
        <w:t>of</w:t>
      </w:r>
      <w:r>
        <w:rPr>
          <w:color w:val="231F20"/>
          <w:spacing w:val="-17"/>
        </w:rPr>
        <w:t xml:space="preserve"> </w:t>
      </w:r>
      <w:r>
        <w:rPr>
          <w:b/>
          <w:bCs/>
          <w:color w:val="231F20"/>
          <w:spacing w:val="9"/>
        </w:rPr>
        <w:t>comprehensive</w:t>
      </w:r>
      <w:r>
        <w:rPr>
          <w:color w:val="231F20"/>
          <w:spacing w:val="-6"/>
        </w:rPr>
        <w:t xml:space="preserve"> </w:t>
      </w:r>
      <w:r>
        <w:rPr>
          <w:b/>
          <w:bCs/>
          <w:color w:val="231F20"/>
          <w:spacing w:val="9"/>
        </w:rPr>
        <w:t>nursing</w:t>
      </w:r>
      <w:r>
        <w:rPr>
          <w:color w:val="231F20"/>
          <w:spacing w:val="-5"/>
        </w:rPr>
        <w:t xml:space="preserve"> </w:t>
      </w:r>
      <w:r>
        <w:rPr>
          <w:b/>
          <w:bCs/>
          <w:color w:val="231F20"/>
          <w:spacing w:val="9"/>
        </w:rPr>
        <w:t>o</w:t>
      </w:r>
      <w:r>
        <w:rPr>
          <w:b/>
          <w:bCs/>
          <w:color w:val="231F20"/>
          <w:spacing w:val="8"/>
        </w:rPr>
        <w:t>n</w:t>
      </w:r>
      <w:r>
        <w:rPr>
          <w:color w:val="231F20"/>
          <w:spacing w:val="-6"/>
        </w:rPr>
        <w:t xml:space="preserve"> </w:t>
      </w:r>
      <w:r>
        <w:rPr>
          <w:b/>
          <w:bCs/>
          <w:color w:val="231F20"/>
          <w:spacing w:val="8"/>
        </w:rPr>
        <w:t>patients</w:t>
      </w:r>
      <w:r>
        <w:rPr>
          <w:color w:val="231F20"/>
          <w:spacing w:val="-11"/>
        </w:rPr>
        <w:t xml:space="preserve"> </w:t>
      </w:r>
      <w:r>
        <w:rPr>
          <w:b/>
          <w:bCs/>
          <w:color w:val="231F20"/>
          <w:spacing w:val="8"/>
        </w:rPr>
        <w:t>with</w:t>
      </w:r>
      <w:r>
        <w:rPr>
          <w:color w:val="231F20"/>
          <w:spacing w:val="8"/>
        </w:rPr>
        <w:t xml:space="preserve"> </w:t>
      </w:r>
      <w:r>
        <w:rPr>
          <w:b/>
          <w:bCs/>
          <w:color w:val="231F20"/>
          <w:spacing w:val="8"/>
        </w:rPr>
        <w:t>acute</w:t>
      </w:r>
      <w:r>
        <w:rPr>
          <w:color w:val="231F20"/>
          <w:spacing w:val="-6"/>
        </w:rPr>
        <w:t xml:space="preserve"> </w:t>
      </w:r>
      <w:r>
        <w:rPr>
          <w:b/>
          <w:bCs/>
          <w:color w:val="231F20"/>
          <w:spacing w:val="8"/>
        </w:rPr>
        <w:t>pelvic</w:t>
      </w:r>
      <w:r>
        <w:rPr>
          <w:color w:val="231F2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color w:val="231F20"/>
          <w:spacing w:val="6"/>
        </w:rPr>
        <w:t>inﬂ</w:t>
      </w:r>
      <w:r>
        <w:rPr>
          <w:b/>
          <w:bCs/>
          <w:color w:val="231F20"/>
          <w:spacing w:val="6"/>
        </w:rPr>
        <w:t>ammatory</w:t>
      </w:r>
      <w:r>
        <w:rPr>
          <w:color w:val="231F20"/>
          <w:spacing w:val="-27"/>
        </w:rPr>
        <w:t xml:space="preserve"> </w:t>
      </w:r>
      <w:r>
        <w:rPr>
          <w:b/>
          <w:bCs/>
          <w:color w:val="231F20"/>
          <w:spacing w:val="6"/>
        </w:rPr>
        <w:t>disease.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6"/>
        </w:rPr>
        <w:t>Methods</w:t>
      </w:r>
      <w:r>
        <w:rPr>
          <w:color w:val="231F20"/>
          <w:spacing w:val="4"/>
        </w:rPr>
        <w:t xml:space="preserve">  </w:t>
      </w:r>
      <w:r>
        <w:rPr>
          <w:b/>
          <w:bCs/>
          <w:color w:val="231F20"/>
          <w:spacing w:val="6"/>
        </w:rPr>
        <w:t>70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6"/>
        </w:rPr>
        <w:t>patients</w:t>
      </w:r>
      <w:r>
        <w:rPr>
          <w:color w:val="231F20"/>
          <w:spacing w:val="-34"/>
        </w:rPr>
        <w:t xml:space="preserve"> </w:t>
      </w:r>
      <w:r>
        <w:rPr>
          <w:b/>
          <w:bCs/>
          <w:color w:val="231F20"/>
          <w:spacing w:val="6"/>
        </w:rPr>
        <w:t>with</w:t>
      </w:r>
      <w:r>
        <w:rPr>
          <w:color w:val="231F20"/>
          <w:spacing w:val="-26"/>
        </w:rPr>
        <w:t xml:space="preserve"> </w:t>
      </w:r>
      <w:r>
        <w:rPr>
          <w:b/>
          <w:bCs/>
          <w:color w:val="231F20"/>
          <w:spacing w:val="6"/>
        </w:rPr>
        <w:t>acute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  <w:spacing w:val="6"/>
        </w:rPr>
        <w:t>pelvic</w:t>
      </w:r>
      <w:r>
        <w:rPr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31F20"/>
          <w:spacing w:val="6"/>
        </w:rPr>
        <w:t>inﬂ</w:t>
      </w:r>
      <w:r>
        <w:rPr>
          <w:b/>
          <w:bCs/>
          <w:color w:val="231F20"/>
          <w:spacing w:val="6"/>
        </w:rPr>
        <w:t>ammatory</w:t>
      </w:r>
      <w:r>
        <w:rPr>
          <w:color w:val="231F20"/>
          <w:spacing w:val="-27"/>
        </w:rPr>
        <w:t xml:space="preserve"> </w:t>
      </w:r>
      <w:r>
        <w:rPr>
          <w:b/>
          <w:bCs/>
          <w:color w:val="231F20"/>
          <w:spacing w:val="6"/>
        </w:rPr>
        <w:t>disease</w:t>
      </w:r>
      <w:r>
        <w:rPr>
          <w:color w:val="231F20"/>
          <w:spacing w:val="-34"/>
        </w:rPr>
        <w:t xml:space="preserve"> </w:t>
      </w:r>
      <w:r>
        <w:rPr>
          <w:b/>
          <w:bCs/>
          <w:color w:val="231F20"/>
          <w:spacing w:val="6"/>
        </w:rPr>
        <w:t>were</w:t>
      </w:r>
      <w:r>
        <w:rPr>
          <w:color w:val="231F20"/>
          <w:spacing w:val="-26"/>
        </w:rPr>
        <w:t xml:space="preserve"> </w:t>
      </w:r>
      <w:r>
        <w:rPr>
          <w:b/>
          <w:bCs/>
          <w:color w:val="231F20"/>
          <w:spacing w:val="6"/>
        </w:rPr>
        <w:t>selected</w:t>
      </w:r>
      <w:r>
        <w:rPr>
          <w:color w:val="231F20"/>
          <w:spacing w:val="-27"/>
        </w:rPr>
        <w:t xml:space="preserve"> </w:t>
      </w:r>
      <w:r>
        <w:rPr>
          <w:b/>
          <w:bCs/>
          <w:color w:val="231F20"/>
          <w:spacing w:val="6"/>
        </w:rPr>
        <w:t>as</w:t>
      </w:r>
      <w:r>
        <w:rPr>
          <w:color w:val="231F20"/>
          <w:spacing w:val="-32"/>
        </w:rPr>
        <w:t xml:space="preserve"> </w:t>
      </w:r>
      <w:r>
        <w:rPr>
          <w:b/>
          <w:bCs/>
          <w:color w:val="231F20"/>
          <w:spacing w:val="6"/>
        </w:rPr>
        <w:t>the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  <w:spacing w:val="6"/>
        </w:rPr>
        <w:t>research</w:t>
      </w:r>
      <w:r>
        <w:rPr>
          <w:color w:val="231F20"/>
          <w:spacing w:val="-26"/>
        </w:rPr>
        <w:t xml:space="preserve"> </w:t>
      </w:r>
      <w:r>
        <w:rPr>
          <w:b/>
          <w:bCs/>
          <w:color w:val="231F20"/>
          <w:spacing w:val="6"/>
        </w:rPr>
        <w:t>subject</w:t>
      </w:r>
      <w:r>
        <w:rPr>
          <w:b/>
          <w:bCs/>
          <w:color w:val="231F20"/>
          <w:spacing w:val="5"/>
        </w:rPr>
        <w:t>s.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5"/>
        </w:rPr>
        <w:t>They</w:t>
      </w:r>
      <w:r>
        <w:rPr>
          <w:color w:val="231F20"/>
        </w:rPr>
        <w:t xml:space="preserve">   </w:t>
      </w:r>
      <w:r>
        <w:rPr>
          <w:b/>
          <w:bCs/>
          <w:color w:val="231F20"/>
          <w:spacing w:val="9"/>
        </w:rPr>
        <w:t>were</w:t>
      </w:r>
      <w:r>
        <w:rPr>
          <w:color w:val="231F20"/>
          <w:spacing w:val="-18"/>
        </w:rPr>
        <w:t xml:space="preserve"> </w:t>
      </w:r>
      <w:r>
        <w:rPr>
          <w:b/>
          <w:bCs/>
          <w:color w:val="231F20"/>
          <w:spacing w:val="9"/>
        </w:rPr>
        <w:t>randomly</w:t>
      </w:r>
      <w:r>
        <w:rPr>
          <w:color w:val="231F20"/>
          <w:spacing w:val="-17"/>
        </w:rPr>
        <w:t xml:space="preserve"> </w:t>
      </w:r>
      <w:r>
        <w:rPr>
          <w:b/>
          <w:bCs/>
          <w:color w:val="231F20"/>
          <w:spacing w:val="9"/>
        </w:rPr>
        <w:t>divided</w:t>
      </w:r>
      <w:r>
        <w:rPr>
          <w:color w:val="231F20"/>
          <w:spacing w:val="-18"/>
        </w:rPr>
        <w:t xml:space="preserve"> </w:t>
      </w:r>
      <w:r>
        <w:rPr>
          <w:b/>
          <w:bCs/>
          <w:color w:val="231F20"/>
          <w:spacing w:val="9"/>
        </w:rPr>
        <w:t>into</w:t>
      </w:r>
      <w:r>
        <w:rPr>
          <w:color w:val="231F20"/>
          <w:spacing w:val="-22"/>
        </w:rPr>
        <w:t xml:space="preserve"> </w:t>
      </w:r>
      <w:r>
        <w:rPr>
          <w:b/>
          <w:bCs/>
          <w:color w:val="231F20"/>
          <w:spacing w:val="9"/>
        </w:rPr>
        <w:t>two</w:t>
      </w:r>
      <w:r>
        <w:rPr>
          <w:color w:val="231F20"/>
          <w:spacing w:val="-18"/>
        </w:rPr>
        <w:t xml:space="preserve"> </w:t>
      </w:r>
      <w:r>
        <w:rPr>
          <w:b/>
          <w:bCs/>
          <w:color w:val="231F20"/>
          <w:spacing w:val="9"/>
        </w:rPr>
        <w:t>groups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  <w:spacing w:val="9"/>
        </w:rPr>
        <w:t>using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  <w:spacing w:val="9"/>
        </w:rPr>
        <w:t>a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  <w:spacing w:val="9"/>
        </w:rPr>
        <w:t>random</w:t>
      </w:r>
      <w:r>
        <w:rPr>
          <w:color w:val="231F20"/>
          <w:spacing w:val="-18"/>
        </w:rPr>
        <w:t xml:space="preserve"> </w:t>
      </w:r>
      <w:r>
        <w:rPr>
          <w:b/>
          <w:bCs/>
          <w:color w:val="231F20"/>
          <w:spacing w:val="9"/>
        </w:rPr>
        <w:t>numbe</w:t>
      </w:r>
      <w:r>
        <w:rPr>
          <w:b/>
          <w:bCs/>
          <w:color w:val="231F20"/>
          <w:spacing w:val="8"/>
        </w:rPr>
        <w:t>r</w:t>
      </w:r>
      <w:r>
        <w:rPr>
          <w:color w:val="231F20"/>
          <w:spacing w:val="-22"/>
        </w:rPr>
        <w:t xml:space="preserve"> </w:t>
      </w:r>
      <w:r>
        <w:rPr>
          <w:b/>
          <w:bCs/>
          <w:color w:val="231F20"/>
          <w:spacing w:val="8"/>
        </w:rPr>
        <w:t>table</w:t>
      </w:r>
      <w:r>
        <w:rPr>
          <w:color w:val="231F20"/>
          <w:spacing w:val="-18"/>
        </w:rPr>
        <w:t xml:space="preserve"> </w:t>
      </w:r>
      <w:r>
        <w:rPr>
          <w:b/>
          <w:bCs/>
          <w:color w:val="231F20"/>
          <w:spacing w:val="8"/>
        </w:rPr>
        <w:t>method,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8"/>
        </w:rPr>
        <w:t>with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  <w:spacing w:val="8"/>
        </w:rPr>
        <w:t>35</w:t>
      </w:r>
      <w:r>
        <w:rPr>
          <w:color w:val="231F20"/>
          <w:spacing w:val="-17"/>
        </w:rPr>
        <w:t xml:space="preserve"> </w:t>
      </w:r>
      <w:r>
        <w:rPr>
          <w:b/>
          <w:bCs/>
          <w:color w:val="231F20"/>
          <w:spacing w:val="8"/>
        </w:rPr>
        <w:t>cases</w:t>
      </w:r>
      <w:r>
        <w:rPr>
          <w:color w:val="231F20"/>
          <w:spacing w:val="-18"/>
        </w:rPr>
        <w:t xml:space="preserve"> </w:t>
      </w:r>
      <w:r>
        <w:rPr>
          <w:b/>
          <w:bCs/>
          <w:color w:val="231F20"/>
          <w:spacing w:val="8"/>
        </w:rPr>
        <w:t>in</w:t>
      </w:r>
      <w:r>
        <w:rPr>
          <w:color w:val="231F20"/>
          <w:spacing w:val="-17"/>
        </w:rPr>
        <w:t xml:space="preserve"> </w:t>
      </w:r>
      <w:r>
        <w:rPr>
          <w:b/>
          <w:bCs/>
          <w:color w:val="231F20"/>
          <w:spacing w:val="8"/>
        </w:rPr>
        <w:t>each</w:t>
      </w:r>
      <w:r>
        <w:rPr>
          <w:color w:val="231F20"/>
          <w:spacing w:val="-18"/>
        </w:rPr>
        <w:t xml:space="preserve"> </w:t>
      </w:r>
      <w:r>
        <w:rPr>
          <w:b/>
          <w:bCs/>
          <w:color w:val="231F20"/>
          <w:spacing w:val="8"/>
        </w:rPr>
        <w:t>group.</w:t>
      </w:r>
      <w:r>
        <w:rPr>
          <w:color w:val="231F20"/>
          <w:spacing w:val="-20"/>
        </w:rPr>
        <w:t xml:space="preserve"> </w:t>
      </w:r>
      <w:r>
        <w:rPr>
          <w:b/>
          <w:bCs/>
          <w:color w:val="231F20"/>
          <w:spacing w:val="8"/>
        </w:rPr>
        <w:t>The</w:t>
      </w:r>
      <w:r>
        <w:rPr>
          <w:color w:val="231F20"/>
          <w:spacing w:val="-17"/>
        </w:rPr>
        <w:t xml:space="preserve"> </w:t>
      </w:r>
      <w:r>
        <w:rPr>
          <w:b/>
          <w:bCs/>
          <w:color w:val="231F20"/>
          <w:spacing w:val="8"/>
        </w:rPr>
        <w:t>control</w:t>
      </w:r>
      <w:r>
        <w:rPr>
          <w:color w:val="231F20"/>
          <w:spacing w:val="-18"/>
        </w:rPr>
        <w:t xml:space="preserve"> </w:t>
      </w:r>
      <w:r>
        <w:rPr>
          <w:b/>
          <w:bCs/>
          <w:color w:val="231F20"/>
          <w:spacing w:val="8"/>
        </w:rPr>
        <w:t>group</w:t>
      </w:r>
      <w:r>
        <w:rPr>
          <w:color w:val="231F20"/>
        </w:rPr>
        <w:t xml:space="preserve">   </w:t>
      </w:r>
      <w:r>
        <w:rPr>
          <w:b/>
          <w:bCs/>
          <w:color w:val="231F20"/>
          <w:spacing w:val="2"/>
        </w:rPr>
        <w:t>received</w:t>
      </w:r>
      <w:r>
        <w:rPr>
          <w:color w:val="231F20"/>
          <w:spacing w:val="-21"/>
        </w:rPr>
        <w:t xml:space="preserve"> </w:t>
      </w:r>
      <w:r>
        <w:rPr>
          <w:b/>
          <w:bCs/>
          <w:color w:val="231F20"/>
          <w:spacing w:val="2"/>
        </w:rPr>
        <w:t>routine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  <w:spacing w:val="2"/>
        </w:rPr>
        <w:t>care,</w:t>
      </w:r>
      <w:r>
        <w:rPr>
          <w:color w:val="231F20"/>
          <w:spacing w:val="-26"/>
        </w:rPr>
        <w:t xml:space="preserve"> </w:t>
      </w:r>
      <w:r>
        <w:rPr>
          <w:b/>
          <w:bCs/>
          <w:color w:val="231F20"/>
          <w:spacing w:val="2"/>
        </w:rPr>
        <w:t>while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2"/>
        </w:rPr>
        <w:t>the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  <w:spacing w:val="2"/>
        </w:rPr>
        <w:t>observation</w:t>
      </w:r>
      <w:r>
        <w:rPr>
          <w:color w:val="231F20"/>
          <w:spacing w:val="-21"/>
        </w:rPr>
        <w:t xml:space="preserve"> </w:t>
      </w:r>
      <w:r>
        <w:rPr>
          <w:b/>
          <w:bCs/>
          <w:color w:val="231F20"/>
          <w:spacing w:val="2"/>
        </w:rPr>
        <w:t>group</w:t>
      </w:r>
      <w:r>
        <w:rPr>
          <w:color w:val="231F20"/>
          <w:spacing w:val="-20"/>
        </w:rPr>
        <w:t xml:space="preserve"> </w:t>
      </w:r>
      <w:r>
        <w:rPr>
          <w:b/>
          <w:bCs/>
          <w:color w:val="231F20"/>
          <w:spacing w:val="2"/>
        </w:rPr>
        <w:t>received</w:t>
      </w:r>
      <w:r>
        <w:rPr>
          <w:color w:val="231F20"/>
          <w:spacing w:val="-20"/>
        </w:rPr>
        <w:t xml:space="preserve"> </w:t>
      </w:r>
      <w:r>
        <w:rPr>
          <w:b/>
          <w:bCs/>
          <w:color w:val="231F20"/>
          <w:spacing w:val="2"/>
        </w:rPr>
        <w:t>comprehensive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  <w:spacing w:val="2"/>
        </w:rPr>
        <w:t>care.</w:t>
      </w:r>
      <w:r>
        <w:rPr>
          <w:color w:val="231F20"/>
          <w:spacing w:val="-22"/>
        </w:rPr>
        <w:t xml:space="preserve"> </w:t>
      </w:r>
      <w:r>
        <w:rPr>
          <w:b/>
          <w:bCs/>
          <w:color w:val="231F20"/>
          <w:spacing w:val="2"/>
        </w:rPr>
        <w:t>The</w:t>
      </w:r>
      <w:r>
        <w:rPr>
          <w:color w:val="231F20"/>
          <w:spacing w:val="-21"/>
        </w:rPr>
        <w:t xml:space="preserve"> </w:t>
      </w:r>
      <w:r>
        <w:rPr>
          <w:b/>
          <w:bCs/>
          <w:color w:val="231F20"/>
          <w:spacing w:val="2"/>
        </w:rPr>
        <w:t>nursing</w:t>
      </w:r>
      <w:r>
        <w:rPr>
          <w:color w:val="231F20"/>
          <w:spacing w:val="-18"/>
        </w:rPr>
        <w:t xml:space="preserve"> </w:t>
      </w:r>
      <w:r>
        <w:rPr>
          <w:b/>
          <w:bCs/>
          <w:color w:val="231F20"/>
          <w:spacing w:val="2"/>
        </w:rPr>
        <w:t>satisfaction,</w:t>
      </w:r>
      <w:r>
        <w:rPr>
          <w:color w:val="231F20"/>
          <w:spacing w:val="-20"/>
        </w:rPr>
        <w:t xml:space="preserve"> </w:t>
      </w:r>
      <w:r>
        <w:rPr>
          <w:b/>
          <w:bCs/>
          <w:color w:val="231F20"/>
          <w:spacing w:val="2"/>
        </w:rPr>
        <w:t>psychological</w:t>
      </w:r>
      <w:r>
        <w:rPr>
          <w:color w:val="231F20"/>
          <w:spacing w:val="-18"/>
        </w:rPr>
        <w:t xml:space="preserve"> </w:t>
      </w:r>
      <w:r>
        <w:rPr>
          <w:b/>
          <w:bCs/>
          <w:color w:val="231F20"/>
          <w:spacing w:val="2"/>
        </w:rPr>
        <w:t>sta</w:t>
      </w:r>
      <w:r>
        <w:rPr>
          <w:b/>
          <w:bCs/>
          <w:color w:val="231F20"/>
          <w:spacing w:val="1"/>
        </w:rPr>
        <w:t>tus,</w:t>
      </w:r>
      <w:r>
        <w:rPr>
          <w:color w:val="231F20"/>
        </w:rPr>
        <w:t xml:space="preserve">   </w:t>
      </w:r>
      <w:r>
        <w:rPr>
          <w:b/>
          <w:bCs/>
          <w:color w:val="231F20"/>
          <w:spacing w:val="5"/>
        </w:rPr>
        <w:t>and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  <w:spacing w:val="5"/>
        </w:rPr>
        <w:t>quality</w:t>
      </w:r>
      <w:r>
        <w:rPr>
          <w:color w:val="231F20"/>
          <w:spacing w:val="-27"/>
        </w:rPr>
        <w:t xml:space="preserve"> </w:t>
      </w:r>
      <w:r>
        <w:rPr>
          <w:b/>
          <w:bCs/>
          <w:color w:val="231F20"/>
          <w:spacing w:val="5"/>
        </w:rPr>
        <w:t>of</w:t>
      </w:r>
      <w:r>
        <w:rPr>
          <w:color w:val="231F20"/>
          <w:spacing w:val="-42"/>
        </w:rPr>
        <w:t xml:space="preserve"> </w:t>
      </w:r>
      <w:r>
        <w:rPr>
          <w:b/>
          <w:bCs/>
          <w:color w:val="231F20"/>
          <w:spacing w:val="5"/>
        </w:rPr>
        <w:t>life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  <w:spacing w:val="5"/>
        </w:rPr>
        <w:t>of</w:t>
      </w:r>
      <w:r>
        <w:rPr>
          <w:color w:val="231F20"/>
          <w:spacing w:val="-44"/>
        </w:rPr>
        <w:t xml:space="preserve"> </w:t>
      </w:r>
      <w:r>
        <w:rPr>
          <w:b/>
          <w:bCs/>
          <w:color w:val="231F20"/>
          <w:spacing w:val="5"/>
        </w:rPr>
        <w:t>the</w:t>
      </w:r>
      <w:r>
        <w:rPr>
          <w:color w:val="231F20"/>
          <w:spacing w:val="-33"/>
        </w:rPr>
        <w:t xml:space="preserve"> </w:t>
      </w:r>
      <w:r>
        <w:rPr>
          <w:b/>
          <w:bCs/>
          <w:color w:val="231F20"/>
          <w:spacing w:val="5"/>
        </w:rPr>
        <w:t>two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5"/>
        </w:rPr>
        <w:t>groups</w:t>
      </w:r>
      <w:r>
        <w:rPr>
          <w:color w:val="231F20"/>
          <w:spacing w:val="-34"/>
        </w:rPr>
        <w:t xml:space="preserve"> </w:t>
      </w:r>
      <w:r>
        <w:rPr>
          <w:b/>
          <w:bCs/>
          <w:color w:val="231F20"/>
          <w:spacing w:val="5"/>
        </w:rPr>
        <w:t>were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  <w:spacing w:val="4"/>
        </w:rPr>
        <w:t>compared.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  <w:spacing w:val="4"/>
        </w:rPr>
        <w:t>Results</w:t>
      </w:r>
      <w:r>
        <w:rPr>
          <w:color w:val="231F20"/>
          <w:spacing w:val="2"/>
        </w:rPr>
        <w:t xml:space="preserve">  </w:t>
      </w:r>
      <w:r>
        <w:rPr>
          <w:b/>
          <w:bCs/>
          <w:color w:val="231F20"/>
          <w:spacing w:val="4"/>
        </w:rPr>
        <w:t>The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4"/>
        </w:rPr>
        <w:t>nursing</w:t>
      </w:r>
      <w:r>
        <w:rPr>
          <w:color w:val="231F20"/>
          <w:spacing w:val="-26"/>
        </w:rPr>
        <w:t xml:space="preserve"> </w:t>
      </w:r>
      <w:r>
        <w:rPr>
          <w:b/>
          <w:bCs/>
          <w:color w:val="231F20"/>
          <w:spacing w:val="4"/>
        </w:rPr>
        <w:t>satisfaction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4"/>
        </w:rPr>
        <w:t>rate</w:t>
      </w:r>
      <w:r>
        <w:rPr>
          <w:color w:val="231F20"/>
          <w:spacing w:val="-27"/>
        </w:rPr>
        <w:t xml:space="preserve"> </w:t>
      </w:r>
      <w:r>
        <w:rPr>
          <w:b/>
          <w:bCs/>
          <w:color w:val="231F20"/>
          <w:spacing w:val="4"/>
        </w:rPr>
        <w:t>of</w:t>
      </w:r>
      <w:r>
        <w:rPr>
          <w:color w:val="231F20"/>
          <w:spacing w:val="-45"/>
        </w:rPr>
        <w:t xml:space="preserve"> </w:t>
      </w:r>
      <w:r>
        <w:rPr>
          <w:b/>
          <w:bCs/>
          <w:color w:val="231F20"/>
          <w:spacing w:val="4"/>
        </w:rPr>
        <w:t>the</w:t>
      </w:r>
      <w:r>
        <w:rPr>
          <w:color w:val="231F20"/>
          <w:spacing w:val="-27"/>
        </w:rPr>
        <w:t xml:space="preserve"> </w:t>
      </w:r>
      <w:r>
        <w:rPr>
          <w:b/>
          <w:bCs/>
          <w:color w:val="231F20"/>
          <w:spacing w:val="4"/>
        </w:rPr>
        <w:t>observation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4"/>
        </w:rPr>
        <w:t>group</w:t>
      </w:r>
      <w:r>
        <w:rPr>
          <w:color w:val="231F20"/>
          <w:spacing w:val="-35"/>
        </w:rPr>
        <w:t xml:space="preserve"> </w:t>
      </w:r>
      <w:r>
        <w:rPr>
          <w:b/>
          <w:bCs/>
          <w:color w:val="231F20"/>
          <w:spacing w:val="4"/>
        </w:rPr>
        <w:t>was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4"/>
        </w:rPr>
        <w:t>94.29%,</w:t>
      </w:r>
      <w:r>
        <w:rPr>
          <w:color w:val="231F20"/>
        </w:rPr>
        <w:t xml:space="preserve">   </w:t>
      </w:r>
      <w:r>
        <w:rPr>
          <w:b/>
          <w:bCs/>
          <w:color w:val="231F20"/>
          <w:spacing w:val="6"/>
        </w:rPr>
        <w:t>higher</w:t>
      </w:r>
      <w:r>
        <w:rPr>
          <w:color w:val="231F20"/>
          <w:spacing w:val="-25"/>
        </w:rPr>
        <w:t xml:space="preserve"> </w:t>
      </w:r>
      <w:r>
        <w:rPr>
          <w:b/>
          <w:bCs/>
          <w:color w:val="231F20"/>
          <w:spacing w:val="6"/>
        </w:rPr>
        <w:t>than</w:t>
      </w:r>
      <w:r>
        <w:rPr>
          <w:color w:val="231F20"/>
          <w:spacing w:val="-18"/>
        </w:rPr>
        <w:t xml:space="preserve"> </w:t>
      </w:r>
      <w:r>
        <w:rPr>
          <w:b/>
          <w:bCs/>
          <w:color w:val="231F20"/>
          <w:spacing w:val="6"/>
        </w:rPr>
        <w:t>77.14%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  <w:spacing w:val="6"/>
        </w:rPr>
        <w:t>of</w:t>
      </w:r>
      <w:r>
        <w:rPr>
          <w:color w:val="231F20"/>
          <w:spacing w:val="-37"/>
        </w:rPr>
        <w:t xml:space="preserve"> </w:t>
      </w:r>
      <w:r>
        <w:rPr>
          <w:b/>
          <w:bCs/>
          <w:color w:val="231F20"/>
          <w:spacing w:val="6"/>
        </w:rPr>
        <w:t>the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  <w:spacing w:val="6"/>
        </w:rPr>
        <w:t>control</w:t>
      </w:r>
      <w:r>
        <w:rPr>
          <w:color w:val="231F20"/>
          <w:spacing w:val="-21"/>
        </w:rPr>
        <w:t xml:space="preserve"> </w:t>
      </w:r>
      <w:r>
        <w:rPr>
          <w:b/>
          <w:bCs/>
          <w:color w:val="231F20"/>
          <w:spacing w:val="6"/>
        </w:rPr>
        <w:t>group,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  <w:spacing w:val="6"/>
        </w:rPr>
        <w:t>and</w:t>
      </w:r>
      <w:r>
        <w:rPr>
          <w:color w:val="231F20"/>
          <w:spacing w:val="-25"/>
        </w:rPr>
        <w:t xml:space="preserve"> </w:t>
      </w:r>
      <w:r>
        <w:rPr>
          <w:b/>
          <w:bCs/>
          <w:color w:val="231F20"/>
          <w:spacing w:val="6"/>
        </w:rPr>
        <w:t>the</w:t>
      </w:r>
      <w:r>
        <w:rPr>
          <w:color w:val="231F20"/>
          <w:spacing w:val="-21"/>
        </w:rPr>
        <w:t xml:space="preserve"> </w:t>
      </w:r>
      <w:r>
        <w:rPr>
          <w:b/>
          <w:bCs/>
          <w:color w:val="231F20"/>
          <w:spacing w:val="6"/>
        </w:rPr>
        <w:t>recurrence</w:t>
      </w:r>
      <w:r>
        <w:rPr>
          <w:color w:val="231F20"/>
          <w:spacing w:val="-21"/>
        </w:rPr>
        <w:t xml:space="preserve"> </w:t>
      </w:r>
      <w:r>
        <w:rPr>
          <w:b/>
          <w:bCs/>
          <w:color w:val="231F20"/>
          <w:spacing w:val="6"/>
        </w:rPr>
        <w:t>rate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  <w:spacing w:val="6"/>
        </w:rPr>
        <w:t>of</w:t>
      </w:r>
      <w:r>
        <w:rPr>
          <w:color w:val="231F20"/>
          <w:spacing w:val="-37"/>
        </w:rPr>
        <w:t xml:space="preserve"> </w:t>
      </w:r>
      <w:r>
        <w:rPr>
          <w:b/>
          <w:bCs/>
          <w:color w:val="231F20"/>
          <w:spacing w:val="6"/>
        </w:rPr>
        <w:t>the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  <w:spacing w:val="6"/>
        </w:rPr>
        <w:t>o</w:t>
      </w:r>
      <w:r>
        <w:rPr>
          <w:b/>
          <w:bCs/>
          <w:color w:val="231F20"/>
          <w:spacing w:val="5"/>
        </w:rPr>
        <w:t>bservation</w:t>
      </w:r>
      <w:r>
        <w:rPr>
          <w:color w:val="231F20"/>
          <w:spacing w:val="-21"/>
        </w:rPr>
        <w:t xml:space="preserve"> </w:t>
      </w:r>
      <w:r>
        <w:rPr>
          <w:b/>
          <w:bCs/>
          <w:color w:val="231F20"/>
          <w:spacing w:val="5"/>
        </w:rPr>
        <w:t>group</w:t>
      </w:r>
      <w:r>
        <w:rPr>
          <w:color w:val="231F20"/>
          <w:spacing w:val="-27"/>
        </w:rPr>
        <w:t xml:space="preserve"> </w:t>
      </w:r>
      <w:r>
        <w:rPr>
          <w:b/>
          <w:bCs/>
          <w:color w:val="231F20"/>
          <w:spacing w:val="5"/>
        </w:rPr>
        <w:t>was</w:t>
      </w:r>
      <w:r>
        <w:rPr>
          <w:color w:val="231F20"/>
          <w:spacing w:val="-18"/>
        </w:rPr>
        <w:t xml:space="preserve"> </w:t>
      </w:r>
      <w:r>
        <w:rPr>
          <w:b/>
          <w:bCs/>
          <w:color w:val="231F20"/>
          <w:spacing w:val="5"/>
        </w:rPr>
        <w:t>2.86%,</w:t>
      </w:r>
      <w:r>
        <w:rPr>
          <w:color w:val="231F20"/>
          <w:spacing w:val="-22"/>
        </w:rPr>
        <w:t xml:space="preserve"> </w:t>
      </w:r>
      <w:r>
        <w:rPr>
          <w:b/>
          <w:bCs/>
          <w:color w:val="231F20"/>
          <w:spacing w:val="5"/>
        </w:rPr>
        <w:t>lower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5"/>
        </w:rPr>
        <w:t>than</w:t>
      </w:r>
      <w:r>
        <w:rPr>
          <w:color w:val="231F20"/>
          <w:spacing w:val="-14"/>
        </w:rPr>
        <w:t xml:space="preserve"> </w:t>
      </w:r>
      <w:r>
        <w:rPr>
          <w:b/>
          <w:bCs/>
          <w:color w:val="231F20"/>
          <w:spacing w:val="5"/>
        </w:rPr>
        <w:t>17.14%</w:t>
      </w:r>
      <w:r>
        <w:rPr>
          <w:color w:val="231F20"/>
          <w:spacing w:val="-20"/>
        </w:rPr>
        <w:t xml:space="preserve"> </w:t>
      </w:r>
      <w:r>
        <w:rPr>
          <w:b/>
          <w:bCs/>
          <w:color w:val="231F20"/>
          <w:spacing w:val="5"/>
        </w:rPr>
        <w:t>of</w:t>
      </w:r>
      <w:r>
        <w:rPr>
          <w:color w:val="231F20"/>
          <w:spacing w:val="-36"/>
        </w:rPr>
        <w:t xml:space="preserve"> </w:t>
      </w:r>
      <w:r>
        <w:rPr>
          <w:b/>
          <w:bCs/>
          <w:color w:val="231F20"/>
          <w:spacing w:val="5"/>
        </w:rPr>
        <w:t>the</w:t>
      </w:r>
      <w:r>
        <w:rPr>
          <w:color w:val="231F20"/>
        </w:rPr>
        <w:t xml:space="preserve">   </w:t>
      </w:r>
      <w:r>
        <w:rPr>
          <w:b/>
          <w:bCs/>
          <w:color w:val="231F20"/>
        </w:rPr>
        <w:t>control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</w:rPr>
        <w:t>group,</w:t>
      </w:r>
      <w:r>
        <w:rPr>
          <w:color w:val="231F20"/>
          <w:spacing w:val="-22"/>
        </w:rPr>
        <w:t xml:space="preserve"> </w:t>
      </w:r>
      <w:r>
        <w:rPr>
          <w:b/>
          <w:bCs/>
          <w:color w:val="231F20"/>
        </w:rPr>
        <w:t>with</w:t>
      </w:r>
      <w:r>
        <w:rPr>
          <w:color w:val="231F20"/>
          <w:spacing w:val="-17"/>
        </w:rPr>
        <w:t xml:space="preserve"> </w:t>
      </w:r>
      <w:r>
        <w:rPr>
          <w:b/>
          <w:bCs/>
          <w:color w:val="231F20"/>
        </w:rPr>
        <w:t>statistical</w:t>
      </w:r>
      <w:r>
        <w:rPr>
          <w:color w:val="231F20"/>
          <w:spacing w:val="-20"/>
        </w:rPr>
        <w:t xml:space="preserve"> </w:t>
      </w:r>
      <w:r>
        <w:rPr>
          <w:b/>
          <w:bCs/>
          <w:color w:val="231F20"/>
        </w:rPr>
        <w:t>sign</w:t>
      </w:r>
      <w:r>
        <w:rPr>
          <w:rFonts w:ascii="Times New Roman" w:hAnsi="Times New Roman" w:eastAsia="Times New Roman" w:cs="Times New Roman"/>
          <w:b/>
          <w:bCs/>
          <w:color w:val="231F20"/>
        </w:rPr>
        <w:t>iﬁca</w:t>
      </w:r>
      <w:r>
        <w:rPr>
          <w:b/>
          <w:bCs/>
          <w:color w:val="231F20"/>
        </w:rPr>
        <w:t>nce</w:t>
      </w:r>
      <w:r>
        <w:rPr>
          <w:color w:val="231F20"/>
          <w:spacing w:val="-15"/>
        </w:rPr>
        <w:t xml:space="preserve"> </w:t>
      </w:r>
      <w:r>
        <w:rPr>
          <w:b/>
          <w:bCs/>
          <w:color w:val="231F20"/>
        </w:rPr>
        <w:t>(</w:t>
      </w:r>
      <w:r>
        <w:rPr>
          <w:rFonts w:ascii="Times New Roman" w:hAnsi="Times New Roman" w:eastAsia="Times New Roman" w:cs="Times New Roman"/>
          <w:i/>
          <w:iCs/>
          <w:color w:val="231F20"/>
        </w:rPr>
        <w:t>P</w:t>
      </w:r>
      <w:r>
        <w:rPr>
          <w:b/>
          <w:bCs/>
          <w:color w:val="231F20"/>
        </w:rPr>
        <w:t>＜0.05);</w:t>
      </w:r>
      <w:r>
        <w:rPr>
          <w:color w:val="231F20"/>
          <w:spacing w:val="-26"/>
        </w:rPr>
        <w:t xml:space="preserve"> </w:t>
      </w:r>
      <w:r>
        <w:rPr>
          <w:b/>
          <w:bCs/>
          <w:color w:val="231F20"/>
        </w:rPr>
        <w:t>After</w:t>
      </w:r>
      <w:r>
        <w:rPr>
          <w:color w:val="231F20"/>
          <w:spacing w:val="-23"/>
        </w:rPr>
        <w:t xml:space="preserve"> </w:t>
      </w:r>
      <w:r>
        <w:rPr>
          <w:b/>
          <w:bCs/>
          <w:color w:val="231F20"/>
        </w:rPr>
        <w:t>intervention,</w:t>
      </w:r>
      <w:r>
        <w:rPr>
          <w:color w:val="231F20"/>
          <w:spacing w:val="-25"/>
        </w:rPr>
        <w:t xml:space="preserve"> </w:t>
      </w:r>
      <w:r>
        <w:rPr>
          <w:b/>
          <w:bCs/>
          <w:color w:val="231F20"/>
        </w:rPr>
        <w:t>the</w:t>
      </w:r>
      <w:r>
        <w:rPr>
          <w:color w:val="231F20"/>
          <w:spacing w:val="-21"/>
        </w:rPr>
        <w:t xml:space="preserve"> </w:t>
      </w:r>
      <w:r>
        <w:rPr>
          <w:b/>
          <w:bCs/>
          <w:color w:val="231F20"/>
        </w:rPr>
        <w:t>obse</w:t>
      </w:r>
      <w:r>
        <w:rPr>
          <w:b/>
          <w:bCs/>
          <w:color w:val="231F20"/>
          <w:spacing w:val="-1"/>
        </w:rPr>
        <w:t>rvation</w:t>
      </w:r>
      <w:r>
        <w:rPr>
          <w:color w:val="231F20"/>
          <w:spacing w:val="-23"/>
        </w:rPr>
        <w:t xml:space="preserve"> </w:t>
      </w:r>
      <w:r>
        <w:rPr>
          <w:b/>
          <w:bCs/>
          <w:color w:val="231F20"/>
          <w:spacing w:val="-1"/>
        </w:rPr>
        <w:t>group</w:t>
      </w:r>
      <w:r>
        <w:rPr>
          <w:color w:val="231F20"/>
          <w:spacing w:val="-23"/>
        </w:rPr>
        <w:t xml:space="preserve"> </w:t>
      </w:r>
      <w:r>
        <w:rPr>
          <w:b/>
          <w:bCs/>
          <w:color w:val="231F20"/>
          <w:spacing w:val="-1"/>
        </w:rPr>
        <w:t>had</w:t>
      </w:r>
      <w:r>
        <w:rPr>
          <w:color w:val="231F20"/>
          <w:spacing w:val="-23"/>
        </w:rPr>
        <w:t xml:space="preserve"> </w:t>
      </w:r>
      <w:r>
        <w:rPr>
          <w:b/>
          <w:bCs/>
          <w:color w:val="231F20"/>
          <w:spacing w:val="-1"/>
        </w:rPr>
        <w:t>lower</w:t>
      </w:r>
      <w:r>
        <w:rPr>
          <w:color w:val="231F20"/>
          <w:spacing w:val="-20"/>
        </w:rPr>
        <w:t xml:space="preserve"> </w:t>
      </w:r>
      <w:r>
        <w:rPr>
          <w:b/>
          <w:bCs/>
          <w:color w:val="231F20"/>
          <w:spacing w:val="-1"/>
        </w:rPr>
        <w:t>scores</w:t>
      </w:r>
      <w:r>
        <w:rPr>
          <w:color w:val="231F20"/>
          <w:spacing w:val="-21"/>
        </w:rPr>
        <w:t xml:space="preserve"> </w:t>
      </w:r>
      <w:r>
        <w:rPr>
          <w:b/>
          <w:bCs/>
          <w:color w:val="231F20"/>
          <w:spacing w:val="-1"/>
        </w:rPr>
        <w:t>on</w:t>
      </w:r>
      <w:r>
        <w:rPr>
          <w:color w:val="231F20"/>
          <w:spacing w:val="-25"/>
        </w:rPr>
        <w:t xml:space="preserve"> </w:t>
      </w:r>
      <w:r>
        <w:rPr>
          <w:b/>
          <w:bCs/>
          <w:color w:val="231F20"/>
          <w:spacing w:val="-1"/>
        </w:rPr>
        <w:t>the</w:t>
      </w:r>
      <w:r>
        <w:rPr>
          <w:color w:val="231F20"/>
          <w:spacing w:val="-20"/>
        </w:rPr>
        <w:t xml:space="preserve"> </w:t>
      </w:r>
      <w:r>
        <w:rPr>
          <w:b/>
          <w:bCs/>
          <w:color w:val="231F20"/>
          <w:spacing w:val="-1"/>
        </w:rPr>
        <w:t>self</w:t>
      </w:r>
      <w:r>
        <w:rPr>
          <w:color w:val="231F20"/>
          <w:spacing w:val="-35"/>
        </w:rPr>
        <w:t xml:space="preserve"> </w:t>
      </w:r>
      <w:r>
        <w:rPr>
          <w:b/>
          <w:bCs/>
          <w:color w:val="231F20"/>
          <w:spacing w:val="-1"/>
        </w:rPr>
        <w:t>rating</w:t>
      </w:r>
      <w:r>
        <w:rPr>
          <w:color w:val="231F20"/>
        </w:rPr>
        <w:t xml:space="preserve">   </w:t>
      </w:r>
      <w:r>
        <w:rPr>
          <w:b/>
          <w:bCs/>
          <w:color w:val="231F20"/>
        </w:rPr>
        <w:t>anxiety</w:t>
      </w:r>
      <w:r>
        <w:rPr>
          <w:color w:val="231F20"/>
          <w:spacing w:val="-23"/>
        </w:rPr>
        <w:t xml:space="preserve"> </w:t>
      </w:r>
      <w:r>
        <w:rPr>
          <w:b/>
          <w:bCs/>
          <w:color w:val="231F20"/>
        </w:rPr>
        <w:t>scale</w:t>
      </w:r>
      <w:r>
        <w:rPr>
          <w:color w:val="231F20"/>
          <w:spacing w:val="-22"/>
        </w:rPr>
        <w:t xml:space="preserve"> </w:t>
      </w:r>
      <w:r>
        <w:rPr>
          <w:b/>
          <w:bCs/>
          <w:color w:val="231F20"/>
        </w:rPr>
        <w:t>and</w:t>
      </w:r>
      <w:r>
        <w:rPr>
          <w:color w:val="231F20"/>
          <w:spacing w:val="-23"/>
        </w:rPr>
        <w:t xml:space="preserve"> </w:t>
      </w:r>
      <w:r>
        <w:rPr>
          <w:b/>
          <w:bCs/>
          <w:color w:val="231F20"/>
        </w:rPr>
        <w:t>self</w:t>
      </w:r>
      <w:r>
        <w:rPr>
          <w:color w:val="231F20"/>
          <w:spacing w:val="-37"/>
        </w:rPr>
        <w:t xml:space="preserve"> </w:t>
      </w:r>
      <w:r>
        <w:rPr>
          <w:b/>
          <w:bCs/>
          <w:color w:val="231F20"/>
        </w:rPr>
        <w:t>rating</w:t>
      </w:r>
      <w:r>
        <w:rPr>
          <w:color w:val="231F20"/>
          <w:spacing w:val="-23"/>
        </w:rPr>
        <w:t xml:space="preserve"> </w:t>
      </w:r>
      <w:r>
        <w:rPr>
          <w:b/>
          <w:bCs/>
          <w:color w:val="231F20"/>
        </w:rPr>
        <w:t>depre</w:t>
      </w:r>
      <w:r>
        <w:rPr>
          <w:b/>
          <w:bCs/>
          <w:color w:val="231F20"/>
          <w:spacing w:val="-1"/>
        </w:rPr>
        <w:t>ssion</w:t>
      </w:r>
      <w:r>
        <w:rPr>
          <w:color w:val="231F20"/>
          <w:spacing w:val="-22"/>
        </w:rPr>
        <w:t xml:space="preserve"> </w:t>
      </w:r>
      <w:r>
        <w:rPr>
          <w:b/>
          <w:bCs/>
          <w:color w:val="231F20"/>
          <w:spacing w:val="-1"/>
        </w:rPr>
        <w:t>scale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  <w:spacing w:val="-1"/>
        </w:rPr>
        <w:t>than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  <w:spacing w:val="-1"/>
        </w:rPr>
        <w:t>the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-1"/>
        </w:rPr>
        <w:t>control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-1"/>
        </w:rPr>
        <w:t>group</w:t>
      </w:r>
      <w:r>
        <w:rPr>
          <w:color w:val="231F20"/>
          <w:spacing w:val="-17"/>
        </w:rPr>
        <w:t xml:space="preserve"> </w:t>
      </w:r>
      <w:r>
        <w:rPr>
          <w:b/>
          <w:bCs/>
          <w:color w:val="231F20"/>
          <w:spacing w:val="-1"/>
        </w:rPr>
        <w:t>(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P</w:t>
      </w:r>
      <w:r>
        <w:rPr>
          <w:b/>
          <w:bCs/>
          <w:color w:val="231F20"/>
          <w:spacing w:val="-1"/>
        </w:rPr>
        <w:t>＜0.05);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-1"/>
        </w:rPr>
        <w:t>After</w:t>
      </w:r>
      <w:r>
        <w:rPr>
          <w:color w:val="231F20"/>
          <w:spacing w:val="-25"/>
        </w:rPr>
        <w:t xml:space="preserve"> </w:t>
      </w:r>
      <w:r>
        <w:rPr>
          <w:b/>
          <w:bCs/>
          <w:color w:val="231F20"/>
          <w:spacing w:val="-1"/>
        </w:rPr>
        <w:t>intervention,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  <w:spacing w:val="-1"/>
        </w:rPr>
        <w:t>the</w:t>
      </w:r>
      <w:r>
        <w:rPr>
          <w:color w:val="231F20"/>
          <w:spacing w:val="-23"/>
        </w:rPr>
        <w:t xml:space="preserve"> </w:t>
      </w:r>
      <w:r>
        <w:rPr>
          <w:b/>
          <w:bCs/>
          <w:color w:val="231F20"/>
          <w:spacing w:val="-1"/>
        </w:rPr>
        <w:t>observation</w:t>
      </w:r>
      <w:r>
        <w:rPr>
          <w:color w:val="231F20"/>
          <w:spacing w:val="-25"/>
        </w:rPr>
        <w:t xml:space="preserve"> </w:t>
      </w:r>
      <w:r>
        <w:rPr>
          <w:b/>
          <w:bCs/>
          <w:color w:val="231F20"/>
          <w:spacing w:val="-1"/>
        </w:rPr>
        <w:t>group</w:t>
      </w:r>
      <w:r>
        <w:rPr>
          <w:color w:val="231F20"/>
          <w:spacing w:val="-25"/>
        </w:rPr>
        <w:t xml:space="preserve"> </w:t>
      </w:r>
      <w:r>
        <w:rPr>
          <w:b/>
          <w:bCs/>
          <w:color w:val="231F20"/>
          <w:spacing w:val="-1"/>
        </w:rPr>
        <w:t>had</w:t>
      </w:r>
      <w:r>
        <w:rPr>
          <w:color w:val="231F20"/>
          <w:spacing w:val="-25"/>
        </w:rPr>
        <w:t xml:space="preserve"> </w:t>
      </w:r>
      <w:r>
        <w:rPr>
          <w:b/>
          <w:bCs/>
          <w:color w:val="231F20"/>
          <w:spacing w:val="-1"/>
        </w:rPr>
        <w:t>higher</w:t>
      </w:r>
      <w:r>
        <w:rPr>
          <w:color w:val="231F20"/>
        </w:rPr>
        <w:t xml:space="preserve">   </w:t>
      </w:r>
      <w:r>
        <w:rPr>
          <w:b/>
          <w:bCs/>
          <w:color w:val="231F20"/>
          <w:spacing w:val="-3"/>
        </w:rPr>
        <w:t>scores</w:t>
      </w:r>
      <w:r>
        <w:rPr>
          <w:color w:val="231F20"/>
          <w:spacing w:val="-21"/>
        </w:rPr>
        <w:t xml:space="preserve"> </w:t>
      </w:r>
      <w:r>
        <w:rPr>
          <w:b/>
          <w:bCs/>
          <w:color w:val="231F20"/>
          <w:spacing w:val="-3"/>
        </w:rPr>
        <w:t>in</w:t>
      </w:r>
      <w:r>
        <w:rPr>
          <w:color w:val="231F20"/>
          <w:spacing w:val="-27"/>
        </w:rPr>
        <w:t xml:space="preserve"> </w:t>
      </w:r>
      <w:r>
        <w:rPr>
          <w:b/>
          <w:bCs/>
          <w:color w:val="231F20"/>
          <w:spacing w:val="-3"/>
        </w:rPr>
        <w:t>physical</w:t>
      </w:r>
      <w:r>
        <w:rPr>
          <w:color w:val="231F20"/>
          <w:spacing w:val="-27"/>
        </w:rPr>
        <w:t xml:space="preserve"> </w:t>
      </w:r>
      <w:r>
        <w:rPr>
          <w:b/>
          <w:bCs/>
          <w:color w:val="231F20"/>
          <w:spacing w:val="-3"/>
        </w:rPr>
        <w:t>health,</w:t>
      </w:r>
      <w:r>
        <w:rPr>
          <w:color w:val="231F20"/>
          <w:spacing w:val="-26"/>
        </w:rPr>
        <w:t xml:space="preserve"> </w:t>
      </w:r>
      <w:r>
        <w:rPr>
          <w:b/>
          <w:bCs/>
          <w:color w:val="231F20"/>
          <w:spacing w:val="-3"/>
        </w:rPr>
        <w:t>physiological</w:t>
      </w:r>
      <w:r>
        <w:rPr>
          <w:color w:val="231F20"/>
          <w:spacing w:val="-27"/>
        </w:rPr>
        <w:t xml:space="preserve"> </w:t>
      </w:r>
      <w:r>
        <w:rPr>
          <w:b/>
          <w:bCs/>
          <w:color w:val="231F20"/>
          <w:spacing w:val="-3"/>
        </w:rPr>
        <w:t>function,</w:t>
      </w:r>
      <w:r>
        <w:rPr>
          <w:color w:val="231F20"/>
          <w:spacing w:val="-26"/>
        </w:rPr>
        <w:t xml:space="preserve"> </w:t>
      </w:r>
      <w:r>
        <w:rPr>
          <w:b/>
          <w:bCs/>
          <w:color w:val="231F20"/>
          <w:spacing w:val="-3"/>
        </w:rPr>
        <w:t>psychological</w:t>
      </w:r>
      <w:r>
        <w:rPr>
          <w:color w:val="231F20"/>
          <w:spacing w:val="-27"/>
        </w:rPr>
        <w:t xml:space="preserve"> </w:t>
      </w:r>
      <w:r>
        <w:rPr>
          <w:b/>
          <w:bCs/>
          <w:color w:val="231F20"/>
          <w:spacing w:val="-3"/>
        </w:rPr>
        <w:t>function,</w:t>
      </w:r>
      <w:r>
        <w:rPr>
          <w:color w:val="231F20"/>
          <w:spacing w:val="-25"/>
        </w:rPr>
        <w:t xml:space="preserve"> </w:t>
      </w:r>
      <w:r>
        <w:rPr>
          <w:b/>
          <w:bCs/>
          <w:color w:val="231F20"/>
          <w:spacing w:val="-3"/>
        </w:rPr>
        <w:t>emotional</w:t>
      </w:r>
      <w:r>
        <w:rPr>
          <w:color w:val="231F20"/>
          <w:spacing w:val="-25"/>
        </w:rPr>
        <w:t xml:space="preserve"> </w:t>
      </w:r>
      <w:r>
        <w:rPr>
          <w:b/>
          <w:bCs/>
          <w:color w:val="231F20"/>
          <w:spacing w:val="-3"/>
        </w:rPr>
        <w:t>activity,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-3"/>
        </w:rPr>
        <w:t>and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-3"/>
        </w:rPr>
        <w:t>social</w:t>
      </w:r>
      <w:r>
        <w:rPr>
          <w:color w:val="231F20"/>
          <w:spacing w:val="-27"/>
        </w:rPr>
        <w:t xml:space="preserve"> </w:t>
      </w:r>
      <w:r>
        <w:rPr>
          <w:b/>
          <w:bCs/>
          <w:color w:val="231F20"/>
          <w:spacing w:val="-3"/>
        </w:rPr>
        <w:t>relationships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-3"/>
        </w:rPr>
        <w:t>than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-3"/>
        </w:rPr>
        <w:t>the</w:t>
      </w:r>
      <w:r>
        <w:rPr>
          <w:color w:val="231F20"/>
          <w:spacing w:val="-25"/>
        </w:rPr>
        <w:t xml:space="preserve"> </w:t>
      </w:r>
      <w:r>
        <w:rPr>
          <w:b/>
          <w:bCs/>
          <w:color w:val="231F20"/>
          <w:spacing w:val="-3"/>
        </w:rPr>
        <w:t>control</w:t>
      </w:r>
      <w:r>
        <w:rPr>
          <w:color w:val="231F20"/>
        </w:rPr>
        <w:t xml:space="preserve">   </w:t>
      </w:r>
      <w:r>
        <w:rPr>
          <w:b/>
          <w:bCs/>
          <w:color w:val="231F20"/>
          <w:spacing w:val="3"/>
        </w:rPr>
        <w:t>group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3"/>
        </w:rPr>
        <w:t>(</w:t>
      </w:r>
      <w:r>
        <w:rPr>
          <w:rFonts w:ascii="Times New Roman" w:hAnsi="Times New Roman" w:eastAsia="Times New Roman" w:cs="Times New Roman"/>
          <w:i/>
          <w:iCs/>
          <w:color w:val="231F20"/>
          <w:spacing w:val="3"/>
        </w:rPr>
        <w:t>P</w:t>
      </w:r>
      <w:r>
        <w:rPr>
          <w:b/>
          <w:bCs/>
          <w:color w:val="231F20"/>
          <w:spacing w:val="3"/>
        </w:rPr>
        <w:t>＜0.05).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  <w:spacing w:val="3"/>
        </w:rPr>
        <w:t>Conclusion</w:t>
      </w:r>
      <w:r>
        <w:rPr>
          <w:color w:val="231F20"/>
          <w:spacing w:val="1"/>
        </w:rPr>
        <w:t xml:space="preserve">  </w:t>
      </w:r>
      <w:r>
        <w:rPr>
          <w:b/>
          <w:bCs/>
          <w:color w:val="231F20"/>
          <w:spacing w:val="3"/>
        </w:rPr>
        <w:t>Comprehensive</w:t>
      </w:r>
      <w:r>
        <w:rPr>
          <w:color w:val="231F20"/>
          <w:spacing w:val="-33"/>
        </w:rPr>
        <w:t xml:space="preserve"> </w:t>
      </w:r>
      <w:r>
        <w:rPr>
          <w:b/>
          <w:bCs/>
          <w:color w:val="231F20"/>
          <w:spacing w:val="3"/>
        </w:rPr>
        <w:t>nursing</w:t>
      </w:r>
      <w:r>
        <w:rPr>
          <w:color w:val="231F20"/>
          <w:spacing w:val="-33"/>
        </w:rPr>
        <w:t xml:space="preserve"> </w:t>
      </w:r>
      <w:r>
        <w:rPr>
          <w:b/>
          <w:bCs/>
          <w:color w:val="231F20"/>
          <w:spacing w:val="3"/>
        </w:rPr>
        <w:t>has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3"/>
        </w:rPr>
        <w:t>a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3"/>
        </w:rPr>
        <w:t>si</w:t>
      </w:r>
      <w:r>
        <w:rPr>
          <w:rFonts w:ascii="Times New Roman" w:hAnsi="Times New Roman" w:eastAsia="Times New Roman" w:cs="Times New Roman"/>
          <w:b/>
          <w:bCs/>
          <w:color w:val="231F20"/>
          <w:spacing w:val="3"/>
        </w:rPr>
        <w:t>gniﬁca</w:t>
      </w:r>
      <w:r>
        <w:rPr>
          <w:b/>
          <w:bCs/>
          <w:color w:val="231F20"/>
          <w:spacing w:val="3"/>
        </w:rPr>
        <w:t>nt</w:t>
      </w:r>
      <w:r>
        <w:rPr>
          <w:color w:val="231F20"/>
          <w:spacing w:val="-32"/>
        </w:rPr>
        <w:t xml:space="preserve"> </w:t>
      </w:r>
      <w:r>
        <w:rPr>
          <w:b/>
          <w:bCs/>
          <w:color w:val="231F20"/>
          <w:spacing w:val="3"/>
        </w:rPr>
        <w:t>intervention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  <w:spacing w:val="3"/>
        </w:rPr>
        <w:t>e</w:t>
      </w:r>
      <w:r>
        <w:rPr>
          <w:rFonts w:ascii="Times New Roman" w:hAnsi="Times New Roman" w:eastAsia="Times New Roman" w:cs="Times New Roman"/>
          <w:b/>
          <w:bCs/>
          <w:color w:val="231F20"/>
          <w:spacing w:val="3"/>
        </w:rPr>
        <w:t>ﬀ</w:t>
      </w:r>
      <w:r>
        <w:rPr>
          <w:b/>
          <w:bCs/>
          <w:color w:val="231F20"/>
          <w:spacing w:val="3"/>
        </w:rPr>
        <w:t>ect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  <w:spacing w:val="3"/>
        </w:rPr>
        <w:t>on</w:t>
      </w:r>
      <w:r>
        <w:rPr>
          <w:color w:val="231F20"/>
          <w:spacing w:val="-32"/>
        </w:rPr>
        <w:t xml:space="preserve"> </w:t>
      </w:r>
      <w:r>
        <w:rPr>
          <w:b/>
          <w:bCs/>
          <w:color w:val="231F20"/>
          <w:spacing w:val="3"/>
        </w:rPr>
        <w:t>patients</w:t>
      </w:r>
      <w:r>
        <w:rPr>
          <w:color w:val="231F20"/>
          <w:spacing w:val="-38"/>
        </w:rPr>
        <w:t xml:space="preserve"> </w:t>
      </w:r>
      <w:r>
        <w:rPr>
          <w:b/>
          <w:bCs/>
          <w:color w:val="231F20"/>
          <w:spacing w:val="3"/>
        </w:rPr>
        <w:t>with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3"/>
        </w:rPr>
        <w:t>acute</w:t>
      </w:r>
      <w:r>
        <w:rPr>
          <w:color w:val="231F20"/>
          <w:spacing w:val="-32"/>
        </w:rPr>
        <w:t xml:space="preserve"> </w:t>
      </w:r>
      <w:r>
        <w:rPr>
          <w:b/>
          <w:bCs/>
          <w:color w:val="231F20"/>
          <w:spacing w:val="3"/>
        </w:rPr>
        <w:t>pelvic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31F20"/>
          <w:spacing w:val="3"/>
        </w:rPr>
        <w:t>inﬂ</w:t>
      </w:r>
      <w:r>
        <w:rPr>
          <w:b/>
          <w:bCs/>
          <w:color w:val="231F20"/>
          <w:spacing w:val="3"/>
        </w:rPr>
        <w:t>amma</w:t>
      </w:r>
      <w:r>
        <w:rPr>
          <w:b/>
          <w:bCs/>
          <w:color w:val="231F20"/>
          <w:spacing w:val="2"/>
        </w:rPr>
        <w:t>tory</w:t>
      </w:r>
      <w:r>
        <w:rPr>
          <w:color w:val="231F20"/>
        </w:rPr>
        <w:t xml:space="preserve">   </w:t>
      </w:r>
      <w:r>
        <w:rPr>
          <w:b/>
          <w:bCs/>
          <w:color w:val="231F20"/>
          <w:spacing w:val="3"/>
        </w:rPr>
        <w:t>disease,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  <w:spacing w:val="3"/>
        </w:rPr>
        <w:t>which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3"/>
        </w:rPr>
        <w:t>can</w:t>
      </w:r>
      <w:r>
        <w:rPr>
          <w:color w:val="231F20"/>
          <w:spacing w:val="-27"/>
        </w:rPr>
        <w:t xml:space="preserve"> </w:t>
      </w:r>
      <w:r>
        <w:rPr>
          <w:b/>
          <w:bCs/>
          <w:color w:val="231F20"/>
          <w:spacing w:val="3"/>
        </w:rPr>
        <w:t>improve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3"/>
        </w:rPr>
        <w:t>their</w:t>
      </w:r>
      <w:r>
        <w:rPr>
          <w:color w:val="231F20"/>
          <w:spacing w:val="-25"/>
        </w:rPr>
        <w:t xml:space="preserve"> </w:t>
      </w:r>
      <w:r>
        <w:rPr>
          <w:b/>
          <w:bCs/>
          <w:color w:val="231F20"/>
          <w:spacing w:val="3"/>
        </w:rPr>
        <w:t>nursing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3"/>
        </w:rPr>
        <w:t>satisfaction,</w:t>
      </w:r>
      <w:r>
        <w:rPr>
          <w:color w:val="231F20"/>
          <w:spacing w:val="-25"/>
        </w:rPr>
        <w:t xml:space="preserve"> </w:t>
      </w:r>
      <w:r>
        <w:rPr>
          <w:b/>
          <w:bCs/>
          <w:color w:val="231F20"/>
          <w:spacing w:val="3"/>
        </w:rPr>
        <w:t>regulat</w:t>
      </w:r>
      <w:r>
        <w:rPr>
          <w:b/>
          <w:bCs/>
          <w:color w:val="231F20"/>
          <w:spacing w:val="2"/>
        </w:rPr>
        <w:t>e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2"/>
        </w:rPr>
        <w:t>their</w:t>
      </w:r>
      <w:r>
        <w:rPr>
          <w:color w:val="231F20"/>
          <w:spacing w:val="-26"/>
        </w:rPr>
        <w:t xml:space="preserve"> </w:t>
      </w:r>
      <w:r>
        <w:rPr>
          <w:b/>
          <w:bCs/>
          <w:color w:val="231F20"/>
          <w:spacing w:val="2"/>
        </w:rPr>
        <w:t>psychological</w:t>
      </w:r>
      <w:r>
        <w:rPr>
          <w:color w:val="231F20"/>
          <w:spacing w:val="-23"/>
        </w:rPr>
        <w:t xml:space="preserve"> </w:t>
      </w:r>
      <w:r>
        <w:rPr>
          <w:b/>
          <w:bCs/>
          <w:color w:val="231F20"/>
          <w:spacing w:val="2"/>
        </w:rPr>
        <w:t>state,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2"/>
        </w:rPr>
        <w:t>and</w:t>
      </w:r>
      <w:r>
        <w:rPr>
          <w:color w:val="231F20"/>
          <w:spacing w:val="-26"/>
        </w:rPr>
        <w:t xml:space="preserve"> </w:t>
      </w:r>
      <w:r>
        <w:rPr>
          <w:b/>
          <w:bCs/>
          <w:color w:val="231F20"/>
          <w:spacing w:val="2"/>
        </w:rPr>
        <w:t>improve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2"/>
        </w:rPr>
        <w:t>their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2"/>
        </w:rPr>
        <w:t>quality</w:t>
      </w:r>
      <w:r>
        <w:rPr>
          <w:color w:val="231F20"/>
          <w:spacing w:val="-25"/>
        </w:rPr>
        <w:t xml:space="preserve"> </w:t>
      </w:r>
      <w:r>
        <w:rPr>
          <w:b/>
          <w:bCs/>
          <w:color w:val="231F20"/>
          <w:spacing w:val="2"/>
        </w:rPr>
        <w:t>of</w:t>
      </w:r>
      <w:r>
        <w:rPr>
          <w:color w:val="231F20"/>
          <w:spacing w:val="-38"/>
        </w:rPr>
        <w:t xml:space="preserve"> </w:t>
      </w:r>
      <w:r>
        <w:rPr>
          <w:b/>
          <w:bCs/>
          <w:color w:val="231F20"/>
          <w:spacing w:val="2"/>
        </w:rPr>
        <w:t>life.</w:t>
      </w:r>
    </w:p>
    <w:p>
      <w:pPr>
        <w:pStyle w:val="BodyText"/>
        <w:ind w:left="1013"/>
        <w:spacing w:line="239" w:lineRule="auto"/>
        <w:rPr/>
      </w:pPr>
      <w:r>
        <w:rPr>
          <w:b/>
          <w:bCs/>
          <w:color w:val="231F20"/>
          <w:spacing w:val="4"/>
        </w:rPr>
        <w:t>【Key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4"/>
        </w:rPr>
        <w:t>words】</w:t>
      </w:r>
      <w:r>
        <w:rPr>
          <w:color w:val="231F20"/>
          <w:spacing w:val="-43"/>
        </w:rPr>
        <w:t xml:space="preserve"> </w:t>
      </w:r>
      <w:r>
        <w:rPr>
          <w:b/>
          <w:bCs/>
          <w:color w:val="231F20"/>
          <w:spacing w:val="4"/>
        </w:rPr>
        <w:t>Comprehensive</w:t>
      </w:r>
      <w:r>
        <w:rPr>
          <w:color w:val="231F20"/>
          <w:spacing w:val="-32"/>
        </w:rPr>
        <w:t xml:space="preserve"> </w:t>
      </w:r>
      <w:r>
        <w:rPr>
          <w:b/>
          <w:bCs/>
          <w:color w:val="231F20"/>
          <w:spacing w:val="4"/>
        </w:rPr>
        <w:t>nursing;</w:t>
      </w:r>
      <w:r>
        <w:rPr>
          <w:color w:val="231F20"/>
          <w:spacing w:val="-35"/>
        </w:rPr>
        <w:t xml:space="preserve"> </w:t>
      </w:r>
      <w:r>
        <w:rPr>
          <w:b/>
          <w:bCs/>
          <w:color w:val="231F20"/>
          <w:spacing w:val="4"/>
        </w:rPr>
        <w:t>Acute</w:t>
      </w:r>
      <w:r>
        <w:rPr>
          <w:color w:val="231F20"/>
          <w:spacing w:val="-32"/>
        </w:rPr>
        <w:t xml:space="preserve"> </w:t>
      </w:r>
      <w:r>
        <w:rPr>
          <w:b/>
          <w:bCs/>
          <w:color w:val="231F20"/>
          <w:spacing w:val="4"/>
        </w:rPr>
        <w:t>pelvic</w:t>
      </w:r>
      <w:r>
        <w:rPr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31F20"/>
          <w:spacing w:val="4"/>
        </w:rPr>
        <w:t>inﬂ</w:t>
      </w:r>
      <w:r>
        <w:rPr>
          <w:b/>
          <w:bCs/>
          <w:color w:val="231F20"/>
          <w:spacing w:val="4"/>
        </w:rPr>
        <w:t>ammatory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4"/>
        </w:rPr>
        <w:t>disease;</w:t>
      </w:r>
      <w:r>
        <w:rPr>
          <w:color w:val="231F20"/>
          <w:spacing w:val="-32"/>
        </w:rPr>
        <w:t xml:space="preserve"> </w:t>
      </w:r>
      <w:r>
        <w:rPr>
          <w:b/>
          <w:bCs/>
          <w:color w:val="231F20"/>
          <w:spacing w:val="4"/>
        </w:rPr>
        <w:t>Nursing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4"/>
        </w:rPr>
        <w:t>satisfaction;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4"/>
        </w:rPr>
        <w:t>Quality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4"/>
        </w:rPr>
        <w:t>of</w:t>
      </w:r>
      <w:r>
        <w:rPr>
          <w:color w:val="231F20"/>
          <w:spacing w:val="-45"/>
        </w:rPr>
        <w:t xml:space="preserve"> </w:t>
      </w:r>
      <w:r>
        <w:rPr>
          <w:b/>
          <w:bCs/>
          <w:color w:val="231F20"/>
          <w:spacing w:val="4"/>
        </w:rPr>
        <w:t>life</w:t>
      </w:r>
    </w:p>
    <w:p>
      <w:pPr>
        <w:spacing w:before="220"/>
        <w:rPr/>
      </w:pPr>
      <w:r/>
    </w:p>
    <w:p>
      <w:pPr>
        <w:sectPr>
          <w:pgSz w:w="11906" w:h="16838"/>
          <w:pgMar w:top="1058" w:right="1131" w:bottom="0" w:left="424" w:header="0" w:footer="0" w:gutter="0"/>
          <w:cols w:equalWidth="0" w:num="1">
            <w:col w:w="10351" w:space="0"/>
          </w:cols>
        </w:sectPr>
        <w:rPr/>
      </w:pPr>
    </w:p>
    <w:p>
      <w:pPr>
        <w:pStyle w:val="BodyText"/>
        <w:ind w:left="711" w:right="326" w:firstLine="424"/>
        <w:spacing w:before="46" w:line="290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8"/>
        </w:rPr>
        <w:t>盆腔炎属于女性生殖器官、盆腔腹膜炎症，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若不及时开展治疗，会发展为慢性盆腔炎，病程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9"/>
        </w:rPr>
        <w:t>很长，治愈难度大。通常在机体免疫力下降的情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9"/>
        </w:rPr>
        <w:t>况下，会对女性自然防御功能造成一定破坏，最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8"/>
        </w:rPr>
        <w:t>终引发盆腔炎</w:t>
      </w:r>
      <w:r>
        <w:rPr>
          <w:sz w:val="12"/>
          <w:szCs w:val="12"/>
          <w:color w:val="231F20"/>
          <w:spacing w:val="8"/>
          <w:position w:val="9"/>
        </w:rPr>
        <w:t>[1]</w:t>
      </w:r>
      <w:r>
        <w:rPr>
          <w:sz w:val="12"/>
          <w:szCs w:val="12"/>
          <w:color w:val="231F20"/>
          <w:spacing w:val="-26"/>
          <w:position w:val="9"/>
        </w:rPr>
        <w:t xml:space="preserve"> </w:t>
      </w:r>
      <w:r>
        <w:rPr>
          <w:sz w:val="21"/>
          <w:szCs w:val="21"/>
          <w:color w:val="231F20"/>
          <w:spacing w:val="8"/>
        </w:rPr>
        <w:t>。诱发盆腔炎的因素较多，包括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7"/>
        </w:rPr>
        <w:t>经期卫生不洁、产后感染或流产等，与此同时，</w:t>
      </w:r>
      <w:r>
        <w:rPr>
          <w:sz w:val="21"/>
          <w:szCs w:val="21"/>
          <w:color w:val="231F20"/>
          <w:spacing w:val="10"/>
        </w:rPr>
        <w:t xml:space="preserve"> </w:t>
      </w:r>
      <w:r>
        <w:rPr>
          <w:sz w:val="21"/>
          <w:szCs w:val="21"/>
          <w:color w:val="231F20"/>
          <w:spacing w:val="9"/>
        </w:rPr>
        <w:t>盆腔炎的发生还与宫腔手术有关。临床将盆腔炎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9"/>
        </w:rPr>
        <w:t>划分为急性盆腔炎和慢性盆腔炎，本研究主要对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9"/>
        </w:rPr>
        <w:t>急性盆腔炎进行研究，女性患急性盆腔炎后，有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7"/>
        </w:rPr>
        <w:t>下腹痛、阴道分泌物增加、发热等一系列症状，</w:t>
      </w:r>
      <w:r>
        <w:rPr>
          <w:sz w:val="21"/>
          <w:szCs w:val="21"/>
          <w:color w:val="231F20"/>
          <w:spacing w:val="10"/>
        </w:rPr>
        <w:t xml:space="preserve"> </w:t>
      </w:r>
      <w:r>
        <w:rPr>
          <w:sz w:val="21"/>
          <w:szCs w:val="21"/>
          <w:color w:val="231F20"/>
          <w:spacing w:val="9"/>
        </w:rPr>
        <w:t>随着病情进展推进，患者有头痛、食欲不振、高</w:t>
      </w:r>
    </w:p>
    <w:p>
      <w:pPr>
        <w:spacing w:line="30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" w:firstLine="3"/>
        <w:spacing w:before="51" w:line="289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9"/>
        </w:rPr>
        <w:t>热、寒战等多种症状，若是在月经期间发病，则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有经期延长情况；若是进展为盆腔脓肿，会引起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1"/>
        </w:rPr>
        <w:t>压迫症状，进而引起尿痛、尿频或排尿困难等</w:t>
      </w:r>
      <w:r>
        <w:rPr>
          <w:sz w:val="12"/>
          <w:szCs w:val="12"/>
          <w:color w:val="231F20"/>
          <w:spacing w:val="-1"/>
          <w:position w:val="9"/>
        </w:rPr>
        <w:t>[2]</w:t>
      </w:r>
      <w:r>
        <w:rPr>
          <w:sz w:val="12"/>
          <w:szCs w:val="12"/>
          <w:color w:val="231F20"/>
          <w:spacing w:val="-23"/>
          <w:position w:val="9"/>
        </w:rPr>
        <w:t xml:space="preserve"> </w:t>
      </w:r>
      <w:r>
        <w:rPr>
          <w:sz w:val="21"/>
          <w:szCs w:val="21"/>
          <w:color w:val="231F20"/>
          <w:spacing w:val="-1"/>
        </w:rPr>
        <w:t>。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7"/>
        </w:rPr>
        <w:t>不及时治疗，还会引发败血症、感染性休克等，</w:t>
      </w:r>
      <w:r>
        <w:rPr>
          <w:sz w:val="21"/>
          <w:szCs w:val="21"/>
          <w:color w:val="231F20"/>
          <w:spacing w:val="9"/>
        </w:rPr>
        <w:t xml:space="preserve"> </w:t>
      </w:r>
      <w:r>
        <w:rPr>
          <w:sz w:val="21"/>
          <w:szCs w:val="21"/>
          <w:color w:val="231F20"/>
          <w:spacing w:val="9"/>
        </w:rPr>
        <w:t>严重损害女性生殖健康。有研究发现，采取科学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有效的护理手段，能够提高护理效果，可以满足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1"/>
        </w:rPr>
        <w:t>患者护理需求</w:t>
      </w:r>
      <w:r>
        <w:rPr>
          <w:sz w:val="12"/>
          <w:szCs w:val="12"/>
          <w:color w:val="231F20"/>
          <w:spacing w:val="-1"/>
          <w:position w:val="9"/>
        </w:rPr>
        <w:t>[3]</w:t>
      </w:r>
      <w:r>
        <w:rPr>
          <w:sz w:val="12"/>
          <w:szCs w:val="12"/>
          <w:color w:val="231F20"/>
          <w:spacing w:val="-32"/>
          <w:position w:val="9"/>
        </w:rPr>
        <w:t xml:space="preserve"> </w:t>
      </w:r>
      <w:r>
        <w:rPr>
          <w:sz w:val="21"/>
          <w:szCs w:val="21"/>
          <w:color w:val="231F20"/>
          <w:spacing w:val="-1"/>
        </w:rPr>
        <w:t>。有研究指出，综合护理干预效果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好，可以最大程度上改善疾病症状，能够抑制病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1"/>
        </w:rPr>
        <w:t>情进展，有利于促进疾病预后改善</w:t>
      </w:r>
      <w:r>
        <w:rPr>
          <w:sz w:val="12"/>
          <w:szCs w:val="12"/>
          <w:color w:val="231F20"/>
          <w:spacing w:val="-1"/>
          <w:position w:val="9"/>
        </w:rPr>
        <w:t>[4]</w:t>
      </w:r>
      <w:r>
        <w:rPr>
          <w:sz w:val="12"/>
          <w:szCs w:val="12"/>
          <w:color w:val="231F20"/>
          <w:spacing w:val="-26"/>
          <w:position w:val="9"/>
        </w:rPr>
        <w:t xml:space="preserve"> </w:t>
      </w:r>
      <w:r>
        <w:rPr>
          <w:sz w:val="21"/>
          <w:szCs w:val="21"/>
          <w:color w:val="231F20"/>
          <w:spacing w:val="-1"/>
        </w:rPr>
        <w:t>。本研究探讨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综合护理对急性盆腔炎患者的干预效果，现报道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6"/>
        </w:rPr>
        <w:t>如下。</w:t>
      </w:r>
    </w:p>
    <w:p>
      <w:pPr>
        <w:spacing w:line="289" w:lineRule="auto"/>
        <w:sectPr>
          <w:type w:val="continuous"/>
          <w:pgSz w:w="11906" w:h="16838"/>
          <w:pgMar w:top="1058" w:right="1131" w:bottom="0" w:left="424" w:header="0" w:footer="0" w:gutter="0"/>
          <w:cols w:equalWidth="0" w:num="2">
            <w:col w:w="5644" w:space="100"/>
            <w:col w:w="4607" w:space="0"/>
          </w:cols>
        </w:sectPr>
        <w:rPr>
          <w:sz w:val="21"/>
          <w:szCs w:val="21"/>
        </w:rPr>
      </w:pP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727"/>
        <w:spacing w:before="68" w:line="180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2"/>
        </w:rPr>
        <w:t>144</w:t>
      </w:r>
    </w:p>
    <w:p>
      <w:pPr>
        <w:spacing w:before="2" w:line="158" w:lineRule="auto"/>
        <w:rPr>
          <w:rFonts w:ascii="Arial" w:hAnsi="Arial" w:eastAsia="Arial" w:cs="Arial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0"/>
          <w:position w:val="-1"/>
        </w:rPr>
        <w:t>中国知网</w:t>
      </w: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"/>
          <w:position w:val="-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  <w:position w:val="-1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-1"/>
        </w:rPr>
        <w:t>:</w:t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net</w:t>
      </w:r>
    </w:p>
    <w:p>
      <w:pPr>
        <w:spacing w:line="158" w:lineRule="auto"/>
        <w:sectPr>
          <w:type w:val="continuous"/>
          <w:pgSz w:w="11906" w:h="16838"/>
          <w:pgMar w:top="1058" w:right="1131" w:bottom="0" w:left="424" w:header="0" w:footer="0" w:gutter="0"/>
          <w:cols w:equalWidth="0" w:num="1">
            <w:col w:w="10351" w:space="0"/>
          </w:cols>
        </w:sectPr>
        <w:rPr>
          <w:rFonts w:ascii="Arial" w:hAnsi="Arial" w:eastAsia="Arial" w:cs="Arial"/>
          <w:sz w:val="22"/>
          <w:szCs w:val="22"/>
        </w:rPr>
      </w:pPr>
    </w:p>
    <w:p>
      <w:pPr>
        <w:spacing w:before="193"/>
        <w:rPr/>
      </w:pPr>
      <w:r/>
    </w:p>
    <w:p>
      <w:pPr>
        <w:sectPr>
          <w:headerReference w:type="default" r:id="rId3"/>
          <w:pgSz w:w="11906" w:h="16838"/>
          <w:pgMar w:top="1493" w:right="1132" w:bottom="0" w:left="424" w:header="1045" w:footer="0" w:gutter="0"/>
          <w:cols w:equalWidth="0" w:num="1">
            <w:col w:w="10350" w:space="0"/>
          </w:cols>
        </w:sectPr>
        <w:rPr/>
      </w:pPr>
    </w:p>
    <w:p>
      <w:pPr>
        <w:pStyle w:val="BodyText"/>
        <w:ind w:left="728"/>
        <w:spacing w:before="61" w:line="176" w:lineRule="auto"/>
        <w:outlineLvl w:val="0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b/>
          <w:bCs/>
          <w:color w:val="231F20"/>
        </w:rPr>
        <w:t>1</w:t>
      </w:r>
      <w:r>
        <w:rPr>
          <w:sz w:val="22"/>
          <w:szCs w:val="22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2"/>
          <w:szCs w:val="22"/>
          <w:color w:val="231F20"/>
        </w:rPr>
        <w:t>资料与方法</w:t>
      </w:r>
    </w:p>
    <w:p>
      <w:pPr>
        <w:pStyle w:val="BodyText"/>
        <w:ind w:left="727"/>
        <w:spacing w:before="52" w:line="215" w:lineRule="auto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4"/>
        </w:rPr>
        <w:t>1.1</w:t>
      </w:r>
      <w:r>
        <w:rPr>
          <w:sz w:val="21"/>
          <w:szCs w:val="21"/>
          <w:color w:val="231F20"/>
          <w:spacing w:val="9"/>
        </w:rPr>
        <w:t xml:space="preserve">  </w:t>
      </w:r>
      <w:r>
        <w:rPr>
          <w:sz w:val="21"/>
          <w:szCs w:val="21"/>
          <w:color w:val="231F20"/>
          <w:spacing w:val="-4"/>
        </w:rPr>
        <w:t>临床资料</w:t>
      </w:r>
    </w:p>
    <w:p>
      <w:pPr>
        <w:pStyle w:val="BodyText"/>
        <w:ind w:left="713" w:right="315" w:firstLine="419"/>
        <w:spacing w:before="73" w:line="290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10"/>
        </w:rPr>
        <w:t>本研究获得医院医学伦理委员会批准，选取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  <w:spacing w:val="-1"/>
        </w:rPr>
        <w:t>2022年9月至2023年9月70例急性盆腔炎患者为研究</w:t>
      </w:r>
      <w:r>
        <w:rPr>
          <w:sz w:val="21"/>
          <w:szCs w:val="21"/>
          <w:color w:val="231F20"/>
          <w:spacing w:val="8"/>
        </w:rPr>
        <w:t xml:space="preserve"> </w:t>
      </w:r>
      <w:r>
        <w:rPr>
          <w:sz w:val="21"/>
          <w:szCs w:val="21"/>
          <w:color w:val="231F20"/>
          <w:spacing w:val="8"/>
        </w:rPr>
        <w:t>对象，根据随机数字表法分为两组，各35例。观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  <w:spacing w:val="-4"/>
        </w:rPr>
        <w:t>察组年龄26～66岁，平均（46.78±9.</w:t>
      </w:r>
      <w:r>
        <w:rPr>
          <w:sz w:val="21"/>
          <w:szCs w:val="21"/>
          <w:color w:val="231F20"/>
          <w:spacing w:val="-5"/>
        </w:rPr>
        <w:t>86）岁。对照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4"/>
        </w:rPr>
        <w:t>组年龄25～68岁，平均（47.89±9.</w:t>
      </w:r>
      <w:r>
        <w:rPr>
          <w:sz w:val="21"/>
          <w:szCs w:val="21"/>
          <w:color w:val="231F20"/>
          <w:spacing w:val="-5"/>
        </w:rPr>
        <w:t>88）岁。两组患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者一般资料比较差异无统计学意义（</w:t>
      </w:r>
      <w:r>
        <w:rPr>
          <w:sz w:val="21"/>
          <w:szCs w:val="21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-2"/>
        </w:rPr>
        <w:t>P</w:t>
      </w:r>
      <w:r>
        <w:rPr>
          <w:sz w:val="21"/>
          <w:szCs w:val="21"/>
          <w:color w:val="231F20"/>
          <w:spacing w:val="-2"/>
        </w:rPr>
        <w:t>＞0.05），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5"/>
        </w:rPr>
        <w:t>有可比性。</w:t>
      </w:r>
    </w:p>
    <w:p>
      <w:pPr>
        <w:pStyle w:val="BodyText"/>
        <w:ind w:left="711" w:right="315" w:firstLine="425"/>
        <w:spacing w:before="2" w:line="289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8"/>
        </w:rPr>
        <w:t>纳入标准：①符合急性盆腔炎的诊断标准；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  <w:spacing w:val="9"/>
        </w:rPr>
        <w:t>②研究对象了解本试验的目的和内容；③意识清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9"/>
        </w:rPr>
        <w:t>楚，无智力或认知功能障碍；④能够积极配合本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18"/>
        </w:rPr>
        <w:t>试验。排除标准：①不能配合完成本试验者；</w:t>
      </w:r>
    </w:p>
    <w:p>
      <w:pPr>
        <w:pStyle w:val="BodyText"/>
        <w:ind w:left="714"/>
        <w:spacing w:before="2" w:line="241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7"/>
        </w:rPr>
        <w:t>②意识模糊、精神缺陷者；③凝血功能障碍者；</w:t>
      </w:r>
    </w:p>
    <w:p>
      <w:pPr>
        <w:pStyle w:val="BodyText"/>
        <w:ind w:left="714"/>
        <w:spacing w:before="56" w:line="241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3"/>
        </w:rPr>
        <w:t>④肝肾功能不全者。</w:t>
      </w:r>
    </w:p>
    <w:p>
      <w:pPr>
        <w:pStyle w:val="BodyText"/>
        <w:ind w:left="727"/>
        <w:spacing w:before="68" w:line="218" w:lineRule="auto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4"/>
        </w:rPr>
        <w:t>1.2</w:t>
      </w:r>
      <w:r>
        <w:rPr>
          <w:sz w:val="21"/>
          <w:szCs w:val="21"/>
          <w:color w:val="231F20"/>
          <w:spacing w:val="5"/>
        </w:rPr>
        <w:t xml:space="preserve">  </w:t>
      </w:r>
      <w:r>
        <w:rPr>
          <w:sz w:val="21"/>
          <w:szCs w:val="21"/>
          <w:color w:val="231F20"/>
          <w:spacing w:val="-4"/>
        </w:rPr>
        <w:t>方法</w:t>
      </w:r>
    </w:p>
    <w:p>
      <w:pPr>
        <w:pStyle w:val="BodyText"/>
        <w:ind w:left="718" w:right="315" w:firstLine="415"/>
        <w:spacing w:before="70" w:line="290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10"/>
        </w:rPr>
        <w:t>对照组实施常规护理，为患者提供传统常规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  <w:spacing w:val="-2"/>
        </w:rPr>
        <w:t>护理服务，按照护理流程执行各项护理操作。</w:t>
      </w:r>
    </w:p>
    <w:p>
      <w:pPr>
        <w:pStyle w:val="BodyText"/>
        <w:ind w:left="712" w:right="315" w:firstLine="425"/>
        <w:spacing w:before="1" w:line="290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9"/>
        </w:rPr>
        <w:t>观察组实施综合护理，具体方法如下。①护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  <w:spacing w:val="9"/>
        </w:rPr>
        <w:t>理人员十分重视对患者心理上的疏导，考虑到病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情反复发作给患者带来的痛苦，充分尊重患者人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格，理解患者的情绪波动，并反复向患者强调良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好心态的重要性，促使患者始终保持积极、乐观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的心态，减少负性情绪影响。与此同时，患者情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绪上时有波动，考虑到患者心理舒适度，进一步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强化对患者的心理护理干预，通过音乐、精神暗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示、肢体接触等方式，促使患者尽可能地放松身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心，转移患者注意力，从而降低身心痛苦，改善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不良情绪。护理人员与患者对话交流期间，充分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尊重患者的感受，态度和蔼，语气温和；给予患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者心理上的慰藉，并引导患者家属也参与到心理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护理中，共同给予患者支持和帮扶，减少患者的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7"/>
        </w:rPr>
        <w:t>孤独感和无助感，更好地融入正常家庭生活中，</w:t>
      </w:r>
      <w:r>
        <w:rPr>
          <w:sz w:val="21"/>
          <w:szCs w:val="21"/>
          <w:color w:val="231F20"/>
          <w:spacing w:val="9"/>
        </w:rPr>
        <w:t xml:space="preserve"> </w:t>
      </w:r>
      <w:r>
        <w:rPr>
          <w:sz w:val="21"/>
          <w:szCs w:val="21"/>
          <w:color w:val="231F20"/>
          <w:spacing w:val="9"/>
        </w:rPr>
        <w:t>并尽快转换身份角色，回归社会。②加强对患者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的健康教育，主要是介绍疾病的发病机制，提高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 w:firstLine="5"/>
        <w:spacing w:before="48" w:line="290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9"/>
        </w:rPr>
        <w:t>患者疾病知晓率，增强患者对疾病的认知度</w:t>
      </w:r>
      <w:r>
        <w:rPr>
          <w:sz w:val="21"/>
          <w:szCs w:val="21"/>
          <w:color w:val="231F20"/>
          <w:spacing w:val="8"/>
        </w:rPr>
        <w:t>，促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7"/>
        </w:rPr>
        <w:t>使患者全面掌握疾病知识，进而积极配合治疗，</w:t>
      </w:r>
      <w:r>
        <w:rPr>
          <w:sz w:val="21"/>
          <w:szCs w:val="21"/>
          <w:color w:val="231F20"/>
          <w:spacing w:val="9"/>
        </w:rPr>
        <w:t xml:space="preserve"> </w:t>
      </w:r>
      <w:r>
        <w:rPr>
          <w:sz w:val="21"/>
          <w:szCs w:val="21"/>
          <w:color w:val="231F20"/>
          <w:spacing w:val="9"/>
        </w:rPr>
        <w:t>最大程度上提高疾病知晓率。同时，加强对患者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思想、行为、认知上的干预，纠正患者的错误思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想，传递正能量，告知患者要戒除不良嗜好，养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成良好的生活方式，改善生活习惯，改变饮食结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构，帮助患者持续提升身体健康水平。此外，加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强健康饮食指导，结合患者机体实际情况，制订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营养均衡的膳食指导方案，增强机体能量，提高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身体素质，提升机体的免疫力和抵抗力，不断提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升健康水平。③对患者日常生活方面进行干预和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20"/>
        </w:rPr>
        <w:t>指导，叮嘱患者每天更换内裤，保持会阴部清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  <w:spacing w:val="9"/>
        </w:rPr>
        <w:t>洁、干净；避免滋生细菌，外用药物前后做好手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部卫生管理，防范交叉感染。鼓励患者参加体育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锻炼，持续提升机体免疫力，以瑜伽、八段锦等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运动为主，注意保暖，遵循少食多餐原则，不饮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7"/>
        </w:rPr>
        <w:t>浓茶、浓咖啡，多饮水，进食清淡易消化食物，</w:t>
      </w:r>
      <w:r>
        <w:rPr>
          <w:sz w:val="21"/>
          <w:szCs w:val="21"/>
          <w:color w:val="231F20"/>
          <w:spacing w:val="9"/>
        </w:rPr>
        <w:t xml:space="preserve"> </w:t>
      </w:r>
      <w:r>
        <w:rPr>
          <w:sz w:val="21"/>
          <w:szCs w:val="21"/>
          <w:color w:val="231F20"/>
          <w:spacing w:val="-3"/>
        </w:rPr>
        <w:t>持续提升身体健康水平。</w:t>
      </w:r>
    </w:p>
    <w:p>
      <w:pPr>
        <w:pStyle w:val="BodyText"/>
        <w:ind w:left="26"/>
        <w:spacing w:before="12" w:line="209" w:lineRule="auto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1.3</w:t>
      </w:r>
      <w:r>
        <w:rPr>
          <w:sz w:val="21"/>
          <w:szCs w:val="21"/>
          <w:color w:val="231F20"/>
          <w:spacing w:val="-1"/>
        </w:rPr>
        <w:t xml:space="preserve">  观察指标及判定标准</w:t>
      </w:r>
    </w:p>
    <w:p>
      <w:pPr>
        <w:pStyle w:val="BodyText"/>
        <w:ind w:left="12" w:firstLine="420"/>
        <w:spacing w:before="77" w:line="281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10"/>
        </w:rPr>
        <w:t>①比较护理满意度及复发情况，采用本院自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  <w:spacing w:val="9"/>
        </w:rPr>
        <w:t>制的问卷调查患者的满意度、复发情况。②比较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心理状态，采用焦虑自评量表、抑郁自评量表进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行评分。③比较生活质量，包括躯体健康、生理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2"/>
        </w:rPr>
        <w:t>功能、心理功能、情感活动、社会关系。</w:t>
      </w:r>
    </w:p>
    <w:p>
      <w:pPr>
        <w:pStyle w:val="BodyText"/>
        <w:ind w:left="26"/>
        <w:spacing w:before="66" w:line="218" w:lineRule="auto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1.4</w:t>
      </w:r>
      <w:r>
        <w:rPr>
          <w:sz w:val="21"/>
          <w:szCs w:val="21"/>
          <w:color w:val="231F20"/>
          <w:spacing w:val="-1"/>
        </w:rPr>
        <w:t xml:space="preserve">  统计学方法</w:t>
      </w:r>
    </w:p>
    <w:p>
      <w:pPr>
        <w:pStyle w:val="BodyText"/>
        <w:ind w:left="13" w:firstLine="420"/>
        <w:spacing w:before="69" w:line="288" w:lineRule="auto"/>
        <w:jc w:val="both"/>
        <w:rPr>
          <w:sz w:val="21"/>
          <w:szCs w:val="21"/>
        </w:rPr>
      </w:pPr>
      <w:r>
        <w:pict>
          <v:shape id="_x0000_s14" style="position:absolute;margin-left:33.0179pt;margin-top:22.5185pt;mso-position-vertical-relative:text;mso-position-horizontal-relative:text;width:6.2pt;height:0.6pt;z-index:-251658240;" filled="false" strokecolor="#231F20" strokeweight="0.57pt" coordsize="123,12" coordorigin="0,0" path="m0,5l123,5e">
            <v:stroke joinstyle="miter" miterlimit="10"/>
          </v:shape>
        </w:pict>
      </w:r>
      <w:r>
        <w:rPr>
          <w:sz w:val="21"/>
          <w:szCs w:val="21"/>
          <w:color w:val="231F20"/>
          <w:spacing w:val="4"/>
        </w:rPr>
        <w:t>采用</w:t>
      </w:r>
      <w:r>
        <w:rPr>
          <w:sz w:val="21"/>
          <w:szCs w:val="21"/>
          <w:color w:val="231F20"/>
        </w:rPr>
        <w:t>SPSS</w:t>
      </w:r>
      <w:r>
        <w:rPr>
          <w:sz w:val="21"/>
          <w:szCs w:val="21"/>
          <w:color w:val="231F20"/>
          <w:spacing w:val="4"/>
        </w:rPr>
        <w:t xml:space="preserve"> 24.0统计学软件处理数据。计量资</w:t>
      </w:r>
      <w:r>
        <w:rPr>
          <w:sz w:val="21"/>
          <w:szCs w:val="21"/>
          <w:color w:val="231F20"/>
          <w:spacing w:val="7"/>
        </w:rPr>
        <w:t xml:space="preserve"> </w:t>
      </w:r>
      <w:r>
        <w:rPr>
          <w:sz w:val="21"/>
          <w:szCs w:val="21"/>
          <w:color w:val="231F20"/>
          <w:spacing w:val="3"/>
        </w:rPr>
        <w:t>料以（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3"/>
        </w:rPr>
        <w:t>x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3"/>
        </w:rPr>
        <w:t>±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3"/>
        </w:rPr>
        <w:t>s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-12"/>
        </w:rPr>
        <w:t xml:space="preserve"> </w:t>
      </w:r>
      <w:r>
        <w:rPr>
          <w:sz w:val="21"/>
          <w:szCs w:val="21"/>
          <w:color w:val="231F20"/>
          <w:spacing w:val="3"/>
        </w:rPr>
        <w:t>）表示，比较采用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3"/>
        </w:rPr>
        <w:t>t</w:t>
      </w:r>
      <w:r>
        <w:rPr>
          <w:sz w:val="21"/>
          <w:szCs w:val="21"/>
          <w:color w:val="231F20"/>
          <w:spacing w:val="3"/>
        </w:rPr>
        <w:t>检验；计数资料以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4"/>
        </w:rPr>
        <w:t>[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4"/>
        </w:rPr>
        <w:t>n</w:t>
      </w:r>
      <w:r>
        <w:rPr>
          <w:sz w:val="21"/>
          <w:szCs w:val="21"/>
          <w:color w:val="231F20"/>
          <w:spacing w:val="4"/>
        </w:rPr>
        <w:t>（%）]表示，比较采用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4"/>
        </w:rPr>
        <w:t>χ</w:t>
      </w:r>
      <w:r>
        <w:rPr>
          <w:sz w:val="12"/>
          <w:szCs w:val="12"/>
          <w:color w:val="231F20"/>
          <w:spacing w:val="4"/>
          <w:position w:val="9"/>
        </w:rPr>
        <w:t>2</w:t>
      </w:r>
      <w:r>
        <w:rPr>
          <w:sz w:val="21"/>
          <w:szCs w:val="21"/>
          <w:color w:val="231F20"/>
          <w:spacing w:val="4"/>
        </w:rPr>
        <w:t>检验。以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4"/>
        </w:rPr>
        <w:t>P</w:t>
      </w:r>
      <w:r>
        <w:rPr>
          <w:sz w:val="21"/>
          <w:szCs w:val="21"/>
          <w:color w:val="231F20"/>
          <w:spacing w:val="4"/>
        </w:rPr>
        <w:t>＜0.05表示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-3"/>
        </w:rPr>
        <w:t>差异有统计学意义。</w:t>
      </w:r>
    </w:p>
    <w:p>
      <w:pPr>
        <w:pStyle w:val="BodyText"/>
        <w:ind w:left="21"/>
        <w:spacing w:before="26" w:line="175" w:lineRule="auto"/>
        <w:outlineLvl w:val="0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2"/>
        </w:rPr>
        <w:t>2</w:t>
      </w:r>
      <w:r>
        <w:rPr>
          <w:sz w:val="22"/>
          <w:szCs w:val="22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2"/>
        </w:rPr>
        <w:t>结果</w:t>
      </w:r>
    </w:p>
    <w:p>
      <w:pPr>
        <w:pStyle w:val="BodyText"/>
        <w:ind w:left="20"/>
        <w:spacing w:before="51" w:line="209" w:lineRule="auto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2.1</w:t>
      </w:r>
      <w:r>
        <w:rPr>
          <w:sz w:val="21"/>
          <w:szCs w:val="21"/>
          <w:color w:val="231F20"/>
          <w:spacing w:val="-1"/>
        </w:rPr>
        <w:t xml:space="preserve">  两组护理满意度及复发率比较</w:t>
      </w:r>
    </w:p>
    <w:p>
      <w:pPr>
        <w:pStyle w:val="BodyText"/>
        <w:ind w:right="1" w:firstLine="437"/>
        <w:spacing w:before="80" w:line="290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35"/>
        </w:rPr>
        <w:t>观察组护理满意度，高于对照组，观察</w:t>
      </w:r>
      <w:r>
        <w:rPr>
          <w:sz w:val="21"/>
          <w:szCs w:val="21"/>
          <w:color w:val="231F20"/>
          <w:spacing w:val="10"/>
        </w:rPr>
        <w:t xml:space="preserve"> </w:t>
      </w:r>
      <w:r>
        <w:rPr>
          <w:sz w:val="21"/>
          <w:szCs w:val="21"/>
          <w:color w:val="231F20"/>
          <w:spacing w:val="32"/>
        </w:rPr>
        <w:t>组复发率，低于对照组，差异有统计学意义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-5"/>
        </w:rPr>
        <w:t>P</w:t>
      </w:r>
      <w:r>
        <w:rPr>
          <w:sz w:val="21"/>
          <w:szCs w:val="21"/>
          <w:color w:val="231F20"/>
          <w:spacing w:val="-5"/>
        </w:rPr>
        <w:t>＜0.05）。见表1。</w:t>
      </w:r>
    </w:p>
    <w:p>
      <w:pPr>
        <w:spacing w:line="290" w:lineRule="auto"/>
        <w:sectPr>
          <w:type w:val="continuous"/>
          <w:pgSz w:w="11906" w:h="16838"/>
          <w:pgMar w:top="1493" w:right="1132" w:bottom="0" w:left="424" w:header="1045" w:footer="0" w:gutter="0"/>
          <w:cols w:equalWidth="0" w:num="2">
            <w:col w:w="5633" w:space="100"/>
            <w:col w:w="4617" w:space="0"/>
          </w:cols>
        </w:sectPr>
        <w:rPr>
          <w:sz w:val="21"/>
          <w:szCs w:val="21"/>
        </w:rPr>
      </w:pPr>
    </w:p>
    <w:p>
      <w:pPr>
        <w:pStyle w:val="BodyText"/>
        <w:ind w:left="3740"/>
        <w:spacing w:before="171" w:line="190" w:lineRule="auto"/>
        <w:outlineLvl w:val="1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表1   </w:t>
      </w:r>
      <w:r>
        <w:rPr>
          <w:sz w:val="18"/>
          <w:szCs w:val="18"/>
          <w:color w:val="231F20"/>
          <w:spacing w:val="1"/>
        </w:rPr>
        <w:t>两组护理满意度及复发率比较</w:t>
      </w:r>
      <w:r>
        <w:rPr>
          <w:sz w:val="18"/>
          <w:szCs w:val="18"/>
          <w:color w:val="231F20"/>
          <w:spacing w:val="-31"/>
        </w:rPr>
        <w:t xml:space="preserve"> </w:t>
      </w:r>
      <w:r>
        <w:rPr>
          <w:sz w:val="18"/>
          <w:szCs w:val="18"/>
          <w:color w:val="231F20"/>
          <w:spacing w:val="1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>n</w:t>
      </w:r>
      <w:r>
        <w:rPr>
          <w:sz w:val="18"/>
          <w:szCs w:val="18"/>
          <w:color w:val="231F20"/>
          <w:spacing w:val="1"/>
        </w:rPr>
        <w:t>（%）]</w:t>
      </w:r>
    </w:p>
    <w:tbl>
      <w:tblPr>
        <w:tblStyle w:val="TableNormal"/>
        <w:tblW w:w="9637" w:type="dxa"/>
        <w:tblInd w:w="7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94"/>
        <w:gridCol w:w="1089"/>
        <w:gridCol w:w="1476"/>
        <w:gridCol w:w="1454"/>
        <w:gridCol w:w="1383"/>
        <w:gridCol w:w="1540"/>
        <w:gridCol w:w="1401"/>
      </w:tblGrid>
      <w:tr>
        <w:trPr>
          <w:trHeight w:val="279" w:hRule="atLeast"/>
        </w:trPr>
        <w:tc>
          <w:tcPr>
            <w:tcW w:w="129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72"/>
              <w:spacing w:before="47" w:line="241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tcW w:w="108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06"/>
              <w:spacing w:before="47" w:line="241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147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53"/>
              <w:spacing w:before="47" w:line="241" w:lineRule="auto"/>
              <w:rPr/>
            </w:pPr>
            <w:r>
              <w:rPr>
                <w:color w:val="231F20"/>
                <w:spacing w:val="-1"/>
              </w:rPr>
              <w:t>非常满意</w:t>
            </w:r>
          </w:p>
        </w:tc>
        <w:tc>
          <w:tcPr>
            <w:tcW w:w="145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14"/>
              <w:spacing w:before="47" w:line="241" w:lineRule="auto"/>
              <w:rPr/>
            </w:pPr>
            <w:r>
              <w:rPr>
                <w:color w:val="231F20"/>
                <w:spacing w:val="-1"/>
              </w:rPr>
              <w:t>一般满意</w:t>
            </w:r>
          </w:p>
        </w:tc>
        <w:tc>
          <w:tcPr>
            <w:tcW w:w="138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81"/>
              <w:spacing w:before="47" w:line="241" w:lineRule="auto"/>
              <w:rPr/>
            </w:pPr>
            <w:r>
              <w:rPr>
                <w:color w:val="231F20"/>
                <w:spacing w:val="-1"/>
              </w:rPr>
              <w:t>不满意</w:t>
            </w:r>
          </w:p>
        </w:tc>
        <w:tc>
          <w:tcPr>
            <w:tcW w:w="154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68"/>
              <w:spacing w:before="47" w:line="241" w:lineRule="auto"/>
              <w:rPr/>
            </w:pPr>
            <w:r>
              <w:rPr>
                <w:color w:val="231F20"/>
                <w:spacing w:val="-2"/>
              </w:rPr>
              <w:t>护理满意度</w:t>
            </w:r>
          </w:p>
        </w:tc>
        <w:tc>
          <w:tcPr>
            <w:tcW w:w="140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35"/>
              <w:spacing w:before="47" w:line="241" w:lineRule="auto"/>
              <w:rPr/>
            </w:pPr>
            <w:r>
              <w:rPr>
                <w:color w:val="231F20"/>
                <w:spacing w:val="-2"/>
              </w:rPr>
              <w:t>复发率</w:t>
            </w:r>
          </w:p>
        </w:tc>
      </w:tr>
      <w:tr>
        <w:trPr>
          <w:trHeight w:val="277" w:hRule="atLeast"/>
        </w:trPr>
        <w:tc>
          <w:tcPr>
            <w:tcW w:w="129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90"/>
              <w:spacing w:before="46" w:line="239" w:lineRule="auto"/>
              <w:rPr/>
            </w:pPr>
            <w:r>
              <w:rPr>
                <w:color w:val="231F20"/>
                <w:spacing w:val="-2"/>
              </w:rPr>
              <w:t>观察组</w:t>
            </w:r>
          </w:p>
        </w:tc>
        <w:tc>
          <w:tcPr>
            <w:tcW w:w="10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92"/>
              <w:spacing w:before="46" w:line="239" w:lineRule="auto"/>
              <w:rPr/>
            </w:pPr>
            <w:r>
              <w:rPr>
                <w:color w:val="231F20"/>
                <w:spacing w:val="-2"/>
              </w:rPr>
              <w:t>35</w:t>
            </w:r>
          </w:p>
        </w:tc>
        <w:tc>
          <w:tcPr>
            <w:tcW w:w="147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9"/>
              <w:spacing w:before="46" w:line="239" w:lineRule="auto"/>
              <w:rPr/>
            </w:pPr>
            <w:r>
              <w:rPr>
                <w:color w:val="231F20"/>
                <w:spacing w:val="-5"/>
              </w:rPr>
              <w:t>21（60.00）</w:t>
            </w:r>
          </w:p>
        </w:tc>
        <w:tc>
          <w:tcPr>
            <w:tcW w:w="145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16"/>
              <w:spacing w:before="46" w:line="239" w:lineRule="auto"/>
              <w:rPr/>
            </w:pPr>
            <w:r>
              <w:rPr>
                <w:color w:val="231F20"/>
                <w:spacing w:val="-6"/>
              </w:rPr>
              <w:t>12（34.29）</w:t>
            </w:r>
          </w:p>
        </w:tc>
        <w:tc>
          <w:tcPr>
            <w:tcW w:w="138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77"/>
              <w:spacing w:before="46" w:line="239" w:lineRule="auto"/>
              <w:rPr/>
            </w:pPr>
            <w:r>
              <w:rPr>
                <w:color w:val="231F20"/>
                <w:spacing w:val="-6"/>
              </w:rPr>
              <w:t>2（5.71）</w:t>
            </w:r>
          </w:p>
        </w:tc>
        <w:tc>
          <w:tcPr>
            <w:tcW w:w="154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3"/>
              <w:spacing w:before="46" w:line="239" w:lineRule="auto"/>
              <w:rPr>
                <w:sz w:val="9"/>
                <w:szCs w:val="9"/>
              </w:rPr>
            </w:pPr>
            <w:r>
              <w:rPr>
                <w:color w:val="231F20"/>
                <w:spacing w:val="-5"/>
              </w:rPr>
              <w:t>33（94.29）</w:t>
            </w:r>
            <w:r>
              <w:rPr>
                <w:sz w:val="9"/>
                <w:szCs w:val="9"/>
                <w:color w:val="231F20"/>
                <w:spacing w:val="-5"/>
                <w:position w:val="8"/>
              </w:rPr>
              <w:t>a</w:t>
            </w:r>
          </w:p>
        </w:tc>
        <w:tc>
          <w:tcPr>
            <w:tcW w:w="14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12"/>
              <w:spacing w:before="46" w:line="239" w:lineRule="auto"/>
              <w:rPr>
                <w:sz w:val="9"/>
                <w:szCs w:val="9"/>
              </w:rPr>
            </w:pPr>
            <w:r>
              <w:rPr>
                <w:color w:val="231F20"/>
                <w:spacing w:val="-8"/>
              </w:rPr>
              <w:t>1（2.86）</w:t>
            </w:r>
            <w:r>
              <w:rPr>
                <w:sz w:val="9"/>
                <w:szCs w:val="9"/>
                <w:color w:val="231F20"/>
                <w:spacing w:val="2"/>
                <w:position w:val="8"/>
              </w:rPr>
              <w:t>a</w:t>
            </w:r>
          </w:p>
        </w:tc>
      </w:tr>
      <w:tr>
        <w:trPr>
          <w:trHeight w:val="275" w:hRule="atLeast"/>
        </w:trPr>
        <w:tc>
          <w:tcPr>
            <w:tcW w:w="1294" w:type="dxa"/>
            <w:vAlign w:val="top"/>
          </w:tcPr>
          <w:p>
            <w:pPr>
              <w:pStyle w:val="TableText"/>
              <w:ind w:left="387"/>
              <w:spacing w:before="53" w:line="230" w:lineRule="auto"/>
              <w:rPr/>
            </w:pPr>
            <w:r>
              <w:rPr>
                <w:color w:val="231F20"/>
                <w:spacing w:val="-1"/>
              </w:rPr>
              <w:t>对照组</w:t>
            </w:r>
          </w:p>
        </w:tc>
        <w:tc>
          <w:tcPr>
            <w:tcW w:w="1089" w:type="dxa"/>
            <w:vAlign w:val="top"/>
          </w:tcPr>
          <w:p>
            <w:pPr>
              <w:pStyle w:val="TableText"/>
              <w:ind w:left="492"/>
              <w:spacing w:before="53" w:line="230" w:lineRule="auto"/>
              <w:rPr/>
            </w:pPr>
            <w:r>
              <w:rPr>
                <w:color w:val="231F20"/>
                <w:spacing w:val="-2"/>
              </w:rPr>
              <w:t>35</w:t>
            </w:r>
          </w:p>
        </w:tc>
        <w:tc>
          <w:tcPr>
            <w:tcW w:w="1476" w:type="dxa"/>
            <w:vAlign w:val="top"/>
          </w:tcPr>
          <w:p>
            <w:pPr>
              <w:pStyle w:val="TableText"/>
              <w:ind w:left="355"/>
              <w:spacing w:before="53" w:line="230" w:lineRule="auto"/>
              <w:rPr/>
            </w:pPr>
            <w:r>
              <w:rPr>
                <w:color w:val="231F20"/>
                <w:spacing w:val="-6"/>
              </w:rPr>
              <w:t>17（48.57）</w:t>
            </w:r>
          </w:p>
        </w:tc>
        <w:tc>
          <w:tcPr>
            <w:tcW w:w="1454" w:type="dxa"/>
            <w:vAlign w:val="top"/>
          </w:tcPr>
          <w:p>
            <w:pPr>
              <w:pStyle w:val="TableText"/>
              <w:ind w:left="316"/>
              <w:spacing w:before="53" w:line="230" w:lineRule="auto"/>
              <w:rPr/>
            </w:pPr>
            <w:r>
              <w:rPr>
                <w:color w:val="231F20"/>
                <w:spacing w:val="-6"/>
              </w:rPr>
              <w:t>10（28.57）</w:t>
            </w:r>
          </w:p>
        </w:tc>
        <w:tc>
          <w:tcPr>
            <w:tcW w:w="1383" w:type="dxa"/>
            <w:vAlign w:val="top"/>
          </w:tcPr>
          <w:p>
            <w:pPr>
              <w:pStyle w:val="TableText"/>
              <w:ind w:left="334"/>
              <w:spacing w:before="53" w:line="230" w:lineRule="auto"/>
              <w:rPr/>
            </w:pPr>
            <w:r>
              <w:rPr>
                <w:color w:val="231F20"/>
                <w:spacing w:val="-6"/>
              </w:rPr>
              <w:t>8（22.86）</w:t>
            </w:r>
          </w:p>
        </w:tc>
        <w:tc>
          <w:tcPr>
            <w:tcW w:w="1540" w:type="dxa"/>
            <w:vAlign w:val="top"/>
          </w:tcPr>
          <w:p>
            <w:pPr>
              <w:pStyle w:val="TableText"/>
              <w:ind w:left="346"/>
              <w:spacing w:before="53" w:line="230" w:lineRule="auto"/>
              <w:rPr/>
            </w:pPr>
            <w:r>
              <w:rPr>
                <w:color w:val="231F20"/>
                <w:spacing w:val="-5"/>
              </w:rPr>
              <w:t>27（77.14）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286"/>
              <w:spacing w:before="53" w:line="230" w:lineRule="auto"/>
              <w:rPr/>
            </w:pPr>
            <w:r>
              <w:rPr>
                <w:color w:val="231F20"/>
                <w:spacing w:val="-6"/>
              </w:rPr>
              <w:t>6（17.14）</w:t>
            </w:r>
          </w:p>
        </w:tc>
      </w:tr>
      <w:tr>
        <w:trPr>
          <w:trHeight w:val="303" w:hRule="atLeast"/>
        </w:trPr>
        <w:tc>
          <w:tcPr>
            <w:tcW w:w="1294" w:type="dxa"/>
            <w:vAlign w:val="top"/>
          </w:tcPr>
          <w:p>
            <w:pPr>
              <w:pStyle w:val="TableText"/>
              <w:ind w:left="562"/>
              <w:spacing w:before="43" w:line="210" w:lineRule="exact"/>
              <w:rPr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13"/>
                <w:position w:val="2"/>
              </w:rPr>
              <w:t>χ</w:t>
            </w:r>
            <w:r>
              <w:rPr>
                <w:sz w:val="9"/>
                <w:szCs w:val="9"/>
                <w:color w:val="231F20"/>
                <w:spacing w:val="13"/>
                <w:position w:val="9"/>
              </w:rPr>
              <w:t>2</w:t>
            </w:r>
          </w:p>
        </w:tc>
        <w:tc>
          <w:tcPr>
            <w:tcW w:w="10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0" w:type="dxa"/>
            <w:vAlign w:val="top"/>
          </w:tcPr>
          <w:p>
            <w:pPr>
              <w:pStyle w:val="TableText"/>
              <w:ind w:left="599"/>
              <w:spacing w:before="61" w:line="232" w:lineRule="exact"/>
              <w:rPr/>
            </w:pPr>
            <w:r>
              <w:rPr>
                <w:color w:val="231F20"/>
                <w:spacing w:val="-8"/>
                <w:position w:val="1"/>
              </w:rPr>
              <w:t>4.200</w:t>
            </w:r>
          </w:p>
        </w:tc>
        <w:tc>
          <w:tcPr>
            <w:tcW w:w="1401" w:type="dxa"/>
            <w:vAlign w:val="top"/>
          </w:tcPr>
          <w:p>
            <w:pPr>
              <w:pStyle w:val="TableText"/>
              <w:ind w:left="497"/>
              <w:spacing w:before="61" w:line="232" w:lineRule="exact"/>
              <w:rPr/>
            </w:pPr>
            <w:r>
              <w:rPr>
                <w:color w:val="231F20"/>
                <w:spacing w:val="-8"/>
                <w:position w:val="1"/>
              </w:rPr>
              <w:t>3.968</w:t>
            </w:r>
          </w:p>
        </w:tc>
      </w:tr>
      <w:tr>
        <w:trPr>
          <w:trHeight w:val="273" w:hRule="atLeast"/>
        </w:trPr>
        <w:tc>
          <w:tcPr>
            <w:tcW w:w="1294" w:type="dxa"/>
            <w:vAlign w:val="top"/>
            <w:tcBorders>
              <w:bottom w:val="single" w:color="231F20" w:sz="4" w:space="0"/>
            </w:tcBorders>
          </w:tcPr>
          <w:p>
            <w:pPr>
              <w:ind w:left="595"/>
              <w:spacing w:before="72" w:line="20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i/>
                <w:iCs/>
                <w:color w:val="231F20"/>
              </w:rPr>
              <w:t>P</w:t>
            </w:r>
          </w:p>
        </w:tc>
        <w:tc>
          <w:tcPr>
            <w:tcW w:w="1089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6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54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3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73"/>
              <w:spacing w:before="42"/>
              <w:rPr/>
            </w:pPr>
            <w:r>
              <w:rPr>
                <w:color w:val="231F20"/>
                <w:spacing w:val="5"/>
              </w:rPr>
              <w:t>&lt;0.05</w:t>
            </w:r>
          </w:p>
        </w:tc>
        <w:tc>
          <w:tcPr>
            <w:tcW w:w="140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70"/>
              <w:spacing w:before="42"/>
              <w:rPr/>
            </w:pPr>
            <w:r>
              <w:rPr>
                <w:color w:val="231F20"/>
                <w:spacing w:val="5"/>
              </w:rPr>
              <w:t>&lt;0.05</w:t>
            </w:r>
          </w:p>
        </w:tc>
      </w:tr>
    </w:tbl>
    <w:p>
      <w:pPr>
        <w:ind w:left="1037"/>
        <w:spacing w:before="62" w:line="17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注：与对照组比较，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2"/>
          <w:position w:val="7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2"/>
        </w:rPr>
        <w:t>P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＜0.05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right="1"/>
        <w:spacing w:before="69" w:line="180" w:lineRule="auto"/>
        <w:jc w:val="right"/>
        <w:rPr>
          <w:sz w:val="21"/>
          <w:szCs w:val="21"/>
        </w:rPr>
      </w:pPr>
      <w:r>
        <w:rPr>
          <w:sz w:val="21"/>
          <w:szCs w:val="21"/>
          <w:color w:val="231F20"/>
          <w:spacing w:val="2"/>
        </w:rPr>
        <w:t>145</w:t>
      </w:r>
    </w:p>
    <w:p>
      <w:pPr>
        <w:spacing w:before="1" w:line="158" w:lineRule="auto"/>
        <w:rPr>
          <w:rFonts w:ascii="Arial" w:hAnsi="Arial" w:eastAsia="Arial" w:cs="Arial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0"/>
          <w:position w:val="-1"/>
        </w:rPr>
        <w:t>中国知网</w:t>
      </w: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"/>
          <w:position w:val="-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  <w:position w:val="-1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-1"/>
        </w:rPr>
        <w:t>:</w:t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net</w:t>
      </w:r>
    </w:p>
    <w:p>
      <w:pPr>
        <w:spacing w:line="158" w:lineRule="auto"/>
        <w:sectPr>
          <w:type w:val="continuous"/>
          <w:pgSz w:w="11906" w:h="16838"/>
          <w:pgMar w:top="1493" w:right="1132" w:bottom="0" w:left="424" w:header="1045" w:footer="0" w:gutter="0"/>
          <w:cols w:equalWidth="0" w:num="1">
            <w:col w:w="10350" w:space="0"/>
          </w:cols>
        </w:sectPr>
        <w:rPr>
          <w:rFonts w:ascii="Arial" w:hAnsi="Arial" w:eastAsia="Arial" w:cs="Arial"/>
          <w:sz w:val="22"/>
          <w:szCs w:val="22"/>
        </w:rPr>
      </w:pPr>
    </w:p>
    <w:p>
      <w:pPr>
        <w:spacing w:before="193"/>
        <w:rPr/>
      </w:pPr>
      <w:r/>
    </w:p>
    <w:p>
      <w:pPr>
        <w:sectPr>
          <w:headerReference w:type="default" r:id="rId6"/>
          <w:pgSz w:w="11906" w:h="16838"/>
          <w:pgMar w:top="1493" w:right="0" w:bottom="0" w:left="424" w:header="1046" w:footer="0" w:gutter="0"/>
          <w:cols w:equalWidth="0" w:num="1">
            <w:col w:w="11482" w:space="0"/>
          </w:cols>
        </w:sectPr>
        <w:rPr/>
      </w:pPr>
    </w:p>
    <w:p>
      <w:pPr>
        <w:pStyle w:val="BodyText"/>
        <w:ind w:left="721"/>
        <w:spacing w:before="60" w:line="208" w:lineRule="auto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2.2</w:t>
      </w:r>
      <w:r>
        <w:rPr>
          <w:sz w:val="21"/>
          <w:szCs w:val="21"/>
          <w:color w:val="231F20"/>
          <w:spacing w:val="-1"/>
        </w:rPr>
        <w:t xml:space="preserve">  两组心理状态比较</w:t>
      </w:r>
    </w:p>
    <w:p>
      <w:pPr>
        <w:pStyle w:val="BodyText"/>
        <w:ind w:left="715" w:right="315" w:firstLine="423"/>
        <w:spacing w:before="80" w:line="290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9"/>
        </w:rPr>
        <w:t>干预后，观察组焦虑自评量表、抑郁自评量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sz w:val="21"/>
          <w:szCs w:val="21"/>
          <w:color w:val="231F20"/>
          <w:spacing w:val="-4"/>
        </w:rPr>
        <w:t>表评分低于对照组（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-4"/>
        </w:rPr>
        <w:t>P</w:t>
      </w:r>
      <w:r>
        <w:rPr>
          <w:sz w:val="21"/>
          <w:szCs w:val="21"/>
          <w:color w:val="231F20"/>
          <w:spacing w:val="-4"/>
        </w:rPr>
        <w:t>＜0.05）。见表2。</w:t>
      </w:r>
    </w:p>
    <w:p>
      <w:pPr>
        <w:pStyle w:val="BodyText"/>
        <w:ind w:left="1527"/>
        <w:spacing w:before="57" w:line="190" w:lineRule="auto"/>
        <w:rPr>
          <w:sz w:val="18"/>
          <w:szCs w:val="18"/>
        </w:rPr>
      </w:pPr>
      <w:r>
        <w:pict>
          <v:shape id="_x0000_s22" style="position:absolute;margin-left:180.278pt;margin-top:4.07457pt;mso-position-vertical-relative:text;mso-position-horizontal-relative:text;width:5.1pt;height:0.6pt;z-index:-251657216;" filled="false" strokecolor="#231F20" strokeweight="0.57pt" coordsize="101,12" coordorigin="0,0" path="m0,5l101,5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表2   </w:t>
      </w:r>
      <w:r>
        <w:rPr>
          <w:sz w:val="18"/>
          <w:szCs w:val="18"/>
          <w:color w:val="231F20"/>
          <w:spacing w:val="1"/>
        </w:rPr>
        <w:t>两组心理状态比较（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1"/>
        </w:rPr>
        <w:t>±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>s</w:t>
      </w:r>
      <w:r>
        <w:rPr>
          <w:sz w:val="18"/>
          <w:szCs w:val="18"/>
          <w:color w:val="231F20"/>
          <w:spacing w:val="1"/>
        </w:rPr>
        <w:t>，分）</w:t>
      </w:r>
    </w:p>
    <w:tbl>
      <w:tblPr>
        <w:tblStyle w:val="TableNormal"/>
        <w:tblW w:w="4606" w:type="dxa"/>
        <w:tblInd w:w="7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84"/>
        <w:gridCol w:w="315"/>
        <w:gridCol w:w="902"/>
        <w:gridCol w:w="909"/>
        <w:gridCol w:w="959"/>
        <w:gridCol w:w="937"/>
      </w:tblGrid>
      <w:tr>
        <w:trPr>
          <w:trHeight w:val="310" w:hRule="atLeast"/>
        </w:trPr>
        <w:tc>
          <w:tcPr>
            <w:tcW w:w="58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16"/>
              <w:spacing w:before="219" w:line="225" w:lineRule="exact"/>
              <w:rPr/>
            </w:pPr>
            <w:r>
              <w:rPr>
                <w:color w:val="231F20"/>
                <w:spacing w:val="-1"/>
                <w:position w:val="1"/>
              </w:rPr>
              <w:t>组别</w:t>
            </w:r>
          </w:p>
        </w:tc>
        <w:tc>
          <w:tcPr>
            <w:tcW w:w="315" w:type="dxa"/>
            <w:vAlign w:val="top"/>
            <w:vMerge w:val="restart"/>
            <w:textDirection w:val="tbRlV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09"/>
              <w:spacing w:before="94" w:line="211" w:lineRule="auto"/>
              <w:rPr/>
            </w:pPr>
            <w:r>
              <w:rPr>
                <w:color w:val="231F20"/>
                <w:spacing w:val="35"/>
              </w:rPr>
              <w:t>例数</w:t>
            </w:r>
          </w:p>
        </w:tc>
        <w:tc>
          <w:tcPr>
            <w:tcW w:w="1811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00"/>
              <w:spacing w:before="62" w:line="223" w:lineRule="exact"/>
              <w:rPr/>
            </w:pPr>
            <w:r>
              <w:rPr>
                <w:color w:val="231F20"/>
                <w:spacing w:val="-1"/>
                <w:position w:val="1"/>
              </w:rPr>
              <w:t>焦虑自评量表</w:t>
            </w:r>
          </w:p>
        </w:tc>
        <w:tc>
          <w:tcPr>
            <w:tcW w:w="1896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55"/>
              <w:spacing w:before="62" w:line="225" w:lineRule="exact"/>
              <w:rPr/>
            </w:pPr>
            <w:r>
              <w:rPr>
                <w:color w:val="231F20"/>
                <w:spacing w:val="-1"/>
                <w:position w:val="1"/>
              </w:rPr>
              <w:t>抑郁自评量表</w:t>
            </w:r>
          </w:p>
        </w:tc>
      </w:tr>
      <w:tr>
        <w:trPr>
          <w:trHeight w:val="307" w:hRule="atLeast"/>
        </w:trPr>
        <w:tc>
          <w:tcPr>
            <w:tcW w:w="58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5" w:type="dxa"/>
            <w:vAlign w:val="top"/>
            <w:vMerge w:val="continue"/>
            <w:textDirection w:val="tbRlV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11" w:type="dxa"/>
            <w:vAlign w:val="top"/>
            <w:gridSpan w:val="2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90"/>
              <w:spacing w:before="61" w:line="224" w:lineRule="exact"/>
              <w:rPr/>
            </w:pPr>
            <w:r>
              <w:rPr>
                <w:color w:val="231F20"/>
                <w:spacing w:val="-1"/>
                <w:position w:val="1"/>
              </w:rPr>
              <w:t>干预前     干预后</w:t>
            </w:r>
          </w:p>
        </w:tc>
        <w:tc>
          <w:tcPr>
            <w:tcW w:w="1896" w:type="dxa"/>
            <w:vAlign w:val="top"/>
            <w:gridSpan w:val="2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47"/>
              <w:spacing w:before="61" w:line="224" w:lineRule="exact"/>
              <w:rPr/>
            </w:pPr>
            <w:r>
              <w:rPr>
                <w:color w:val="231F20"/>
                <w:spacing w:val="-1"/>
                <w:position w:val="1"/>
              </w:rPr>
              <w:t>干预前     干预后</w:t>
            </w:r>
          </w:p>
        </w:tc>
      </w:tr>
      <w:tr>
        <w:trPr>
          <w:trHeight w:val="308" w:hRule="atLeast"/>
        </w:trPr>
        <w:tc>
          <w:tcPr>
            <w:tcW w:w="58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"/>
              <w:spacing w:before="64" w:line="224" w:lineRule="exact"/>
              <w:rPr/>
            </w:pPr>
            <w:r>
              <w:rPr>
                <w:color w:val="231F20"/>
                <w:spacing w:val="-2"/>
                <w:position w:val="1"/>
              </w:rPr>
              <w:t>观察组</w:t>
            </w:r>
          </w:p>
        </w:tc>
        <w:tc>
          <w:tcPr>
            <w:tcW w:w="31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4"/>
              <w:spacing w:before="64" w:line="234" w:lineRule="exact"/>
              <w:rPr/>
            </w:pPr>
            <w:r>
              <w:rPr>
                <w:color w:val="231F20"/>
                <w:spacing w:val="-2"/>
                <w:position w:val="1"/>
              </w:rPr>
              <w:t>35</w:t>
            </w:r>
          </w:p>
        </w:tc>
        <w:tc>
          <w:tcPr>
            <w:tcW w:w="90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9"/>
              <w:spacing w:before="64" w:line="234" w:lineRule="exact"/>
              <w:rPr/>
            </w:pPr>
            <w:r>
              <w:rPr>
                <w:color w:val="231F20"/>
                <w:spacing w:val="-14"/>
                <w:position w:val="1"/>
              </w:rPr>
              <w:t>55.16±4.11</w:t>
            </w:r>
          </w:p>
        </w:tc>
        <w:tc>
          <w:tcPr>
            <w:tcW w:w="90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right="3"/>
              <w:spacing w:before="64" w:line="234" w:lineRule="exact"/>
              <w:jc w:val="right"/>
              <w:rPr>
                <w:sz w:val="9"/>
                <w:szCs w:val="9"/>
              </w:rPr>
            </w:pPr>
            <w:r>
              <w:rPr>
                <w:color w:val="231F20"/>
                <w:spacing w:val="-12"/>
                <w:position w:val="1"/>
              </w:rPr>
              <w:t>36.26±5.12</w:t>
            </w:r>
            <w:r>
              <w:rPr>
                <w:sz w:val="9"/>
                <w:szCs w:val="9"/>
                <w:color w:val="231F20"/>
                <w:position w:val="9"/>
              </w:rPr>
              <w:t>a</w:t>
            </w:r>
          </w:p>
        </w:tc>
        <w:tc>
          <w:tcPr>
            <w:tcW w:w="95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6"/>
              <w:spacing w:before="64" w:line="234" w:lineRule="exact"/>
              <w:rPr/>
            </w:pPr>
            <w:r>
              <w:rPr>
                <w:color w:val="231F20"/>
                <w:spacing w:val="-14"/>
                <w:position w:val="1"/>
              </w:rPr>
              <w:t>55.28±5.17</w:t>
            </w:r>
          </w:p>
        </w:tc>
        <w:tc>
          <w:tcPr>
            <w:tcW w:w="93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4"/>
              <w:spacing w:before="64" w:line="234" w:lineRule="exact"/>
              <w:rPr>
                <w:sz w:val="9"/>
                <w:szCs w:val="9"/>
              </w:rPr>
            </w:pPr>
            <w:r>
              <w:rPr>
                <w:color w:val="231F20"/>
                <w:spacing w:val="-12"/>
                <w:position w:val="1"/>
              </w:rPr>
              <w:t>36.89±5.22</w:t>
            </w:r>
            <w:r>
              <w:rPr>
                <w:sz w:val="9"/>
                <w:szCs w:val="9"/>
                <w:color w:val="231F20"/>
                <w:position w:val="9"/>
              </w:rPr>
              <w:t>a</w:t>
            </w:r>
          </w:p>
        </w:tc>
      </w:tr>
      <w:tr>
        <w:trPr>
          <w:trHeight w:val="320" w:hRule="atLeast"/>
        </w:trPr>
        <w:tc>
          <w:tcPr>
            <w:tcW w:w="584" w:type="dxa"/>
            <w:vAlign w:val="top"/>
          </w:tcPr>
          <w:p>
            <w:pPr>
              <w:pStyle w:val="TableText"/>
              <w:ind w:left="31"/>
              <w:spacing w:before="70" w:line="226" w:lineRule="exact"/>
              <w:rPr/>
            </w:pPr>
            <w:r>
              <w:rPr>
                <w:color w:val="231F20"/>
                <w:spacing w:val="-1"/>
                <w:position w:val="1"/>
              </w:rPr>
              <w:t>对照组</w:t>
            </w:r>
          </w:p>
        </w:tc>
        <w:tc>
          <w:tcPr>
            <w:tcW w:w="315" w:type="dxa"/>
            <w:vAlign w:val="top"/>
          </w:tcPr>
          <w:p>
            <w:pPr>
              <w:pStyle w:val="TableText"/>
              <w:ind w:left="54"/>
              <w:spacing w:before="70" w:line="240" w:lineRule="exact"/>
              <w:rPr/>
            </w:pPr>
            <w:r>
              <w:rPr>
                <w:color w:val="231F20"/>
                <w:spacing w:val="-2"/>
                <w:position w:val="1"/>
              </w:rPr>
              <w:t>35</w:t>
            </w:r>
          </w:p>
        </w:tc>
        <w:tc>
          <w:tcPr>
            <w:tcW w:w="902" w:type="dxa"/>
            <w:vAlign w:val="top"/>
          </w:tcPr>
          <w:p>
            <w:pPr>
              <w:pStyle w:val="TableText"/>
              <w:ind w:left="18"/>
              <w:spacing w:before="70" w:line="239" w:lineRule="exact"/>
              <w:rPr/>
            </w:pPr>
            <w:r>
              <w:rPr>
                <w:color w:val="231F20"/>
                <w:spacing w:val="-8"/>
                <w:position w:val="1"/>
              </w:rPr>
              <w:t>55.26±4.06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right="2"/>
              <w:spacing w:before="70" w:line="239" w:lineRule="exact"/>
              <w:jc w:val="right"/>
              <w:rPr/>
            </w:pPr>
            <w:r>
              <w:rPr>
                <w:color w:val="231F20"/>
                <w:spacing w:val="-8"/>
                <w:position w:val="1"/>
              </w:rPr>
              <w:t>44.78±5.56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ind w:left="75"/>
              <w:spacing w:before="70" w:line="239" w:lineRule="exact"/>
              <w:rPr/>
            </w:pPr>
            <w:r>
              <w:rPr>
                <w:color w:val="231F20"/>
                <w:spacing w:val="-8"/>
                <w:position w:val="1"/>
              </w:rPr>
              <w:t>55.87±5.77</w:t>
            </w:r>
          </w:p>
        </w:tc>
        <w:tc>
          <w:tcPr>
            <w:tcW w:w="937" w:type="dxa"/>
            <w:vAlign w:val="top"/>
          </w:tcPr>
          <w:p>
            <w:pPr>
              <w:pStyle w:val="TableText"/>
              <w:ind w:left="49"/>
              <w:spacing w:before="70" w:line="239" w:lineRule="exact"/>
              <w:rPr/>
            </w:pPr>
            <w:r>
              <w:rPr>
                <w:color w:val="231F20"/>
                <w:spacing w:val="-8"/>
                <w:position w:val="1"/>
              </w:rPr>
              <w:t>44.26±5.64</w:t>
            </w:r>
          </w:p>
        </w:tc>
      </w:tr>
      <w:tr>
        <w:trPr>
          <w:trHeight w:val="304" w:hRule="atLeast"/>
        </w:trPr>
        <w:tc>
          <w:tcPr>
            <w:tcW w:w="584" w:type="dxa"/>
            <w:vAlign w:val="top"/>
          </w:tcPr>
          <w:p>
            <w:pPr>
              <w:ind w:left="254"/>
              <w:spacing w:before="107" w:line="18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i/>
                <w:iCs/>
                <w:color w:val="231F20"/>
                <w:spacing w:val="9"/>
              </w:rPr>
              <w:t>t</w:t>
            </w:r>
          </w:p>
        </w:tc>
        <w:tc>
          <w:tcPr>
            <w:tcW w:w="3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2" w:type="dxa"/>
            <w:vAlign w:val="top"/>
          </w:tcPr>
          <w:p>
            <w:pPr>
              <w:pStyle w:val="TableText"/>
              <w:ind w:left="252"/>
              <w:spacing w:before="65" w:line="229" w:lineRule="exact"/>
              <w:rPr/>
            </w:pPr>
            <w:r>
              <w:rPr>
                <w:color w:val="231F20"/>
                <w:spacing w:val="-8"/>
                <w:position w:val="1"/>
              </w:rPr>
              <w:t>0.895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284"/>
              <w:spacing w:before="65" w:line="229" w:lineRule="exact"/>
              <w:rPr/>
            </w:pPr>
            <w:r>
              <w:rPr>
                <w:color w:val="231F20"/>
                <w:spacing w:val="-8"/>
                <w:position w:val="1"/>
              </w:rPr>
              <w:t>8.674</w:t>
            </w:r>
          </w:p>
        </w:tc>
        <w:tc>
          <w:tcPr>
            <w:tcW w:w="959" w:type="dxa"/>
            <w:vAlign w:val="top"/>
          </w:tcPr>
          <w:p>
            <w:pPr>
              <w:pStyle w:val="TableText"/>
              <w:ind w:left="309"/>
              <w:spacing w:before="65" w:line="229" w:lineRule="exact"/>
              <w:rPr/>
            </w:pPr>
            <w:r>
              <w:rPr>
                <w:color w:val="231F20"/>
                <w:spacing w:val="-8"/>
                <w:position w:val="1"/>
              </w:rPr>
              <w:t>0.554</w:t>
            </w:r>
          </w:p>
        </w:tc>
        <w:tc>
          <w:tcPr>
            <w:tcW w:w="937" w:type="dxa"/>
            <w:vAlign w:val="top"/>
          </w:tcPr>
          <w:p>
            <w:pPr>
              <w:pStyle w:val="TableText"/>
              <w:ind w:left="284"/>
              <w:spacing w:before="65" w:line="229" w:lineRule="exact"/>
              <w:rPr/>
            </w:pPr>
            <w:r>
              <w:rPr>
                <w:color w:val="231F20"/>
                <w:spacing w:val="-8"/>
                <w:position w:val="1"/>
              </w:rPr>
              <w:t>9.765</w:t>
            </w:r>
          </w:p>
        </w:tc>
      </w:tr>
      <w:tr>
        <w:trPr>
          <w:trHeight w:val="321" w:hRule="atLeast"/>
        </w:trPr>
        <w:tc>
          <w:tcPr>
            <w:tcW w:w="584" w:type="dxa"/>
            <w:vAlign w:val="top"/>
            <w:tcBorders>
              <w:bottom w:val="single" w:color="231F20" w:sz="4" w:space="0"/>
            </w:tcBorders>
          </w:tcPr>
          <w:p>
            <w:pPr>
              <w:ind w:left="239"/>
              <w:spacing w:before="106" w:line="20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i/>
                <w:iCs/>
                <w:color w:val="231F20"/>
              </w:rPr>
              <w:t>P</w:t>
            </w:r>
          </w:p>
        </w:tc>
        <w:tc>
          <w:tcPr>
            <w:tcW w:w="315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5"/>
              <w:spacing w:before="75" w:line="235" w:lineRule="exact"/>
              <w:rPr/>
            </w:pPr>
            <w:r>
              <w:rPr>
                <w:color w:val="231F20"/>
                <w:spacing w:val="5"/>
                <w:position w:val="1"/>
              </w:rPr>
              <w:t>&gt;0.05</w:t>
            </w:r>
          </w:p>
        </w:tc>
        <w:tc>
          <w:tcPr>
            <w:tcW w:w="90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57"/>
              <w:spacing w:before="75" w:line="235" w:lineRule="exact"/>
              <w:rPr/>
            </w:pPr>
            <w:r>
              <w:rPr>
                <w:color w:val="231F20"/>
                <w:spacing w:val="5"/>
                <w:position w:val="1"/>
              </w:rPr>
              <w:t>&lt;0.05</w:t>
            </w:r>
          </w:p>
        </w:tc>
        <w:tc>
          <w:tcPr>
            <w:tcW w:w="95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82"/>
              <w:spacing w:before="75" w:line="235" w:lineRule="exact"/>
              <w:rPr/>
            </w:pPr>
            <w:r>
              <w:rPr>
                <w:color w:val="231F20"/>
                <w:spacing w:val="5"/>
                <w:position w:val="1"/>
              </w:rPr>
              <w:t>&gt;0.05</w:t>
            </w:r>
          </w:p>
        </w:tc>
        <w:tc>
          <w:tcPr>
            <w:tcW w:w="93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56"/>
              <w:spacing w:before="75" w:line="235" w:lineRule="exact"/>
              <w:rPr/>
            </w:pPr>
            <w:r>
              <w:rPr>
                <w:color w:val="231F20"/>
                <w:spacing w:val="5"/>
                <w:position w:val="1"/>
              </w:rPr>
              <w:t>&lt;0.05</w:t>
            </w:r>
          </w:p>
        </w:tc>
      </w:tr>
    </w:tbl>
    <w:p>
      <w:pPr>
        <w:ind w:left="1037"/>
        <w:spacing w:before="61" w:line="17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注：与对照组比较，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2"/>
          <w:position w:val="7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2"/>
        </w:rPr>
        <w:t>P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＜0.05</w:t>
      </w:r>
    </w:p>
    <w:p>
      <w:pPr>
        <w:pStyle w:val="BodyText"/>
        <w:ind w:left="721"/>
        <w:spacing w:before="132" w:line="211" w:lineRule="auto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2.3</w:t>
      </w:r>
      <w:r>
        <w:rPr>
          <w:sz w:val="21"/>
          <w:szCs w:val="21"/>
          <w:color w:val="231F20"/>
          <w:spacing w:val="-1"/>
        </w:rPr>
        <w:t xml:space="preserve">  两组生活质量比较</w:t>
      </w:r>
    </w:p>
    <w:p>
      <w:pPr>
        <w:pStyle w:val="BodyText"/>
        <w:ind w:left="700" w:right="315" w:firstLine="438"/>
        <w:spacing w:before="78" w:line="290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9"/>
        </w:rPr>
        <w:t>干预后，观察组躯体健康、生理功能、心理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sz w:val="21"/>
          <w:szCs w:val="21"/>
          <w:color w:val="231F20"/>
          <w:spacing w:val="4"/>
        </w:rPr>
        <w:t>功能、情感活动、社会关系评分分别为（92.33± </w:t>
      </w:r>
      <w:r>
        <w:rPr>
          <w:sz w:val="21"/>
          <w:szCs w:val="21"/>
          <w:color w:val="231F20"/>
          <w:spacing w:val="-12"/>
        </w:rPr>
        <w:t>1.27）分、（93.26±1.22）分、（94.56±1.</w:t>
      </w:r>
      <w:r>
        <w:rPr>
          <w:sz w:val="21"/>
          <w:szCs w:val="21"/>
          <w:color w:val="231F20"/>
          <w:spacing w:val="-13"/>
        </w:rPr>
        <w:t>28）分、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（93.43±1.22）分、（94.32±1.0</w:t>
      </w:r>
      <w:r>
        <w:rPr>
          <w:sz w:val="21"/>
          <w:szCs w:val="21"/>
          <w:color w:val="231F20"/>
          <w:spacing w:val="-1"/>
        </w:rPr>
        <w:t>9）分，高于对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照组的（83.26±1.22）分、（84.56±1.98）分、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11"/>
        </w:rPr>
        <w:t>（85</w:t>
      </w:r>
      <w:r>
        <w:rPr>
          <w:sz w:val="21"/>
          <w:szCs w:val="21"/>
          <w:color w:val="231F20"/>
          <w:spacing w:val="-52"/>
        </w:rPr>
        <w:t xml:space="preserve"> </w:t>
      </w:r>
      <w:r>
        <w:rPr>
          <w:sz w:val="21"/>
          <w:szCs w:val="21"/>
          <w:color w:val="231F20"/>
          <w:spacing w:val="11"/>
        </w:rPr>
        <w:t>.02</w:t>
      </w:r>
      <w:r>
        <w:rPr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  <w:spacing w:val="11"/>
        </w:rPr>
        <w:t>±1.77）分、（84</w:t>
      </w:r>
      <w:r>
        <w:rPr>
          <w:sz w:val="21"/>
          <w:szCs w:val="21"/>
          <w:color w:val="231F20"/>
          <w:spacing w:val="-60"/>
        </w:rPr>
        <w:t xml:space="preserve"> </w:t>
      </w:r>
      <w:r>
        <w:rPr>
          <w:sz w:val="21"/>
          <w:szCs w:val="21"/>
          <w:color w:val="231F20"/>
          <w:spacing w:val="11"/>
        </w:rPr>
        <w:t>.45</w:t>
      </w:r>
      <w:r>
        <w:rPr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  <w:spacing w:val="11"/>
        </w:rPr>
        <w:t>±</w:t>
      </w:r>
      <w:r>
        <w:rPr>
          <w:sz w:val="21"/>
          <w:szCs w:val="21"/>
          <w:color w:val="231F20"/>
          <w:spacing w:val="-60"/>
        </w:rPr>
        <w:t xml:space="preserve"> </w:t>
      </w:r>
      <w:r>
        <w:rPr>
          <w:sz w:val="21"/>
          <w:szCs w:val="21"/>
          <w:color w:val="231F20"/>
          <w:spacing w:val="11"/>
        </w:rPr>
        <w:t>1</w:t>
      </w:r>
      <w:r>
        <w:rPr>
          <w:sz w:val="21"/>
          <w:szCs w:val="21"/>
          <w:color w:val="231F20"/>
          <w:spacing w:val="-60"/>
        </w:rPr>
        <w:t xml:space="preserve"> </w:t>
      </w:r>
      <w:r>
        <w:rPr>
          <w:sz w:val="21"/>
          <w:szCs w:val="21"/>
          <w:color w:val="231F20"/>
          <w:spacing w:val="10"/>
        </w:rPr>
        <w:t>.93）分、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1"/>
        </w:rPr>
        <w:t>（82.37±1.66）分（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-11"/>
        </w:rPr>
        <w:t>P</w:t>
      </w:r>
      <w:r>
        <w:rPr>
          <w:sz w:val="21"/>
          <w:szCs w:val="21"/>
          <w:color w:val="231F20"/>
          <w:spacing w:val="-11"/>
        </w:rPr>
        <w:t>＜0.05）。</w:t>
      </w:r>
    </w:p>
    <w:p>
      <w:pPr>
        <w:pStyle w:val="BodyText"/>
        <w:ind w:left="720"/>
        <w:spacing w:before="15" w:line="174" w:lineRule="auto"/>
        <w:outlineLvl w:val="0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3"/>
        </w:rPr>
        <w:t>3</w:t>
      </w:r>
      <w:r>
        <w:rPr>
          <w:sz w:val="22"/>
          <w:szCs w:val="22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3"/>
        </w:rPr>
        <w:t>讨论</w:t>
      </w:r>
    </w:p>
    <w:p>
      <w:pPr>
        <w:pStyle w:val="BodyText"/>
        <w:ind w:left="700" w:right="315" w:firstLine="435"/>
        <w:spacing w:before="36" w:line="290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10"/>
        </w:rPr>
        <w:t>盆腔炎的发生与性生活不洁、阴道清洁过度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有关，此病有病程长、易复发等特点，对患者身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  <w:spacing w:val="8"/>
        </w:rPr>
        <w:t>体健康产生了诸多负面影响</w:t>
      </w:r>
      <w:r>
        <w:rPr>
          <w:sz w:val="12"/>
          <w:szCs w:val="12"/>
          <w:color w:val="231F20"/>
          <w:spacing w:val="8"/>
          <w:position w:val="9"/>
        </w:rPr>
        <w:t>[5]</w:t>
      </w:r>
      <w:r>
        <w:rPr>
          <w:sz w:val="12"/>
          <w:szCs w:val="12"/>
          <w:color w:val="231F20"/>
          <w:spacing w:val="-23"/>
          <w:position w:val="9"/>
        </w:rPr>
        <w:t xml:space="preserve"> </w:t>
      </w:r>
      <w:r>
        <w:rPr>
          <w:sz w:val="21"/>
          <w:szCs w:val="21"/>
          <w:color w:val="231F20"/>
          <w:spacing w:val="8"/>
        </w:rPr>
        <w:t>。研究认为，加强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护理干预，能够增强急性盆腔炎的治疗效果，可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  <w:spacing w:val="8"/>
        </w:rPr>
        <w:t>以最大程度上提升护理效果</w:t>
      </w:r>
      <w:r>
        <w:rPr>
          <w:sz w:val="12"/>
          <w:szCs w:val="12"/>
          <w:color w:val="231F20"/>
          <w:spacing w:val="8"/>
          <w:position w:val="9"/>
        </w:rPr>
        <w:t>[6]</w:t>
      </w:r>
      <w:r>
        <w:rPr>
          <w:sz w:val="12"/>
          <w:szCs w:val="12"/>
          <w:color w:val="231F20"/>
          <w:spacing w:val="-18"/>
          <w:position w:val="9"/>
        </w:rPr>
        <w:t xml:space="preserve"> </w:t>
      </w:r>
      <w:r>
        <w:rPr>
          <w:sz w:val="21"/>
          <w:szCs w:val="21"/>
          <w:color w:val="231F20"/>
          <w:spacing w:val="8"/>
        </w:rPr>
        <w:t>。综合护理有完善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的流程，护理体系健全，护理目的明确，能够针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  <w:spacing w:val="9"/>
        </w:rPr>
        <w:t>对性为患者提供高效、优质的护理服务，实现对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  <w:spacing w:val="9"/>
        </w:rPr>
        <w:t>患者生理、心理上的调节，可以帮助患者更好地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  <w:spacing w:val="8"/>
        </w:rPr>
        <w:t>改善身心状态，进而有效控制病情进展</w:t>
      </w:r>
      <w:r>
        <w:rPr>
          <w:sz w:val="12"/>
          <w:szCs w:val="12"/>
          <w:color w:val="231F20"/>
          <w:spacing w:val="8"/>
          <w:position w:val="9"/>
        </w:rPr>
        <w:t>[7]</w:t>
      </w:r>
      <w:r>
        <w:rPr>
          <w:sz w:val="12"/>
          <w:szCs w:val="12"/>
          <w:color w:val="231F20"/>
          <w:spacing w:val="-15"/>
          <w:position w:val="9"/>
        </w:rPr>
        <w:t xml:space="preserve"> </w:t>
      </w:r>
      <w:r>
        <w:rPr>
          <w:sz w:val="21"/>
          <w:szCs w:val="21"/>
          <w:color w:val="231F20"/>
          <w:spacing w:val="8"/>
        </w:rPr>
        <w:t>。本研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8"/>
        </w:rPr>
        <w:t>究结果显示，观察组护理满意度，高于对照组，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观察组复发率，低于对照组，差异有统计学意义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  <w:spacing w:val="3"/>
        </w:rPr>
        <w:t>（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3"/>
        </w:rPr>
        <w:t>P</w:t>
      </w:r>
      <w:r>
        <w:rPr>
          <w:sz w:val="21"/>
          <w:szCs w:val="21"/>
          <w:color w:val="231F20"/>
          <w:spacing w:val="3"/>
        </w:rPr>
        <w:t>＜0.05）。表明综合护理作用显著，可以改善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8"/>
        </w:rPr>
        <w:t>和控制患者病情，患者对综合护理模式很认可，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能够降低疾病复发风险。</w:t>
      </w:r>
    </w:p>
    <w:p>
      <w:pPr>
        <w:pStyle w:val="BodyText"/>
        <w:ind w:left="712" w:right="315" w:firstLine="423"/>
        <w:spacing w:before="10" w:line="289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10"/>
        </w:rPr>
        <w:t>盆腔炎患者有白带异常、小腹疼痛症状等表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现，受多种因素影响，女性盆腔炎发病率越来越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高，治疗不及时，还会引发诸多并发症。疾病发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7"/>
        </w:rPr>
        <w:t>生与生活习惯、性行为等密切相关，不易根治，</w:t>
      </w:r>
      <w:r>
        <w:rPr>
          <w:sz w:val="21"/>
          <w:szCs w:val="21"/>
          <w:color w:val="231F20"/>
          <w:spacing w:val="9"/>
        </w:rPr>
        <w:t xml:space="preserve"> </w:t>
      </w:r>
      <w:r>
        <w:rPr>
          <w:sz w:val="21"/>
          <w:szCs w:val="21"/>
          <w:color w:val="231F20"/>
          <w:spacing w:val="9"/>
        </w:rPr>
        <w:t>治愈难度大，病情易反复，及时治疗，可以降低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7"/>
        </w:rPr>
        <w:t>并发症发生风险，能够提高治疗效果</w:t>
      </w:r>
      <w:r>
        <w:rPr>
          <w:sz w:val="12"/>
          <w:szCs w:val="12"/>
          <w:color w:val="231F20"/>
          <w:spacing w:val="7"/>
          <w:position w:val="9"/>
        </w:rPr>
        <w:t>[8]</w:t>
      </w:r>
      <w:r>
        <w:rPr>
          <w:sz w:val="12"/>
          <w:szCs w:val="12"/>
          <w:color w:val="231F20"/>
          <w:spacing w:val="-11"/>
          <w:position w:val="9"/>
        </w:rPr>
        <w:t xml:space="preserve"> </w:t>
      </w:r>
      <w:r>
        <w:rPr>
          <w:sz w:val="21"/>
          <w:szCs w:val="21"/>
          <w:color w:val="231F20"/>
          <w:spacing w:val="7"/>
        </w:rPr>
        <w:t>。综合护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理过程中，护理人员高度重视对患者情绪上的干</w:t>
      </w:r>
    </w:p>
    <w:p>
      <w:pPr>
        <w:spacing w:line="1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 w:right="1132" w:firstLine="4"/>
        <w:spacing w:before="46" w:line="290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9"/>
        </w:rPr>
        <w:t>预，注重给患者提供情绪价值，通过实施多元化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的心理护理措施，提高患者心理保健能力，给予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患者心理上慰藉。本研究结果显示，干预后，观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察组焦虑自评量表、抑郁自评量表评分低于对照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2"/>
        </w:rPr>
        <w:t>组（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2"/>
        </w:rPr>
        <w:t>P</w:t>
      </w:r>
      <w:r>
        <w:rPr>
          <w:sz w:val="21"/>
          <w:szCs w:val="21"/>
          <w:color w:val="231F20"/>
          <w:spacing w:val="2"/>
        </w:rPr>
        <w:t>＜0.05）。表明综合护理能改善和调节患者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  <w:spacing w:val="-2"/>
        </w:rPr>
        <w:t>的不良心态，有利于促进疾病康复。</w:t>
      </w:r>
    </w:p>
    <w:p>
      <w:pPr>
        <w:pStyle w:val="BodyText"/>
        <w:ind w:right="1132" w:firstLine="435"/>
        <w:spacing w:before="10" w:line="289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22"/>
        </w:rPr>
        <w:t>盆腔炎给女性身心健康带来了诸多负面影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8"/>
        </w:rPr>
        <w:t>响，综合护理期间，注重对患者情绪上的照护，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通过一对一心理辅导和疏导，切实发挥心理护理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  <w:spacing w:val="9"/>
        </w:rPr>
        <w:t>的价值，帮助患者更加正视疾病的发生，以更加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  <w:spacing w:val="9"/>
        </w:rPr>
        <w:t>积极的心态对待，减少消极情绪影响，消除负性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  <w:spacing w:val="6"/>
        </w:rPr>
        <w:t>情绪干扰，改善患者身心状态</w:t>
      </w:r>
      <w:r>
        <w:rPr>
          <w:sz w:val="12"/>
          <w:szCs w:val="12"/>
          <w:color w:val="231F20"/>
          <w:spacing w:val="6"/>
          <w:position w:val="9"/>
        </w:rPr>
        <w:t>[9，10]</w:t>
      </w:r>
      <w:r>
        <w:rPr>
          <w:sz w:val="12"/>
          <w:szCs w:val="12"/>
          <w:color w:val="231F20"/>
          <w:spacing w:val="-15"/>
          <w:position w:val="9"/>
        </w:rPr>
        <w:t xml:space="preserve"> </w:t>
      </w:r>
      <w:r>
        <w:rPr>
          <w:sz w:val="21"/>
          <w:szCs w:val="21"/>
          <w:color w:val="231F20"/>
          <w:spacing w:val="6"/>
        </w:rPr>
        <w:t>。本研究结果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显示，干预后，观察组躯体健康、生理功能、心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  <w:spacing w:val="20"/>
        </w:rPr>
        <w:t>理功能、情感活动、社会关系评分高于对照组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sz w:val="21"/>
          <w:szCs w:val="21"/>
          <w:color w:val="231F20"/>
          <w:spacing w:val="3"/>
        </w:rPr>
        <w:t>（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3"/>
        </w:rPr>
        <w:t>P</w:t>
      </w:r>
      <w:r>
        <w:rPr>
          <w:sz w:val="21"/>
          <w:szCs w:val="21"/>
          <w:color w:val="231F20"/>
          <w:spacing w:val="3"/>
        </w:rPr>
        <w:t>＜0.05）。说明综合护理切实可行，有效提升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2"/>
        </w:rPr>
        <w:t>患者生活质量。</w:t>
      </w:r>
    </w:p>
    <w:p>
      <w:pPr>
        <w:pStyle w:val="BodyText"/>
        <w:ind w:left="14" w:right="1132" w:firstLine="416"/>
        <w:spacing w:before="2" w:line="290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10"/>
        </w:rPr>
        <w:t>综上所述，综合护理对急性盆腔炎患者的干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9"/>
        </w:rPr>
        <w:t>预效果显著，能提高患者的护理满意度，调节患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  <w:spacing w:val="-2"/>
        </w:rPr>
        <w:t>者的心理状态，提升患者的生活质量。</w:t>
      </w:r>
    </w:p>
    <w:p>
      <w:pPr>
        <w:ind w:left="1799"/>
        <w:spacing w:before="295" w:line="17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w w:val="99"/>
        </w:rPr>
        <w:t>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w w:val="99"/>
        </w:rPr>
        <w:t>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w w:val="99"/>
        </w:rPr>
        <w:t>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w w:val="99"/>
        </w:rPr>
        <w:t>献</w:t>
      </w:r>
    </w:p>
    <w:p>
      <w:pPr>
        <w:pStyle w:val="BodyText"/>
        <w:ind w:left="432" w:right="1133" w:hanging="414"/>
        <w:spacing w:before="163" w:line="26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[1]</w:t>
      </w:r>
      <w:r>
        <w:rPr>
          <w:sz w:val="18"/>
          <w:szCs w:val="18"/>
          <w:color w:val="231F20"/>
          <w:spacing w:val="35"/>
        </w:rPr>
        <w:t xml:space="preserve">  </w:t>
      </w:r>
      <w:r>
        <w:rPr>
          <w:sz w:val="18"/>
          <w:szCs w:val="18"/>
          <w:color w:val="231F20"/>
          <w:spacing w:val="1"/>
        </w:rPr>
        <w:t>帅翠芳.整体护理联合中医综合护理对慢性盆腔炎患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者健康行为、疼痛程度及疾病复发的影响[J].医学信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9"/>
        </w:rPr>
        <w:t>息,2023,36(24):159-161.</w:t>
      </w:r>
    </w:p>
    <w:p>
      <w:pPr>
        <w:pStyle w:val="BodyText"/>
        <w:ind w:left="432" w:right="1133" w:hanging="414"/>
        <w:spacing w:before="36" w:line="27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[2]</w:t>
      </w:r>
      <w:r>
        <w:rPr>
          <w:sz w:val="18"/>
          <w:szCs w:val="18"/>
          <w:color w:val="231F20"/>
          <w:spacing w:val="34"/>
        </w:rPr>
        <w:t xml:space="preserve">  </w:t>
      </w:r>
      <w:r>
        <w:rPr>
          <w:sz w:val="18"/>
          <w:szCs w:val="18"/>
          <w:color w:val="231F20"/>
          <w:spacing w:val="8"/>
        </w:rPr>
        <w:t>曲晓丽,夏丽萍,宋晓慧.综合护理对慢性盆腔</w:t>
      </w:r>
      <w:r>
        <w:rPr>
          <w:sz w:val="18"/>
          <w:szCs w:val="18"/>
          <w:color w:val="231F20"/>
          <w:spacing w:val="7"/>
        </w:rPr>
        <w:t>炎患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1"/>
        </w:rPr>
        <w:t>者的影响[J].实用妇科内分泌电子杂志,2023,10(3):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"/>
        </w:rPr>
        <w:t>132-134.</w:t>
      </w:r>
    </w:p>
    <w:p>
      <w:pPr>
        <w:pStyle w:val="BodyText"/>
        <w:ind w:left="434" w:right="1132" w:hanging="416"/>
        <w:spacing w:before="13" w:line="25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5"/>
        </w:rPr>
        <w:t>[3]</w:t>
      </w:r>
      <w:r>
        <w:rPr>
          <w:sz w:val="18"/>
          <w:szCs w:val="18"/>
          <w:color w:val="231F20"/>
          <w:spacing w:val="30"/>
          <w:w w:val="101"/>
        </w:rPr>
        <w:t xml:space="preserve">  </w:t>
      </w:r>
      <w:r>
        <w:rPr>
          <w:sz w:val="18"/>
          <w:szCs w:val="18"/>
          <w:color w:val="231F20"/>
          <w:spacing w:val="-5"/>
        </w:rPr>
        <w:t>张璐.综合护理对慢性盆腔炎患者的影响分析[J].中国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7"/>
        </w:rPr>
        <w:t>冶金工业医学杂志,2022,39(3):360-361.</w:t>
      </w:r>
    </w:p>
    <w:p>
      <w:pPr>
        <w:pStyle w:val="BodyText"/>
        <w:ind w:left="432" w:right="1133" w:hanging="414"/>
        <w:spacing w:before="35" w:line="25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[4]</w:t>
      </w:r>
      <w:r>
        <w:rPr>
          <w:sz w:val="18"/>
          <w:szCs w:val="18"/>
          <w:color w:val="231F20"/>
          <w:spacing w:val="25"/>
        </w:rPr>
        <w:t xml:space="preserve">  </w:t>
      </w:r>
      <w:r>
        <w:rPr>
          <w:sz w:val="18"/>
          <w:szCs w:val="18"/>
          <w:color w:val="231F20"/>
          <w:spacing w:val="2"/>
        </w:rPr>
        <w:t>姚晓萍.心理护理干预对慢性盆腔炎</w:t>
      </w:r>
      <w:r>
        <w:rPr>
          <w:sz w:val="18"/>
          <w:szCs w:val="18"/>
          <w:color w:val="231F20"/>
          <w:spacing w:val="1"/>
        </w:rPr>
        <w:t>治疗效果的影响 </w:t>
      </w:r>
      <w:r>
        <w:rPr>
          <w:sz w:val="18"/>
          <w:szCs w:val="18"/>
          <w:color w:val="231F20"/>
          <w:spacing w:val="-10"/>
        </w:rPr>
        <w:t>分析[J].中西医结合心血管病电子杂志,2017,</w:t>
      </w:r>
      <w:r>
        <w:rPr>
          <w:sz w:val="18"/>
          <w:szCs w:val="18"/>
          <w:color w:val="231F20"/>
          <w:spacing w:val="-11"/>
        </w:rPr>
        <w:t>5(9):2.</w:t>
      </w:r>
    </w:p>
    <w:p>
      <w:pPr>
        <w:pStyle w:val="BodyText"/>
        <w:ind w:left="436" w:right="1132" w:hanging="418"/>
        <w:spacing w:before="35" w:line="25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5"/>
        </w:rPr>
        <w:t>[5]</w:t>
      </w:r>
      <w:r>
        <w:rPr>
          <w:sz w:val="18"/>
          <w:szCs w:val="18"/>
          <w:color w:val="231F20"/>
          <w:spacing w:val="30"/>
          <w:w w:val="101"/>
        </w:rPr>
        <w:t xml:space="preserve">  </w:t>
      </w:r>
      <w:r>
        <w:rPr>
          <w:sz w:val="18"/>
          <w:szCs w:val="18"/>
          <w:color w:val="231F20"/>
          <w:spacing w:val="-5"/>
        </w:rPr>
        <w:t>杨帆.综合护理对慢性盆腔炎患者的影响[J].中国药物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7"/>
        </w:rPr>
        <w:t>与临床,2020,20(23):4057-4059.</w:t>
      </w:r>
    </w:p>
    <w:p>
      <w:pPr>
        <w:pStyle w:val="BodyText"/>
        <w:ind w:left="430" w:right="1133" w:hanging="412"/>
        <w:spacing w:before="35" w:line="25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[6]</w:t>
      </w:r>
      <w:r>
        <w:rPr>
          <w:sz w:val="18"/>
          <w:szCs w:val="18"/>
          <w:color w:val="231F20"/>
          <w:spacing w:val="35"/>
        </w:rPr>
        <w:t xml:space="preserve">  </w:t>
      </w:r>
      <w:r>
        <w:rPr>
          <w:sz w:val="18"/>
          <w:szCs w:val="18"/>
          <w:color w:val="231F20"/>
          <w:spacing w:val="1"/>
        </w:rPr>
        <w:t>陈慕音.综合护理对改善慢性盆腔炎患者疼痛及负面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情绪的影响[J].中外医学研究,2020,18(34):112-114.</w:t>
      </w:r>
    </w:p>
    <w:p>
      <w:pPr>
        <w:pStyle w:val="BodyText"/>
        <w:ind w:left="430" w:right="1132" w:hanging="412"/>
        <w:spacing w:before="35" w:line="26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[7]</w:t>
      </w:r>
      <w:r>
        <w:rPr>
          <w:sz w:val="18"/>
          <w:szCs w:val="18"/>
          <w:color w:val="231F20"/>
          <w:spacing w:val="35"/>
        </w:rPr>
        <w:t xml:space="preserve">  </w:t>
      </w:r>
      <w:r>
        <w:rPr>
          <w:sz w:val="18"/>
          <w:szCs w:val="18"/>
          <w:color w:val="231F20"/>
          <w:spacing w:val="1"/>
        </w:rPr>
        <w:t>杨学为.综合护理对改善慢性盆腔炎患者疼痛及负面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情绪的影响[J].实用妇科内分泌电子杂志,20</w:t>
      </w:r>
      <w:r>
        <w:rPr>
          <w:sz w:val="18"/>
          <w:szCs w:val="18"/>
          <w:color w:val="231F20"/>
          <w:spacing w:val="-5"/>
        </w:rPr>
        <w:t>20,7(17):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60,76.</w:t>
      </w:r>
    </w:p>
    <w:p>
      <w:pPr>
        <w:pStyle w:val="BodyText"/>
        <w:ind w:left="442" w:right="1133" w:hanging="424"/>
        <w:spacing w:before="35" w:line="25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[8]</w:t>
      </w:r>
      <w:r>
        <w:rPr>
          <w:sz w:val="18"/>
          <w:szCs w:val="18"/>
          <w:color w:val="231F20"/>
          <w:spacing w:val="35"/>
        </w:rPr>
        <w:t xml:space="preserve">  </w:t>
      </w:r>
      <w:r>
        <w:rPr>
          <w:sz w:val="18"/>
          <w:szCs w:val="18"/>
          <w:color w:val="231F20"/>
          <w:spacing w:val="1"/>
        </w:rPr>
        <w:t>尹新苗.分析综合护理对慢性盆腔炎患者治疗效果影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1"/>
        </w:rPr>
        <w:t>响[J].世界最新医学信息文摘,2019,19(88):333,335.</w:t>
      </w:r>
    </w:p>
    <w:p>
      <w:pPr>
        <w:pStyle w:val="BodyText"/>
        <w:ind w:left="442" w:right="1133" w:hanging="424"/>
        <w:spacing w:before="35" w:line="25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[9]</w:t>
      </w:r>
      <w:r>
        <w:rPr>
          <w:sz w:val="18"/>
          <w:szCs w:val="18"/>
          <w:color w:val="231F20"/>
          <w:spacing w:val="48"/>
        </w:rPr>
        <w:t xml:space="preserve">  </w:t>
      </w:r>
      <w:r>
        <w:rPr>
          <w:sz w:val="18"/>
          <w:szCs w:val="18"/>
          <w:color w:val="231F20"/>
        </w:rPr>
        <w:t>吕来芝.分析综合护理对慢性盆腔炎患者治疗效果影 </w:t>
      </w:r>
      <w:r>
        <w:rPr>
          <w:sz w:val="18"/>
          <w:szCs w:val="18"/>
          <w:color w:val="231F20"/>
          <w:spacing w:val="-11"/>
        </w:rPr>
        <w:t>响[J].世界最新医学信息文摘,2019,19(31):276,278.</w:t>
      </w:r>
    </w:p>
    <w:p>
      <w:pPr>
        <w:pStyle w:val="BodyText"/>
        <w:ind w:left="432" w:right="1132" w:hanging="414"/>
        <w:spacing w:before="35" w:line="26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[10]</w:t>
      </w:r>
      <w:r>
        <w:rPr>
          <w:sz w:val="18"/>
          <w:szCs w:val="18"/>
          <w:color w:val="231F20"/>
          <w:spacing w:val="68"/>
        </w:rPr>
        <w:t xml:space="preserve"> </w:t>
      </w:r>
      <w:r>
        <w:rPr>
          <w:sz w:val="18"/>
          <w:szCs w:val="18"/>
          <w:color w:val="231F20"/>
          <w:spacing w:val="8"/>
        </w:rPr>
        <w:t>邵鸿.综合心理护理对慢性盆腔炎患者心理健康状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8"/>
        </w:rPr>
        <w:t>况的影响分析[J].实用妇科内分泌电子杂志,2018,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3"/>
        </w:rPr>
        <w:t>5(30):97,99.</w:t>
      </w:r>
    </w:p>
    <w:p>
      <w:pPr>
        <w:spacing w:line="265" w:lineRule="auto"/>
        <w:sectPr>
          <w:type w:val="continuous"/>
          <w:pgSz w:w="11906" w:h="16838"/>
          <w:pgMar w:top="1493" w:right="0" w:bottom="0" w:left="424" w:header="1046" w:footer="0" w:gutter="0"/>
          <w:cols w:equalWidth="0" w:num="2">
            <w:col w:w="5633" w:space="100"/>
            <w:col w:w="5750" w:space="0"/>
          </w:cols>
        </w:sectPr>
        <w:rPr>
          <w:sz w:val="18"/>
          <w:szCs w:val="18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727"/>
        <w:spacing w:before="69" w:line="181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2"/>
        </w:rPr>
        <w:t>146</w:t>
      </w:r>
    </w:p>
    <w:p>
      <w:pPr>
        <w:spacing w:before="2" w:line="158" w:lineRule="auto"/>
        <w:rPr>
          <w:rFonts w:ascii="Arial" w:hAnsi="Arial" w:eastAsia="Arial" w:cs="Arial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0"/>
          <w:position w:val="-1"/>
        </w:rPr>
        <w:t>中国知网</w:t>
      </w: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"/>
          <w:position w:val="-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  <w:position w:val="-1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-1"/>
        </w:rPr>
        <w:t>:</w:t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net</w:t>
      </w:r>
    </w:p>
    <w:sectPr>
      <w:type w:val="continuous"/>
      <w:pgSz w:w="11906" w:h="16838"/>
      <w:pgMar w:top="1493" w:right="0" w:bottom="0" w:left="424" w:header="1046" w:footer="0" w:gutter="0"/>
      <w:cols w:equalWidth="0" w:num="1">
        <w:col w:w="1148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503050405090304"/>
    <w:charset w:val="00"/>
    <w:family w:val="auto"/>
    <w:pitch w:val="variable"/>
    <w:sig w:usb0="E0000EFF" w:usb1="4000785B" w:usb2="00000001" w:usb3="00000000" w:csb0="400001BF" w:csb1="DFF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71" w:line="171" w:lineRule="auto"/>
      <w:jc w:val="right"/>
      <w:rPr>
        <w:rFonts w:ascii="Microsoft YaHei" w:hAnsi="Microsoft YaHei" w:eastAsia="Microsoft YaHei" w:cs="Microsoft YaHei"/>
        <w:sz w:val="24"/>
        <w:szCs w:val="24"/>
      </w:rPr>
    </w:pPr>
    <w:r>
      <w:rPr>
        <w:shd w:val="clear" w:fill="DCDDDF"/>
        <w:rFonts w:ascii="Microsoft YaHei" w:hAnsi="Microsoft YaHei" w:eastAsia="Microsoft YaHei" w:cs="Microsoft YaHei"/>
        <w:sz w:val="21"/>
        <w:szCs w:val="21"/>
        <w:color w:val="231F20"/>
        <w:spacing w:val="-1"/>
      </w:rPr>
      <w:t>实用妇科内分泌电子杂志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 xml:space="preserve">    2024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4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>年第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8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>11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7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>卷第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8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>13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6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>期                                               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"/>
      </w:rPr>
      <w:t xml:space="preserve">     </w:t>
    </w:r>
    <w:r>
      <w:rPr>
        <w:rFonts w:ascii="Microsoft YaHei" w:hAnsi="Microsoft YaHei" w:eastAsia="Microsoft YaHei" w:cs="Microsoft YaHei"/>
        <w:sz w:val="24"/>
        <w:szCs w:val="24"/>
        <w:color w:val="231F20"/>
        <w:spacing w:val="-2"/>
        <w:position w:val="1"/>
      </w:rPr>
      <w:t>•  </w:t>
    </w:r>
    <w:r>
      <w:rPr>
        <w:rFonts w:ascii="Microsoft YaHei" w:hAnsi="Microsoft YaHei" w:eastAsia="Microsoft YaHei" w:cs="Microsoft YaHei"/>
        <w:sz w:val="24"/>
        <w:szCs w:val="24"/>
        <w:color w:val="231F20"/>
        <w:spacing w:val="-2"/>
      </w:rPr>
      <w:t>临床护理  </w:t>
    </w:r>
    <w:r>
      <w:rPr>
        <w:rFonts w:ascii="Microsoft YaHei" w:hAnsi="Microsoft YaHei" w:eastAsia="Microsoft YaHei" w:cs="Microsoft YaHei"/>
        <w:sz w:val="24"/>
        <w:szCs w:val="24"/>
        <w:color w:val="231F20"/>
        <w:spacing w:val="-2"/>
        <w:position w:val="1"/>
      </w:rPr>
      <w:t>•</w:t>
    </w:r>
  </w:p>
  <w:p>
    <w:pPr>
      <w:ind w:firstLine="709"/>
      <w:spacing w:before="15" w:line="47" w:lineRule="exact"/>
      <w:rPr/>
    </w:pPr>
    <w:r>
      <w:rPr>
        <w:position w:val="-1"/>
      </w:rPr>
      <w:pict>
        <v:group id="_x0000_s8" style="mso-position-vertical-relative:line;mso-position-horizontal-relative:char;width:481.9pt;height:2.85pt;" filled="false" stroked="false" coordsize="9637,56" coordorigin="0,0">
          <v:shape id="_x0000_s10" style="position:absolute;left:0;top:0;width:9637;height:29;" filled="false" strokecolor="#939598" strokeweight="1.42pt" coordsize="9637,29" coordorigin="0,0" path="m0,14l9637,14e">
            <v:stroke joinstyle="miter" miterlimit="4"/>
          </v:shape>
          <v:shape id="_x0000_s12" style="position:absolute;left:0;top:47;width:9637;height:10;" filled="false" strokecolor="#939598" strokeweight="0.47pt" coordsize="9637,10" coordorigin="0,0" path="m0,4l9637,4e">
            <v:stroke joinstyle="miter" miterlimit="4"/>
          </v:shape>
        </v:group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0"/>
      <w:spacing w:before="62" w:line="177" w:lineRule="auto"/>
      <w:rPr>
        <w:rFonts w:ascii="SimHei" w:hAnsi="SimHei" w:eastAsia="SimHei" w:cs="SimHei"/>
        <w:sz w:val="21"/>
        <w:szCs w:val="21"/>
      </w:rPr>
    </w:pPr>
    <w:r>
      <w:rPr>
        <w:rFonts w:ascii="Microsoft YaHei" w:hAnsi="Microsoft YaHei" w:eastAsia="Microsoft YaHei" w:cs="Microsoft YaHei"/>
        <w:sz w:val="24"/>
        <w:szCs w:val="24"/>
        <w:color w:val="231F20"/>
        <w:spacing w:val="-8"/>
      </w:rPr>
      <w:t>•  </w:t>
    </w:r>
    <w:r>
      <w:rPr>
        <w:rFonts w:ascii="Microsoft YaHei" w:hAnsi="Microsoft YaHei" w:eastAsia="Microsoft YaHei" w:cs="Microsoft YaHei"/>
        <w:sz w:val="24"/>
        <w:szCs w:val="24"/>
        <w:color w:val="231F20"/>
        <w:spacing w:val="-8"/>
        <w:position w:val="-2"/>
      </w:rPr>
      <w:t>临床护理  </w:t>
    </w:r>
    <w:r>
      <w:rPr>
        <w:rFonts w:ascii="Microsoft YaHei" w:hAnsi="Microsoft YaHei" w:eastAsia="Microsoft YaHei" w:cs="Microsoft YaHei"/>
        <w:sz w:val="24"/>
        <w:szCs w:val="24"/>
        <w:color w:val="231F20"/>
        <w:spacing w:val="-8"/>
      </w:rPr>
      <w:t>•             </w:t>
    </w:r>
    <w:r>
      <w:rPr>
        <w:shd w:val="clear" w:fill="DCDDDF"/>
        <w:rFonts w:ascii="Microsoft YaHei" w:hAnsi="Microsoft YaHei" w:eastAsia="Microsoft YaHei" w:cs="Microsoft YaHei"/>
        <w:sz w:val="24"/>
        <w:szCs w:val="24"/>
        <w:color w:val="231F20"/>
        <w:spacing w:val="-8"/>
      </w:rPr>
      <w:t xml:space="preserve"> 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8"/>
      </w:rPr>
      <w:t>Electronic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49"/>
      </w:rPr>
      <w:t xml:space="preserve"> 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8"/>
      </w:rPr>
      <w:t>Journal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42"/>
      </w:rPr>
      <w:t xml:space="preserve"> 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8"/>
      </w:rPr>
      <w:t>of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32"/>
      </w:rPr>
      <w:t xml:space="preserve"> 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8"/>
      </w:rPr>
      <w:t>Practic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9"/>
      </w:rPr>
      <w:t>al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38"/>
      </w:rPr>
      <w:t xml:space="preserve"> 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9"/>
      </w:rPr>
      <w:t>Gynecological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31"/>
      </w:rPr>
      <w:t xml:space="preserve"> 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9"/>
      </w:rPr>
      <w:t>Endocrinology</w:t>
    </w:r>
    <w:r>
      <w:rPr>
        <w:rFonts w:ascii="SimHei" w:hAnsi="SimHei" w:eastAsia="SimHei" w:cs="SimHei"/>
        <w:sz w:val="21"/>
        <w:szCs w:val="21"/>
        <w:color w:val="231F20"/>
        <w:spacing w:val="-9"/>
      </w:rPr>
      <w:t xml:space="preserve">   </w:t>
    </w:r>
    <w:r>
      <w:rPr>
        <w:rFonts w:ascii="SimHei" w:hAnsi="SimHei" w:eastAsia="SimHei" w:cs="SimHei"/>
        <w:sz w:val="21"/>
        <w:szCs w:val="21"/>
        <w:color w:val="231F20"/>
        <w:spacing w:val="-9"/>
      </w:rPr>
      <w:t>2024</w:t>
    </w:r>
    <w:r>
      <w:rPr>
        <w:rFonts w:ascii="SimHei" w:hAnsi="SimHei" w:eastAsia="SimHei" w:cs="SimHei"/>
        <w:sz w:val="21"/>
        <w:szCs w:val="21"/>
        <w:color w:val="231F20"/>
        <w:spacing w:val="-63"/>
      </w:rPr>
      <w:t xml:space="preserve"> </w:t>
    </w:r>
    <w:r>
      <w:rPr>
        <w:rFonts w:ascii="SimHei" w:hAnsi="SimHei" w:eastAsia="SimHei" w:cs="SimHei"/>
        <w:sz w:val="21"/>
        <w:szCs w:val="21"/>
        <w:color w:val="231F20"/>
        <w:spacing w:val="-9"/>
      </w:rPr>
      <w:t>Vol.11</w:t>
    </w:r>
    <w:r>
      <w:rPr>
        <w:rFonts w:ascii="SimHei" w:hAnsi="SimHei" w:eastAsia="SimHei" w:cs="SimHei"/>
        <w:sz w:val="21"/>
        <w:szCs w:val="21"/>
        <w:color w:val="231F20"/>
        <w:spacing w:val="-49"/>
      </w:rPr>
      <w:t xml:space="preserve"> </w:t>
    </w:r>
    <w:r>
      <w:rPr>
        <w:rFonts w:ascii="SimHei" w:hAnsi="SimHei" w:eastAsia="SimHei" w:cs="SimHei"/>
        <w:sz w:val="21"/>
        <w:szCs w:val="21"/>
        <w:color w:val="231F20"/>
        <w:spacing w:val="-9"/>
      </w:rPr>
      <w:t>No.13</w:t>
    </w:r>
  </w:p>
  <w:p>
    <w:pPr>
      <w:ind w:firstLine="709"/>
      <w:spacing w:before="4" w:line="46" w:lineRule="exact"/>
      <w:rPr/>
    </w:pPr>
    <w:r>
      <w:rPr>
        <w:position w:val="-1"/>
      </w:rPr>
      <w:pict>
        <v:group id="_x0000_s16" style="mso-position-vertical-relative:line;mso-position-horizontal-relative:char;width:481.9pt;height:2.85pt;" filled="false" stroked="false" coordsize="9637,56" coordorigin="0,0">
          <v:shape id="_x0000_s18" style="position:absolute;left:0;top:0;width:9637;height:29;" filled="false" strokecolor="#939598" strokeweight="1.42pt" coordsize="9637,29" coordorigin="0,0" path="m0,14l9637,14e">
            <v:stroke joinstyle="miter" miterlimit="4"/>
          </v:shape>
          <v:shape id="_x0000_s20" style="position:absolute;left:0;top:47;width:9637;height:10;" filled="false" strokecolor="#939598" strokeweight="0.47pt" coordsize="9637,10" coordorigin="0,0" path="m0,4l9637,4e">
            <v:stroke joinstyle="miter" miterlimit="4"/>
          </v:shape>
        </v:group>
      </w:pic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header" Target="header2.xml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header" Target="header1.xml"/><Relationship Id="rId2" Type="http://schemas.openxmlformats.org/officeDocument/2006/relationships/image" Target="media/image2.png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2024-09-04T16:24:26Z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2025-10-28T21:30:19</vt:filetime>
  </property>
</Properties>
</file>