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44" w:line="171" w:lineRule="auto"/>
        <w:jc w:val="right"/>
        <w:rPr>
          <w:rFonts w:ascii="Microsoft YaHei" w:hAnsi="Microsoft YaHei" w:eastAsia="Microsoft YaHei" w:cs="Microsoft YaHei"/>
          <w:sz w:val="24"/>
          <w:szCs w:val="24"/>
        </w:rPr>
      </w:pPr>
      <w:r>
        <w:rPr>
          <w:shd w:val="clear" w:fill="DCDDDF"/>
          <w:rFonts w:ascii="Microsoft YaHei" w:hAnsi="Microsoft YaHei" w:eastAsia="Microsoft YaHei" w:cs="Microsoft YaHei"/>
          <w:sz w:val="21"/>
          <w:szCs w:val="21"/>
          <w:color w:val="231F20"/>
          <w:spacing w:val="-1"/>
        </w:rPr>
        <w:t>实用妇科内分泌电子杂志 </w:t>
      </w:r>
      <w:r>
        <w:rPr>
          <w:rFonts w:ascii="Microsoft YaHei" w:hAnsi="Microsoft YaHei" w:eastAsia="Microsoft YaHei" w:cs="Microsoft YaHei"/>
          <w:sz w:val="21"/>
          <w:szCs w:val="21"/>
          <w:color w:val="231F20"/>
          <w:spacing w:val="-1"/>
        </w:rPr>
        <w:t xml:space="preserve">    2024</w:t>
      </w:r>
      <w:r>
        <w:rPr>
          <w:rFonts w:ascii="Microsoft YaHei" w:hAnsi="Microsoft YaHei" w:eastAsia="Microsoft YaHei" w:cs="Microsoft YaHei"/>
          <w:sz w:val="21"/>
          <w:szCs w:val="21"/>
          <w:color w:val="231F20"/>
          <w:spacing w:val="-24"/>
        </w:rPr>
        <w:t xml:space="preserve"> </w:t>
      </w:r>
      <w:r>
        <w:rPr>
          <w:rFonts w:ascii="Microsoft YaHei" w:hAnsi="Microsoft YaHei" w:eastAsia="Microsoft YaHei" w:cs="Microsoft YaHei"/>
          <w:sz w:val="21"/>
          <w:szCs w:val="21"/>
          <w:color w:val="231F20"/>
          <w:spacing w:val="-1"/>
        </w:rPr>
        <w:t>年第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11</w:t>
      </w:r>
      <w:r>
        <w:rPr>
          <w:rFonts w:ascii="Microsoft YaHei" w:hAnsi="Microsoft YaHei" w:eastAsia="Microsoft YaHei" w:cs="Microsoft YaHei"/>
          <w:sz w:val="21"/>
          <w:szCs w:val="21"/>
          <w:color w:val="231F20"/>
          <w:spacing w:val="-27"/>
        </w:rPr>
        <w:t xml:space="preserve"> </w:t>
      </w:r>
      <w:r>
        <w:rPr>
          <w:rFonts w:ascii="Microsoft YaHei" w:hAnsi="Microsoft YaHei" w:eastAsia="Microsoft YaHei" w:cs="Microsoft YaHei"/>
          <w:sz w:val="21"/>
          <w:szCs w:val="21"/>
          <w:color w:val="231F20"/>
          <w:spacing w:val="-1"/>
        </w:rPr>
        <w:t>卷第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11</w:t>
      </w:r>
      <w:r>
        <w:rPr>
          <w:rFonts w:ascii="Microsoft YaHei" w:hAnsi="Microsoft YaHei" w:eastAsia="Microsoft YaHei" w:cs="Microsoft YaHei"/>
          <w:sz w:val="21"/>
          <w:szCs w:val="21"/>
          <w:color w:val="231F20"/>
          <w:spacing w:val="-26"/>
        </w:rPr>
        <w:t xml:space="preserve"> </w:t>
      </w:r>
      <w:r>
        <w:rPr>
          <w:rFonts w:ascii="Microsoft YaHei" w:hAnsi="Microsoft YaHei" w:eastAsia="Microsoft YaHei" w:cs="Microsoft YaHei"/>
          <w:sz w:val="21"/>
          <w:szCs w:val="21"/>
          <w:color w:val="231F20"/>
          <w:spacing w:val="-1"/>
        </w:rPr>
        <w:t>期                                                 </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4"/>
          <w:szCs w:val="24"/>
          <w:color w:val="231F20"/>
          <w:spacing w:val="-2"/>
          <w:position w:val="1"/>
        </w:rPr>
        <w:t>•  </w:t>
      </w:r>
      <w:r>
        <w:rPr>
          <w:rFonts w:ascii="Microsoft YaHei" w:hAnsi="Microsoft YaHei" w:eastAsia="Microsoft YaHei" w:cs="Microsoft YaHei"/>
          <w:sz w:val="24"/>
          <w:szCs w:val="24"/>
          <w:color w:val="231F20"/>
          <w:spacing w:val="-2"/>
        </w:rPr>
        <w:t>临床研究  </w:t>
      </w:r>
      <w:r>
        <w:rPr>
          <w:rFonts w:ascii="Microsoft YaHei" w:hAnsi="Microsoft YaHei" w:eastAsia="Microsoft YaHei" w:cs="Microsoft YaHei"/>
          <w:sz w:val="24"/>
          <w:szCs w:val="24"/>
          <w:color w:val="231F20"/>
          <w:spacing w:val="-2"/>
          <w:position w:val="1"/>
        </w:rPr>
        <w:t>•</w:t>
      </w:r>
    </w:p>
    <w:p>
      <w:pPr>
        <w:ind w:firstLine="709"/>
        <w:spacing w:before="16" w:line="56" w:lineRule="exact"/>
        <w:rPr/>
      </w:pPr>
      <w:r>
        <w:rPr>
          <w:position w:val="-1"/>
        </w:rPr>
        <w:pict>
          <v:group id="_x0000_s2" style="mso-position-vertical-relative:line;mso-position-horizontal-relative:char;width:481.9pt;height:2.85pt;" filled="false" stroked="false" coordsize="9637,56" coordorigin="0,0">
            <v:shape id="_x0000_s4" style="position:absolute;left:0;top:0;width:9637;height:29;" filled="false" strokecolor="#939598" strokeweight="1.42pt" coordsize="9637,29" coordorigin="0,0" path="m0,14l9637,14e">
              <v:stroke joinstyle="miter" miterlimit="4"/>
            </v:shape>
            <v:shape id="_x0000_s6" style="position:absolute;left:0;top:47;width:9637;height:10;" filled="false" strokecolor="#939598" strokeweight="0.47pt" coordsize="9637,10" coordorigin="0,0" path="m0,4l9637,4e">
              <v:stroke joinstyle="miter" miterlimit="4"/>
            </v:shape>
          </v:group>
        </w:pict>
      </w:r>
    </w:p>
    <w:p>
      <w:pPr>
        <w:ind w:left="734"/>
        <w:spacing w:before="268" w:line="17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6"/>
        </w:rPr>
        <w:t>DOI：10.3969/j. issn.2095-</w:t>
      </w:r>
      <w:r>
        <w:rPr>
          <w:rFonts w:ascii="Microsoft YaHei" w:hAnsi="Microsoft YaHei" w:eastAsia="Microsoft YaHei" w:cs="Microsoft YaHei"/>
          <w:sz w:val="24"/>
          <w:szCs w:val="24"/>
          <w:color w:val="231F20"/>
          <w:spacing w:val="-7"/>
        </w:rPr>
        <w:t>8803.2024.11.016</w:t>
      </w:r>
    </w:p>
    <w:p>
      <w:pPr>
        <w:spacing w:line="287" w:lineRule="auto"/>
        <w:rPr>
          <w:rFonts w:ascii="Arial"/>
          <w:sz w:val="21"/>
        </w:rPr>
      </w:pPr>
      <w:r/>
    </w:p>
    <w:p>
      <w:pPr>
        <w:spacing w:line="288" w:lineRule="auto"/>
        <w:rPr>
          <w:rFonts w:ascii="Arial"/>
          <w:sz w:val="21"/>
        </w:rPr>
      </w:pPr>
      <w:r/>
    </w:p>
    <w:p>
      <w:pPr>
        <w:pStyle w:val="BodyText"/>
        <w:ind w:left="727" w:right="1240" w:firstLine="67"/>
        <w:spacing w:before="137" w:line="222" w:lineRule="auto"/>
        <w:rPr>
          <w:sz w:val="42"/>
          <w:szCs w:val="42"/>
        </w:rPr>
      </w:pPr>
      <w:r>
        <w:rPr>
          <w:sz w:val="42"/>
          <w:szCs w:val="42"/>
          <w:color w:val="231F20"/>
          <w:spacing w:val="-5"/>
        </w:rPr>
        <w:t>自拟清化止痛汤联合中药灌肠治疗湿热瘀结型</w:t>
      </w:r>
      <w:r>
        <w:rPr>
          <w:sz w:val="42"/>
          <w:szCs w:val="42"/>
          <w:color w:val="231F20"/>
          <w:spacing w:val="14"/>
        </w:rPr>
        <w:t xml:space="preserve"> </w:t>
      </w:r>
      <w:r>
        <w:rPr>
          <w:sz w:val="42"/>
          <w:szCs w:val="42"/>
          <w:color w:val="231F20"/>
          <w:spacing w:val="-2"/>
        </w:rPr>
        <w:t>急性盆腔炎的临床效果观察</w:t>
      </w:r>
    </w:p>
    <w:p>
      <w:pPr>
        <w:spacing w:line="385" w:lineRule="auto"/>
        <w:rPr>
          <w:rFonts w:ascii="Arial"/>
          <w:sz w:val="21"/>
        </w:rPr>
      </w:pPr>
      <w:r/>
    </w:p>
    <w:p>
      <w:pPr>
        <w:ind w:left="719"/>
        <w:spacing w:before="68" w:line="229" w:lineRule="auto"/>
        <w:rPr>
          <w:rFonts w:ascii="KaiTi" w:hAnsi="KaiTi" w:eastAsia="KaiTi" w:cs="KaiTi"/>
          <w:sz w:val="21"/>
          <w:szCs w:val="21"/>
        </w:rPr>
      </w:pPr>
      <w:r>
        <w:rPr>
          <w:rFonts w:ascii="KaiTi" w:hAnsi="KaiTi" w:eastAsia="KaiTi" w:cs="KaiTi"/>
          <w:sz w:val="21"/>
          <w:szCs w:val="21"/>
          <w:color w:val="231F20"/>
          <w:spacing w:val="-2"/>
        </w:rPr>
        <w:t>董其虎，郁春姣</w:t>
      </w:r>
    </w:p>
    <w:p>
      <w:pPr>
        <w:pStyle w:val="BodyText"/>
        <w:ind w:left="700"/>
        <w:spacing w:before="59"/>
        <w:rPr>
          <w:rFonts w:ascii="KaiTi" w:hAnsi="KaiTi" w:eastAsia="KaiTi" w:cs="KaiTi"/>
          <w:sz w:val="21"/>
          <w:szCs w:val="21"/>
        </w:rPr>
      </w:pPr>
      <w:r>
        <w:rPr>
          <w:rFonts w:ascii="KaiTi" w:hAnsi="KaiTi" w:eastAsia="KaiTi" w:cs="KaiTi"/>
          <w:sz w:val="21"/>
          <w:szCs w:val="21"/>
          <w:color w:val="231F20"/>
        </w:rPr>
        <w:t>（南京中医药大学沭阳附属医院</w:t>
      </w:r>
      <w:r>
        <w:rPr>
          <w:rFonts w:ascii="KaiTi" w:hAnsi="KaiTi" w:eastAsia="KaiTi" w:cs="KaiTi"/>
          <w:sz w:val="21"/>
          <w:szCs w:val="21"/>
          <w:color w:val="231F20"/>
        </w:rPr>
        <w:t xml:space="preserve"> </w:t>
      </w:r>
      <w:r>
        <w:rPr>
          <w:rFonts w:ascii="KaiTi" w:hAnsi="KaiTi" w:eastAsia="KaiTi" w:cs="KaiTi"/>
          <w:sz w:val="21"/>
          <w:szCs w:val="21"/>
          <w:color w:val="231F20"/>
        </w:rPr>
        <w:t>妇产科，江苏</w:t>
      </w:r>
      <w:r>
        <w:rPr>
          <w:rFonts w:ascii="KaiTi" w:hAnsi="KaiTi" w:eastAsia="KaiTi" w:cs="KaiTi"/>
          <w:sz w:val="21"/>
          <w:szCs w:val="21"/>
          <w:color w:val="231F20"/>
        </w:rPr>
        <w:t xml:space="preserve"> </w:t>
      </w:r>
      <w:r>
        <w:rPr>
          <w:rFonts w:ascii="KaiTi" w:hAnsi="KaiTi" w:eastAsia="KaiTi" w:cs="KaiTi"/>
          <w:sz w:val="21"/>
          <w:szCs w:val="21"/>
          <w:color w:val="231F20"/>
        </w:rPr>
        <w:t>沭阳</w:t>
      </w:r>
      <w:r>
        <w:rPr>
          <w:rFonts w:ascii="KaiTi" w:hAnsi="KaiTi" w:eastAsia="KaiTi" w:cs="KaiTi"/>
          <w:sz w:val="21"/>
          <w:szCs w:val="21"/>
          <w:color w:val="231F20"/>
        </w:rPr>
        <w:t xml:space="preserve"> </w:t>
      </w:r>
      <w:r>
        <w:rPr>
          <w:sz w:val="21"/>
          <w:szCs w:val="21"/>
          <w:color w:val="231F20"/>
        </w:rPr>
        <w:t>223600</w:t>
      </w:r>
      <w:r>
        <w:rPr>
          <w:rFonts w:ascii="KaiTi" w:hAnsi="KaiTi" w:eastAsia="KaiTi" w:cs="KaiTi"/>
          <w:sz w:val="21"/>
          <w:szCs w:val="21"/>
          <w:color w:val="231F20"/>
        </w:rPr>
        <w:t>）</w:t>
      </w:r>
    </w:p>
    <w:p>
      <w:pPr>
        <w:spacing w:line="421" w:lineRule="auto"/>
        <w:rPr>
          <w:rFonts w:ascii="Arial"/>
          <w:sz w:val="21"/>
        </w:rPr>
      </w:pPr>
      <w:r/>
    </w:p>
    <w:p>
      <w:pPr>
        <w:pStyle w:val="BodyText"/>
        <w:ind w:left="699" w:right="2" w:firstLine="319"/>
        <w:spacing w:before="78" w:line="258" w:lineRule="auto"/>
        <w:jc w:val="both"/>
        <w:rPr>
          <w:sz w:val="18"/>
          <w:szCs w:val="18"/>
        </w:rPr>
      </w:pPr>
      <w:r>
        <w:rPr>
          <w:rFonts w:ascii="Microsoft YaHei" w:hAnsi="Microsoft YaHei" w:eastAsia="Microsoft YaHei" w:cs="Microsoft YaHei"/>
          <w:sz w:val="18"/>
          <w:szCs w:val="18"/>
          <w:color w:val="231F20"/>
          <w:spacing w:val="-7"/>
        </w:rPr>
        <w:t>【摘要】目的   </w:t>
      </w:r>
      <w:r>
        <w:rPr>
          <w:sz w:val="18"/>
          <w:szCs w:val="18"/>
          <w:color w:val="231F20"/>
          <w:spacing w:val="-7"/>
        </w:rPr>
        <w:t>分析湿热瘀结型急性盆腔炎患者临床治疗过程中使用自拟清化止痛汤联合中药灌肠治疗的效果。</w:t>
      </w:r>
      <w:r>
        <w:rPr>
          <w:rFonts w:ascii="Microsoft YaHei" w:hAnsi="Microsoft YaHei" w:eastAsia="Microsoft YaHei" w:cs="Microsoft YaHei"/>
          <w:sz w:val="18"/>
          <w:szCs w:val="18"/>
          <w:color w:val="231F20"/>
          <w:spacing w:val="-7"/>
        </w:rPr>
        <w:t>方法    </w:t>
      </w:r>
      <w:r>
        <w:rPr>
          <w:sz w:val="18"/>
          <w:szCs w:val="18"/>
          <w:color w:val="231F20"/>
          <w:spacing w:val="-7"/>
        </w:rPr>
        <w:t>选取</w:t>
      </w:r>
      <w:r>
        <w:rPr>
          <w:sz w:val="18"/>
          <w:szCs w:val="18"/>
          <w:color w:val="231F20"/>
          <w:spacing w:val="7"/>
        </w:rPr>
        <w:t xml:space="preserve"> </w:t>
      </w:r>
      <w:r>
        <w:rPr>
          <w:sz w:val="18"/>
          <w:szCs w:val="18"/>
          <w:color w:val="231F20"/>
          <w:spacing w:val="2"/>
        </w:rPr>
        <w:t>60例急性盆腔炎（湿热瘀结型）患者，根据随机数字表法将患者分为两组，每组30例。对照组接受常规西药治疗</w:t>
      </w:r>
      <w:r>
        <w:rPr>
          <w:sz w:val="18"/>
          <w:szCs w:val="18"/>
          <w:color w:val="231F20"/>
          <w:spacing w:val="1"/>
        </w:rPr>
        <w:t>，治疗组</w:t>
      </w:r>
      <w:r>
        <w:rPr>
          <w:sz w:val="18"/>
          <w:szCs w:val="18"/>
          <w:color w:val="231F20"/>
        </w:rPr>
        <w:t xml:space="preserve"> </w:t>
      </w:r>
      <w:r>
        <w:rPr>
          <w:sz w:val="18"/>
          <w:szCs w:val="18"/>
          <w:color w:val="231F20"/>
          <w:spacing w:val="1"/>
        </w:rPr>
        <w:t>在对照组基础上接受自拟清化止痛汤联合中药灌肠治疗。对比两组治疗效果。 </w:t>
      </w:r>
      <w:r>
        <w:rPr>
          <w:rFonts w:ascii="Microsoft YaHei" w:hAnsi="Microsoft YaHei" w:eastAsia="Microsoft YaHei" w:cs="Microsoft YaHei"/>
          <w:sz w:val="18"/>
          <w:szCs w:val="18"/>
          <w:color w:val="231F20"/>
          <w:spacing w:val="1"/>
        </w:rPr>
        <w:t>结</w:t>
      </w:r>
      <w:r>
        <w:rPr>
          <w:rFonts w:ascii="Microsoft YaHei" w:hAnsi="Microsoft YaHei" w:eastAsia="Microsoft YaHei" w:cs="Microsoft YaHei"/>
          <w:sz w:val="18"/>
          <w:szCs w:val="18"/>
          <w:color w:val="231F20"/>
        </w:rPr>
        <w:t>果   </w:t>
      </w:r>
      <w:r>
        <w:rPr>
          <w:sz w:val="18"/>
          <w:szCs w:val="18"/>
          <w:color w:val="231F20"/>
        </w:rPr>
        <w:t>相比对照组，治疗后治疗组症状缓解 </w:t>
      </w:r>
      <w:r>
        <w:rPr>
          <w:sz w:val="18"/>
          <w:szCs w:val="18"/>
          <w:color w:val="231F20"/>
        </w:rPr>
        <w:t>时间明显缩短（</w:t>
      </w:r>
      <w:r>
        <w:rPr>
          <w:rFonts w:ascii="Times New Roman" w:hAnsi="Times New Roman" w:eastAsia="Times New Roman" w:cs="Times New Roman"/>
          <w:sz w:val="18"/>
          <w:szCs w:val="18"/>
          <w:i/>
          <w:iCs/>
          <w:color w:val="231F20"/>
        </w:rPr>
        <w:t>P</w:t>
      </w:r>
      <w:r>
        <w:rPr>
          <w:sz w:val="18"/>
          <w:szCs w:val="18"/>
          <w:color w:val="231F20"/>
        </w:rPr>
        <w:t>＜0.05），且主症评分和次症评分明显降低（</w:t>
      </w:r>
      <w:r>
        <w:rPr>
          <w:sz w:val="18"/>
          <w:szCs w:val="18"/>
          <w:color w:val="231F20"/>
          <w:spacing w:val="-24"/>
        </w:rPr>
        <w:t xml:space="preserve"> </w:t>
      </w:r>
      <w:r>
        <w:rPr>
          <w:rFonts w:ascii="Times New Roman" w:hAnsi="Times New Roman" w:eastAsia="Times New Roman" w:cs="Times New Roman"/>
          <w:sz w:val="18"/>
          <w:szCs w:val="18"/>
          <w:i/>
          <w:iCs/>
          <w:color w:val="231F20"/>
        </w:rPr>
        <w:t>P</w:t>
      </w:r>
      <w:r>
        <w:rPr>
          <w:sz w:val="18"/>
          <w:szCs w:val="18"/>
          <w:color w:val="231F20"/>
        </w:rPr>
        <w:t>＜0.05）。两组不良反应发生率比较，差异无统计学意义 </w:t>
      </w:r>
      <w:r>
        <w:rPr>
          <w:sz w:val="18"/>
          <w:szCs w:val="18"/>
          <w:color w:val="231F20"/>
          <w:spacing w:val="-5"/>
        </w:rPr>
        <w:t>（</w:t>
      </w:r>
      <w:r>
        <w:rPr>
          <w:rFonts w:ascii="Times New Roman" w:hAnsi="Times New Roman" w:eastAsia="Times New Roman" w:cs="Times New Roman"/>
          <w:sz w:val="18"/>
          <w:szCs w:val="18"/>
          <w:i/>
          <w:iCs/>
          <w:color w:val="231F20"/>
          <w:spacing w:val="-5"/>
        </w:rPr>
        <w:t>P</w:t>
      </w:r>
      <w:r>
        <w:rPr>
          <w:sz w:val="18"/>
          <w:szCs w:val="18"/>
          <w:color w:val="231F20"/>
          <w:spacing w:val="-5"/>
        </w:rPr>
        <w:t>＞0.05）。</w:t>
      </w:r>
      <w:r>
        <w:rPr>
          <w:rFonts w:ascii="Microsoft YaHei" w:hAnsi="Microsoft YaHei" w:eastAsia="Microsoft YaHei" w:cs="Microsoft YaHei"/>
          <w:sz w:val="18"/>
          <w:szCs w:val="18"/>
          <w:color w:val="231F20"/>
          <w:spacing w:val="-5"/>
        </w:rPr>
        <w:t>结论    </w:t>
      </w:r>
      <w:r>
        <w:rPr>
          <w:sz w:val="18"/>
          <w:szCs w:val="18"/>
          <w:color w:val="231F20"/>
          <w:spacing w:val="-5"/>
        </w:rPr>
        <w:t>自拟清化止痛汤联合</w:t>
      </w:r>
      <w:r>
        <w:rPr>
          <w:sz w:val="18"/>
          <w:szCs w:val="18"/>
          <w:color w:val="231F20"/>
          <w:spacing w:val="-6"/>
        </w:rPr>
        <w:t>中药灌肠治疗湿热瘀结型急性盆腔炎具有较好的效果和安全性。</w:t>
      </w:r>
    </w:p>
    <w:p>
      <w:pPr>
        <w:pStyle w:val="BodyText"/>
        <w:ind w:left="1019"/>
        <w:spacing w:before="1" w:line="206" w:lineRule="auto"/>
        <w:rPr>
          <w:sz w:val="18"/>
          <w:szCs w:val="18"/>
        </w:rPr>
      </w:pPr>
      <w:r>
        <w:rPr>
          <w:rFonts w:ascii="Microsoft YaHei" w:hAnsi="Microsoft YaHei" w:eastAsia="Microsoft YaHei" w:cs="Microsoft YaHei"/>
          <w:sz w:val="18"/>
          <w:szCs w:val="18"/>
          <w:color w:val="231F20"/>
          <w:spacing w:val="-7"/>
        </w:rPr>
        <w:t>【关键词】 </w:t>
      </w:r>
      <w:r>
        <w:rPr>
          <w:sz w:val="18"/>
          <w:szCs w:val="18"/>
          <w:color w:val="231F20"/>
          <w:spacing w:val="-7"/>
        </w:rPr>
        <w:t>自拟清化止痛汤；中药灌肠；湿热瘀结型；急性盆腔炎；临床效果</w:t>
      </w:r>
    </w:p>
    <w:p>
      <w:pPr>
        <w:spacing w:line="438" w:lineRule="auto"/>
        <w:rPr>
          <w:rFonts w:ascii="Arial"/>
          <w:sz w:val="21"/>
        </w:rPr>
      </w:pPr>
      <w:r/>
    </w:p>
    <w:p>
      <w:pPr>
        <w:pStyle w:val="BodyText"/>
        <w:ind w:left="715" w:right="84" w:firstLine="1"/>
        <w:spacing w:before="52" w:line="299" w:lineRule="auto"/>
        <w:rPr>
          <w:sz w:val="16"/>
          <w:szCs w:val="16"/>
        </w:rPr>
      </w:pPr>
      <w:r>
        <w:rPr>
          <w:sz w:val="16"/>
          <w:szCs w:val="16"/>
          <w:b/>
          <w:bCs/>
          <w:color w:val="231F20"/>
          <w:spacing w:val="9"/>
        </w:rPr>
        <w:t>Clinical</w:t>
      </w:r>
      <w:r>
        <w:rPr>
          <w:sz w:val="16"/>
          <w:szCs w:val="16"/>
          <w:color w:val="231F20"/>
          <w:spacing w:val="-29"/>
        </w:rPr>
        <w:t xml:space="preserve"> </w:t>
      </w:r>
      <w:r>
        <w:rPr>
          <w:sz w:val="16"/>
          <w:szCs w:val="16"/>
          <w:b/>
          <w:bCs/>
          <w:color w:val="231F20"/>
          <w:spacing w:val="9"/>
        </w:rPr>
        <w:t>observation</w:t>
      </w:r>
      <w:r>
        <w:rPr>
          <w:sz w:val="16"/>
          <w:szCs w:val="16"/>
          <w:color w:val="231F20"/>
          <w:spacing w:val="-35"/>
        </w:rPr>
        <w:t xml:space="preserve"> </w:t>
      </w:r>
      <w:r>
        <w:rPr>
          <w:sz w:val="16"/>
          <w:szCs w:val="16"/>
          <w:b/>
          <w:bCs/>
          <w:color w:val="231F20"/>
          <w:spacing w:val="9"/>
        </w:rPr>
        <w:t>on</w:t>
      </w:r>
      <w:r>
        <w:rPr>
          <w:sz w:val="16"/>
          <w:szCs w:val="16"/>
          <w:color w:val="231F20"/>
          <w:spacing w:val="-35"/>
        </w:rPr>
        <w:t xml:space="preserve"> </w:t>
      </w:r>
      <w:r>
        <w:rPr>
          <w:sz w:val="16"/>
          <w:szCs w:val="16"/>
          <w:b/>
          <w:bCs/>
          <w:color w:val="231F20"/>
          <w:spacing w:val="9"/>
        </w:rPr>
        <w:t>clinical</w:t>
      </w:r>
      <w:r>
        <w:rPr>
          <w:sz w:val="16"/>
          <w:szCs w:val="16"/>
          <w:color w:val="231F20"/>
          <w:spacing w:val="-35"/>
        </w:rPr>
        <w:t xml:space="preserve"> </w:t>
      </w:r>
      <w:r>
        <w:rPr>
          <w:rFonts w:ascii="Times New Roman" w:hAnsi="Times New Roman" w:eastAsia="Times New Roman" w:cs="Times New Roman"/>
          <w:sz w:val="16"/>
          <w:szCs w:val="16"/>
          <w:b/>
          <w:bCs/>
          <w:color w:val="231F20"/>
          <w:spacing w:val="9"/>
        </w:rPr>
        <w:t>eﬀ</w:t>
      </w:r>
      <w:r>
        <w:rPr>
          <w:sz w:val="16"/>
          <w:szCs w:val="16"/>
          <w:b/>
          <w:bCs/>
          <w:color w:val="231F20"/>
          <w:spacing w:val="9"/>
        </w:rPr>
        <w:t>ect</w:t>
      </w:r>
      <w:r>
        <w:rPr>
          <w:sz w:val="16"/>
          <w:szCs w:val="16"/>
          <w:color w:val="231F20"/>
          <w:spacing w:val="-35"/>
        </w:rPr>
        <w:t xml:space="preserve"> </w:t>
      </w:r>
      <w:r>
        <w:rPr>
          <w:sz w:val="16"/>
          <w:szCs w:val="16"/>
          <w:b/>
          <w:bCs/>
          <w:color w:val="231F20"/>
          <w:spacing w:val="9"/>
        </w:rPr>
        <w:t>of</w:t>
      </w:r>
      <w:r>
        <w:rPr>
          <w:sz w:val="16"/>
          <w:szCs w:val="16"/>
          <w:color w:val="231F20"/>
          <w:spacing w:val="-50"/>
        </w:rPr>
        <w:t xml:space="preserve"> </w:t>
      </w:r>
      <w:r>
        <w:rPr>
          <w:sz w:val="16"/>
          <w:szCs w:val="16"/>
          <w:b/>
          <w:bCs/>
          <w:color w:val="231F20"/>
          <w:spacing w:val="9"/>
        </w:rPr>
        <w:t>self-prepared</w:t>
      </w:r>
      <w:r>
        <w:rPr>
          <w:sz w:val="16"/>
          <w:szCs w:val="16"/>
          <w:color w:val="231F20"/>
          <w:spacing w:val="-34"/>
        </w:rPr>
        <w:t xml:space="preserve"> </w:t>
      </w:r>
      <w:r>
        <w:rPr>
          <w:sz w:val="16"/>
          <w:szCs w:val="16"/>
          <w:b/>
          <w:bCs/>
          <w:color w:val="231F20"/>
          <w:spacing w:val="9"/>
        </w:rPr>
        <w:t>Qinghua</w:t>
      </w:r>
      <w:r>
        <w:rPr>
          <w:sz w:val="16"/>
          <w:szCs w:val="16"/>
          <w:color w:val="231F20"/>
          <w:spacing w:val="-36"/>
        </w:rPr>
        <w:t xml:space="preserve"> </w:t>
      </w:r>
      <w:r>
        <w:rPr>
          <w:sz w:val="16"/>
          <w:szCs w:val="16"/>
          <w:b/>
          <w:bCs/>
          <w:color w:val="231F20"/>
          <w:spacing w:val="9"/>
        </w:rPr>
        <w:t>zhitong</w:t>
      </w:r>
      <w:r>
        <w:rPr>
          <w:sz w:val="16"/>
          <w:szCs w:val="16"/>
          <w:color w:val="231F20"/>
          <w:spacing w:val="-35"/>
        </w:rPr>
        <w:t xml:space="preserve"> </w:t>
      </w:r>
      <w:r>
        <w:rPr>
          <w:sz w:val="16"/>
          <w:szCs w:val="16"/>
          <w:b/>
          <w:bCs/>
          <w:color w:val="231F20"/>
          <w:spacing w:val="9"/>
        </w:rPr>
        <w:t>decoction</w:t>
      </w:r>
      <w:r>
        <w:rPr>
          <w:sz w:val="16"/>
          <w:szCs w:val="16"/>
          <w:color w:val="231F20"/>
          <w:spacing w:val="-35"/>
        </w:rPr>
        <w:t xml:space="preserve"> </w:t>
      </w:r>
      <w:r>
        <w:rPr>
          <w:sz w:val="16"/>
          <w:szCs w:val="16"/>
          <w:b/>
          <w:bCs/>
          <w:color w:val="231F20"/>
          <w:spacing w:val="9"/>
        </w:rPr>
        <w:t>combined</w:t>
      </w:r>
      <w:r>
        <w:rPr>
          <w:sz w:val="16"/>
          <w:szCs w:val="16"/>
          <w:color w:val="231F20"/>
          <w:spacing w:val="-42"/>
        </w:rPr>
        <w:t xml:space="preserve"> </w:t>
      </w:r>
      <w:r>
        <w:rPr>
          <w:sz w:val="16"/>
          <w:szCs w:val="16"/>
          <w:b/>
          <w:bCs/>
          <w:color w:val="231F20"/>
          <w:spacing w:val="9"/>
        </w:rPr>
        <w:t>with</w:t>
      </w:r>
      <w:r>
        <w:rPr>
          <w:sz w:val="16"/>
          <w:szCs w:val="16"/>
          <w:color w:val="231F20"/>
          <w:spacing w:val="-33"/>
        </w:rPr>
        <w:t xml:space="preserve"> </w:t>
      </w:r>
      <w:r>
        <w:rPr>
          <w:sz w:val="16"/>
          <w:szCs w:val="16"/>
          <w:b/>
          <w:bCs/>
          <w:color w:val="231F20"/>
          <w:spacing w:val="9"/>
        </w:rPr>
        <w:t>Chinese</w:t>
      </w:r>
      <w:r>
        <w:rPr>
          <w:sz w:val="16"/>
          <w:szCs w:val="16"/>
          <w:color w:val="231F20"/>
          <w:spacing w:val="-37"/>
        </w:rPr>
        <w:t xml:space="preserve"> </w:t>
      </w:r>
      <w:r>
        <w:rPr>
          <w:sz w:val="16"/>
          <w:szCs w:val="16"/>
          <w:b/>
          <w:bCs/>
          <w:color w:val="231F20"/>
          <w:spacing w:val="9"/>
        </w:rPr>
        <w:t>medicine</w:t>
      </w:r>
      <w:r>
        <w:rPr>
          <w:sz w:val="16"/>
          <w:szCs w:val="16"/>
          <w:color w:val="231F20"/>
        </w:rPr>
        <w:t xml:space="preserve">   </w:t>
      </w:r>
      <w:r>
        <w:rPr>
          <w:sz w:val="16"/>
          <w:szCs w:val="16"/>
          <w:b/>
          <w:bCs/>
          <w:color w:val="231F20"/>
          <w:spacing w:val="11"/>
        </w:rPr>
        <w:t>enema</w:t>
      </w:r>
      <w:r>
        <w:rPr>
          <w:sz w:val="16"/>
          <w:szCs w:val="16"/>
          <w:color w:val="231F20"/>
          <w:spacing w:val="-36"/>
        </w:rPr>
        <w:t xml:space="preserve"> </w:t>
      </w:r>
      <w:r>
        <w:rPr>
          <w:sz w:val="16"/>
          <w:szCs w:val="16"/>
          <w:b/>
          <w:bCs/>
          <w:color w:val="231F20"/>
          <w:spacing w:val="11"/>
        </w:rPr>
        <w:t>in</w:t>
      </w:r>
      <w:r>
        <w:rPr>
          <w:sz w:val="16"/>
          <w:szCs w:val="16"/>
          <w:color w:val="231F20"/>
          <w:spacing w:val="-38"/>
        </w:rPr>
        <w:t xml:space="preserve"> </w:t>
      </w:r>
      <w:r>
        <w:rPr>
          <w:sz w:val="16"/>
          <w:szCs w:val="16"/>
          <w:b/>
          <w:bCs/>
          <w:color w:val="231F20"/>
          <w:spacing w:val="11"/>
        </w:rPr>
        <w:t>treating</w:t>
      </w:r>
      <w:r>
        <w:rPr>
          <w:sz w:val="16"/>
          <w:szCs w:val="16"/>
          <w:color w:val="231F20"/>
          <w:spacing w:val="-34"/>
        </w:rPr>
        <w:t xml:space="preserve"> </w:t>
      </w:r>
      <w:r>
        <w:rPr>
          <w:sz w:val="16"/>
          <w:szCs w:val="16"/>
          <w:b/>
          <w:bCs/>
          <w:color w:val="231F20"/>
          <w:spacing w:val="11"/>
        </w:rPr>
        <w:t>acute</w:t>
      </w:r>
      <w:r>
        <w:rPr>
          <w:sz w:val="16"/>
          <w:szCs w:val="16"/>
          <w:color w:val="231F20"/>
          <w:spacing w:val="-37"/>
        </w:rPr>
        <w:t xml:space="preserve"> </w:t>
      </w:r>
      <w:r>
        <w:rPr>
          <w:sz w:val="16"/>
          <w:szCs w:val="16"/>
          <w:b/>
          <w:bCs/>
          <w:color w:val="231F20"/>
          <w:spacing w:val="11"/>
        </w:rPr>
        <w:t>pelvic</w:t>
      </w:r>
      <w:r>
        <w:rPr>
          <w:sz w:val="16"/>
          <w:szCs w:val="16"/>
          <w:color w:val="231F20"/>
          <w:spacing w:val="-36"/>
        </w:rPr>
        <w:t xml:space="preserve"> </w:t>
      </w:r>
      <w:r>
        <w:rPr>
          <w:rFonts w:ascii="Times New Roman" w:hAnsi="Times New Roman" w:eastAsia="Times New Roman" w:cs="Times New Roman"/>
          <w:sz w:val="16"/>
          <w:szCs w:val="16"/>
          <w:b/>
          <w:bCs/>
          <w:color w:val="231F20"/>
          <w:spacing w:val="11"/>
        </w:rPr>
        <w:t>inﬂ</w:t>
      </w:r>
      <w:r>
        <w:rPr>
          <w:sz w:val="16"/>
          <w:szCs w:val="16"/>
          <w:b/>
          <w:bCs/>
          <w:color w:val="231F20"/>
          <w:spacing w:val="11"/>
        </w:rPr>
        <w:t>ammatory</w:t>
      </w:r>
      <w:r>
        <w:rPr>
          <w:sz w:val="16"/>
          <w:szCs w:val="16"/>
          <w:color w:val="231F20"/>
          <w:spacing w:val="-35"/>
        </w:rPr>
        <w:t xml:space="preserve"> </w:t>
      </w:r>
      <w:r>
        <w:rPr>
          <w:sz w:val="16"/>
          <w:szCs w:val="16"/>
          <w:b/>
          <w:bCs/>
          <w:color w:val="231F20"/>
          <w:spacing w:val="11"/>
        </w:rPr>
        <w:t>disease</w:t>
      </w:r>
      <w:r>
        <w:rPr>
          <w:sz w:val="16"/>
          <w:szCs w:val="16"/>
          <w:color w:val="231F20"/>
          <w:spacing w:val="-35"/>
        </w:rPr>
        <w:t xml:space="preserve"> </w:t>
      </w:r>
      <w:r>
        <w:rPr>
          <w:sz w:val="16"/>
          <w:szCs w:val="16"/>
          <w:b/>
          <w:bCs/>
          <w:color w:val="231F20"/>
          <w:spacing w:val="11"/>
        </w:rPr>
        <w:t>of</w:t>
      </w:r>
      <w:r>
        <w:rPr>
          <w:sz w:val="16"/>
          <w:szCs w:val="16"/>
          <w:color w:val="231F20"/>
          <w:spacing w:val="-51"/>
        </w:rPr>
        <w:t xml:space="preserve"> </w:t>
      </w:r>
      <w:r>
        <w:rPr>
          <w:sz w:val="16"/>
          <w:szCs w:val="16"/>
          <w:b/>
          <w:bCs/>
          <w:color w:val="231F20"/>
          <w:spacing w:val="11"/>
        </w:rPr>
        <w:t>dam</w:t>
      </w:r>
      <w:r>
        <w:rPr>
          <w:sz w:val="16"/>
          <w:szCs w:val="16"/>
          <w:b/>
          <w:bCs/>
          <w:color w:val="231F20"/>
          <w:spacing w:val="10"/>
        </w:rPr>
        <w:t>pness-heat</w:t>
      </w:r>
      <w:r>
        <w:rPr>
          <w:sz w:val="16"/>
          <w:szCs w:val="16"/>
          <w:color w:val="231F20"/>
          <w:spacing w:val="-34"/>
        </w:rPr>
        <w:t xml:space="preserve"> </w:t>
      </w:r>
      <w:r>
        <w:rPr>
          <w:sz w:val="16"/>
          <w:szCs w:val="16"/>
          <w:b/>
          <w:bCs/>
          <w:color w:val="231F20"/>
          <w:spacing w:val="10"/>
        </w:rPr>
        <w:t>stasis</w:t>
      </w:r>
    </w:p>
    <w:p>
      <w:pPr>
        <w:ind w:left="718"/>
        <w:spacing w:before="167" w:line="24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color w:val="231F20"/>
          <w:spacing w:val="8"/>
        </w:rPr>
        <w:t>Dong</w:t>
      </w:r>
      <w:r>
        <w:rPr>
          <w:rFonts w:ascii="Times New Roman" w:hAnsi="Times New Roman" w:eastAsia="Times New Roman" w:cs="Times New Roman"/>
          <w:sz w:val="15"/>
          <w:szCs w:val="15"/>
          <w:i/>
          <w:iCs/>
          <w:color w:val="231F20"/>
          <w:spacing w:val="38"/>
        </w:rPr>
        <w:t xml:space="preserve"> </w:t>
      </w:r>
      <w:r>
        <w:rPr>
          <w:rFonts w:ascii="Times New Roman" w:hAnsi="Times New Roman" w:eastAsia="Times New Roman" w:cs="Times New Roman"/>
          <w:sz w:val="15"/>
          <w:szCs w:val="15"/>
          <w:i/>
          <w:iCs/>
          <w:color w:val="231F20"/>
          <w:spacing w:val="8"/>
        </w:rPr>
        <w:t>Qihu,</w:t>
      </w:r>
      <w:r>
        <w:rPr>
          <w:rFonts w:ascii="Times New Roman" w:hAnsi="Times New Roman" w:eastAsia="Times New Roman" w:cs="Times New Roman"/>
          <w:sz w:val="15"/>
          <w:szCs w:val="15"/>
          <w:i/>
          <w:iCs/>
          <w:color w:val="231F20"/>
          <w:spacing w:val="19"/>
          <w:w w:val="101"/>
        </w:rPr>
        <w:t xml:space="preserve"> </w:t>
      </w:r>
      <w:r>
        <w:rPr>
          <w:rFonts w:ascii="Times New Roman" w:hAnsi="Times New Roman" w:eastAsia="Times New Roman" w:cs="Times New Roman"/>
          <w:sz w:val="15"/>
          <w:szCs w:val="15"/>
          <w:i/>
          <w:iCs/>
          <w:color w:val="231F20"/>
          <w:spacing w:val="8"/>
        </w:rPr>
        <w:t>Yu</w:t>
      </w:r>
      <w:r>
        <w:rPr>
          <w:rFonts w:ascii="Times New Roman" w:hAnsi="Times New Roman" w:eastAsia="Times New Roman" w:cs="Times New Roman"/>
          <w:sz w:val="15"/>
          <w:szCs w:val="15"/>
          <w:i/>
          <w:iCs/>
          <w:color w:val="231F20"/>
          <w:spacing w:val="22"/>
          <w:w w:val="102"/>
        </w:rPr>
        <w:t xml:space="preserve"> </w:t>
      </w:r>
      <w:r>
        <w:rPr>
          <w:rFonts w:ascii="Times New Roman" w:hAnsi="Times New Roman" w:eastAsia="Times New Roman" w:cs="Times New Roman"/>
          <w:sz w:val="15"/>
          <w:szCs w:val="15"/>
          <w:i/>
          <w:iCs/>
          <w:color w:val="231F20"/>
          <w:spacing w:val="8"/>
        </w:rPr>
        <w:t>Chunjiao</w:t>
      </w:r>
    </w:p>
    <w:p>
      <w:pPr>
        <w:ind w:left="723" w:right="17" w:firstLine="12"/>
        <w:spacing w:before="57" w:line="300"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color w:val="231F20"/>
          <w:spacing w:val="12"/>
        </w:rPr>
        <w:t>(Department</w:t>
      </w:r>
      <w:r>
        <w:rPr>
          <w:rFonts w:ascii="Times New Roman" w:hAnsi="Times New Roman" w:eastAsia="Times New Roman" w:cs="Times New Roman"/>
          <w:sz w:val="15"/>
          <w:szCs w:val="15"/>
          <w:i/>
          <w:iCs/>
          <w:color w:val="231F20"/>
          <w:spacing w:val="29"/>
          <w:w w:val="101"/>
        </w:rPr>
        <w:t xml:space="preserve"> </w:t>
      </w:r>
      <w:r>
        <w:rPr>
          <w:rFonts w:ascii="Times New Roman" w:hAnsi="Times New Roman" w:eastAsia="Times New Roman" w:cs="Times New Roman"/>
          <w:sz w:val="15"/>
          <w:szCs w:val="15"/>
          <w:i/>
          <w:iCs/>
          <w:color w:val="231F20"/>
          <w:spacing w:val="12"/>
        </w:rPr>
        <w:t>of</w:t>
      </w:r>
      <w:r>
        <w:rPr>
          <w:rFonts w:ascii="Times New Roman" w:hAnsi="Times New Roman" w:eastAsia="Times New Roman" w:cs="Times New Roman"/>
          <w:sz w:val="15"/>
          <w:szCs w:val="15"/>
          <w:i/>
          <w:iCs/>
          <w:color w:val="231F20"/>
          <w:spacing w:val="29"/>
          <w:w w:val="102"/>
        </w:rPr>
        <w:t xml:space="preserve"> </w:t>
      </w:r>
      <w:r>
        <w:rPr>
          <w:rFonts w:ascii="Times New Roman" w:hAnsi="Times New Roman" w:eastAsia="Times New Roman" w:cs="Times New Roman"/>
          <w:sz w:val="15"/>
          <w:szCs w:val="15"/>
          <w:i/>
          <w:iCs/>
          <w:color w:val="231F20"/>
          <w:spacing w:val="12"/>
        </w:rPr>
        <w:t>Gynaecology</w:t>
      </w:r>
      <w:r>
        <w:rPr>
          <w:rFonts w:ascii="Times New Roman" w:hAnsi="Times New Roman" w:eastAsia="Times New Roman" w:cs="Times New Roman"/>
          <w:sz w:val="15"/>
          <w:szCs w:val="15"/>
          <w:i/>
          <w:iCs/>
          <w:color w:val="231F20"/>
          <w:spacing w:val="2"/>
        </w:rPr>
        <w:t xml:space="preserve">  </w:t>
      </w:r>
      <w:r>
        <w:rPr>
          <w:rFonts w:ascii="Times New Roman" w:hAnsi="Times New Roman" w:eastAsia="Times New Roman" w:cs="Times New Roman"/>
          <w:sz w:val="15"/>
          <w:szCs w:val="15"/>
          <w:i/>
          <w:iCs/>
          <w:color w:val="231F20"/>
          <w:spacing w:val="12"/>
        </w:rPr>
        <w:t>and</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spacing w:val="12"/>
        </w:rPr>
        <w:t>Obstetrics,</w:t>
      </w:r>
      <w:r>
        <w:rPr>
          <w:rFonts w:ascii="Times New Roman" w:hAnsi="Times New Roman" w:eastAsia="Times New Roman" w:cs="Times New Roman"/>
          <w:sz w:val="15"/>
          <w:szCs w:val="15"/>
          <w:i/>
          <w:iCs/>
          <w:color w:val="231F20"/>
          <w:spacing w:val="6"/>
        </w:rPr>
        <w:t xml:space="preserve">  </w:t>
      </w:r>
      <w:r>
        <w:rPr>
          <w:rFonts w:ascii="Times New Roman" w:hAnsi="Times New Roman" w:eastAsia="Times New Roman" w:cs="Times New Roman"/>
          <w:sz w:val="15"/>
          <w:szCs w:val="15"/>
          <w:i/>
          <w:iCs/>
          <w:color w:val="231F20"/>
          <w:spacing w:val="12"/>
        </w:rPr>
        <w:t>Shuyang</w:t>
      </w:r>
      <w:r>
        <w:rPr>
          <w:rFonts w:ascii="Times New Roman" w:hAnsi="Times New Roman" w:eastAsia="Times New Roman" w:cs="Times New Roman"/>
          <w:sz w:val="15"/>
          <w:szCs w:val="15"/>
          <w:i/>
          <w:iCs/>
          <w:color w:val="231F20"/>
          <w:spacing w:val="3"/>
        </w:rPr>
        <w:t xml:space="preserve">  </w:t>
      </w:r>
      <w:r>
        <w:rPr>
          <w:rFonts w:ascii="Times New Roman" w:hAnsi="Times New Roman" w:eastAsia="Times New Roman" w:cs="Times New Roman"/>
          <w:sz w:val="15"/>
          <w:szCs w:val="15"/>
          <w:i/>
          <w:iCs/>
          <w:color w:val="231F20"/>
          <w:spacing w:val="12"/>
        </w:rPr>
        <w:t>Affiliated</w:t>
      </w:r>
      <w:r>
        <w:rPr>
          <w:rFonts w:ascii="Times New Roman" w:hAnsi="Times New Roman" w:eastAsia="Times New Roman" w:cs="Times New Roman"/>
          <w:sz w:val="15"/>
          <w:szCs w:val="15"/>
          <w:i/>
          <w:iCs/>
          <w:color w:val="231F20"/>
          <w:spacing w:val="1"/>
        </w:rPr>
        <w:t xml:space="preserve">  </w:t>
      </w:r>
      <w:r>
        <w:rPr>
          <w:rFonts w:ascii="Times New Roman" w:hAnsi="Times New Roman" w:eastAsia="Times New Roman" w:cs="Times New Roman"/>
          <w:sz w:val="15"/>
          <w:szCs w:val="15"/>
          <w:i/>
          <w:iCs/>
          <w:color w:val="231F20"/>
          <w:spacing w:val="12"/>
        </w:rPr>
        <w:t>Hospital</w:t>
      </w:r>
      <w:r>
        <w:rPr>
          <w:rFonts w:ascii="Times New Roman" w:hAnsi="Times New Roman" w:eastAsia="Times New Roman" w:cs="Times New Roman"/>
          <w:sz w:val="15"/>
          <w:szCs w:val="15"/>
          <w:i/>
          <w:iCs/>
          <w:color w:val="231F20"/>
          <w:spacing w:val="39"/>
        </w:rPr>
        <w:t xml:space="preserve"> </w:t>
      </w:r>
      <w:r>
        <w:rPr>
          <w:rFonts w:ascii="Times New Roman" w:hAnsi="Times New Roman" w:eastAsia="Times New Roman" w:cs="Times New Roman"/>
          <w:sz w:val="15"/>
          <w:szCs w:val="15"/>
          <w:i/>
          <w:iCs/>
          <w:color w:val="231F20"/>
          <w:spacing w:val="12"/>
        </w:rPr>
        <w:t>of</w:t>
      </w:r>
      <w:r>
        <w:rPr>
          <w:rFonts w:ascii="Times New Roman" w:hAnsi="Times New Roman" w:eastAsia="Times New Roman" w:cs="Times New Roman"/>
          <w:sz w:val="15"/>
          <w:szCs w:val="15"/>
          <w:i/>
          <w:iCs/>
          <w:color w:val="231F20"/>
          <w:spacing w:val="21"/>
          <w:w w:val="101"/>
        </w:rPr>
        <w:t xml:space="preserve"> </w:t>
      </w:r>
      <w:r>
        <w:rPr>
          <w:rFonts w:ascii="Times New Roman" w:hAnsi="Times New Roman" w:eastAsia="Times New Roman" w:cs="Times New Roman"/>
          <w:sz w:val="15"/>
          <w:szCs w:val="15"/>
          <w:i/>
          <w:iCs/>
          <w:color w:val="231F20"/>
          <w:spacing w:val="12"/>
        </w:rPr>
        <w:t>Nanjing</w:t>
      </w:r>
      <w:r>
        <w:rPr>
          <w:rFonts w:ascii="Times New Roman" w:hAnsi="Times New Roman" w:eastAsia="Times New Roman" w:cs="Times New Roman"/>
          <w:sz w:val="15"/>
          <w:szCs w:val="15"/>
          <w:i/>
          <w:iCs/>
          <w:color w:val="231F20"/>
          <w:spacing w:val="3"/>
        </w:rPr>
        <w:t xml:space="preserve">  </w:t>
      </w:r>
      <w:r>
        <w:rPr>
          <w:rFonts w:ascii="Times New Roman" w:hAnsi="Times New Roman" w:eastAsia="Times New Roman" w:cs="Times New Roman"/>
          <w:sz w:val="15"/>
          <w:szCs w:val="15"/>
          <w:i/>
          <w:iCs/>
          <w:color w:val="231F20"/>
          <w:spacing w:val="12"/>
        </w:rPr>
        <w:t>U</w:t>
      </w:r>
      <w:r>
        <w:rPr>
          <w:rFonts w:ascii="Times New Roman" w:hAnsi="Times New Roman" w:eastAsia="Times New Roman" w:cs="Times New Roman"/>
          <w:sz w:val="15"/>
          <w:szCs w:val="15"/>
          <w:i/>
          <w:iCs/>
          <w:color w:val="231F20"/>
          <w:spacing w:val="11"/>
        </w:rPr>
        <w:t>niversity</w:t>
      </w:r>
      <w:r>
        <w:rPr>
          <w:rFonts w:ascii="Times New Roman" w:hAnsi="Times New Roman" w:eastAsia="Times New Roman" w:cs="Times New Roman"/>
          <w:sz w:val="15"/>
          <w:szCs w:val="15"/>
          <w:i/>
          <w:iCs/>
          <w:color w:val="231F20"/>
          <w:spacing w:val="36"/>
          <w:w w:val="102"/>
        </w:rPr>
        <w:t xml:space="preserve"> </w:t>
      </w:r>
      <w:r>
        <w:rPr>
          <w:rFonts w:ascii="Times New Roman" w:hAnsi="Times New Roman" w:eastAsia="Times New Roman" w:cs="Times New Roman"/>
          <w:sz w:val="15"/>
          <w:szCs w:val="15"/>
          <w:i/>
          <w:iCs/>
          <w:color w:val="231F20"/>
          <w:spacing w:val="11"/>
        </w:rPr>
        <w:t>of</w:t>
      </w:r>
      <w:r>
        <w:rPr>
          <w:rFonts w:ascii="Times New Roman" w:hAnsi="Times New Roman" w:eastAsia="Times New Roman" w:cs="Times New Roman"/>
          <w:sz w:val="15"/>
          <w:szCs w:val="15"/>
          <w:i/>
          <w:iCs/>
          <w:color w:val="231F20"/>
          <w:spacing w:val="27"/>
        </w:rPr>
        <w:t xml:space="preserve"> </w:t>
      </w:r>
      <w:r>
        <w:rPr>
          <w:rFonts w:ascii="Times New Roman" w:hAnsi="Times New Roman" w:eastAsia="Times New Roman" w:cs="Times New Roman"/>
          <w:sz w:val="15"/>
          <w:szCs w:val="15"/>
          <w:i/>
          <w:iCs/>
          <w:color w:val="231F20"/>
          <w:spacing w:val="11"/>
        </w:rPr>
        <w:t>Traditional</w:t>
      </w:r>
      <w:r>
        <w:rPr>
          <w:rFonts w:ascii="Times New Roman" w:hAnsi="Times New Roman" w:eastAsia="Times New Roman" w:cs="Times New Roman"/>
          <w:sz w:val="15"/>
          <w:szCs w:val="15"/>
          <w:i/>
          <w:iCs/>
          <w:color w:val="231F20"/>
          <w:spacing w:val="4"/>
        </w:rPr>
        <w:t xml:space="preserve">  </w:t>
      </w:r>
      <w:r>
        <w:rPr>
          <w:rFonts w:ascii="Times New Roman" w:hAnsi="Times New Roman" w:eastAsia="Times New Roman" w:cs="Times New Roman"/>
          <w:sz w:val="15"/>
          <w:szCs w:val="15"/>
          <w:i/>
          <w:iCs/>
          <w:color w:val="231F20"/>
          <w:spacing w:val="11"/>
        </w:rPr>
        <w:t>Chinese</w:t>
      </w:r>
      <w:r>
        <w:rPr>
          <w:rFonts w:ascii="Times New Roman" w:hAnsi="Times New Roman" w:eastAsia="Times New Roman" w:cs="Times New Roman"/>
          <w:sz w:val="15"/>
          <w:szCs w:val="15"/>
          <w:i/>
          <w:iCs/>
          <w:color w:val="231F20"/>
          <w:spacing w:val="3"/>
        </w:rPr>
        <w:t xml:space="preserve">  </w:t>
      </w:r>
      <w:r>
        <w:rPr>
          <w:rFonts w:ascii="Times New Roman" w:hAnsi="Times New Roman" w:eastAsia="Times New Roman" w:cs="Times New Roman"/>
          <w:sz w:val="15"/>
          <w:szCs w:val="15"/>
          <w:i/>
          <w:iCs/>
          <w:color w:val="231F20"/>
          <w:spacing w:val="11"/>
        </w:rPr>
        <w:t>Medicine,</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rPr>
        <w:t>Shuyang</w:t>
      </w:r>
      <w:r>
        <w:rPr>
          <w:rFonts w:ascii="Times New Roman" w:hAnsi="Times New Roman" w:eastAsia="Times New Roman" w:cs="Times New Roman"/>
          <w:sz w:val="15"/>
          <w:szCs w:val="15"/>
          <w:i/>
          <w:iCs/>
          <w:color w:val="231F20"/>
          <w:spacing w:val="34"/>
          <w:w w:val="102"/>
        </w:rPr>
        <w:t xml:space="preserve"> </w:t>
      </w:r>
      <w:r>
        <w:rPr>
          <w:rFonts w:ascii="Times New Roman" w:hAnsi="Times New Roman" w:eastAsia="Times New Roman" w:cs="Times New Roman"/>
          <w:sz w:val="15"/>
          <w:szCs w:val="15"/>
          <w:i/>
          <w:iCs/>
          <w:color w:val="231F20"/>
          <w:spacing w:val="17"/>
        </w:rPr>
        <w:t>223600,</w:t>
      </w:r>
      <w:r>
        <w:rPr>
          <w:rFonts w:ascii="Times New Roman" w:hAnsi="Times New Roman" w:eastAsia="Times New Roman" w:cs="Times New Roman"/>
          <w:sz w:val="15"/>
          <w:szCs w:val="15"/>
          <w:i/>
          <w:iCs/>
          <w:color w:val="231F20"/>
          <w:spacing w:val="23"/>
          <w:w w:val="101"/>
        </w:rPr>
        <w:t xml:space="preserve"> </w:t>
      </w:r>
      <w:r>
        <w:rPr>
          <w:rFonts w:ascii="Times New Roman" w:hAnsi="Times New Roman" w:eastAsia="Times New Roman" w:cs="Times New Roman"/>
          <w:sz w:val="15"/>
          <w:szCs w:val="15"/>
          <w:i/>
          <w:iCs/>
          <w:color w:val="231F20"/>
        </w:rPr>
        <w:t>China</w:t>
      </w:r>
      <w:r>
        <w:rPr>
          <w:rFonts w:ascii="Times New Roman" w:hAnsi="Times New Roman" w:eastAsia="Times New Roman" w:cs="Times New Roman"/>
          <w:sz w:val="15"/>
          <w:szCs w:val="15"/>
          <w:i/>
          <w:iCs/>
          <w:color w:val="231F20"/>
          <w:spacing w:val="17"/>
        </w:rPr>
        <w:t>)</w:t>
      </w:r>
    </w:p>
    <w:p>
      <w:pPr>
        <w:pStyle w:val="BodyText"/>
        <w:ind w:left="714" w:firstLine="298"/>
        <w:spacing w:before="200" w:line="320" w:lineRule="auto"/>
        <w:jc w:val="both"/>
        <w:rPr/>
      </w:pPr>
      <w:r>
        <w:rPr>
          <w:b/>
          <w:bCs/>
          <w:color w:val="231F20"/>
          <w:spacing w:val="6"/>
        </w:rPr>
        <w:t>【Abstract】Objective</w:t>
      </w:r>
      <w:r>
        <w:rPr>
          <w:color w:val="231F20"/>
          <w:spacing w:val="5"/>
        </w:rPr>
        <w:t xml:space="preserve">  </w:t>
      </w:r>
      <w:r>
        <w:rPr>
          <w:b/>
          <w:bCs/>
          <w:color w:val="231F20"/>
          <w:spacing w:val="6"/>
        </w:rPr>
        <w:t>To</w:t>
      </w:r>
      <w:r>
        <w:rPr>
          <w:color w:val="231F20"/>
          <w:spacing w:val="-16"/>
        </w:rPr>
        <w:t xml:space="preserve"> </w:t>
      </w:r>
      <w:r>
        <w:rPr>
          <w:b/>
          <w:bCs/>
          <w:color w:val="231F20"/>
          <w:spacing w:val="6"/>
        </w:rPr>
        <w:t>analyze</w:t>
      </w:r>
      <w:r>
        <w:rPr>
          <w:color w:val="231F20"/>
          <w:spacing w:val="-22"/>
        </w:rPr>
        <w:t xml:space="preserve"> </w:t>
      </w:r>
      <w:r>
        <w:rPr>
          <w:b/>
          <w:bCs/>
          <w:color w:val="231F20"/>
          <w:spacing w:val="6"/>
        </w:rPr>
        <w:t>the</w:t>
      </w:r>
      <w:r>
        <w:rPr>
          <w:color w:val="231F20"/>
          <w:spacing w:val="-17"/>
        </w:rPr>
        <w:t xml:space="preserve"> </w:t>
      </w:r>
      <w:r>
        <w:rPr>
          <w:b/>
          <w:bCs/>
          <w:color w:val="231F20"/>
          <w:spacing w:val="6"/>
        </w:rPr>
        <w:t>e</w:t>
      </w:r>
      <w:r>
        <w:rPr>
          <w:rFonts w:ascii="Times New Roman" w:hAnsi="Times New Roman" w:eastAsia="Times New Roman" w:cs="Times New Roman"/>
          <w:b/>
          <w:bCs/>
          <w:color w:val="231F20"/>
          <w:spacing w:val="6"/>
        </w:rPr>
        <w:t>ﬀ</w:t>
      </w:r>
      <w:r>
        <w:rPr>
          <w:b/>
          <w:bCs/>
          <w:color w:val="231F20"/>
          <w:spacing w:val="6"/>
        </w:rPr>
        <w:t>ect</w:t>
      </w:r>
      <w:r>
        <w:rPr>
          <w:color w:val="231F20"/>
          <w:spacing w:val="-17"/>
        </w:rPr>
        <w:t xml:space="preserve"> </w:t>
      </w:r>
      <w:r>
        <w:rPr>
          <w:b/>
          <w:bCs/>
          <w:color w:val="231F20"/>
          <w:spacing w:val="6"/>
        </w:rPr>
        <w:t>of</w:t>
      </w:r>
      <w:r>
        <w:rPr>
          <w:color w:val="231F20"/>
          <w:spacing w:val="-28"/>
        </w:rPr>
        <w:t xml:space="preserve"> </w:t>
      </w:r>
      <w:r>
        <w:rPr>
          <w:b/>
          <w:bCs/>
          <w:color w:val="231F20"/>
          <w:spacing w:val="6"/>
        </w:rPr>
        <w:t>self-prepared</w:t>
      </w:r>
      <w:r>
        <w:rPr>
          <w:color w:val="231F20"/>
          <w:spacing w:val="-16"/>
        </w:rPr>
        <w:t xml:space="preserve"> </w:t>
      </w:r>
      <w:r>
        <w:rPr>
          <w:b/>
          <w:bCs/>
          <w:color w:val="231F20"/>
          <w:spacing w:val="6"/>
        </w:rPr>
        <w:t>Qinghua</w:t>
      </w:r>
      <w:r>
        <w:rPr>
          <w:color w:val="231F20"/>
          <w:spacing w:val="-19"/>
        </w:rPr>
        <w:t xml:space="preserve"> </w:t>
      </w:r>
      <w:r>
        <w:rPr>
          <w:b/>
          <w:bCs/>
          <w:color w:val="231F20"/>
          <w:spacing w:val="6"/>
        </w:rPr>
        <w:t>zhitong</w:t>
      </w:r>
      <w:r>
        <w:rPr>
          <w:color w:val="231F20"/>
          <w:spacing w:val="-17"/>
        </w:rPr>
        <w:t xml:space="preserve"> </w:t>
      </w:r>
      <w:r>
        <w:rPr>
          <w:b/>
          <w:bCs/>
          <w:color w:val="231F20"/>
          <w:spacing w:val="6"/>
        </w:rPr>
        <w:t>decoction</w:t>
      </w:r>
      <w:r>
        <w:rPr>
          <w:color w:val="231F20"/>
          <w:spacing w:val="-17"/>
        </w:rPr>
        <w:t xml:space="preserve"> </w:t>
      </w:r>
      <w:r>
        <w:rPr>
          <w:b/>
          <w:bCs/>
          <w:color w:val="231F20"/>
          <w:spacing w:val="6"/>
        </w:rPr>
        <w:t>combined</w:t>
      </w:r>
      <w:r>
        <w:rPr>
          <w:color w:val="231F20"/>
          <w:spacing w:val="-24"/>
        </w:rPr>
        <w:t xml:space="preserve"> </w:t>
      </w:r>
      <w:r>
        <w:rPr>
          <w:b/>
          <w:bCs/>
          <w:color w:val="231F20"/>
          <w:spacing w:val="6"/>
        </w:rPr>
        <w:t>with</w:t>
      </w:r>
      <w:r>
        <w:rPr>
          <w:color w:val="231F20"/>
          <w:spacing w:val="-16"/>
        </w:rPr>
        <w:t xml:space="preserve"> </w:t>
      </w:r>
      <w:r>
        <w:rPr>
          <w:b/>
          <w:bCs/>
          <w:color w:val="231F20"/>
          <w:spacing w:val="6"/>
        </w:rPr>
        <w:t>Chinese</w:t>
      </w:r>
      <w:r>
        <w:rPr>
          <w:color w:val="231F20"/>
          <w:spacing w:val="-19"/>
        </w:rPr>
        <w:t xml:space="preserve"> </w:t>
      </w:r>
      <w:r>
        <w:rPr>
          <w:b/>
          <w:bCs/>
          <w:color w:val="231F20"/>
          <w:spacing w:val="6"/>
        </w:rPr>
        <w:t>medicine</w:t>
      </w:r>
      <w:r>
        <w:rPr>
          <w:color w:val="231F20"/>
        </w:rPr>
        <w:t xml:space="preserve">   </w:t>
      </w:r>
      <w:r>
        <w:rPr>
          <w:b/>
          <w:bCs/>
          <w:color w:val="231F20"/>
          <w:spacing w:val="5"/>
        </w:rPr>
        <w:t>enema</w:t>
      </w:r>
      <w:r>
        <w:rPr>
          <w:color w:val="231F20"/>
          <w:spacing w:val="-25"/>
        </w:rPr>
        <w:t xml:space="preserve"> </w:t>
      </w:r>
      <w:r>
        <w:rPr>
          <w:b/>
          <w:bCs/>
          <w:color w:val="231F20"/>
          <w:spacing w:val="5"/>
        </w:rPr>
        <w:t>in</w:t>
      </w:r>
      <w:r>
        <w:rPr>
          <w:color w:val="231F20"/>
          <w:spacing w:val="-35"/>
        </w:rPr>
        <w:t xml:space="preserve"> </w:t>
      </w:r>
      <w:r>
        <w:rPr>
          <w:b/>
          <w:bCs/>
          <w:color w:val="231F20"/>
          <w:spacing w:val="5"/>
        </w:rPr>
        <w:t>the</w:t>
      </w:r>
      <w:r>
        <w:rPr>
          <w:color w:val="231F20"/>
          <w:spacing w:val="-30"/>
        </w:rPr>
        <w:t xml:space="preserve"> </w:t>
      </w:r>
      <w:r>
        <w:rPr>
          <w:b/>
          <w:bCs/>
          <w:color w:val="231F20"/>
          <w:spacing w:val="5"/>
        </w:rPr>
        <w:t>clinical</w:t>
      </w:r>
      <w:r>
        <w:rPr>
          <w:color w:val="231F20"/>
          <w:spacing w:val="-34"/>
        </w:rPr>
        <w:t xml:space="preserve"> </w:t>
      </w:r>
      <w:r>
        <w:rPr>
          <w:b/>
          <w:bCs/>
          <w:color w:val="231F20"/>
          <w:spacing w:val="5"/>
        </w:rPr>
        <w:t>treatment</w:t>
      </w:r>
      <w:r>
        <w:rPr>
          <w:color w:val="231F20"/>
          <w:spacing w:val="-30"/>
        </w:rPr>
        <w:t xml:space="preserve"> </w:t>
      </w:r>
      <w:r>
        <w:rPr>
          <w:b/>
          <w:bCs/>
          <w:color w:val="231F20"/>
          <w:spacing w:val="5"/>
        </w:rPr>
        <w:t>of</w:t>
      </w:r>
      <w:r>
        <w:rPr>
          <w:color w:val="231F20"/>
          <w:spacing w:val="-41"/>
        </w:rPr>
        <w:t xml:space="preserve"> </w:t>
      </w:r>
      <w:r>
        <w:rPr>
          <w:b/>
          <w:bCs/>
          <w:color w:val="231F20"/>
          <w:spacing w:val="5"/>
        </w:rPr>
        <w:t>acute</w:t>
      </w:r>
      <w:r>
        <w:rPr>
          <w:color w:val="231F20"/>
          <w:spacing w:val="-32"/>
        </w:rPr>
        <w:t xml:space="preserve"> </w:t>
      </w:r>
      <w:r>
        <w:rPr>
          <w:b/>
          <w:bCs/>
          <w:color w:val="231F20"/>
          <w:spacing w:val="5"/>
        </w:rPr>
        <w:t>pelvic</w:t>
      </w:r>
      <w:r>
        <w:rPr>
          <w:color w:val="231F20"/>
          <w:spacing w:val="-31"/>
        </w:rPr>
        <w:t xml:space="preserve"> </w:t>
      </w:r>
      <w:r>
        <w:rPr>
          <w:rFonts w:ascii="Times New Roman" w:hAnsi="Times New Roman" w:eastAsia="Times New Roman" w:cs="Times New Roman"/>
          <w:b/>
          <w:bCs/>
          <w:color w:val="231F20"/>
          <w:spacing w:val="5"/>
        </w:rPr>
        <w:t>inﬂ</w:t>
      </w:r>
      <w:r>
        <w:rPr>
          <w:b/>
          <w:bCs/>
          <w:color w:val="231F20"/>
          <w:spacing w:val="5"/>
        </w:rPr>
        <w:t>ammatory</w:t>
      </w:r>
      <w:r>
        <w:rPr>
          <w:color w:val="231F20"/>
          <w:spacing w:val="-30"/>
        </w:rPr>
        <w:t xml:space="preserve"> </w:t>
      </w:r>
      <w:r>
        <w:rPr>
          <w:b/>
          <w:bCs/>
          <w:color w:val="231F20"/>
          <w:spacing w:val="5"/>
        </w:rPr>
        <w:t>disease</w:t>
      </w:r>
      <w:r>
        <w:rPr>
          <w:color w:val="231F20"/>
          <w:spacing w:val="-37"/>
        </w:rPr>
        <w:t xml:space="preserve"> </w:t>
      </w:r>
      <w:r>
        <w:rPr>
          <w:b/>
          <w:bCs/>
          <w:color w:val="231F20"/>
          <w:spacing w:val="5"/>
        </w:rPr>
        <w:t>with</w:t>
      </w:r>
      <w:r>
        <w:rPr>
          <w:color w:val="231F20"/>
          <w:spacing w:val="-30"/>
        </w:rPr>
        <w:t xml:space="preserve"> </w:t>
      </w:r>
      <w:r>
        <w:rPr>
          <w:b/>
          <w:bCs/>
          <w:color w:val="231F20"/>
          <w:spacing w:val="5"/>
        </w:rPr>
        <w:t>dampness-heat</w:t>
      </w:r>
      <w:r>
        <w:rPr>
          <w:color w:val="231F20"/>
          <w:spacing w:val="-29"/>
        </w:rPr>
        <w:t xml:space="preserve"> </w:t>
      </w:r>
      <w:r>
        <w:rPr>
          <w:b/>
          <w:bCs/>
          <w:color w:val="231F20"/>
          <w:spacing w:val="5"/>
        </w:rPr>
        <w:t>stasis.</w:t>
      </w:r>
      <w:r>
        <w:rPr>
          <w:color w:val="231F20"/>
          <w:spacing w:val="-33"/>
        </w:rPr>
        <w:t xml:space="preserve"> </w:t>
      </w:r>
      <w:r>
        <w:rPr>
          <w:b/>
          <w:bCs/>
          <w:color w:val="231F20"/>
          <w:spacing w:val="5"/>
        </w:rPr>
        <w:t>Methods</w:t>
      </w:r>
      <w:r>
        <w:rPr>
          <w:color w:val="231F20"/>
          <w:spacing w:val="3"/>
        </w:rPr>
        <w:t xml:space="preserve">  </w:t>
      </w:r>
      <w:r>
        <w:rPr>
          <w:b/>
          <w:bCs/>
          <w:color w:val="231F20"/>
          <w:spacing w:val="5"/>
        </w:rPr>
        <w:t>60</w:t>
      </w:r>
      <w:r>
        <w:rPr>
          <w:color w:val="231F20"/>
          <w:spacing w:val="-31"/>
        </w:rPr>
        <w:t xml:space="preserve"> </w:t>
      </w:r>
      <w:r>
        <w:rPr>
          <w:b/>
          <w:bCs/>
          <w:color w:val="231F20"/>
          <w:spacing w:val="5"/>
        </w:rPr>
        <w:t>patients</w:t>
      </w:r>
      <w:r>
        <w:rPr>
          <w:color w:val="231F20"/>
          <w:spacing w:val="-36"/>
        </w:rPr>
        <w:t xml:space="preserve"> </w:t>
      </w:r>
      <w:r>
        <w:rPr>
          <w:b/>
          <w:bCs/>
          <w:color w:val="231F20"/>
          <w:spacing w:val="5"/>
        </w:rPr>
        <w:t>with</w:t>
      </w:r>
      <w:r>
        <w:rPr>
          <w:color w:val="231F20"/>
          <w:spacing w:val="-30"/>
        </w:rPr>
        <w:t xml:space="preserve"> </w:t>
      </w:r>
      <w:r>
        <w:rPr>
          <w:b/>
          <w:bCs/>
          <w:color w:val="231F20"/>
          <w:spacing w:val="5"/>
        </w:rPr>
        <w:t>acute</w:t>
      </w:r>
      <w:r>
        <w:rPr>
          <w:color w:val="231F20"/>
        </w:rPr>
        <w:t xml:space="preserve">   </w:t>
      </w:r>
      <w:r>
        <w:rPr>
          <w:b/>
          <w:bCs/>
          <w:color w:val="231F20"/>
          <w:spacing w:val="6"/>
        </w:rPr>
        <w:t>pelvic</w:t>
      </w:r>
      <w:r>
        <w:rPr>
          <w:color w:val="231F20"/>
          <w:spacing w:val="-29"/>
        </w:rPr>
        <w:t xml:space="preserve"> </w:t>
      </w:r>
      <w:r>
        <w:rPr>
          <w:rFonts w:ascii="Times New Roman" w:hAnsi="Times New Roman" w:eastAsia="Times New Roman" w:cs="Times New Roman"/>
          <w:b/>
          <w:bCs/>
          <w:color w:val="231F20"/>
          <w:spacing w:val="6"/>
        </w:rPr>
        <w:t>inﬂ</w:t>
      </w:r>
      <w:r>
        <w:rPr>
          <w:b/>
          <w:bCs/>
          <w:color w:val="231F20"/>
          <w:spacing w:val="6"/>
        </w:rPr>
        <w:t>ammatory</w:t>
      </w:r>
      <w:r>
        <w:rPr>
          <w:color w:val="231F20"/>
          <w:spacing w:val="-31"/>
        </w:rPr>
        <w:t xml:space="preserve"> </w:t>
      </w:r>
      <w:r>
        <w:rPr>
          <w:b/>
          <w:bCs/>
          <w:color w:val="231F20"/>
          <w:spacing w:val="6"/>
        </w:rPr>
        <w:t>disease</w:t>
      </w:r>
      <w:r>
        <w:rPr>
          <w:color w:val="231F20"/>
          <w:spacing w:val="-24"/>
        </w:rPr>
        <w:t xml:space="preserve"> </w:t>
      </w:r>
      <w:r>
        <w:rPr>
          <w:b/>
          <w:bCs/>
          <w:color w:val="231F20"/>
          <w:spacing w:val="6"/>
        </w:rPr>
        <w:t>(damp-heat</w:t>
      </w:r>
      <w:r>
        <w:rPr>
          <w:color w:val="231F20"/>
          <w:spacing w:val="-29"/>
        </w:rPr>
        <w:t xml:space="preserve"> </w:t>
      </w:r>
      <w:r>
        <w:rPr>
          <w:b/>
          <w:bCs/>
          <w:color w:val="231F20"/>
          <w:spacing w:val="6"/>
        </w:rPr>
        <w:t>stasis</w:t>
      </w:r>
      <w:r>
        <w:rPr>
          <w:color w:val="231F20"/>
          <w:spacing w:val="-36"/>
        </w:rPr>
        <w:t xml:space="preserve"> </w:t>
      </w:r>
      <w:r>
        <w:rPr>
          <w:b/>
          <w:bCs/>
          <w:color w:val="231F20"/>
          <w:spacing w:val="6"/>
        </w:rPr>
        <w:t>type)</w:t>
      </w:r>
      <w:r>
        <w:rPr>
          <w:color w:val="231F20"/>
          <w:spacing w:val="-37"/>
        </w:rPr>
        <w:t xml:space="preserve"> </w:t>
      </w:r>
      <w:r>
        <w:rPr>
          <w:b/>
          <w:bCs/>
          <w:color w:val="231F20"/>
          <w:spacing w:val="6"/>
        </w:rPr>
        <w:t>were</w:t>
      </w:r>
      <w:r>
        <w:rPr>
          <w:color w:val="231F20"/>
          <w:spacing w:val="-30"/>
        </w:rPr>
        <w:t xml:space="preserve"> </w:t>
      </w:r>
      <w:r>
        <w:rPr>
          <w:b/>
          <w:bCs/>
          <w:color w:val="231F20"/>
          <w:spacing w:val="6"/>
        </w:rPr>
        <w:t>selected</w:t>
      </w:r>
      <w:r>
        <w:rPr>
          <w:color w:val="231F20"/>
          <w:spacing w:val="-30"/>
        </w:rPr>
        <w:t xml:space="preserve"> </w:t>
      </w:r>
      <w:r>
        <w:rPr>
          <w:b/>
          <w:bCs/>
          <w:color w:val="231F20"/>
          <w:spacing w:val="6"/>
        </w:rPr>
        <w:t>and</w:t>
      </w:r>
      <w:r>
        <w:rPr>
          <w:color w:val="231F20"/>
          <w:spacing w:val="-30"/>
        </w:rPr>
        <w:t xml:space="preserve"> </w:t>
      </w:r>
      <w:r>
        <w:rPr>
          <w:b/>
          <w:bCs/>
          <w:color w:val="231F20"/>
          <w:spacing w:val="6"/>
        </w:rPr>
        <w:t>divided</w:t>
      </w:r>
      <w:r>
        <w:rPr>
          <w:color w:val="231F20"/>
          <w:spacing w:val="-32"/>
        </w:rPr>
        <w:t xml:space="preserve"> </w:t>
      </w:r>
      <w:r>
        <w:rPr>
          <w:b/>
          <w:bCs/>
          <w:color w:val="231F20"/>
          <w:spacing w:val="6"/>
        </w:rPr>
        <w:t>into</w:t>
      </w:r>
      <w:r>
        <w:rPr>
          <w:color w:val="231F20"/>
          <w:spacing w:val="-36"/>
        </w:rPr>
        <w:t xml:space="preserve"> </w:t>
      </w:r>
      <w:r>
        <w:rPr>
          <w:b/>
          <w:bCs/>
          <w:color w:val="231F20"/>
          <w:spacing w:val="6"/>
        </w:rPr>
        <w:t>two</w:t>
      </w:r>
      <w:r>
        <w:rPr>
          <w:color w:val="231F20"/>
          <w:spacing w:val="-32"/>
        </w:rPr>
        <w:t xml:space="preserve"> </w:t>
      </w:r>
      <w:r>
        <w:rPr>
          <w:b/>
          <w:bCs/>
          <w:color w:val="231F20"/>
          <w:spacing w:val="6"/>
        </w:rPr>
        <w:t>groups</w:t>
      </w:r>
      <w:r>
        <w:rPr>
          <w:color w:val="231F20"/>
          <w:spacing w:val="-30"/>
        </w:rPr>
        <w:t xml:space="preserve"> </w:t>
      </w:r>
      <w:r>
        <w:rPr>
          <w:b/>
          <w:bCs/>
          <w:color w:val="231F20"/>
          <w:spacing w:val="6"/>
        </w:rPr>
        <w:t>according</w:t>
      </w:r>
      <w:r>
        <w:rPr>
          <w:color w:val="231F20"/>
          <w:spacing w:val="-35"/>
        </w:rPr>
        <w:t xml:space="preserve"> </w:t>
      </w:r>
      <w:r>
        <w:rPr>
          <w:b/>
          <w:bCs/>
          <w:color w:val="231F20"/>
          <w:spacing w:val="6"/>
        </w:rPr>
        <w:t>to</w:t>
      </w:r>
      <w:r>
        <w:rPr>
          <w:color w:val="231F20"/>
          <w:spacing w:val="-32"/>
        </w:rPr>
        <w:t xml:space="preserve"> </w:t>
      </w:r>
      <w:r>
        <w:rPr>
          <w:b/>
          <w:bCs/>
          <w:color w:val="231F20"/>
          <w:spacing w:val="6"/>
        </w:rPr>
        <w:t>random</w:t>
      </w:r>
      <w:r>
        <w:rPr>
          <w:color w:val="231F20"/>
          <w:spacing w:val="-32"/>
        </w:rPr>
        <w:t xml:space="preserve"> </w:t>
      </w:r>
      <w:r>
        <w:rPr>
          <w:b/>
          <w:bCs/>
          <w:color w:val="231F20"/>
          <w:spacing w:val="6"/>
        </w:rPr>
        <w:t>number</w:t>
      </w:r>
      <w:r>
        <w:rPr>
          <w:color w:val="231F20"/>
          <w:spacing w:val="-36"/>
        </w:rPr>
        <w:t xml:space="preserve"> </w:t>
      </w:r>
      <w:r>
        <w:rPr>
          <w:b/>
          <w:bCs/>
          <w:color w:val="231F20"/>
          <w:spacing w:val="6"/>
        </w:rPr>
        <w:t>table</w:t>
      </w:r>
      <w:r>
        <w:rPr>
          <w:color w:val="231F20"/>
        </w:rPr>
        <w:t xml:space="preserve">   </w:t>
      </w:r>
      <w:r>
        <w:rPr>
          <w:b/>
          <w:bCs/>
          <w:color w:val="231F20"/>
          <w:spacing w:val="6"/>
        </w:rPr>
        <w:t>method,</w:t>
      </w:r>
      <w:r>
        <w:rPr>
          <w:color w:val="231F20"/>
          <w:spacing w:val="-11"/>
        </w:rPr>
        <w:t xml:space="preserve"> </w:t>
      </w:r>
      <w:r>
        <w:rPr>
          <w:b/>
          <w:bCs/>
          <w:color w:val="231F20"/>
          <w:spacing w:val="6"/>
        </w:rPr>
        <w:t>with</w:t>
      </w:r>
      <w:r>
        <w:rPr>
          <w:color w:val="231F20"/>
          <w:spacing w:val="-16"/>
        </w:rPr>
        <w:t xml:space="preserve"> </w:t>
      </w:r>
      <w:r>
        <w:rPr>
          <w:b/>
          <w:bCs/>
          <w:color w:val="231F20"/>
          <w:spacing w:val="6"/>
        </w:rPr>
        <w:t>30</w:t>
      </w:r>
      <w:r>
        <w:rPr>
          <w:color w:val="231F20"/>
          <w:spacing w:val="-17"/>
        </w:rPr>
        <w:t xml:space="preserve"> </w:t>
      </w:r>
      <w:r>
        <w:rPr>
          <w:b/>
          <w:bCs/>
          <w:color w:val="231F20"/>
          <w:spacing w:val="6"/>
        </w:rPr>
        <w:t>cases</w:t>
      </w:r>
      <w:r>
        <w:rPr>
          <w:color w:val="231F20"/>
          <w:spacing w:val="-19"/>
        </w:rPr>
        <w:t xml:space="preserve"> </w:t>
      </w:r>
      <w:r>
        <w:rPr>
          <w:b/>
          <w:bCs/>
          <w:color w:val="231F20"/>
          <w:spacing w:val="6"/>
        </w:rPr>
        <w:t>in</w:t>
      </w:r>
      <w:r>
        <w:rPr>
          <w:color w:val="231F20"/>
          <w:spacing w:val="-16"/>
        </w:rPr>
        <w:t xml:space="preserve"> </w:t>
      </w:r>
      <w:r>
        <w:rPr>
          <w:b/>
          <w:bCs/>
          <w:color w:val="231F20"/>
          <w:spacing w:val="6"/>
        </w:rPr>
        <w:t>each</w:t>
      </w:r>
      <w:r>
        <w:rPr>
          <w:color w:val="231F20"/>
          <w:spacing w:val="-19"/>
        </w:rPr>
        <w:t xml:space="preserve"> </w:t>
      </w:r>
      <w:r>
        <w:rPr>
          <w:b/>
          <w:bCs/>
          <w:color w:val="231F20"/>
          <w:spacing w:val="6"/>
        </w:rPr>
        <w:t>group.</w:t>
      </w:r>
      <w:r>
        <w:rPr>
          <w:color w:val="231F20"/>
          <w:spacing w:val="-20"/>
        </w:rPr>
        <w:t xml:space="preserve"> </w:t>
      </w:r>
      <w:r>
        <w:rPr>
          <w:b/>
          <w:bCs/>
          <w:color w:val="231F20"/>
          <w:spacing w:val="6"/>
        </w:rPr>
        <w:t>The</w:t>
      </w:r>
      <w:r>
        <w:rPr>
          <w:color w:val="231F20"/>
          <w:spacing w:val="-17"/>
        </w:rPr>
        <w:t xml:space="preserve"> </w:t>
      </w:r>
      <w:r>
        <w:rPr>
          <w:b/>
          <w:bCs/>
          <w:color w:val="231F20"/>
          <w:spacing w:val="6"/>
        </w:rPr>
        <w:t>control</w:t>
      </w:r>
      <w:r>
        <w:rPr>
          <w:color w:val="231F20"/>
          <w:spacing w:val="-18"/>
        </w:rPr>
        <w:t xml:space="preserve"> </w:t>
      </w:r>
      <w:r>
        <w:rPr>
          <w:b/>
          <w:bCs/>
          <w:color w:val="231F20"/>
          <w:spacing w:val="6"/>
        </w:rPr>
        <w:t>group</w:t>
      </w:r>
      <w:r>
        <w:rPr>
          <w:color w:val="231F20"/>
          <w:spacing w:val="-18"/>
        </w:rPr>
        <w:t xml:space="preserve"> </w:t>
      </w:r>
      <w:r>
        <w:rPr>
          <w:b/>
          <w:bCs/>
          <w:color w:val="231F20"/>
          <w:spacing w:val="6"/>
        </w:rPr>
        <w:t>received</w:t>
      </w:r>
      <w:r>
        <w:rPr>
          <w:color w:val="231F20"/>
          <w:spacing w:val="-17"/>
        </w:rPr>
        <w:t xml:space="preserve"> </w:t>
      </w:r>
      <w:r>
        <w:rPr>
          <w:b/>
          <w:bCs/>
          <w:color w:val="231F20"/>
          <w:spacing w:val="6"/>
        </w:rPr>
        <w:t>conventional</w:t>
      </w:r>
      <w:r>
        <w:rPr>
          <w:color w:val="231F20"/>
          <w:spacing w:val="-24"/>
        </w:rPr>
        <w:t xml:space="preserve"> </w:t>
      </w:r>
      <w:r>
        <w:rPr>
          <w:b/>
          <w:bCs/>
          <w:color w:val="231F20"/>
          <w:spacing w:val="6"/>
        </w:rPr>
        <w:t>western</w:t>
      </w:r>
      <w:r>
        <w:rPr>
          <w:color w:val="231F20"/>
          <w:spacing w:val="-18"/>
        </w:rPr>
        <w:t xml:space="preserve"> </w:t>
      </w:r>
      <w:r>
        <w:rPr>
          <w:b/>
          <w:bCs/>
          <w:color w:val="231F20"/>
          <w:spacing w:val="6"/>
        </w:rPr>
        <w:t>medicine</w:t>
      </w:r>
      <w:r>
        <w:rPr>
          <w:color w:val="231F20"/>
          <w:spacing w:val="-22"/>
        </w:rPr>
        <w:t xml:space="preserve"> </w:t>
      </w:r>
      <w:r>
        <w:rPr>
          <w:b/>
          <w:bCs/>
          <w:color w:val="231F20"/>
          <w:spacing w:val="6"/>
        </w:rPr>
        <w:t>treatment,</w:t>
      </w:r>
      <w:r>
        <w:rPr>
          <w:color w:val="231F20"/>
          <w:spacing w:val="-16"/>
        </w:rPr>
        <w:t xml:space="preserve"> </w:t>
      </w:r>
      <w:r>
        <w:rPr>
          <w:b/>
          <w:bCs/>
          <w:color w:val="231F20"/>
          <w:spacing w:val="6"/>
        </w:rPr>
        <w:t>and</w:t>
      </w:r>
      <w:r>
        <w:rPr>
          <w:color w:val="231F20"/>
          <w:spacing w:val="-22"/>
        </w:rPr>
        <w:t xml:space="preserve"> </w:t>
      </w:r>
      <w:r>
        <w:rPr>
          <w:b/>
          <w:bCs/>
          <w:color w:val="231F20"/>
          <w:spacing w:val="6"/>
        </w:rPr>
        <w:t>the</w:t>
      </w:r>
      <w:r>
        <w:rPr>
          <w:color w:val="231F20"/>
          <w:spacing w:val="-22"/>
        </w:rPr>
        <w:t xml:space="preserve"> </w:t>
      </w:r>
      <w:r>
        <w:rPr>
          <w:b/>
          <w:bCs/>
          <w:color w:val="231F20"/>
          <w:spacing w:val="6"/>
        </w:rPr>
        <w:t>treatment</w:t>
      </w:r>
      <w:r>
        <w:rPr>
          <w:color w:val="231F20"/>
        </w:rPr>
        <w:t xml:space="preserve">   </w:t>
      </w:r>
      <w:r>
        <w:rPr>
          <w:b/>
          <w:bCs/>
          <w:color w:val="231F20"/>
          <w:spacing w:val="7"/>
        </w:rPr>
        <w:t>group</w:t>
      </w:r>
      <w:r>
        <w:rPr>
          <w:color w:val="231F20"/>
          <w:spacing w:val="-19"/>
        </w:rPr>
        <w:t xml:space="preserve"> </w:t>
      </w:r>
      <w:r>
        <w:rPr>
          <w:b/>
          <w:bCs/>
          <w:color w:val="231F20"/>
          <w:spacing w:val="7"/>
        </w:rPr>
        <w:t>received</w:t>
      </w:r>
      <w:r>
        <w:rPr>
          <w:color w:val="231F20"/>
          <w:spacing w:val="-17"/>
        </w:rPr>
        <w:t xml:space="preserve"> </w:t>
      </w:r>
      <w:r>
        <w:rPr>
          <w:b/>
          <w:bCs/>
          <w:color w:val="231F20"/>
          <w:spacing w:val="7"/>
        </w:rPr>
        <w:t>self-prepared</w:t>
      </w:r>
      <w:r>
        <w:rPr>
          <w:color w:val="231F20"/>
          <w:spacing w:val="-17"/>
        </w:rPr>
        <w:t xml:space="preserve"> </w:t>
      </w:r>
      <w:r>
        <w:rPr>
          <w:b/>
          <w:bCs/>
          <w:color w:val="231F20"/>
          <w:spacing w:val="7"/>
        </w:rPr>
        <w:t>Qinghua</w:t>
      </w:r>
      <w:r>
        <w:rPr>
          <w:color w:val="231F20"/>
          <w:spacing w:val="-20"/>
        </w:rPr>
        <w:t xml:space="preserve"> </w:t>
      </w:r>
      <w:r>
        <w:rPr>
          <w:b/>
          <w:bCs/>
          <w:color w:val="231F20"/>
          <w:spacing w:val="7"/>
        </w:rPr>
        <w:t>zhitong</w:t>
      </w:r>
      <w:r>
        <w:rPr>
          <w:color w:val="231F20"/>
          <w:spacing w:val="-17"/>
        </w:rPr>
        <w:t xml:space="preserve"> </w:t>
      </w:r>
      <w:r>
        <w:rPr>
          <w:b/>
          <w:bCs/>
          <w:color w:val="231F20"/>
          <w:spacing w:val="7"/>
        </w:rPr>
        <w:t>decoction</w:t>
      </w:r>
      <w:r>
        <w:rPr>
          <w:color w:val="231F20"/>
          <w:spacing w:val="-18"/>
        </w:rPr>
        <w:t xml:space="preserve"> </w:t>
      </w:r>
      <w:r>
        <w:rPr>
          <w:b/>
          <w:bCs/>
          <w:color w:val="231F20"/>
          <w:spacing w:val="7"/>
        </w:rPr>
        <w:t>combined</w:t>
      </w:r>
      <w:r>
        <w:rPr>
          <w:color w:val="231F20"/>
          <w:spacing w:val="-25"/>
        </w:rPr>
        <w:t xml:space="preserve"> </w:t>
      </w:r>
      <w:r>
        <w:rPr>
          <w:b/>
          <w:bCs/>
          <w:color w:val="231F20"/>
          <w:spacing w:val="7"/>
        </w:rPr>
        <w:t>with</w:t>
      </w:r>
      <w:r>
        <w:rPr>
          <w:color w:val="231F20"/>
          <w:spacing w:val="-17"/>
        </w:rPr>
        <w:t xml:space="preserve"> </w:t>
      </w:r>
      <w:r>
        <w:rPr>
          <w:b/>
          <w:bCs/>
          <w:color w:val="231F20"/>
          <w:spacing w:val="7"/>
        </w:rPr>
        <w:t>Chinese</w:t>
      </w:r>
      <w:r>
        <w:rPr>
          <w:color w:val="231F20"/>
          <w:spacing w:val="-20"/>
        </w:rPr>
        <w:t xml:space="preserve"> </w:t>
      </w:r>
      <w:r>
        <w:rPr>
          <w:b/>
          <w:bCs/>
          <w:color w:val="231F20"/>
          <w:spacing w:val="7"/>
        </w:rPr>
        <w:t>medicine</w:t>
      </w:r>
      <w:r>
        <w:rPr>
          <w:color w:val="231F20"/>
          <w:spacing w:val="-18"/>
        </w:rPr>
        <w:t xml:space="preserve"> </w:t>
      </w:r>
      <w:r>
        <w:rPr>
          <w:b/>
          <w:bCs/>
          <w:color w:val="231F20"/>
          <w:spacing w:val="7"/>
        </w:rPr>
        <w:t>enema</w:t>
      </w:r>
      <w:r>
        <w:rPr>
          <w:color w:val="231F20"/>
          <w:spacing w:val="-23"/>
        </w:rPr>
        <w:t xml:space="preserve"> </w:t>
      </w:r>
      <w:r>
        <w:rPr>
          <w:b/>
          <w:bCs/>
          <w:color w:val="231F20"/>
          <w:spacing w:val="7"/>
        </w:rPr>
        <w:t>trea</w:t>
      </w:r>
      <w:r>
        <w:rPr>
          <w:b/>
          <w:bCs/>
          <w:color w:val="231F20"/>
          <w:spacing w:val="6"/>
        </w:rPr>
        <w:t>tment</w:t>
      </w:r>
      <w:r>
        <w:rPr>
          <w:color w:val="231F20"/>
          <w:spacing w:val="-17"/>
        </w:rPr>
        <w:t xml:space="preserve"> </w:t>
      </w:r>
      <w:r>
        <w:rPr>
          <w:b/>
          <w:bCs/>
          <w:color w:val="231F20"/>
          <w:spacing w:val="6"/>
        </w:rPr>
        <w:t>on</w:t>
      </w:r>
      <w:r>
        <w:rPr>
          <w:color w:val="231F20"/>
          <w:spacing w:val="-23"/>
        </w:rPr>
        <w:t xml:space="preserve"> </w:t>
      </w:r>
      <w:r>
        <w:rPr>
          <w:b/>
          <w:bCs/>
          <w:color w:val="231F20"/>
          <w:spacing w:val="6"/>
        </w:rPr>
        <w:t>the</w:t>
      </w:r>
      <w:r>
        <w:rPr>
          <w:color w:val="231F20"/>
          <w:spacing w:val="-20"/>
        </w:rPr>
        <w:t xml:space="preserve"> </w:t>
      </w:r>
      <w:r>
        <w:rPr>
          <w:b/>
          <w:bCs/>
          <w:color w:val="231F20"/>
          <w:spacing w:val="6"/>
        </w:rPr>
        <w:t>basis</w:t>
      </w:r>
      <w:r>
        <w:rPr>
          <w:color w:val="231F20"/>
          <w:spacing w:val="-18"/>
        </w:rPr>
        <w:t xml:space="preserve"> </w:t>
      </w:r>
      <w:r>
        <w:rPr>
          <w:b/>
          <w:bCs/>
          <w:color w:val="231F20"/>
          <w:spacing w:val="6"/>
        </w:rPr>
        <w:t>of</w:t>
      </w:r>
      <w:r>
        <w:rPr>
          <w:color w:val="231F20"/>
          <w:spacing w:val="-35"/>
        </w:rPr>
        <w:t xml:space="preserve"> </w:t>
      </w:r>
      <w:r>
        <w:rPr>
          <w:b/>
          <w:bCs/>
          <w:color w:val="231F20"/>
          <w:spacing w:val="6"/>
        </w:rPr>
        <w:t>the</w:t>
      </w:r>
      <w:r>
        <w:rPr>
          <w:color w:val="231F20"/>
        </w:rPr>
        <w:t xml:space="preserve">   </w:t>
      </w:r>
      <w:r>
        <w:rPr>
          <w:b/>
          <w:bCs/>
          <w:color w:val="231F20"/>
          <w:spacing w:val="8"/>
        </w:rPr>
        <w:t>control</w:t>
      </w:r>
      <w:r>
        <w:rPr>
          <w:color w:val="231F20"/>
          <w:spacing w:val="-26"/>
        </w:rPr>
        <w:t xml:space="preserve"> </w:t>
      </w:r>
      <w:r>
        <w:rPr>
          <w:b/>
          <w:bCs/>
          <w:color w:val="231F20"/>
          <w:spacing w:val="8"/>
        </w:rPr>
        <w:t>group.</w:t>
      </w:r>
      <w:r>
        <w:rPr>
          <w:color w:val="231F20"/>
          <w:spacing w:val="-28"/>
        </w:rPr>
        <w:t xml:space="preserve"> </w:t>
      </w:r>
      <w:r>
        <w:rPr>
          <w:b/>
          <w:bCs/>
          <w:color w:val="231F20"/>
          <w:spacing w:val="8"/>
        </w:rPr>
        <w:t>The</w:t>
      </w:r>
      <w:r>
        <w:rPr>
          <w:color w:val="231F20"/>
          <w:spacing w:val="-29"/>
        </w:rPr>
        <w:t xml:space="preserve"> </w:t>
      </w:r>
      <w:r>
        <w:rPr>
          <w:b/>
          <w:bCs/>
          <w:color w:val="231F20"/>
          <w:spacing w:val="8"/>
        </w:rPr>
        <w:t>therapeutic</w:t>
      </w:r>
      <w:r>
        <w:rPr>
          <w:color w:val="231F20"/>
          <w:spacing w:val="-25"/>
        </w:rPr>
        <w:t xml:space="preserve"> </w:t>
      </w:r>
      <w:r>
        <w:rPr>
          <w:b/>
          <w:bCs/>
          <w:color w:val="231F20"/>
          <w:spacing w:val="8"/>
        </w:rPr>
        <w:t>e</w:t>
      </w:r>
      <w:r>
        <w:rPr>
          <w:rFonts w:ascii="Times New Roman" w:hAnsi="Times New Roman" w:eastAsia="Times New Roman" w:cs="Times New Roman"/>
          <w:b/>
          <w:bCs/>
          <w:color w:val="231F20"/>
          <w:spacing w:val="8"/>
        </w:rPr>
        <w:t>ﬀ</w:t>
      </w:r>
      <w:r>
        <w:rPr>
          <w:b/>
          <w:bCs/>
          <w:color w:val="231F20"/>
          <w:spacing w:val="8"/>
        </w:rPr>
        <w:t>ect</w:t>
      </w:r>
      <w:r>
        <w:rPr>
          <w:color w:val="231F20"/>
          <w:spacing w:val="-24"/>
        </w:rPr>
        <w:t xml:space="preserve"> </w:t>
      </w:r>
      <w:r>
        <w:rPr>
          <w:b/>
          <w:bCs/>
          <w:color w:val="231F20"/>
          <w:spacing w:val="8"/>
        </w:rPr>
        <w:t>of</w:t>
      </w:r>
      <w:r>
        <w:rPr>
          <w:color w:val="231F20"/>
          <w:spacing w:val="-42"/>
        </w:rPr>
        <w:t xml:space="preserve"> </w:t>
      </w:r>
      <w:r>
        <w:rPr>
          <w:b/>
          <w:bCs/>
          <w:color w:val="231F20"/>
          <w:spacing w:val="8"/>
        </w:rPr>
        <w:t>the</w:t>
      </w:r>
      <w:r>
        <w:rPr>
          <w:color w:val="231F20"/>
          <w:spacing w:val="-29"/>
        </w:rPr>
        <w:t xml:space="preserve"> </w:t>
      </w:r>
      <w:r>
        <w:rPr>
          <w:b/>
          <w:bCs/>
          <w:color w:val="231F20"/>
          <w:spacing w:val="8"/>
        </w:rPr>
        <w:t>two</w:t>
      </w:r>
      <w:r>
        <w:rPr>
          <w:color w:val="231F20"/>
          <w:spacing w:val="-26"/>
        </w:rPr>
        <w:t xml:space="preserve"> </w:t>
      </w:r>
      <w:r>
        <w:rPr>
          <w:b/>
          <w:bCs/>
          <w:color w:val="231F20"/>
          <w:spacing w:val="8"/>
        </w:rPr>
        <w:t>groups</w:t>
      </w:r>
      <w:r>
        <w:rPr>
          <w:color w:val="231F20"/>
          <w:spacing w:val="-31"/>
        </w:rPr>
        <w:t xml:space="preserve"> </w:t>
      </w:r>
      <w:r>
        <w:rPr>
          <w:b/>
          <w:bCs/>
          <w:color w:val="231F20"/>
          <w:spacing w:val="8"/>
        </w:rPr>
        <w:t>was</w:t>
      </w:r>
      <w:r>
        <w:rPr>
          <w:color w:val="231F20"/>
          <w:spacing w:val="-25"/>
        </w:rPr>
        <w:t xml:space="preserve"> </w:t>
      </w:r>
      <w:r>
        <w:rPr>
          <w:b/>
          <w:bCs/>
          <w:color w:val="231F20"/>
          <w:spacing w:val="8"/>
        </w:rPr>
        <w:t>comp</w:t>
      </w:r>
      <w:r>
        <w:rPr>
          <w:b/>
          <w:bCs/>
          <w:color w:val="231F20"/>
          <w:spacing w:val="7"/>
        </w:rPr>
        <w:t>ared.</w:t>
      </w:r>
      <w:r>
        <w:rPr>
          <w:color w:val="231F20"/>
          <w:spacing w:val="-25"/>
        </w:rPr>
        <w:t xml:space="preserve"> </w:t>
      </w:r>
      <w:r>
        <w:rPr>
          <w:b/>
          <w:bCs/>
          <w:color w:val="231F20"/>
          <w:spacing w:val="7"/>
        </w:rPr>
        <w:t>Results</w:t>
      </w:r>
      <w:r>
        <w:rPr>
          <w:color w:val="231F20"/>
          <w:spacing w:val="4"/>
        </w:rPr>
        <w:t xml:space="preserve">  </w:t>
      </w:r>
      <w:r>
        <w:rPr>
          <w:b/>
          <w:bCs/>
          <w:color w:val="231F20"/>
          <w:spacing w:val="7"/>
        </w:rPr>
        <w:t>Compared</w:t>
      </w:r>
      <w:r>
        <w:rPr>
          <w:color w:val="231F20"/>
          <w:spacing w:val="-32"/>
        </w:rPr>
        <w:t xml:space="preserve"> </w:t>
      </w:r>
      <w:r>
        <w:rPr>
          <w:b/>
          <w:bCs/>
          <w:color w:val="231F20"/>
          <w:spacing w:val="7"/>
        </w:rPr>
        <w:t>with</w:t>
      </w:r>
      <w:r>
        <w:rPr>
          <w:color w:val="231F20"/>
          <w:spacing w:val="-29"/>
        </w:rPr>
        <w:t xml:space="preserve"> </w:t>
      </w:r>
      <w:r>
        <w:rPr>
          <w:b/>
          <w:bCs/>
          <w:color w:val="231F20"/>
          <w:spacing w:val="7"/>
        </w:rPr>
        <w:t>the</w:t>
      </w:r>
      <w:r>
        <w:rPr>
          <w:color w:val="231F20"/>
          <w:spacing w:val="-25"/>
        </w:rPr>
        <w:t xml:space="preserve"> </w:t>
      </w:r>
      <w:r>
        <w:rPr>
          <w:b/>
          <w:bCs/>
          <w:color w:val="231F20"/>
          <w:spacing w:val="7"/>
        </w:rPr>
        <w:t>control</w:t>
      </w:r>
      <w:r>
        <w:rPr>
          <w:color w:val="231F20"/>
          <w:spacing w:val="-25"/>
        </w:rPr>
        <w:t xml:space="preserve"> </w:t>
      </w:r>
      <w:r>
        <w:rPr>
          <w:b/>
          <w:bCs/>
          <w:color w:val="231F20"/>
          <w:spacing w:val="7"/>
        </w:rPr>
        <w:t>group,</w:t>
      </w:r>
      <w:r>
        <w:rPr>
          <w:color w:val="231F20"/>
          <w:spacing w:val="-30"/>
        </w:rPr>
        <w:t xml:space="preserve"> </w:t>
      </w:r>
      <w:r>
        <w:rPr>
          <w:b/>
          <w:bCs/>
          <w:color w:val="231F20"/>
          <w:spacing w:val="7"/>
        </w:rPr>
        <w:t>the</w:t>
      </w:r>
      <w:r>
        <w:rPr>
          <w:color w:val="231F20"/>
          <w:spacing w:val="-23"/>
        </w:rPr>
        <w:t xml:space="preserve"> </w:t>
      </w:r>
      <w:r>
        <w:rPr>
          <w:b/>
          <w:bCs/>
          <w:color w:val="231F20"/>
          <w:spacing w:val="7"/>
        </w:rPr>
        <w:t>symptom</w:t>
      </w:r>
      <w:r>
        <w:rPr>
          <w:color w:val="231F20"/>
        </w:rPr>
        <w:t xml:space="preserve">   </w:t>
      </w:r>
      <w:r>
        <w:rPr>
          <w:b/>
          <w:bCs/>
          <w:color w:val="231F20"/>
          <w:spacing w:val="6"/>
        </w:rPr>
        <w:t>remission</w:t>
      </w:r>
      <w:r>
        <w:rPr>
          <w:color w:val="231F20"/>
          <w:spacing w:val="-19"/>
        </w:rPr>
        <w:t xml:space="preserve"> </w:t>
      </w:r>
      <w:r>
        <w:rPr>
          <w:b/>
          <w:bCs/>
          <w:color w:val="231F20"/>
          <w:spacing w:val="6"/>
        </w:rPr>
        <w:t>time</w:t>
      </w:r>
      <w:r>
        <w:rPr>
          <w:color w:val="231F20"/>
          <w:spacing w:val="-18"/>
        </w:rPr>
        <w:t xml:space="preserve"> </w:t>
      </w:r>
      <w:r>
        <w:rPr>
          <w:b/>
          <w:bCs/>
          <w:color w:val="231F20"/>
          <w:spacing w:val="6"/>
        </w:rPr>
        <w:t>in</w:t>
      </w:r>
      <w:r>
        <w:rPr>
          <w:color w:val="231F20"/>
          <w:spacing w:val="-22"/>
        </w:rPr>
        <w:t xml:space="preserve"> </w:t>
      </w:r>
      <w:r>
        <w:rPr>
          <w:b/>
          <w:bCs/>
          <w:color w:val="231F20"/>
          <w:spacing w:val="6"/>
        </w:rPr>
        <w:t>the</w:t>
      </w:r>
      <w:r>
        <w:rPr>
          <w:color w:val="231F20"/>
          <w:spacing w:val="-21"/>
        </w:rPr>
        <w:t xml:space="preserve"> </w:t>
      </w:r>
      <w:r>
        <w:rPr>
          <w:b/>
          <w:bCs/>
          <w:color w:val="231F20"/>
          <w:spacing w:val="6"/>
        </w:rPr>
        <w:t>treatment</w:t>
      </w:r>
      <w:r>
        <w:rPr>
          <w:color w:val="231F20"/>
          <w:spacing w:val="-18"/>
        </w:rPr>
        <w:t xml:space="preserve"> </w:t>
      </w:r>
      <w:r>
        <w:rPr>
          <w:b/>
          <w:bCs/>
          <w:color w:val="231F20"/>
          <w:spacing w:val="6"/>
        </w:rPr>
        <w:t>group</w:t>
      </w:r>
      <w:r>
        <w:rPr>
          <w:color w:val="231F20"/>
          <w:spacing w:val="-23"/>
        </w:rPr>
        <w:t xml:space="preserve"> </w:t>
      </w:r>
      <w:r>
        <w:rPr>
          <w:b/>
          <w:bCs/>
          <w:color w:val="231F20"/>
          <w:spacing w:val="6"/>
        </w:rPr>
        <w:t>was</w:t>
      </w:r>
      <w:r>
        <w:rPr>
          <w:color w:val="231F20"/>
          <w:spacing w:val="-16"/>
        </w:rPr>
        <w:t xml:space="preserve"> </w:t>
      </w:r>
      <w:r>
        <w:rPr>
          <w:b/>
          <w:bCs/>
          <w:color w:val="231F20"/>
          <w:spacing w:val="6"/>
        </w:rPr>
        <w:t>sign</w:t>
      </w:r>
      <w:r>
        <w:rPr>
          <w:rFonts w:ascii="Times New Roman" w:hAnsi="Times New Roman" w:eastAsia="Times New Roman" w:cs="Times New Roman"/>
          <w:b/>
          <w:bCs/>
          <w:color w:val="231F20"/>
          <w:spacing w:val="6"/>
        </w:rPr>
        <w:t>iﬁca</w:t>
      </w:r>
      <w:r>
        <w:rPr>
          <w:b/>
          <w:bCs/>
          <w:color w:val="231F20"/>
          <w:spacing w:val="6"/>
        </w:rPr>
        <w:t>ntly</w:t>
      </w:r>
      <w:r>
        <w:rPr>
          <w:color w:val="231F20"/>
          <w:spacing w:val="-15"/>
        </w:rPr>
        <w:t xml:space="preserve"> </w:t>
      </w:r>
      <w:r>
        <w:rPr>
          <w:b/>
          <w:bCs/>
          <w:color w:val="231F20"/>
          <w:spacing w:val="6"/>
        </w:rPr>
        <w:t>shortened</w:t>
      </w:r>
      <w:r>
        <w:rPr>
          <w:color w:val="231F20"/>
          <w:spacing w:val="-16"/>
        </w:rPr>
        <w:t xml:space="preserve"> </w:t>
      </w:r>
      <w:r>
        <w:rPr>
          <w:b/>
          <w:bCs/>
          <w:color w:val="231F20"/>
          <w:spacing w:val="6"/>
        </w:rPr>
        <w:t>after</w:t>
      </w:r>
      <w:r>
        <w:rPr>
          <w:color w:val="231F20"/>
          <w:spacing w:val="-21"/>
        </w:rPr>
        <w:t xml:space="preserve"> </w:t>
      </w:r>
      <w:r>
        <w:rPr>
          <w:b/>
          <w:bCs/>
          <w:color w:val="231F20"/>
          <w:spacing w:val="6"/>
        </w:rPr>
        <w:t>treatment</w:t>
      </w:r>
      <w:r>
        <w:rPr>
          <w:color w:val="231F20"/>
          <w:spacing w:val="-10"/>
        </w:rPr>
        <w:t xml:space="preserve"> </w:t>
      </w:r>
      <w:r>
        <w:rPr>
          <w:b/>
          <w:bCs/>
          <w:color w:val="231F20"/>
          <w:spacing w:val="6"/>
        </w:rPr>
        <w:t>(</w:t>
      </w:r>
      <w:r>
        <w:rPr>
          <w:rFonts w:ascii="Times New Roman" w:hAnsi="Times New Roman" w:eastAsia="Times New Roman" w:cs="Times New Roman"/>
          <w:i/>
          <w:iCs/>
          <w:color w:val="231F20"/>
          <w:spacing w:val="6"/>
        </w:rPr>
        <w:t>P</w:t>
      </w:r>
      <w:r>
        <w:rPr>
          <w:rFonts w:ascii="Times New Roman" w:hAnsi="Times New Roman" w:eastAsia="Times New Roman" w:cs="Times New Roman"/>
          <w:i/>
          <w:iCs/>
          <w:color w:val="231F20"/>
          <w:spacing w:val="-18"/>
        </w:rPr>
        <w:t xml:space="preserve"> </w:t>
      </w:r>
      <w:r>
        <w:rPr>
          <w:b/>
          <w:bCs/>
          <w:color w:val="231F20"/>
          <w:spacing w:val="6"/>
        </w:rPr>
        <w:t>＜0.05),</w:t>
      </w:r>
      <w:r>
        <w:rPr>
          <w:color w:val="231F20"/>
          <w:spacing w:val="-16"/>
        </w:rPr>
        <w:t xml:space="preserve"> </w:t>
      </w:r>
      <w:r>
        <w:rPr>
          <w:b/>
          <w:bCs/>
          <w:color w:val="231F20"/>
          <w:spacing w:val="6"/>
        </w:rPr>
        <w:t>and</w:t>
      </w:r>
      <w:r>
        <w:rPr>
          <w:color w:val="231F20"/>
          <w:spacing w:val="-21"/>
        </w:rPr>
        <w:t xml:space="preserve"> </w:t>
      </w:r>
      <w:r>
        <w:rPr>
          <w:b/>
          <w:bCs/>
          <w:color w:val="231F20"/>
          <w:spacing w:val="6"/>
        </w:rPr>
        <w:t>the</w:t>
      </w:r>
      <w:r>
        <w:rPr>
          <w:color w:val="231F20"/>
          <w:spacing w:val="-18"/>
        </w:rPr>
        <w:t xml:space="preserve"> </w:t>
      </w:r>
      <w:r>
        <w:rPr>
          <w:b/>
          <w:bCs/>
          <w:color w:val="231F20"/>
          <w:spacing w:val="6"/>
        </w:rPr>
        <w:t>main</w:t>
      </w:r>
      <w:r>
        <w:rPr>
          <w:color w:val="231F20"/>
          <w:spacing w:val="-15"/>
        </w:rPr>
        <w:t xml:space="preserve"> </w:t>
      </w:r>
      <w:r>
        <w:rPr>
          <w:b/>
          <w:bCs/>
          <w:color w:val="231F20"/>
          <w:spacing w:val="6"/>
        </w:rPr>
        <w:t>symptom</w:t>
      </w:r>
      <w:r>
        <w:rPr>
          <w:color w:val="231F20"/>
          <w:spacing w:val="-16"/>
        </w:rPr>
        <w:t xml:space="preserve"> </w:t>
      </w:r>
      <w:r>
        <w:rPr>
          <w:b/>
          <w:bCs/>
          <w:color w:val="231F20"/>
          <w:spacing w:val="6"/>
        </w:rPr>
        <w:t>score</w:t>
      </w:r>
      <w:r>
        <w:rPr>
          <w:color w:val="231F20"/>
          <w:spacing w:val="-16"/>
        </w:rPr>
        <w:t xml:space="preserve"> </w:t>
      </w:r>
      <w:r>
        <w:rPr>
          <w:b/>
          <w:bCs/>
          <w:color w:val="231F20"/>
          <w:spacing w:val="6"/>
        </w:rPr>
        <w:t>and</w:t>
      </w:r>
      <w:r>
        <w:rPr>
          <w:color w:val="231F20"/>
        </w:rPr>
        <w:t xml:space="preserve">   </w:t>
      </w:r>
      <w:r>
        <w:rPr>
          <w:b/>
          <w:bCs/>
          <w:color w:val="231F20"/>
          <w:spacing w:val="6"/>
        </w:rPr>
        <w:t>secondary</w:t>
      </w:r>
      <w:r>
        <w:rPr>
          <w:color w:val="231F20"/>
          <w:spacing w:val="-23"/>
        </w:rPr>
        <w:t xml:space="preserve"> </w:t>
      </w:r>
      <w:r>
        <w:rPr>
          <w:b/>
          <w:bCs/>
          <w:color w:val="231F20"/>
          <w:spacing w:val="6"/>
        </w:rPr>
        <w:t>symptom</w:t>
      </w:r>
      <w:r>
        <w:rPr>
          <w:color w:val="231F20"/>
          <w:spacing w:val="-22"/>
        </w:rPr>
        <w:t xml:space="preserve"> </w:t>
      </w:r>
      <w:r>
        <w:rPr>
          <w:b/>
          <w:bCs/>
          <w:color w:val="231F20"/>
          <w:spacing w:val="6"/>
        </w:rPr>
        <w:t>score</w:t>
      </w:r>
      <w:r>
        <w:rPr>
          <w:color w:val="231F20"/>
          <w:spacing w:val="-30"/>
        </w:rPr>
        <w:t xml:space="preserve"> </w:t>
      </w:r>
      <w:r>
        <w:rPr>
          <w:b/>
          <w:bCs/>
          <w:color w:val="231F20"/>
          <w:spacing w:val="6"/>
        </w:rPr>
        <w:t>were</w:t>
      </w:r>
      <w:r>
        <w:rPr>
          <w:color w:val="231F20"/>
          <w:spacing w:val="-23"/>
        </w:rPr>
        <w:t xml:space="preserve"> </w:t>
      </w:r>
      <w:r>
        <w:rPr>
          <w:b/>
          <w:bCs/>
          <w:color w:val="231F20"/>
          <w:spacing w:val="6"/>
        </w:rPr>
        <w:t>sign</w:t>
      </w:r>
      <w:r>
        <w:rPr>
          <w:rFonts w:ascii="Times New Roman" w:hAnsi="Times New Roman" w:eastAsia="Times New Roman" w:cs="Times New Roman"/>
          <w:b/>
          <w:bCs/>
          <w:color w:val="231F20"/>
          <w:spacing w:val="6"/>
        </w:rPr>
        <w:t>iﬁca</w:t>
      </w:r>
      <w:r>
        <w:rPr>
          <w:b/>
          <w:bCs/>
          <w:color w:val="231F20"/>
          <w:spacing w:val="6"/>
        </w:rPr>
        <w:t>ntly</w:t>
      </w:r>
      <w:r>
        <w:rPr>
          <w:color w:val="231F20"/>
          <w:spacing w:val="-23"/>
        </w:rPr>
        <w:t xml:space="preserve"> </w:t>
      </w:r>
      <w:r>
        <w:rPr>
          <w:b/>
          <w:bCs/>
          <w:color w:val="231F20"/>
          <w:spacing w:val="6"/>
        </w:rPr>
        <w:t>decreased</w:t>
      </w:r>
      <w:r>
        <w:rPr>
          <w:color w:val="231F20"/>
          <w:spacing w:val="-17"/>
        </w:rPr>
        <w:t xml:space="preserve"> </w:t>
      </w:r>
      <w:r>
        <w:rPr>
          <w:b/>
          <w:bCs/>
          <w:color w:val="231F20"/>
          <w:spacing w:val="6"/>
        </w:rPr>
        <w:t>(</w:t>
      </w:r>
      <w:r>
        <w:rPr>
          <w:rFonts w:ascii="Times New Roman" w:hAnsi="Times New Roman" w:eastAsia="Times New Roman" w:cs="Times New Roman"/>
          <w:i/>
          <w:iCs/>
          <w:color w:val="231F20"/>
          <w:spacing w:val="6"/>
        </w:rPr>
        <w:t>P</w:t>
      </w:r>
      <w:r>
        <w:rPr>
          <w:rFonts w:ascii="Times New Roman" w:hAnsi="Times New Roman" w:eastAsia="Times New Roman" w:cs="Times New Roman"/>
          <w:i/>
          <w:iCs/>
          <w:color w:val="231F20"/>
          <w:spacing w:val="-18"/>
        </w:rPr>
        <w:t xml:space="preserve"> </w:t>
      </w:r>
      <w:r>
        <w:rPr>
          <w:b/>
          <w:bCs/>
          <w:color w:val="231F20"/>
          <w:spacing w:val="6"/>
        </w:rPr>
        <w:t>＜0.05).</w:t>
      </w:r>
      <w:r>
        <w:rPr>
          <w:color w:val="231F20"/>
          <w:spacing w:val="-27"/>
        </w:rPr>
        <w:t xml:space="preserve"> </w:t>
      </w:r>
      <w:r>
        <w:rPr>
          <w:b/>
          <w:bCs/>
          <w:color w:val="231F20"/>
          <w:spacing w:val="6"/>
        </w:rPr>
        <w:t>There</w:t>
      </w:r>
      <w:r>
        <w:rPr>
          <w:color w:val="231F20"/>
          <w:spacing w:val="-31"/>
        </w:rPr>
        <w:t xml:space="preserve"> </w:t>
      </w:r>
      <w:r>
        <w:rPr>
          <w:b/>
          <w:bCs/>
          <w:color w:val="231F20"/>
          <w:spacing w:val="6"/>
        </w:rPr>
        <w:t>was</w:t>
      </w:r>
      <w:r>
        <w:rPr>
          <w:color w:val="231F20"/>
          <w:spacing w:val="-25"/>
        </w:rPr>
        <w:t xml:space="preserve"> </w:t>
      </w:r>
      <w:r>
        <w:rPr>
          <w:b/>
          <w:bCs/>
          <w:color w:val="231F20"/>
          <w:spacing w:val="6"/>
        </w:rPr>
        <w:t>no</w:t>
      </w:r>
      <w:r>
        <w:rPr>
          <w:color w:val="231F20"/>
          <w:spacing w:val="-22"/>
        </w:rPr>
        <w:t xml:space="preserve"> </w:t>
      </w:r>
      <w:r>
        <w:rPr>
          <w:b/>
          <w:bCs/>
          <w:color w:val="231F20"/>
          <w:spacing w:val="6"/>
        </w:rPr>
        <w:t>si</w:t>
      </w:r>
      <w:r>
        <w:rPr>
          <w:rFonts w:ascii="Times New Roman" w:hAnsi="Times New Roman" w:eastAsia="Times New Roman" w:cs="Times New Roman"/>
          <w:b/>
          <w:bCs/>
          <w:color w:val="231F20"/>
          <w:spacing w:val="6"/>
        </w:rPr>
        <w:t>gniﬁca</w:t>
      </w:r>
      <w:r>
        <w:rPr>
          <w:b/>
          <w:bCs/>
          <w:color w:val="231F20"/>
          <w:spacing w:val="6"/>
        </w:rPr>
        <w:t>nt</w:t>
      </w:r>
      <w:r>
        <w:rPr>
          <w:color w:val="231F20"/>
          <w:spacing w:val="-23"/>
        </w:rPr>
        <w:t xml:space="preserve"> </w:t>
      </w:r>
      <w:r>
        <w:rPr>
          <w:rFonts w:ascii="Times New Roman" w:hAnsi="Times New Roman" w:eastAsia="Times New Roman" w:cs="Times New Roman"/>
          <w:b/>
          <w:bCs/>
          <w:color w:val="231F20"/>
          <w:spacing w:val="6"/>
        </w:rPr>
        <w:t>diﬀ</w:t>
      </w:r>
      <w:r>
        <w:rPr>
          <w:b/>
          <w:bCs/>
          <w:color w:val="231F20"/>
          <w:spacing w:val="6"/>
        </w:rPr>
        <w:t>erence</w:t>
      </w:r>
      <w:r>
        <w:rPr>
          <w:color w:val="231F20"/>
          <w:spacing w:val="-26"/>
        </w:rPr>
        <w:t xml:space="preserve"> </w:t>
      </w:r>
      <w:r>
        <w:rPr>
          <w:b/>
          <w:bCs/>
          <w:color w:val="231F20"/>
          <w:spacing w:val="6"/>
        </w:rPr>
        <w:t>in</w:t>
      </w:r>
      <w:r>
        <w:rPr>
          <w:color w:val="231F20"/>
          <w:spacing w:val="-28"/>
        </w:rPr>
        <w:t xml:space="preserve"> </w:t>
      </w:r>
      <w:r>
        <w:rPr>
          <w:b/>
          <w:bCs/>
          <w:color w:val="231F20"/>
          <w:spacing w:val="6"/>
        </w:rPr>
        <w:t>th</w:t>
      </w:r>
      <w:r>
        <w:rPr>
          <w:b/>
          <w:bCs/>
          <w:color w:val="231F20"/>
          <w:spacing w:val="5"/>
        </w:rPr>
        <w:t>e</w:t>
      </w:r>
      <w:r>
        <w:rPr>
          <w:color w:val="231F20"/>
          <w:spacing w:val="-26"/>
        </w:rPr>
        <w:t xml:space="preserve"> </w:t>
      </w:r>
      <w:r>
        <w:rPr>
          <w:b/>
          <w:bCs/>
          <w:color w:val="231F20"/>
          <w:spacing w:val="5"/>
        </w:rPr>
        <w:t>incidence</w:t>
      </w:r>
      <w:r>
        <w:rPr>
          <w:color w:val="231F20"/>
          <w:spacing w:val="-23"/>
        </w:rPr>
        <w:t xml:space="preserve"> </w:t>
      </w:r>
      <w:r>
        <w:rPr>
          <w:b/>
          <w:bCs/>
          <w:color w:val="231F20"/>
          <w:spacing w:val="5"/>
        </w:rPr>
        <w:t>of</w:t>
      </w:r>
      <w:r>
        <w:rPr>
          <w:color w:val="231F20"/>
          <w:spacing w:val="-35"/>
        </w:rPr>
        <w:t xml:space="preserve"> </w:t>
      </w:r>
      <w:r>
        <w:rPr>
          <w:b/>
          <w:bCs/>
          <w:color w:val="231F20"/>
          <w:spacing w:val="5"/>
        </w:rPr>
        <w:t>adverse</w:t>
      </w:r>
      <w:r>
        <w:rPr>
          <w:color w:val="231F20"/>
        </w:rPr>
        <w:t xml:space="preserve">  </w:t>
      </w:r>
      <w:r>
        <w:rPr>
          <w:b/>
          <w:bCs/>
          <w:color w:val="231F20"/>
          <w:spacing w:val="9"/>
        </w:rPr>
        <w:t>reactions</w:t>
      </w:r>
      <w:r>
        <w:rPr>
          <w:color w:val="231F20"/>
          <w:spacing w:val="-1"/>
        </w:rPr>
        <w:t xml:space="preserve"> </w:t>
      </w:r>
      <w:r>
        <w:rPr>
          <w:b/>
          <w:bCs/>
          <w:color w:val="231F20"/>
          <w:spacing w:val="9"/>
        </w:rPr>
        <w:t>between</w:t>
      </w:r>
      <w:r>
        <w:rPr>
          <w:color w:val="231F20"/>
          <w:spacing w:val="-13"/>
        </w:rPr>
        <w:t xml:space="preserve"> </w:t>
      </w:r>
      <w:r>
        <w:rPr>
          <w:b/>
          <w:bCs/>
          <w:color w:val="231F20"/>
          <w:spacing w:val="9"/>
        </w:rPr>
        <w:t>the</w:t>
      </w:r>
      <w:r>
        <w:rPr>
          <w:color w:val="231F20"/>
          <w:spacing w:val="-14"/>
        </w:rPr>
        <w:t xml:space="preserve"> </w:t>
      </w:r>
      <w:r>
        <w:rPr>
          <w:b/>
          <w:bCs/>
          <w:color w:val="231F20"/>
          <w:spacing w:val="9"/>
        </w:rPr>
        <w:t>two</w:t>
      </w:r>
      <w:r>
        <w:rPr>
          <w:color w:val="231F20"/>
          <w:spacing w:val="-10"/>
        </w:rPr>
        <w:t xml:space="preserve"> </w:t>
      </w:r>
      <w:r>
        <w:rPr>
          <w:b/>
          <w:bCs/>
          <w:color w:val="231F20"/>
          <w:spacing w:val="9"/>
        </w:rPr>
        <w:t>groups</w:t>
      </w:r>
      <w:r>
        <w:rPr>
          <w:color w:val="231F20"/>
          <w:spacing w:val="9"/>
        </w:rPr>
        <w:t xml:space="preserve"> </w:t>
      </w:r>
      <w:r>
        <w:rPr>
          <w:b/>
          <w:bCs/>
          <w:color w:val="231F20"/>
          <w:spacing w:val="9"/>
        </w:rPr>
        <w:t>(</w:t>
      </w:r>
      <w:r>
        <w:rPr>
          <w:rFonts w:ascii="Times New Roman" w:hAnsi="Times New Roman" w:eastAsia="Times New Roman" w:cs="Times New Roman"/>
          <w:i/>
          <w:iCs/>
          <w:color w:val="231F20"/>
          <w:spacing w:val="9"/>
        </w:rPr>
        <w:t>P</w:t>
      </w:r>
      <w:r>
        <w:rPr>
          <w:rFonts w:ascii="Times New Roman" w:hAnsi="Times New Roman" w:eastAsia="Times New Roman" w:cs="Times New Roman"/>
          <w:i/>
          <w:iCs/>
          <w:color w:val="231F20"/>
          <w:spacing w:val="-14"/>
        </w:rPr>
        <w:t xml:space="preserve"> </w:t>
      </w:r>
      <w:r>
        <w:rPr>
          <w:b/>
          <w:bCs/>
          <w:color w:val="231F20"/>
          <w:spacing w:val="9"/>
        </w:rPr>
        <w:t>＞0.05).</w:t>
      </w:r>
      <w:r>
        <w:rPr>
          <w:color w:val="231F20"/>
          <w:spacing w:val="-9"/>
        </w:rPr>
        <w:t xml:space="preserve"> </w:t>
      </w:r>
      <w:r>
        <w:rPr>
          <w:b/>
          <w:bCs/>
          <w:color w:val="231F20"/>
          <w:spacing w:val="9"/>
        </w:rPr>
        <w:t>Conclusion</w:t>
      </w:r>
      <w:r>
        <w:rPr>
          <w:color w:val="231F20"/>
          <w:spacing w:val="8"/>
        </w:rPr>
        <w:t xml:space="preserve">  </w:t>
      </w:r>
      <w:r>
        <w:rPr>
          <w:b/>
          <w:bCs/>
          <w:color w:val="231F20"/>
          <w:spacing w:val="9"/>
        </w:rPr>
        <w:t>Qinghua</w:t>
      </w:r>
      <w:r>
        <w:rPr>
          <w:color w:val="231F20"/>
          <w:spacing w:val="-11"/>
        </w:rPr>
        <w:t xml:space="preserve"> </w:t>
      </w:r>
      <w:r>
        <w:rPr>
          <w:b/>
          <w:bCs/>
          <w:color w:val="231F20"/>
          <w:spacing w:val="9"/>
        </w:rPr>
        <w:t>Zhitong</w:t>
      </w:r>
      <w:r>
        <w:rPr>
          <w:color w:val="231F20"/>
          <w:spacing w:val="-8"/>
        </w:rPr>
        <w:t xml:space="preserve"> </w:t>
      </w:r>
      <w:r>
        <w:rPr>
          <w:b/>
          <w:bCs/>
          <w:color w:val="231F20"/>
          <w:spacing w:val="9"/>
        </w:rPr>
        <w:t>Decoction</w:t>
      </w:r>
      <w:r>
        <w:rPr>
          <w:color w:val="231F20"/>
          <w:spacing w:val="-9"/>
        </w:rPr>
        <w:t xml:space="preserve"> </w:t>
      </w:r>
      <w:r>
        <w:rPr>
          <w:b/>
          <w:bCs/>
          <w:color w:val="231F20"/>
          <w:spacing w:val="9"/>
        </w:rPr>
        <w:t>combined</w:t>
      </w:r>
      <w:r>
        <w:rPr>
          <w:color w:val="231F20"/>
          <w:spacing w:val="-16"/>
        </w:rPr>
        <w:t xml:space="preserve"> </w:t>
      </w:r>
      <w:r>
        <w:rPr>
          <w:b/>
          <w:bCs/>
          <w:color w:val="231F20"/>
          <w:spacing w:val="9"/>
        </w:rPr>
        <w:t>with</w:t>
      </w:r>
      <w:r>
        <w:rPr>
          <w:color w:val="231F20"/>
          <w:spacing w:val="-13"/>
        </w:rPr>
        <w:t xml:space="preserve"> </w:t>
      </w:r>
      <w:r>
        <w:rPr>
          <w:b/>
          <w:bCs/>
          <w:color w:val="231F20"/>
          <w:spacing w:val="9"/>
        </w:rPr>
        <w:t>traditional</w:t>
      </w:r>
      <w:r>
        <w:rPr>
          <w:color w:val="231F20"/>
          <w:spacing w:val="-8"/>
        </w:rPr>
        <w:t xml:space="preserve"> </w:t>
      </w:r>
      <w:r>
        <w:rPr>
          <w:b/>
          <w:bCs/>
          <w:color w:val="231F20"/>
          <w:spacing w:val="9"/>
        </w:rPr>
        <w:t>Chinese</w:t>
      </w:r>
      <w:r>
        <w:rPr>
          <w:color w:val="231F20"/>
        </w:rPr>
        <w:t xml:space="preserve">   </w:t>
      </w:r>
      <w:r>
        <w:rPr>
          <w:b/>
          <w:bCs/>
          <w:color w:val="231F20"/>
          <w:spacing w:val="7"/>
        </w:rPr>
        <w:t>medicine</w:t>
      </w:r>
      <w:r>
        <w:rPr>
          <w:color w:val="231F20"/>
          <w:spacing w:val="-30"/>
        </w:rPr>
        <w:t xml:space="preserve"> </w:t>
      </w:r>
      <w:r>
        <w:rPr>
          <w:b/>
          <w:bCs/>
          <w:color w:val="231F20"/>
          <w:spacing w:val="7"/>
        </w:rPr>
        <w:t>enema</w:t>
      </w:r>
      <w:r>
        <w:rPr>
          <w:color w:val="231F20"/>
          <w:spacing w:val="-32"/>
        </w:rPr>
        <w:t xml:space="preserve"> </w:t>
      </w:r>
      <w:r>
        <w:rPr>
          <w:b/>
          <w:bCs/>
          <w:color w:val="231F20"/>
          <w:spacing w:val="7"/>
        </w:rPr>
        <w:t>has</w:t>
      </w:r>
      <w:r>
        <w:rPr>
          <w:color w:val="231F20"/>
          <w:spacing w:val="-32"/>
        </w:rPr>
        <w:t xml:space="preserve"> </w:t>
      </w:r>
      <w:r>
        <w:rPr>
          <w:b/>
          <w:bCs/>
          <w:color w:val="231F20"/>
          <w:spacing w:val="7"/>
        </w:rPr>
        <w:t>good</w:t>
      </w:r>
      <w:r>
        <w:rPr>
          <w:color w:val="231F20"/>
          <w:spacing w:val="-30"/>
        </w:rPr>
        <w:t xml:space="preserve"> </w:t>
      </w:r>
      <w:r>
        <w:rPr>
          <w:b/>
          <w:bCs/>
          <w:color w:val="231F20"/>
          <w:spacing w:val="7"/>
        </w:rPr>
        <w:t>e</w:t>
      </w:r>
      <w:r>
        <w:rPr>
          <w:rFonts w:ascii="Times New Roman" w:hAnsi="Times New Roman" w:eastAsia="Times New Roman" w:cs="Times New Roman"/>
          <w:b/>
          <w:bCs/>
          <w:color w:val="231F20"/>
          <w:spacing w:val="7"/>
        </w:rPr>
        <w:t>ﬀ</w:t>
      </w:r>
      <w:r>
        <w:rPr>
          <w:b/>
          <w:bCs/>
          <w:color w:val="231F20"/>
          <w:spacing w:val="7"/>
        </w:rPr>
        <w:t>ec</w:t>
      </w:r>
      <w:r>
        <w:rPr>
          <w:b/>
          <w:bCs/>
          <w:color w:val="231F20"/>
          <w:spacing w:val="6"/>
        </w:rPr>
        <w:t>t</w:t>
      </w:r>
      <w:r>
        <w:rPr>
          <w:color w:val="231F20"/>
          <w:spacing w:val="-30"/>
        </w:rPr>
        <w:t xml:space="preserve"> </w:t>
      </w:r>
      <w:r>
        <w:rPr>
          <w:b/>
          <w:bCs/>
          <w:color w:val="231F20"/>
          <w:spacing w:val="6"/>
        </w:rPr>
        <w:t>and</w:t>
      </w:r>
      <w:r>
        <w:rPr>
          <w:color w:val="231F20"/>
          <w:spacing w:val="-29"/>
        </w:rPr>
        <w:t xml:space="preserve"> </w:t>
      </w:r>
      <w:r>
        <w:rPr>
          <w:b/>
          <w:bCs/>
          <w:color w:val="231F20"/>
          <w:spacing w:val="6"/>
        </w:rPr>
        <w:t>safety</w:t>
      </w:r>
      <w:r>
        <w:rPr>
          <w:color w:val="231F20"/>
          <w:spacing w:val="-32"/>
        </w:rPr>
        <w:t xml:space="preserve"> </w:t>
      </w:r>
      <w:r>
        <w:rPr>
          <w:b/>
          <w:bCs/>
          <w:color w:val="231F20"/>
          <w:spacing w:val="6"/>
        </w:rPr>
        <w:t>in</w:t>
      </w:r>
      <w:r>
        <w:rPr>
          <w:color w:val="231F20"/>
          <w:spacing w:val="-35"/>
        </w:rPr>
        <w:t xml:space="preserve"> </w:t>
      </w:r>
      <w:r>
        <w:rPr>
          <w:b/>
          <w:bCs/>
          <w:color w:val="231F20"/>
          <w:spacing w:val="6"/>
        </w:rPr>
        <w:t>the</w:t>
      </w:r>
      <w:r>
        <w:rPr>
          <w:color w:val="231F20"/>
          <w:spacing w:val="-35"/>
        </w:rPr>
        <w:t xml:space="preserve"> </w:t>
      </w:r>
      <w:r>
        <w:rPr>
          <w:b/>
          <w:bCs/>
          <w:color w:val="231F20"/>
          <w:spacing w:val="6"/>
        </w:rPr>
        <w:t>treatment</w:t>
      </w:r>
      <w:r>
        <w:rPr>
          <w:color w:val="231F20"/>
          <w:spacing w:val="-30"/>
        </w:rPr>
        <w:t xml:space="preserve"> </w:t>
      </w:r>
      <w:r>
        <w:rPr>
          <w:b/>
          <w:bCs/>
          <w:color w:val="231F20"/>
          <w:spacing w:val="6"/>
        </w:rPr>
        <w:t>of</w:t>
      </w:r>
      <w:r>
        <w:rPr>
          <w:color w:val="231F20"/>
          <w:spacing w:val="-43"/>
        </w:rPr>
        <w:t xml:space="preserve"> </w:t>
      </w:r>
      <w:r>
        <w:rPr>
          <w:b/>
          <w:bCs/>
          <w:color w:val="231F20"/>
          <w:spacing w:val="6"/>
        </w:rPr>
        <w:t>damp-heat</w:t>
      </w:r>
      <w:r>
        <w:rPr>
          <w:color w:val="231F20"/>
          <w:spacing w:val="-29"/>
        </w:rPr>
        <w:t xml:space="preserve"> </w:t>
      </w:r>
      <w:r>
        <w:rPr>
          <w:b/>
          <w:bCs/>
          <w:color w:val="231F20"/>
          <w:spacing w:val="6"/>
        </w:rPr>
        <w:t>stasis</w:t>
      </w:r>
      <w:r>
        <w:rPr>
          <w:color w:val="231F20"/>
          <w:spacing w:val="-35"/>
        </w:rPr>
        <w:t xml:space="preserve"> </w:t>
      </w:r>
      <w:r>
        <w:rPr>
          <w:b/>
          <w:bCs/>
          <w:color w:val="231F20"/>
          <w:spacing w:val="6"/>
        </w:rPr>
        <w:t>type</w:t>
      </w:r>
      <w:r>
        <w:rPr>
          <w:color w:val="231F20"/>
          <w:spacing w:val="-30"/>
        </w:rPr>
        <w:t xml:space="preserve"> </w:t>
      </w:r>
      <w:r>
        <w:rPr>
          <w:b/>
          <w:bCs/>
          <w:color w:val="231F20"/>
          <w:spacing w:val="6"/>
        </w:rPr>
        <w:t>acute</w:t>
      </w:r>
      <w:r>
        <w:rPr>
          <w:color w:val="231F20"/>
          <w:spacing w:val="-31"/>
        </w:rPr>
        <w:t xml:space="preserve"> </w:t>
      </w:r>
      <w:r>
        <w:rPr>
          <w:b/>
          <w:bCs/>
          <w:color w:val="231F20"/>
          <w:spacing w:val="6"/>
        </w:rPr>
        <w:t>pelvic</w:t>
      </w:r>
      <w:r>
        <w:rPr>
          <w:color w:val="231F20"/>
          <w:spacing w:val="-32"/>
        </w:rPr>
        <w:t xml:space="preserve"> </w:t>
      </w:r>
      <w:r>
        <w:rPr>
          <w:rFonts w:ascii="Times New Roman" w:hAnsi="Times New Roman" w:eastAsia="Times New Roman" w:cs="Times New Roman"/>
          <w:b/>
          <w:bCs/>
          <w:color w:val="231F20"/>
          <w:spacing w:val="6"/>
        </w:rPr>
        <w:t>inﬂ</w:t>
      </w:r>
      <w:r>
        <w:rPr>
          <w:b/>
          <w:bCs/>
          <w:color w:val="231F20"/>
          <w:spacing w:val="6"/>
        </w:rPr>
        <w:t>ammatory</w:t>
      </w:r>
      <w:r>
        <w:rPr>
          <w:color w:val="231F20"/>
          <w:spacing w:val="-31"/>
        </w:rPr>
        <w:t xml:space="preserve"> </w:t>
      </w:r>
      <w:r>
        <w:rPr>
          <w:b/>
          <w:bCs/>
          <w:color w:val="231F20"/>
          <w:spacing w:val="6"/>
        </w:rPr>
        <w:t>disease.</w:t>
      </w:r>
    </w:p>
    <w:p>
      <w:pPr>
        <w:pStyle w:val="BodyText"/>
        <w:ind w:left="715" w:right="2" w:firstLine="297"/>
        <w:spacing w:before="1" w:line="320" w:lineRule="auto"/>
        <w:rPr/>
      </w:pPr>
      <w:r>
        <w:rPr>
          <w:b/>
          <w:bCs/>
          <w:color w:val="231F20"/>
          <w:spacing w:val="5"/>
        </w:rPr>
        <w:t>【Key</w:t>
      </w:r>
      <w:r>
        <w:rPr>
          <w:color w:val="231F20"/>
          <w:spacing w:val="-16"/>
        </w:rPr>
        <w:t xml:space="preserve"> </w:t>
      </w:r>
      <w:r>
        <w:rPr>
          <w:b/>
          <w:bCs/>
          <w:color w:val="231F20"/>
          <w:spacing w:val="5"/>
        </w:rPr>
        <w:t>words】</w:t>
      </w:r>
      <w:r>
        <w:rPr>
          <w:color w:val="231F20"/>
          <w:spacing w:val="-43"/>
        </w:rPr>
        <w:t xml:space="preserve"> </w:t>
      </w:r>
      <w:r>
        <w:rPr>
          <w:b/>
          <w:bCs/>
          <w:color w:val="231F20"/>
          <w:spacing w:val="5"/>
        </w:rPr>
        <w:t>Self-prepared</w:t>
      </w:r>
      <w:r>
        <w:rPr>
          <w:color w:val="231F20"/>
          <w:spacing w:val="-19"/>
        </w:rPr>
        <w:t xml:space="preserve"> </w:t>
      </w:r>
      <w:r>
        <w:rPr>
          <w:b/>
          <w:bCs/>
          <w:color w:val="231F20"/>
          <w:spacing w:val="5"/>
        </w:rPr>
        <w:t>qinghua</w:t>
      </w:r>
      <w:r>
        <w:rPr>
          <w:color w:val="231F20"/>
          <w:spacing w:val="-20"/>
        </w:rPr>
        <w:t xml:space="preserve"> </w:t>
      </w:r>
      <w:r>
        <w:rPr>
          <w:b/>
          <w:bCs/>
          <w:color w:val="231F20"/>
          <w:spacing w:val="5"/>
        </w:rPr>
        <w:t>zhitong</w:t>
      </w:r>
      <w:r>
        <w:rPr>
          <w:color w:val="231F20"/>
          <w:spacing w:val="-18"/>
        </w:rPr>
        <w:t xml:space="preserve"> </w:t>
      </w:r>
      <w:r>
        <w:rPr>
          <w:b/>
          <w:bCs/>
          <w:color w:val="231F20"/>
          <w:spacing w:val="5"/>
        </w:rPr>
        <w:t>decoction;</w:t>
      </w:r>
      <w:r>
        <w:rPr>
          <w:color w:val="231F20"/>
          <w:spacing w:val="-22"/>
        </w:rPr>
        <w:t xml:space="preserve"> </w:t>
      </w:r>
      <w:r>
        <w:rPr>
          <w:b/>
          <w:bCs/>
          <w:color w:val="231F20"/>
          <w:spacing w:val="5"/>
        </w:rPr>
        <w:t>Traditional</w:t>
      </w:r>
      <w:r>
        <w:rPr>
          <w:color w:val="231F20"/>
          <w:spacing w:val="-17"/>
        </w:rPr>
        <w:t xml:space="preserve"> </w:t>
      </w:r>
      <w:r>
        <w:rPr>
          <w:b/>
          <w:bCs/>
          <w:color w:val="231F20"/>
          <w:spacing w:val="5"/>
        </w:rPr>
        <w:t>Chinese</w:t>
      </w:r>
      <w:r>
        <w:rPr>
          <w:color w:val="231F20"/>
          <w:spacing w:val="-20"/>
        </w:rPr>
        <w:t xml:space="preserve"> </w:t>
      </w:r>
      <w:r>
        <w:rPr>
          <w:b/>
          <w:bCs/>
          <w:color w:val="231F20"/>
          <w:spacing w:val="5"/>
        </w:rPr>
        <w:t>medicine</w:t>
      </w:r>
      <w:r>
        <w:rPr>
          <w:color w:val="231F20"/>
          <w:spacing w:val="-19"/>
        </w:rPr>
        <w:t xml:space="preserve"> </w:t>
      </w:r>
      <w:r>
        <w:rPr>
          <w:b/>
          <w:bCs/>
          <w:color w:val="231F20"/>
          <w:spacing w:val="5"/>
        </w:rPr>
        <w:t>enema;</w:t>
      </w:r>
      <w:r>
        <w:rPr>
          <w:color w:val="231F20"/>
          <w:spacing w:val="-18"/>
        </w:rPr>
        <w:t xml:space="preserve"> </w:t>
      </w:r>
      <w:r>
        <w:rPr>
          <w:b/>
          <w:bCs/>
          <w:color w:val="231F20"/>
          <w:spacing w:val="5"/>
        </w:rPr>
        <w:t>Damp-heat</w:t>
      </w:r>
      <w:r>
        <w:rPr>
          <w:color w:val="231F20"/>
          <w:spacing w:val="-17"/>
        </w:rPr>
        <w:t xml:space="preserve"> </w:t>
      </w:r>
      <w:r>
        <w:rPr>
          <w:b/>
          <w:bCs/>
          <w:color w:val="231F20"/>
          <w:spacing w:val="5"/>
        </w:rPr>
        <w:t>stasis</w:t>
      </w:r>
      <w:r>
        <w:rPr>
          <w:color w:val="231F20"/>
          <w:spacing w:val="-23"/>
        </w:rPr>
        <w:t xml:space="preserve"> </w:t>
      </w:r>
      <w:r>
        <w:rPr>
          <w:b/>
          <w:bCs/>
          <w:color w:val="231F20"/>
          <w:spacing w:val="5"/>
        </w:rPr>
        <w:t>type;</w:t>
      </w:r>
      <w:r>
        <w:rPr>
          <w:color w:val="231F20"/>
          <w:spacing w:val="-24"/>
        </w:rPr>
        <w:t xml:space="preserve"> </w:t>
      </w:r>
      <w:r>
        <w:rPr>
          <w:b/>
          <w:bCs/>
          <w:color w:val="231F20"/>
          <w:spacing w:val="5"/>
        </w:rPr>
        <w:t>Acute</w:t>
      </w:r>
      <w:r>
        <w:rPr>
          <w:color w:val="231F20"/>
        </w:rPr>
        <w:t xml:space="preserve">   </w:t>
      </w:r>
      <w:r>
        <w:rPr>
          <w:b/>
          <w:bCs/>
          <w:color w:val="231F20"/>
          <w:spacing w:val="3"/>
        </w:rPr>
        <w:t>pelvic</w:t>
      </w:r>
      <w:r>
        <w:rPr>
          <w:color w:val="231F20"/>
          <w:spacing w:val="-16"/>
        </w:rPr>
        <w:t xml:space="preserve"> </w:t>
      </w:r>
      <w:r>
        <w:rPr>
          <w:rFonts w:ascii="Times New Roman" w:hAnsi="Times New Roman" w:eastAsia="Times New Roman" w:cs="Times New Roman"/>
          <w:b/>
          <w:bCs/>
          <w:color w:val="231F20"/>
          <w:spacing w:val="3"/>
        </w:rPr>
        <w:t>inﬂ</w:t>
      </w:r>
      <w:r>
        <w:rPr>
          <w:b/>
          <w:bCs/>
          <w:color w:val="231F20"/>
          <w:spacing w:val="3"/>
        </w:rPr>
        <w:t>ammatory</w:t>
      </w:r>
      <w:r>
        <w:rPr>
          <w:color w:val="231F20"/>
          <w:spacing w:val="-31"/>
        </w:rPr>
        <w:t xml:space="preserve"> </w:t>
      </w:r>
      <w:r>
        <w:rPr>
          <w:b/>
          <w:bCs/>
          <w:color w:val="231F20"/>
          <w:spacing w:val="3"/>
        </w:rPr>
        <w:t>disease;</w:t>
      </w:r>
      <w:r>
        <w:rPr>
          <w:color w:val="231F20"/>
          <w:spacing w:val="-29"/>
        </w:rPr>
        <w:t xml:space="preserve"> </w:t>
      </w:r>
      <w:r>
        <w:rPr>
          <w:b/>
          <w:bCs/>
          <w:color w:val="231F20"/>
          <w:spacing w:val="3"/>
        </w:rPr>
        <w:t>Clinical</w:t>
      </w:r>
      <w:r>
        <w:rPr>
          <w:color w:val="231F20"/>
          <w:spacing w:val="-30"/>
        </w:rPr>
        <w:t xml:space="preserve"> </w:t>
      </w:r>
      <w:r>
        <w:rPr>
          <w:b/>
          <w:bCs/>
          <w:color w:val="231F20"/>
          <w:spacing w:val="3"/>
        </w:rPr>
        <w:t>e</w:t>
      </w:r>
      <w:r>
        <w:rPr>
          <w:rFonts w:ascii="Times New Roman" w:hAnsi="Times New Roman" w:eastAsia="Times New Roman" w:cs="Times New Roman"/>
          <w:b/>
          <w:bCs/>
          <w:color w:val="231F20"/>
          <w:spacing w:val="3"/>
        </w:rPr>
        <w:t>ﬀ</w:t>
      </w:r>
      <w:r>
        <w:rPr>
          <w:b/>
          <w:bCs/>
          <w:color w:val="231F20"/>
          <w:spacing w:val="3"/>
        </w:rPr>
        <w:t>ect</w:t>
      </w:r>
    </w:p>
    <w:p>
      <w:pPr>
        <w:spacing w:before="137"/>
        <w:rPr/>
      </w:pPr>
      <w:r/>
    </w:p>
    <w:p>
      <w:pPr>
        <w:sectPr>
          <w:pgSz w:w="11906" w:h="16838"/>
          <w:pgMar w:top="1072" w:right="1131" w:bottom="0" w:left="424" w:header="0" w:footer="0" w:gutter="0"/>
          <w:cols w:equalWidth="0" w:num="1">
            <w:col w:w="10351" w:space="0"/>
          </w:cols>
        </w:sectPr>
        <w:rPr/>
      </w:pPr>
    </w:p>
    <w:p>
      <w:pPr>
        <w:pStyle w:val="BodyText"/>
        <w:ind w:left="714" w:right="327" w:firstLine="422"/>
        <w:spacing w:before="76" w:line="289" w:lineRule="auto"/>
        <w:rPr>
          <w:sz w:val="21"/>
          <w:szCs w:val="21"/>
        </w:rPr>
      </w:pPr>
      <w:r>
        <w:pict>
          <v:shape id="_x0000_s8" style="position:absolute;margin-left:35.8474pt;margin-top:135.726pt;mso-position-vertical-relative:text;mso-position-horizontal-relative:text;width:81.75pt;height:0.75pt;z-index:251658240;" filled="false" strokecolor="#231F20" strokeweight="0.71pt" coordsize="1635,15" coordorigin="0,0" path="m0,7l1634,7e">
            <v:stroke joinstyle="miter" miterlimit="4"/>
          </v:shape>
        </w:pict>
      </w:r>
      <w:r>
        <w:rPr>
          <w:sz w:val="21"/>
          <w:szCs w:val="21"/>
          <w:color w:val="231F20"/>
          <w:spacing w:val="10"/>
        </w:rPr>
        <w:t>盆腔炎是临床常见的妇科疾病，临床上以发</w:t>
      </w:r>
      <w:r>
        <w:rPr>
          <w:sz w:val="21"/>
          <w:szCs w:val="21"/>
          <w:color w:val="231F20"/>
        </w:rPr>
        <w:t xml:space="preserve"> </w:t>
      </w:r>
      <w:r>
        <w:rPr>
          <w:sz w:val="21"/>
          <w:szCs w:val="21"/>
          <w:color w:val="231F20"/>
          <w:spacing w:val="8"/>
        </w:rPr>
        <w:t>热、下腹疼痛、白带增多等症状为主要表现</w:t>
      </w:r>
      <w:r>
        <w:rPr>
          <w:sz w:val="12"/>
          <w:szCs w:val="12"/>
          <w:color w:val="231F20"/>
          <w:spacing w:val="8"/>
          <w:position w:val="9"/>
        </w:rPr>
        <w:t>[1]</w:t>
      </w:r>
      <w:r>
        <w:rPr>
          <w:sz w:val="12"/>
          <w:szCs w:val="12"/>
          <w:color w:val="231F20"/>
          <w:spacing w:val="-22"/>
          <w:position w:val="9"/>
        </w:rPr>
        <w:t xml:space="preserve"> </w:t>
      </w:r>
      <w:r>
        <w:rPr>
          <w:sz w:val="21"/>
          <w:szCs w:val="21"/>
          <w:color w:val="231F20"/>
          <w:spacing w:val="8"/>
        </w:rPr>
        <w:t>。</w:t>
      </w:r>
      <w:r>
        <w:rPr>
          <w:sz w:val="21"/>
          <w:szCs w:val="21"/>
          <w:color w:val="231F20"/>
        </w:rPr>
        <w:t xml:space="preserve"> </w:t>
      </w:r>
      <w:r>
        <w:rPr>
          <w:sz w:val="21"/>
          <w:szCs w:val="21"/>
          <w:color w:val="231F20"/>
          <w:spacing w:val="9"/>
        </w:rPr>
        <w:t>当前，盆腔炎的治疗主要采用抗生素治疗，由于</w:t>
      </w:r>
      <w:r>
        <w:rPr>
          <w:sz w:val="21"/>
          <w:szCs w:val="21"/>
          <w:color w:val="231F20"/>
          <w:spacing w:val="3"/>
        </w:rPr>
        <w:t xml:space="preserve"> </w:t>
      </w:r>
      <w:r>
        <w:rPr>
          <w:sz w:val="21"/>
          <w:szCs w:val="21"/>
          <w:color w:val="231F20"/>
          <w:spacing w:val="9"/>
        </w:rPr>
        <w:t>长期使用抗生素可能导致耐药性增加，因此治疗</w:t>
      </w:r>
      <w:r>
        <w:rPr>
          <w:sz w:val="21"/>
          <w:szCs w:val="21"/>
          <w:color w:val="231F20"/>
          <w:spacing w:val="3"/>
        </w:rPr>
        <w:t xml:space="preserve"> </w:t>
      </w:r>
      <w:r>
        <w:rPr>
          <w:sz w:val="21"/>
          <w:szCs w:val="21"/>
          <w:color w:val="231F20"/>
          <w:spacing w:val="9"/>
        </w:rPr>
        <w:t>效果并不理想。中药作为传统的治疗方式，在盆</w:t>
      </w:r>
      <w:r>
        <w:rPr>
          <w:sz w:val="21"/>
          <w:szCs w:val="21"/>
          <w:color w:val="231F20"/>
          <w:spacing w:val="3"/>
        </w:rPr>
        <w:t xml:space="preserve"> </w:t>
      </w:r>
      <w:r>
        <w:rPr>
          <w:sz w:val="21"/>
          <w:szCs w:val="21"/>
          <w:color w:val="231F20"/>
          <w:spacing w:val="9"/>
        </w:rPr>
        <w:t>腔炎治疗中有着广泛应用。中药灌肠作为一种局</w:t>
      </w:r>
      <w:r>
        <w:rPr>
          <w:sz w:val="21"/>
          <w:szCs w:val="21"/>
          <w:color w:val="231F20"/>
          <w:spacing w:val="3"/>
        </w:rPr>
        <w:t xml:space="preserve"> </w:t>
      </w:r>
      <w:r>
        <w:rPr>
          <w:sz w:val="21"/>
          <w:szCs w:val="21"/>
          <w:color w:val="231F20"/>
          <w:spacing w:val="9"/>
        </w:rPr>
        <w:t>部给药途径，具有直接作用于病灶的优势，能够</w:t>
      </w:r>
    </w:p>
    <w:p>
      <w:pPr>
        <w:spacing w:line="113"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right="1" w:firstLine="3"/>
        <w:spacing w:before="44" w:line="291" w:lineRule="auto"/>
        <w:jc w:val="both"/>
        <w:rPr>
          <w:sz w:val="21"/>
          <w:szCs w:val="21"/>
        </w:rPr>
      </w:pPr>
      <w:r>
        <w:rPr>
          <w:sz w:val="21"/>
          <w:szCs w:val="21"/>
          <w:color w:val="231F20"/>
          <w:spacing w:val="-1"/>
        </w:rPr>
        <w:t>提高药物在病灶区域的浓度，增强治疗效果</w:t>
      </w:r>
      <w:r>
        <w:rPr>
          <w:sz w:val="12"/>
          <w:szCs w:val="12"/>
          <w:color w:val="231F20"/>
          <w:spacing w:val="-1"/>
          <w:position w:val="9"/>
        </w:rPr>
        <w:t>[2]</w:t>
      </w:r>
      <w:r>
        <w:rPr>
          <w:sz w:val="12"/>
          <w:szCs w:val="12"/>
          <w:color w:val="231F20"/>
          <w:spacing w:val="-34"/>
          <w:position w:val="9"/>
        </w:rPr>
        <w:t xml:space="preserve"> </w:t>
      </w:r>
      <w:r>
        <w:rPr>
          <w:sz w:val="21"/>
          <w:szCs w:val="21"/>
          <w:color w:val="231F20"/>
          <w:spacing w:val="-2"/>
        </w:rPr>
        <w:t>。而</w:t>
      </w:r>
      <w:r>
        <w:rPr>
          <w:sz w:val="21"/>
          <w:szCs w:val="21"/>
          <w:color w:val="231F20"/>
        </w:rPr>
        <w:t xml:space="preserve"> </w:t>
      </w:r>
      <w:r>
        <w:rPr>
          <w:sz w:val="21"/>
          <w:szCs w:val="21"/>
          <w:color w:val="231F20"/>
          <w:spacing w:val="7"/>
        </w:rPr>
        <w:t>部分中药方剂具有清热解毒、活血化瘀的作用，</w:t>
      </w:r>
      <w:r>
        <w:rPr>
          <w:sz w:val="21"/>
          <w:szCs w:val="21"/>
          <w:color w:val="231F20"/>
          <w:spacing w:val="8"/>
        </w:rPr>
        <w:t xml:space="preserve"> </w:t>
      </w:r>
      <w:r>
        <w:rPr>
          <w:sz w:val="21"/>
          <w:szCs w:val="21"/>
          <w:color w:val="231F20"/>
          <w:spacing w:val="9"/>
        </w:rPr>
        <w:t>可改善盆腔炎患者的症状，并降低炎性反应的程</w:t>
      </w:r>
      <w:r>
        <w:rPr>
          <w:sz w:val="21"/>
          <w:szCs w:val="21"/>
          <w:color w:val="231F20"/>
          <w:spacing w:val="3"/>
        </w:rPr>
        <w:t xml:space="preserve"> </w:t>
      </w:r>
      <w:r>
        <w:rPr>
          <w:sz w:val="21"/>
          <w:szCs w:val="21"/>
          <w:color w:val="231F20"/>
          <w:spacing w:val="-4"/>
        </w:rPr>
        <w:t>度</w:t>
      </w:r>
      <w:r>
        <w:rPr>
          <w:sz w:val="12"/>
          <w:szCs w:val="12"/>
          <w:color w:val="231F20"/>
          <w:spacing w:val="-1"/>
          <w:position w:val="9"/>
        </w:rPr>
        <w:t>[3]</w:t>
      </w:r>
      <w:r>
        <w:rPr>
          <w:sz w:val="12"/>
          <w:szCs w:val="12"/>
          <w:color w:val="231F20"/>
          <w:spacing w:val="-34"/>
          <w:position w:val="9"/>
        </w:rPr>
        <w:t xml:space="preserve"> </w:t>
      </w:r>
      <w:r>
        <w:rPr>
          <w:sz w:val="21"/>
          <w:szCs w:val="21"/>
          <w:color w:val="231F20"/>
          <w:spacing w:val="-1"/>
        </w:rPr>
        <w:t>。本研究旨在观察自拟清化止痛汤联合中</w:t>
      </w:r>
      <w:r>
        <w:rPr>
          <w:sz w:val="21"/>
          <w:szCs w:val="21"/>
          <w:color w:val="231F20"/>
          <w:spacing w:val="-2"/>
        </w:rPr>
        <w:t>药灌</w:t>
      </w:r>
      <w:r>
        <w:rPr>
          <w:sz w:val="21"/>
          <w:szCs w:val="21"/>
          <w:color w:val="231F20"/>
        </w:rPr>
        <w:t xml:space="preserve"> </w:t>
      </w:r>
      <w:r>
        <w:rPr>
          <w:sz w:val="21"/>
          <w:szCs w:val="21"/>
          <w:color w:val="231F20"/>
          <w:spacing w:val="9"/>
        </w:rPr>
        <w:t>肠治疗湿热瘀结型急性盆腔炎的临床效果。现报</w:t>
      </w:r>
      <w:r>
        <w:rPr>
          <w:sz w:val="21"/>
          <w:szCs w:val="21"/>
          <w:color w:val="231F20"/>
          <w:spacing w:val="4"/>
        </w:rPr>
        <w:t xml:space="preserve"> </w:t>
      </w:r>
      <w:r>
        <w:rPr>
          <w:sz w:val="21"/>
          <w:szCs w:val="21"/>
          <w:color w:val="231F20"/>
          <w:spacing w:val="-6"/>
        </w:rPr>
        <w:t>道如下。</w:t>
      </w:r>
    </w:p>
    <w:p>
      <w:pPr>
        <w:spacing w:line="291" w:lineRule="auto"/>
        <w:sectPr>
          <w:type w:val="continuous"/>
          <w:pgSz w:w="11906" w:h="16838"/>
          <w:pgMar w:top="1072" w:right="1131" w:bottom="0" w:left="424" w:header="0" w:footer="0" w:gutter="0"/>
          <w:cols w:equalWidth="0" w:num="2">
            <w:col w:w="5645" w:space="100"/>
            <w:col w:w="4606" w:space="0"/>
          </w:cols>
        </w:sectPr>
        <w:rPr>
          <w:sz w:val="21"/>
          <w:szCs w:val="21"/>
        </w:rPr>
      </w:pPr>
    </w:p>
    <w:p>
      <w:pPr>
        <w:spacing w:line="431" w:lineRule="auto"/>
        <w:rPr>
          <w:rFonts w:ascii="Arial"/>
          <w:sz w:val="21"/>
        </w:rPr>
      </w:pPr>
      <w:r/>
    </w:p>
    <w:p>
      <w:pPr>
        <w:ind w:left="717"/>
        <w:spacing w:before="73" w:line="174" w:lineRule="auto"/>
        <w:rPr>
          <w:rFonts w:ascii="Microsoft YaHei" w:hAnsi="Microsoft YaHei" w:eastAsia="Microsoft YaHei" w:cs="Microsoft YaHei"/>
          <w:sz w:val="17"/>
          <w:szCs w:val="17"/>
        </w:rPr>
      </w:pPr>
      <w:r>
        <w:rPr>
          <w:rFonts w:ascii="Microsoft YaHei" w:hAnsi="Microsoft YaHei" w:eastAsia="Microsoft YaHei" w:cs="Microsoft YaHei"/>
          <w:sz w:val="17"/>
          <w:szCs w:val="17"/>
          <w:color w:val="231F20"/>
          <w:spacing w:val="-4"/>
        </w:rPr>
        <w:t>基金项目：2022年度宿迁市中医药科技项目一般项目（编号YB20220）</w:t>
      </w:r>
    </w:p>
    <w:p>
      <w:pPr>
        <w:pStyle w:val="BodyText"/>
        <w:ind w:right="2"/>
        <w:spacing w:before="254" w:line="204" w:lineRule="auto"/>
        <w:jc w:val="right"/>
        <w:rPr>
          <w:sz w:val="21"/>
          <w:szCs w:val="21"/>
        </w:rPr>
      </w:pPr>
      <w:r>
        <w:rPr>
          <w:sz w:val="21"/>
          <w:szCs w:val="21"/>
          <w:color w:val="231F20"/>
          <w:spacing w:val="5"/>
        </w:rPr>
        <w:t>49</w:t>
      </w:r>
    </w:p>
    <w:p>
      <w:pPr>
        <w:spacing w:before="1" w:line="158"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8" w:lineRule="auto"/>
        <w:sectPr>
          <w:type w:val="continuous"/>
          <w:pgSz w:w="11906" w:h="16838"/>
          <w:pgMar w:top="1072" w:right="1131" w:bottom="0" w:left="424" w:header="0" w:footer="0" w:gutter="0"/>
          <w:cols w:equalWidth="0" w:num="1">
            <w:col w:w="10351" w:space="0"/>
          </w:cols>
        </w:sectPr>
        <w:rPr>
          <w:rFonts w:ascii="Arial" w:hAnsi="Arial" w:eastAsia="Arial" w:cs="Arial"/>
          <w:sz w:val="22"/>
          <w:szCs w:val="22"/>
        </w:rPr>
      </w:pPr>
    </w:p>
    <w:p>
      <w:pPr>
        <w:spacing w:before="48" w:line="178" w:lineRule="auto"/>
        <w:jc w:val="right"/>
        <w:rPr>
          <w:rFonts w:ascii="SimHei" w:hAnsi="SimHei" w:eastAsia="SimHei" w:cs="SimHei"/>
          <w:sz w:val="21"/>
          <w:szCs w:val="21"/>
        </w:rPr>
      </w:pPr>
      <w:r>
        <w:rPr>
          <w:rFonts w:ascii="Microsoft YaHei" w:hAnsi="Microsoft YaHei" w:eastAsia="Microsoft YaHei" w:cs="Microsoft YaHei"/>
          <w:sz w:val="24"/>
          <w:szCs w:val="24"/>
          <w:color w:val="231F20"/>
          <w:spacing w:val="-8"/>
        </w:rPr>
        <w:t>•  </w:t>
      </w:r>
      <w:r>
        <w:rPr>
          <w:rFonts w:ascii="Microsoft YaHei" w:hAnsi="Microsoft YaHei" w:eastAsia="Microsoft YaHei" w:cs="Microsoft YaHei"/>
          <w:sz w:val="24"/>
          <w:szCs w:val="24"/>
          <w:color w:val="231F20"/>
          <w:spacing w:val="-8"/>
          <w:position w:val="-2"/>
        </w:rPr>
        <w:t>临床研究  </w:t>
      </w:r>
      <w:r>
        <w:rPr>
          <w:rFonts w:ascii="Microsoft YaHei" w:hAnsi="Microsoft YaHei" w:eastAsia="Microsoft YaHei" w:cs="Microsoft YaHei"/>
          <w:sz w:val="24"/>
          <w:szCs w:val="24"/>
          <w:color w:val="231F20"/>
          <w:spacing w:val="-8"/>
        </w:rPr>
        <w:t>•             </w:t>
      </w:r>
      <w:r>
        <w:rPr>
          <w:shd w:val="clear" w:fill="DCDDDF"/>
          <w:rFonts w:ascii="Microsoft YaHei" w:hAnsi="Microsoft YaHei" w:eastAsia="Microsoft YaHei" w:cs="Microsoft YaHei"/>
          <w:sz w:val="24"/>
          <w:szCs w:val="24"/>
          <w:color w:val="231F20"/>
          <w:spacing w:val="-8"/>
        </w:rPr>
        <w:t xml:space="preserve"> </w:t>
      </w:r>
      <w:r>
        <w:rPr>
          <w:shd w:val="clear" w:fill="DCDDDF"/>
          <w:rFonts w:ascii="SimHei" w:hAnsi="SimHei" w:eastAsia="SimHei" w:cs="SimHei"/>
          <w:sz w:val="21"/>
          <w:szCs w:val="21"/>
          <w:color w:val="231F20"/>
          <w:spacing w:val="-8"/>
        </w:rPr>
        <w:t>Electronic</w:t>
      </w:r>
      <w:r>
        <w:rPr>
          <w:shd w:val="clear" w:fill="DCDDDF"/>
          <w:rFonts w:ascii="SimHei" w:hAnsi="SimHei" w:eastAsia="SimHei" w:cs="SimHei"/>
          <w:sz w:val="21"/>
          <w:szCs w:val="21"/>
          <w:color w:val="231F20"/>
          <w:spacing w:val="-45"/>
        </w:rPr>
        <w:t xml:space="preserve"> </w:t>
      </w:r>
      <w:r>
        <w:rPr>
          <w:shd w:val="clear" w:fill="DCDDDF"/>
          <w:rFonts w:ascii="SimHei" w:hAnsi="SimHei" w:eastAsia="SimHei" w:cs="SimHei"/>
          <w:sz w:val="21"/>
          <w:szCs w:val="21"/>
          <w:color w:val="231F20"/>
          <w:spacing w:val="-8"/>
        </w:rPr>
        <w:t>Journal</w:t>
      </w:r>
      <w:r>
        <w:rPr>
          <w:shd w:val="clear" w:fill="DCDDDF"/>
          <w:rFonts w:ascii="SimHei" w:hAnsi="SimHei" w:eastAsia="SimHei" w:cs="SimHei"/>
          <w:sz w:val="21"/>
          <w:szCs w:val="21"/>
          <w:color w:val="231F20"/>
          <w:spacing w:val="-42"/>
        </w:rPr>
        <w:t xml:space="preserve"> </w:t>
      </w:r>
      <w:r>
        <w:rPr>
          <w:shd w:val="clear" w:fill="DCDDDF"/>
          <w:rFonts w:ascii="SimHei" w:hAnsi="SimHei" w:eastAsia="SimHei" w:cs="SimHei"/>
          <w:sz w:val="21"/>
          <w:szCs w:val="21"/>
          <w:color w:val="231F20"/>
          <w:spacing w:val="-8"/>
        </w:rPr>
        <w:t>of</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8"/>
        </w:rPr>
        <w:t>Pra</w:t>
      </w:r>
      <w:r>
        <w:rPr>
          <w:shd w:val="clear" w:fill="DCDDDF"/>
          <w:rFonts w:ascii="SimHei" w:hAnsi="SimHei" w:eastAsia="SimHei" w:cs="SimHei"/>
          <w:sz w:val="21"/>
          <w:szCs w:val="21"/>
          <w:color w:val="231F20"/>
          <w:spacing w:val="-9"/>
        </w:rPr>
        <w:t>ctical</w:t>
      </w:r>
      <w:r>
        <w:rPr>
          <w:shd w:val="clear" w:fill="DCDDDF"/>
          <w:rFonts w:ascii="SimHei" w:hAnsi="SimHei" w:eastAsia="SimHei" w:cs="SimHei"/>
          <w:sz w:val="21"/>
          <w:szCs w:val="21"/>
          <w:color w:val="231F20"/>
          <w:spacing w:val="-40"/>
        </w:rPr>
        <w:t xml:space="preserve"> </w:t>
      </w:r>
      <w:r>
        <w:rPr>
          <w:shd w:val="clear" w:fill="DCDDDF"/>
          <w:rFonts w:ascii="SimHei" w:hAnsi="SimHei" w:eastAsia="SimHei" w:cs="SimHei"/>
          <w:sz w:val="21"/>
          <w:szCs w:val="21"/>
          <w:color w:val="231F20"/>
          <w:spacing w:val="-9"/>
        </w:rPr>
        <w:t>Gynecological</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9"/>
        </w:rPr>
        <w:t>Endocrinology</w:t>
      </w:r>
      <w:r>
        <w:rPr>
          <w:rFonts w:ascii="SimHei" w:hAnsi="SimHei" w:eastAsia="SimHei" w:cs="SimHei"/>
          <w:sz w:val="21"/>
          <w:szCs w:val="21"/>
          <w:color w:val="231F20"/>
          <w:spacing w:val="-9"/>
        </w:rPr>
        <w:t xml:space="preserve">   </w:t>
      </w:r>
      <w:r>
        <w:rPr>
          <w:rFonts w:ascii="SimHei" w:hAnsi="SimHei" w:eastAsia="SimHei" w:cs="SimHei"/>
          <w:sz w:val="21"/>
          <w:szCs w:val="21"/>
          <w:color w:val="231F20"/>
          <w:spacing w:val="-9"/>
        </w:rPr>
        <w:t>2024</w:t>
      </w:r>
      <w:r>
        <w:rPr>
          <w:rFonts w:ascii="SimHei" w:hAnsi="SimHei" w:eastAsia="SimHei" w:cs="SimHei"/>
          <w:sz w:val="21"/>
          <w:szCs w:val="21"/>
          <w:color w:val="231F20"/>
          <w:spacing w:val="-62"/>
        </w:rPr>
        <w:t xml:space="preserve"> </w:t>
      </w:r>
      <w:r>
        <w:rPr>
          <w:rFonts w:ascii="SimHei" w:hAnsi="SimHei" w:eastAsia="SimHei" w:cs="SimHei"/>
          <w:sz w:val="21"/>
          <w:szCs w:val="21"/>
          <w:color w:val="231F20"/>
          <w:spacing w:val="-9"/>
        </w:rPr>
        <w:t>Vol.11</w:t>
      </w:r>
      <w:r>
        <w:rPr>
          <w:rFonts w:ascii="SimHei" w:hAnsi="SimHei" w:eastAsia="SimHei" w:cs="SimHei"/>
          <w:sz w:val="21"/>
          <w:szCs w:val="21"/>
          <w:color w:val="231F20"/>
          <w:spacing w:val="-49"/>
        </w:rPr>
        <w:t xml:space="preserve"> </w:t>
      </w:r>
      <w:r>
        <w:rPr>
          <w:rFonts w:ascii="SimHei" w:hAnsi="SimHei" w:eastAsia="SimHei" w:cs="SimHei"/>
          <w:sz w:val="21"/>
          <w:szCs w:val="21"/>
          <w:color w:val="231F20"/>
          <w:spacing w:val="-9"/>
        </w:rPr>
        <w:t>No.11</w:t>
      </w:r>
    </w:p>
    <w:p>
      <w:pPr>
        <w:ind w:firstLine="709"/>
        <w:spacing w:before="3" w:line="56" w:lineRule="exact"/>
        <w:rPr/>
      </w:pPr>
      <w:r>
        <w:rPr>
          <w:position w:val="-1"/>
        </w:rPr>
        <w:pict>
          <v:group id="_x0000_s10" style="mso-position-vertical-relative:line;mso-position-horizontal-relative:char;width:481.9pt;height:2.85pt;" filled="false" stroked="false" coordsize="9637,56" coordorigin="0,0">
            <v:shape id="_x0000_s12" style="position:absolute;left:0;top:0;width:9637;height:29;" filled="false" strokecolor="#939598" strokeweight="1.42pt" coordsize="9637,29" coordorigin="0,0" path="m0,14l9637,14e">
              <v:stroke joinstyle="miter" miterlimit="4"/>
            </v:shape>
            <v:shape id="_x0000_s14" style="position:absolute;left:0;top:47;width:9637;height:10;" filled="false" strokecolor="#939598" strokeweight="0.47pt" coordsize="9637,10" coordorigin="0,0" path="m0,4l9637,4e">
              <v:stroke joinstyle="miter" miterlimit="4"/>
            </v:shape>
          </v:group>
        </w:pict>
      </w:r>
    </w:p>
    <w:p>
      <w:pPr>
        <w:spacing w:before="198"/>
        <w:rPr/>
      </w:pPr>
      <w:r/>
    </w:p>
    <w:p>
      <w:pPr>
        <w:sectPr>
          <w:footerReference w:type="default" r:id="rId3"/>
          <w:pgSz w:w="11906" w:h="16838"/>
          <w:pgMar w:top="1059" w:right="1132" w:bottom="836" w:left="424" w:header="0" w:footer="354" w:gutter="0"/>
          <w:cols w:equalWidth="0" w:num="1">
            <w:col w:w="10349" w:space="0"/>
          </w:cols>
        </w:sectPr>
        <w:rPr/>
      </w:pPr>
    </w:p>
    <w:p>
      <w:pPr>
        <w:pStyle w:val="BodyText"/>
        <w:ind w:left="728"/>
        <w:spacing w:before="56" w:line="176" w:lineRule="auto"/>
        <w:outlineLvl w:val="0"/>
        <w:rPr>
          <w:rFonts w:ascii="Microsoft YaHei" w:hAnsi="Microsoft YaHei" w:eastAsia="Microsoft YaHei" w:cs="Microsoft YaHei"/>
          <w:sz w:val="22"/>
          <w:szCs w:val="22"/>
        </w:rPr>
      </w:pPr>
      <w:r>
        <w:rPr>
          <w:sz w:val="22"/>
          <w:szCs w:val="22"/>
          <w:b/>
          <w:bCs/>
          <w:color w:val="231F20"/>
        </w:rPr>
        <w:t>1</w:t>
      </w:r>
      <w:r>
        <w:rPr>
          <w:sz w:val="22"/>
          <w:szCs w:val="22"/>
          <w:color w:val="231F20"/>
        </w:rPr>
        <w:t xml:space="preserve">  </w:t>
      </w:r>
      <w:r>
        <w:rPr>
          <w:rFonts w:ascii="Microsoft YaHei" w:hAnsi="Microsoft YaHei" w:eastAsia="Microsoft YaHei" w:cs="Microsoft YaHei"/>
          <w:sz w:val="22"/>
          <w:szCs w:val="22"/>
          <w:color w:val="231F20"/>
        </w:rPr>
        <w:t>资料与方法</w:t>
      </w:r>
    </w:p>
    <w:p>
      <w:pPr>
        <w:pStyle w:val="BodyText"/>
        <w:ind w:left="727"/>
        <w:spacing w:before="47" w:line="220" w:lineRule="auto"/>
        <w:outlineLvl w:val="1"/>
        <w:rPr>
          <w:sz w:val="21"/>
          <w:szCs w:val="21"/>
        </w:rPr>
      </w:pPr>
      <w:r>
        <w:rPr>
          <w:sz w:val="21"/>
          <w:szCs w:val="21"/>
          <w:b/>
          <w:bCs/>
          <w:color w:val="231F20"/>
          <w:spacing w:val="-4"/>
        </w:rPr>
        <w:t>1.1</w:t>
      </w:r>
      <w:r>
        <w:rPr>
          <w:sz w:val="21"/>
          <w:szCs w:val="21"/>
          <w:color w:val="231F20"/>
          <w:spacing w:val="9"/>
        </w:rPr>
        <w:t xml:space="preserve">  </w:t>
      </w:r>
      <w:r>
        <w:rPr>
          <w:sz w:val="21"/>
          <w:szCs w:val="21"/>
          <w:color w:val="231F20"/>
          <w:spacing w:val="-4"/>
        </w:rPr>
        <w:t>临床资料</w:t>
      </w:r>
    </w:p>
    <w:p>
      <w:pPr>
        <w:pStyle w:val="BodyText"/>
        <w:ind w:left="700" w:right="315" w:firstLine="432"/>
        <w:spacing w:before="90" w:line="287" w:lineRule="auto"/>
        <w:rPr>
          <w:sz w:val="21"/>
          <w:szCs w:val="21"/>
        </w:rPr>
      </w:pPr>
      <w:r>
        <w:rPr>
          <w:sz w:val="21"/>
          <w:szCs w:val="21"/>
          <w:color w:val="231F20"/>
          <w:spacing w:val="12"/>
        </w:rPr>
        <w:t>选取2022年1月至2023年11月在医院进行治</w:t>
      </w:r>
      <w:r>
        <w:rPr>
          <w:sz w:val="21"/>
          <w:szCs w:val="21"/>
          <w:color w:val="231F20"/>
          <w:spacing w:val="7"/>
        </w:rPr>
        <w:t xml:space="preserve"> </w:t>
      </w:r>
      <w:r>
        <w:rPr>
          <w:sz w:val="21"/>
          <w:szCs w:val="21"/>
          <w:color w:val="231F20"/>
          <w:spacing w:val="9"/>
        </w:rPr>
        <w:t>疗的60例急性盆腔炎（湿热瘀结型）患者为研究</w:t>
      </w:r>
      <w:r>
        <w:rPr>
          <w:sz w:val="21"/>
          <w:szCs w:val="21"/>
          <w:color w:val="231F20"/>
          <w:spacing w:val="6"/>
        </w:rPr>
        <w:t xml:space="preserve"> </w:t>
      </w:r>
      <w:r>
        <w:rPr>
          <w:sz w:val="21"/>
          <w:szCs w:val="21"/>
          <w:color w:val="231F20"/>
          <w:spacing w:val="8"/>
        </w:rPr>
        <w:t>对象，根据随机数字表法分为对照组与观察组，</w:t>
      </w:r>
      <w:r>
        <w:rPr>
          <w:sz w:val="21"/>
          <w:szCs w:val="21"/>
          <w:color w:val="231F20"/>
        </w:rPr>
        <w:t xml:space="preserve"> </w:t>
      </w:r>
      <w:r>
        <w:rPr>
          <w:sz w:val="21"/>
          <w:szCs w:val="21"/>
          <w:color w:val="231F20"/>
          <w:spacing w:val="2"/>
        </w:rPr>
        <w:t>每组30例。对照组平均年龄（45.72±5.28）岁；</w:t>
      </w:r>
      <w:r>
        <w:rPr>
          <w:sz w:val="21"/>
          <w:szCs w:val="21"/>
          <w:color w:val="231F20"/>
          <w:spacing w:val="11"/>
        </w:rPr>
        <w:t xml:space="preserve"> </w:t>
      </w:r>
      <w:r>
        <w:rPr>
          <w:sz w:val="21"/>
          <w:szCs w:val="21"/>
          <w:color w:val="231F20"/>
          <w:spacing w:val="12"/>
        </w:rPr>
        <w:t>平均病程（13.79±2.12）个月；17例</w:t>
      </w:r>
      <w:r>
        <w:rPr>
          <w:sz w:val="21"/>
          <w:szCs w:val="21"/>
          <w:color w:val="231F20"/>
          <w:spacing w:val="11"/>
        </w:rPr>
        <w:t>患者有生</w:t>
      </w:r>
      <w:r>
        <w:rPr>
          <w:sz w:val="21"/>
          <w:szCs w:val="21"/>
          <w:color w:val="231F20"/>
        </w:rPr>
        <w:t xml:space="preserve"> </w:t>
      </w:r>
      <w:r>
        <w:rPr>
          <w:sz w:val="21"/>
          <w:szCs w:val="21"/>
          <w:color w:val="231F20"/>
          <w:spacing w:val="31"/>
        </w:rPr>
        <w:t>育史，13例患者无生育史。治疗组平均年龄</w:t>
      </w:r>
      <w:r>
        <w:rPr>
          <w:sz w:val="21"/>
          <w:szCs w:val="21"/>
          <w:color w:val="231F20"/>
          <w:spacing w:val="4"/>
        </w:rPr>
        <w:t xml:space="preserve"> </w:t>
      </w:r>
      <w:r>
        <w:rPr>
          <w:sz w:val="21"/>
          <w:szCs w:val="21"/>
          <w:color w:val="231F20"/>
        </w:rPr>
        <w:t>（46.03±5.27）岁；平均病程（14.02±</w:t>
      </w:r>
      <w:r>
        <w:rPr>
          <w:sz w:val="21"/>
          <w:szCs w:val="21"/>
          <w:color w:val="231F20"/>
          <w:spacing w:val="-1"/>
        </w:rPr>
        <w:t>2.27）个</w:t>
      </w:r>
      <w:r>
        <w:rPr>
          <w:sz w:val="21"/>
          <w:szCs w:val="21"/>
          <w:color w:val="231F20"/>
        </w:rPr>
        <w:t xml:space="preserve"> </w:t>
      </w:r>
      <w:r>
        <w:rPr>
          <w:sz w:val="21"/>
          <w:szCs w:val="21"/>
          <w:color w:val="231F20"/>
          <w:spacing w:val="7"/>
        </w:rPr>
        <w:t>月；有19例患者有生育史，11例患者无生育史。</w:t>
      </w:r>
      <w:r>
        <w:rPr>
          <w:sz w:val="21"/>
          <w:szCs w:val="21"/>
          <w:color w:val="231F20"/>
          <w:spacing w:val="17"/>
        </w:rPr>
        <w:t xml:space="preserve"> </w:t>
      </w:r>
      <w:r>
        <w:rPr>
          <w:sz w:val="21"/>
          <w:szCs w:val="21"/>
          <w:color w:val="231F20"/>
          <w:spacing w:val="32"/>
        </w:rPr>
        <w:t>两组患者一般资料比较，差异无统计学意义</w:t>
      </w:r>
      <w:r>
        <w:rPr>
          <w:sz w:val="21"/>
          <w:szCs w:val="21"/>
          <w:color w:val="231F20"/>
          <w:spacing w:val="16"/>
        </w:rPr>
        <w:t xml:space="preserve"> </w:t>
      </w:r>
      <w:r>
        <w:rPr>
          <w:sz w:val="21"/>
          <w:szCs w:val="21"/>
          <w:color w:val="231F20"/>
          <w:spacing w:val="2"/>
        </w:rPr>
        <w:t>（</w:t>
      </w:r>
      <w:r>
        <w:rPr>
          <w:rFonts w:ascii="Times New Roman" w:hAnsi="Times New Roman" w:eastAsia="Times New Roman" w:cs="Times New Roman"/>
          <w:sz w:val="21"/>
          <w:szCs w:val="21"/>
          <w:i/>
          <w:iCs/>
          <w:color w:val="231F20"/>
          <w:spacing w:val="2"/>
        </w:rPr>
        <w:t>P</w:t>
      </w:r>
      <w:r>
        <w:rPr>
          <w:sz w:val="21"/>
          <w:szCs w:val="21"/>
          <w:color w:val="231F20"/>
          <w:spacing w:val="2"/>
        </w:rPr>
        <w:t>＞0.05</w:t>
      </w:r>
      <w:r>
        <w:rPr>
          <w:sz w:val="21"/>
          <w:szCs w:val="21"/>
          <w:color w:val="231F20"/>
          <w:spacing w:val="-12"/>
        </w:rPr>
        <w:t>）</w:t>
      </w:r>
      <w:r>
        <w:rPr>
          <w:sz w:val="21"/>
          <w:szCs w:val="21"/>
          <w:color w:val="231F20"/>
          <w:spacing w:val="-49"/>
        </w:rPr>
        <w:t xml:space="preserve"> </w:t>
      </w:r>
      <w:r>
        <w:rPr>
          <w:sz w:val="21"/>
          <w:szCs w:val="21"/>
          <w:color w:val="231F20"/>
          <w:spacing w:val="-12"/>
        </w:rPr>
        <w:t>，</w:t>
      </w:r>
      <w:r>
        <w:rPr>
          <w:sz w:val="21"/>
          <w:szCs w:val="21"/>
          <w:color w:val="231F20"/>
          <w:spacing w:val="2"/>
        </w:rPr>
        <w:t>具有可比性。本研究经医学伦理委</w:t>
      </w:r>
      <w:r>
        <w:rPr>
          <w:sz w:val="21"/>
          <w:szCs w:val="21"/>
          <w:color w:val="231F20"/>
        </w:rPr>
        <w:t xml:space="preserve"> </w:t>
      </w:r>
      <w:r>
        <w:rPr>
          <w:sz w:val="21"/>
          <w:szCs w:val="21"/>
          <w:color w:val="231F20"/>
          <w:spacing w:val="-3"/>
        </w:rPr>
        <w:t>员会批准。</w:t>
      </w:r>
    </w:p>
    <w:p>
      <w:pPr>
        <w:pStyle w:val="BodyText"/>
        <w:ind w:left="712" w:right="315" w:firstLine="424"/>
        <w:spacing w:before="30" w:line="290" w:lineRule="auto"/>
        <w:jc w:val="both"/>
        <w:rPr>
          <w:sz w:val="21"/>
          <w:szCs w:val="21"/>
        </w:rPr>
      </w:pPr>
      <w:r>
        <w:rPr>
          <w:sz w:val="21"/>
          <w:szCs w:val="21"/>
          <w:color w:val="231F20"/>
          <w:spacing w:val="22"/>
        </w:rPr>
        <w:t>纳入标准：①西医诊断参照《中华妇产科</w:t>
      </w:r>
      <w:r>
        <w:rPr>
          <w:sz w:val="21"/>
          <w:szCs w:val="21"/>
          <w:color w:val="231F20"/>
          <w:spacing w:val="2"/>
        </w:rPr>
        <w:t xml:space="preserve"> </w:t>
      </w:r>
      <w:r>
        <w:rPr>
          <w:sz w:val="21"/>
          <w:szCs w:val="21"/>
          <w:color w:val="231F20"/>
          <w:spacing w:val="-4"/>
          <w:position w:val="-1"/>
        </w:rPr>
        <w:t>学》</w:t>
      </w:r>
      <w:r>
        <w:rPr>
          <w:sz w:val="12"/>
          <w:szCs w:val="12"/>
          <w:color w:val="231F20"/>
          <w:spacing w:val="-4"/>
          <w:position w:val="8"/>
        </w:rPr>
        <w:t>[4]</w:t>
      </w:r>
      <w:r>
        <w:rPr>
          <w:sz w:val="21"/>
          <w:szCs w:val="21"/>
          <w:color w:val="231F20"/>
          <w:spacing w:val="-4"/>
          <w:position w:val="-1"/>
        </w:rPr>
        <w:t>，中医诊断参照《中医妇科学》 </w:t>
      </w:r>
      <w:r>
        <w:rPr>
          <w:sz w:val="12"/>
          <w:szCs w:val="12"/>
          <w:color w:val="231F20"/>
          <w:spacing w:val="-4"/>
          <w:position w:val="8"/>
        </w:rPr>
        <w:t>[5]</w:t>
      </w:r>
      <w:r>
        <w:rPr>
          <w:sz w:val="12"/>
          <w:szCs w:val="12"/>
          <w:color w:val="231F20"/>
          <w:spacing w:val="-21"/>
          <w:position w:val="8"/>
        </w:rPr>
        <w:t xml:space="preserve"> </w:t>
      </w:r>
      <w:r>
        <w:rPr>
          <w:sz w:val="21"/>
          <w:szCs w:val="21"/>
          <w:color w:val="231F20"/>
          <w:spacing w:val="-5"/>
          <w:position w:val="-1"/>
        </w:rPr>
        <w:t>；②自愿</w:t>
      </w:r>
      <w:r>
        <w:rPr>
          <w:sz w:val="21"/>
          <w:szCs w:val="21"/>
          <w:color w:val="231F20"/>
          <w:position w:val="-1"/>
        </w:rPr>
        <w:t xml:space="preserve"> </w:t>
      </w:r>
      <w:r>
        <w:rPr>
          <w:sz w:val="21"/>
          <w:szCs w:val="21"/>
          <w:color w:val="231F20"/>
          <w:spacing w:val="9"/>
        </w:rPr>
        <w:t>参与研究，并签署知情同意书。排除标准：①伴</w:t>
      </w:r>
      <w:r>
        <w:rPr>
          <w:sz w:val="21"/>
          <w:szCs w:val="21"/>
          <w:color w:val="231F20"/>
          <w:spacing w:val="4"/>
        </w:rPr>
        <w:t xml:space="preserve"> </w:t>
      </w:r>
      <w:r>
        <w:rPr>
          <w:sz w:val="21"/>
          <w:szCs w:val="21"/>
          <w:color w:val="231F20"/>
          <w:spacing w:val="20"/>
        </w:rPr>
        <w:t>有严重肝、肾、心、肺、神经系统等器官疾病</w:t>
      </w:r>
      <w:r>
        <w:rPr>
          <w:sz w:val="21"/>
          <w:szCs w:val="21"/>
          <w:color w:val="231F20"/>
          <w:spacing w:val="3"/>
        </w:rPr>
        <w:t xml:space="preserve"> </w:t>
      </w:r>
      <w:r>
        <w:rPr>
          <w:sz w:val="21"/>
          <w:szCs w:val="21"/>
          <w:color w:val="231F20"/>
          <w:spacing w:val="-2"/>
        </w:rPr>
        <w:t>者；②伴有严重精神疾病或智力缺陷者。</w:t>
      </w:r>
    </w:p>
    <w:p>
      <w:pPr>
        <w:pStyle w:val="BodyText"/>
        <w:ind w:left="727"/>
        <w:spacing w:before="1" w:line="220" w:lineRule="auto"/>
        <w:outlineLvl w:val="1"/>
        <w:rPr>
          <w:sz w:val="21"/>
          <w:szCs w:val="21"/>
        </w:rPr>
      </w:pPr>
      <w:r>
        <w:rPr>
          <w:sz w:val="21"/>
          <w:szCs w:val="21"/>
          <w:b/>
          <w:bCs/>
          <w:color w:val="231F20"/>
          <w:spacing w:val="-4"/>
        </w:rPr>
        <w:t>1.2</w:t>
      </w:r>
      <w:r>
        <w:rPr>
          <w:sz w:val="21"/>
          <w:szCs w:val="21"/>
          <w:color w:val="231F20"/>
          <w:spacing w:val="5"/>
        </w:rPr>
        <w:t xml:space="preserve">  </w:t>
      </w:r>
      <w:r>
        <w:rPr>
          <w:sz w:val="21"/>
          <w:szCs w:val="21"/>
          <w:color w:val="231F20"/>
          <w:spacing w:val="-4"/>
        </w:rPr>
        <w:t>方法</w:t>
      </w:r>
    </w:p>
    <w:p>
      <w:pPr>
        <w:pStyle w:val="BodyText"/>
        <w:ind w:left="713" w:right="315" w:firstLine="420"/>
        <w:spacing w:before="83" w:line="290" w:lineRule="auto"/>
        <w:jc w:val="both"/>
        <w:rPr>
          <w:sz w:val="21"/>
          <w:szCs w:val="21"/>
        </w:rPr>
      </w:pPr>
      <w:r>
        <w:rPr>
          <w:sz w:val="21"/>
          <w:szCs w:val="21"/>
          <w:color w:val="231F20"/>
          <w:spacing w:val="10"/>
        </w:rPr>
        <w:t>对照组接受常规西药治疗，给予患者甲磺酸</w:t>
      </w:r>
      <w:r>
        <w:rPr>
          <w:sz w:val="21"/>
          <w:szCs w:val="21"/>
          <w:color w:val="231F20"/>
          <w:spacing w:val="2"/>
        </w:rPr>
        <w:t xml:space="preserve"> </w:t>
      </w:r>
      <w:r>
        <w:rPr>
          <w:sz w:val="21"/>
          <w:szCs w:val="21"/>
          <w:color w:val="231F20"/>
          <w:spacing w:val="9"/>
        </w:rPr>
        <w:t>左氧氟沙星氯化钠注射液（华润双鹤药业股份有</w:t>
      </w:r>
      <w:r>
        <w:rPr>
          <w:sz w:val="21"/>
          <w:szCs w:val="21"/>
          <w:color w:val="231F20"/>
          <w:spacing w:val="4"/>
        </w:rPr>
        <w:t xml:space="preserve"> </w:t>
      </w:r>
      <w:r>
        <w:rPr>
          <w:sz w:val="21"/>
          <w:szCs w:val="21"/>
          <w:color w:val="231F20"/>
          <w:spacing w:val="7"/>
        </w:rPr>
        <w:t>限公司，国药准字H20065141，规格：0.5</w:t>
      </w:r>
      <w:r>
        <w:rPr>
          <w:sz w:val="21"/>
          <w:szCs w:val="21"/>
          <w:color w:val="231F20"/>
          <w:spacing w:val="6"/>
        </w:rPr>
        <w:t xml:space="preserve"> g）静</w:t>
      </w:r>
      <w:r>
        <w:rPr>
          <w:sz w:val="21"/>
          <w:szCs w:val="21"/>
          <w:color w:val="231F20"/>
        </w:rPr>
        <w:t xml:space="preserve"> </w:t>
      </w:r>
      <w:r>
        <w:rPr>
          <w:sz w:val="21"/>
          <w:szCs w:val="21"/>
          <w:color w:val="231F20"/>
          <w:spacing w:val="7"/>
        </w:rPr>
        <w:t>脉注射，每次0.5 g，每日1次。奥硝唑氯化钠注</w:t>
      </w:r>
      <w:r>
        <w:rPr>
          <w:sz w:val="21"/>
          <w:szCs w:val="21"/>
          <w:color w:val="231F20"/>
          <w:spacing w:val="13"/>
        </w:rPr>
        <w:t xml:space="preserve"> </w:t>
      </w:r>
      <w:r>
        <w:rPr>
          <w:sz w:val="21"/>
          <w:szCs w:val="21"/>
          <w:color w:val="231F20"/>
          <w:spacing w:val="20"/>
        </w:rPr>
        <w:t>射液（四川科伦药业股份有限公司，国药准字</w:t>
      </w:r>
      <w:r>
        <w:rPr>
          <w:sz w:val="21"/>
          <w:szCs w:val="21"/>
          <w:color w:val="231F20"/>
          <w:spacing w:val="2"/>
        </w:rPr>
        <w:t xml:space="preserve"> </w:t>
      </w:r>
      <w:r>
        <w:rPr>
          <w:sz w:val="21"/>
          <w:szCs w:val="21"/>
          <w:color w:val="231F20"/>
          <w:spacing w:val="1"/>
        </w:rPr>
        <w:t>H20060634，规格：100</w:t>
      </w:r>
      <w:r>
        <w:rPr>
          <w:sz w:val="21"/>
          <w:szCs w:val="21"/>
          <w:color w:val="231F20"/>
          <w:spacing w:val="-23"/>
        </w:rPr>
        <w:t xml:space="preserve"> </w:t>
      </w:r>
      <w:r>
        <w:rPr>
          <w:sz w:val="21"/>
          <w:szCs w:val="21"/>
          <w:color w:val="231F20"/>
        </w:rPr>
        <w:t>ml</w:t>
      </w:r>
      <w:r>
        <w:rPr>
          <w:sz w:val="21"/>
          <w:szCs w:val="21"/>
          <w:color w:val="231F20"/>
          <w:spacing w:val="1"/>
        </w:rPr>
        <w:t>∶奥硝唑0.5</w:t>
      </w:r>
      <w:r>
        <w:rPr>
          <w:sz w:val="21"/>
          <w:szCs w:val="21"/>
          <w:color w:val="231F20"/>
          <w:spacing w:val="-24"/>
        </w:rPr>
        <w:t xml:space="preserve"> </w:t>
      </w:r>
      <w:r>
        <w:rPr>
          <w:sz w:val="21"/>
          <w:szCs w:val="21"/>
          <w:color w:val="231F20"/>
          <w:spacing w:val="1"/>
        </w:rPr>
        <w:t>g与氯化钠</w:t>
      </w:r>
      <w:r>
        <w:rPr>
          <w:sz w:val="21"/>
          <w:szCs w:val="21"/>
          <w:color w:val="231F20"/>
        </w:rPr>
        <w:t xml:space="preserve"> </w:t>
      </w:r>
      <w:r>
        <w:rPr>
          <w:sz w:val="21"/>
          <w:szCs w:val="21"/>
          <w:color w:val="231F20"/>
          <w:spacing w:val="-7"/>
        </w:rPr>
        <w:t>0.9</w:t>
      </w:r>
      <w:r>
        <w:rPr>
          <w:sz w:val="21"/>
          <w:szCs w:val="21"/>
          <w:color w:val="231F20"/>
          <w:spacing w:val="-46"/>
        </w:rPr>
        <w:t xml:space="preserve"> </w:t>
      </w:r>
      <w:r>
        <w:rPr>
          <w:sz w:val="21"/>
          <w:szCs w:val="21"/>
          <w:color w:val="231F20"/>
          <w:spacing w:val="-7"/>
        </w:rPr>
        <w:t>g）静脉注射，每次0.5</w:t>
      </w:r>
      <w:r>
        <w:rPr>
          <w:sz w:val="21"/>
          <w:szCs w:val="21"/>
          <w:color w:val="231F20"/>
          <w:spacing w:val="-47"/>
        </w:rPr>
        <w:t xml:space="preserve"> </w:t>
      </w:r>
      <w:r>
        <w:rPr>
          <w:sz w:val="21"/>
          <w:szCs w:val="21"/>
          <w:color w:val="231F20"/>
          <w:spacing w:val="-7"/>
        </w:rPr>
        <w:t>g，每12小时1次。</w:t>
      </w:r>
    </w:p>
    <w:p>
      <w:pPr>
        <w:pStyle w:val="BodyText"/>
        <w:ind w:left="713" w:right="315" w:firstLine="423"/>
        <w:spacing w:before="7" w:line="287" w:lineRule="auto"/>
        <w:rPr>
          <w:sz w:val="21"/>
          <w:szCs w:val="21"/>
        </w:rPr>
      </w:pPr>
      <w:r>
        <w:rPr>
          <w:sz w:val="21"/>
          <w:szCs w:val="21"/>
          <w:color w:val="231F20"/>
          <w:spacing w:val="10"/>
        </w:rPr>
        <w:t>治疗组在对照组基础上接受自拟清化止痛汤</w:t>
      </w:r>
      <w:r>
        <w:rPr>
          <w:sz w:val="21"/>
          <w:szCs w:val="21"/>
          <w:color w:val="231F20"/>
        </w:rPr>
        <w:t xml:space="preserve"> </w:t>
      </w:r>
      <w:r>
        <w:rPr>
          <w:sz w:val="21"/>
          <w:szCs w:val="21"/>
          <w:color w:val="231F20"/>
          <w:spacing w:val="20"/>
        </w:rPr>
        <w:t>联合中药灌肠治疗。中药灌肠组成成分：败酱</w:t>
      </w:r>
      <w:r>
        <w:rPr>
          <w:sz w:val="21"/>
          <w:szCs w:val="21"/>
          <w:color w:val="231F20"/>
          <w:spacing w:val="2"/>
        </w:rPr>
        <w:t xml:space="preserve"> </w:t>
      </w:r>
      <w:r>
        <w:rPr>
          <w:sz w:val="21"/>
          <w:szCs w:val="21"/>
          <w:color w:val="231F20"/>
          <w:spacing w:val="7"/>
        </w:rPr>
        <w:t>草、夏枯草各30 g，连翘、艾叶各20 g</w:t>
      </w:r>
      <w:r>
        <w:rPr>
          <w:sz w:val="21"/>
          <w:szCs w:val="21"/>
          <w:color w:val="231F20"/>
          <w:spacing w:val="6"/>
        </w:rPr>
        <w:t>，赤芍、</w:t>
      </w:r>
      <w:r>
        <w:rPr>
          <w:sz w:val="21"/>
          <w:szCs w:val="21"/>
          <w:color w:val="231F20"/>
        </w:rPr>
        <w:t xml:space="preserve"> </w:t>
      </w:r>
      <w:r>
        <w:rPr>
          <w:sz w:val="21"/>
          <w:szCs w:val="21"/>
          <w:color w:val="231F20"/>
          <w:spacing w:val="8"/>
        </w:rPr>
        <w:t>牡丹皮、大血藤各15 g，丹参、大黄、</w:t>
      </w:r>
      <w:r>
        <w:rPr>
          <w:sz w:val="21"/>
          <w:szCs w:val="21"/>
          <w:color w:val="231F20"/>
          <w:spacing w:val="7"/>
        </w:rPr>
        <w:t>三棱、莪</w:t>
      </w:r>
      <w:r>
        <w:rPr>
          <w:sz w:val="21"/>
          <w:szCs w:val="21"/>
          <w:color w:val="231F20"/>
        </w:rPr>
        <w:t xml:space="preserve"> </w:t>
      </w:r>
      <w:r>
        <w:rPr>
          <w:sz w:val="21"/>
          <w:szCs w:val="21"/>
          <w:color w:val="231F20"/>
          <w:spacing w:val="1"/>
        </w:rPr>
        <w:t>术、木香、昆布各10</w:t>
      </w:r>
      <w:r>
        <w:rPr>
          <w:sz w:val="21"/>
          <w:szCs w:val="21"/>
          <w:color w:val="231F20"/>
          <w:spacing w:val="-17"/>
        </w:rPr>
        <w:t xml:space="preserve"> </w:t>
      </w:r>
      <w:r>
        <w:rPr>
          <w:sz w:val="21"/>
          <w:szCs w:val="21"/>
          <w:color w:val="231F20"/>
          <w:spacing w:val="1"/>
        </w:rPr>
        <w:t>g。用清水浓煎至100</w:t>
      </w:r>
      <w:r>
        <w:rPr>
          <w:sz w:val="21"/>
          <w:szCs w:val="21"/>
          <w:color w:val="231F20"/>
          <w:spacing w:val="-25"/>
        </w:rPr>
        <w:t xml:space="preserve"> </w:t>
      </w:r>
      <w:r>
        <w:rPr>
          <w:sz w:val="21"/>
          <w:szCs w:val="21"/>
          <w:color w:val="231F20"/>
        </w:rPr>
        <w:t>ml</w:t>
      </w:r>
      <w:r>
        <w:rPr>
          <w:sz w:val="21"/>
          <w:szCs w:val="21"/>
          <w:color w:val="231F20"/>
          <w:spacing w:val="1"/>
        </w:rPr>
        <w:t>，将</w:t>
      </w:r>
      <w:r>
        <w:rPr>
          <w:sz w:val="21"/>
          <w:szCs w:val="21"/>
          <w:color w:val="231F20"/>
        </w:rPr>
        <w:t xml:space="preserve"> </w:t>
      </w:r>
      <w:r>
        <w:rPr>
          <w:sz w:val="21"/>
          <w:szCs w:val="21"/>
          <w:color w:val="231F20"/>
          <w:spacing w:val="6"/>
        </w:rPr>
        <w:t>药液温热至38</w:t>
      </w:r>
      <w:r>
        <w:rPr>
          <w:sz w:val="21"/>
          <w:szCs w:val="21"/>
          <w:color w:val="231F20"/>
          <w:spacing w:val="-16"/>
        </w:rPr>
        <w:t xml:space="preserve"> </w:t>
      </w:r>
      <w:r>
        <w:rPr>
          <w:sz w:val="21"/>
          <w:szCs w:val="21"/>
          <w:color w:val="231F20"/>
          <w:spacing w:val="6"/>
        </w:rPr>
        <w:t>℃</w:t>
      </w:r>
      <w:r>
        <w:rPr>
          <w:sz w:val="21"/>
          <w:szCs w:val="21"/>
          <w:color w:val="231F20"/>
          <w:spacing w:val="-46"/>
        </w:rPr>
        <w:t xml:space="preserve"> </w:t>
      </w:r>
      <w:r>
        <w:rPr>
          <w:sz w:val="21"/>
          <w:szCs w:val="21"/>
          <w:color w:val="231F20"/>
          <w:spacing w:val="6"/>
        </w:rPr>
        <w:t>~40 ℃,于睡前灌肠（非经</w:t>
      </w:r>
      <w:r>
        <w:rPr>
          <w:sz w:val="21"/>
          <w:szCs w:val="21"/>
          <w:color w:val="231F20"/>
          <w:spacing w:val="5"/>
        </w:rPr>
        <w:t>期使</w:t>
      </w:r>
      <w:r>
        <w:rPr>
          <w:sz w:val="21"/>
          <w:szCs w:val="21"/>
          <w:color w:val="231F20"/>
        </w:rPr>
        <w:t xml:space="preserve"> </w:t>
      </w:r>
      <w:r>
        <w:rPr>
          <w:sz w:val="21"/>
          <w:szCs w:val="21"/>
          <w:color w:val="231F20"/>
          <w:spacing w:val="3"/>
        </w:rPr>
        <w:t>用）。1周为1个疗程，共治疗2个疗程。自拟清化</w:t>
      </w:r>
      <w:r>
        <w:rPr>
          <w:sz w:val="21"/>
          <w:szCs w:val="21"/>
          <w:color w:val="231F20"/>
          <w:spacing w:val="16"/>
        </w:rPr>
        <w:t xml:space="preserve"> </w:t>
      </w:r>
      <w:r>
        <w:rPr>
          <w:sz w:val="21"/>
          <w:szCs w:val="21"/>
          <w:color w:val="231F20"/>
          <w:spacing w:val="8"/>
        </w:rPr>
        <w:t>止痛汤组方成分：大血藤、败酱草、薏苡仁各30</w:t>
      </w:r>
    </w:p>
    <w:p>
      <w:pPr>
        <w:pStyle w:val="BodyText"/>
        <w:ind w:left="716"/>
        <w:spacing w:before="16" w:line="241" w:lineRule="auto"/>
        <w:rPr>
          <w:sz w:val="21"/>
          <w:szCs w:val="21"/>
        </w:rPr>
      </w:pPr>
      <w:r>
        <w:rPr>
          <w:sz w:val="21"/>
          <w:szCs w:val="21"/>
          <w:color w:val="231F20"/>
          <w:spacing w:val="-1"/>
        </w:rPr>
        <w:t>g，醋延胡索 、续断 、桑寄生各15 g，当归 、赤</w:t>
      </w:r>
    </w:p>
    <w:p>
      <w:pPr>
        <w:spacing w:line="85" w:lineRule="exact"/>
        <w:rPr/>
      </w:pPr>
      <w:r/>
    </w:p>
    <w:p>
      <w:pPr>
        <w:spacing w:line="14" w:lineRule="auto"/>
        <w:rPr>
          <w:rFonts w:ascii="Arial"/>
          <w:sz w:val="2"/>
        </w:rPr>
      </w:pPr>
      <w:r>
        <w:rPr>
          <w:rFonts w:ascii="Arial" w:hAnsi="Arial" w:eastAsia="Arial" w:cs="Arial"/>
          <w:sz w:val="2"/>
          <w:szCs w:val="2"/>
        </w:rPr>
        <w:br w:type="column"/>
      </w:r>
    </w:p>
    <w:p>
      <w:pPr>
        <w:pStyle w:val="BodyText"/>
        <w:ind w:left="12" w:firstLine="3"/>
        <w:spacing w:before="48" w:line="281" w:lineRule="auto"/>
        <w:jc w:val="both"/>
        <w:rPr>
          <w:sz w:val="21"/>
          <w:szCs w:val="21"/>
        </w:rPr>
      </w:pPr>
      <w:r>
        <w:rPr>
          <w:sz w:val="21"/>
          <w:szCs w:val="21"/>
          <w:color w:val="231F20"/>
          <w:spacing w:val="-3"/>
        </w:rPr>
        <w:t>芍、白芍、</w:t>
      </w:r>
      <w:r>
        <w:rPr>
          <w:sz w:val="21"/>
          <w:szCs w:val="21"/>
          <w:color w:val="231F20"/>
          <w:spacing w:val="-26"/>
        </w:rPr>
        <w:t xml:space="preserve"> </w:t>
      </w:r>
      <w:r>
        <w:rPr>
          <w:sz w:val="21"/>
          <w:szCs w:val="21"/>
          <w:color w:val="231F20"/>
          <w:spacing w:val="-3"/>
        </w:rPr>
        <w:t>生山楂 、茯苓 、醋五灵脂各</w:t>
      </w:r>
      <w:r>
        <w:rPr>
          <w:sz w:val="21"/>
          <w:szCs w:val="21"/>
          <w:color w:val="231F20"/>
          <w:spacing w:val="-4"/>
        </w:rPr>
        <w:t>10</w:t>
      </w:r>
      <w:r>
        <w:rPr>
          <w:sz w:val="21"/>
          <w:szCs w:val="21"/>
          <w:color w:val="231F20"/>
          <w:spacing w:val="-22"/>
        </w:rPr>
        <w:t xml:space="preserve"> </w:t>
      </w:r>
      <w:r>
        <w:rPr>
          <w:sz w:val="21"/>
          <w:szCs w:val="21"/>
          <w:color w:val="231F20"/>
          <w:spacing w:val="-4"/>
        </w:rPr>
        <w:t>g，木</w:t>
      </w:r>
      <w:r>
        <w:rPr>
          <w:sz w:val="21"/>
          <w:szCs w:val="21"/>
          <w:color w:val="231F20"/>
        </w:rPr>
        <w:t xml:space="preserve"> </w:t>
      </w:r>
      <w:r>
        <w:rPr>
          <w:sz w:val="21"/>
          <w:szCs w:val="21"/>
          <w:color w:val="231F20"/>
          <w:spacing w:val="1"/>
        </w:rPr>
        <w:t>香6</w:t>
      </w:r>
      <w:r>
        <w:rPr>
          <w:sz w:val="21"/>
          <w:szCs w:val="21"/>
          <w:color w:val="231F20"/>
          <w:spacing w:val="-18"/>
        </w:rPr>
        <w:t xml:space="preserve"> </w:t>
      </w:r>
      <w:r>
        <w:rPr>
          <w:sz w:val="21"/>
          <w:szCs w:val="21"/>
          <w:color w:val="231F20"/>
          <w:spacing w:val="1"/>
        </w:rPr>
        <w:t>g 。清水煎服，煎煮至300</w:t>
      </w:r>
      <w:r>
        <w:rPr>
          <w:sz w:val="21"/>
          <w:szCs w:val="21"/>
          <w:color w:val="231F20"/>
          <w:spacing w:val="-22"/>
        </w:rPr>
        <w:t xml:space="preserve"> </w:t>
      </w:r>
      <w:r>
        <w:rPr>
          <w:sz w:val="21"/>
          <w:szCs w:val="21"/>
          <w:color w:val="231F20"/>
        </w:rPr>
        <w:t>ml</w:t>
      </w:r>
      <w:r>
        <w:rPr>
          <w:sz w:val="21"/>
          <w:szCs w:val="21"/>
          <w:color w:val="231F20"/>
          <w:spacing w:val="1"/>
        </w:rPr>
        <w:t>，分别于早晚温</w:t>
      </w:r>
      <w:r>
        <w:rPr>
          <w:sz w:val="21"/>
          <w:szCs w:val="21"/>
          <w:color w:val="231F20"/>
        </w:rPr>
        <w:t xml:space="preserve"> </w:t>
      </w:r>
      <w:r>
        <w:rPr>
          <w:sz w:val="21"/>
          <w:szCs w:val="21"/>
          <w:color w:val="231F20"/>
          <w:spacing w:val="-4"/>
        </w:rPr>
        <w:t>服，共治疗2周。</w:t>
      </w:r>
    </w:p>
    <w:p>
      <w:pPr>
        <w:pStyle w:val="BodyText"/>
        <w:ind w:left="26"/>
        <w:spacing w:before="30" w:line="220" w:lineRule="auto"/>
        <w:rPr>
          <w:sz w:val="21"/>
          <w:szCs w:val="21"/>
        </w:rPr>
      </w:pPr>
      <w:r>
        <w:rPr>
          <w:sz w:val="21"/>
          <w:szCs w:val="21"/>
          <w:b/>
          <w:bCs/>
          <w:color w:val="231F20"/>
          <w:spacing w:val="-1"/>
        </w:rPr>
        <w:t>1.3</w:t>
      </w:r>
      <w:r>
        <w:rPr>
          <w:sz w:val="21"/>
          <w:szCs w:val="21"/>
          <w:color w:val="231F20"/>
          <w:spacing w:val="-1"/>
        </w:rPr>
        <w:t xml:space="preserve">  观察指标及判定标准</w:t>
      </w:r>
    </w:p>
    <w:p>
      <w:pPr>
        <w:pStyle w:val="BodyText"/>
        <w:ind w:left="11" w:firstLine="421"/>
        <w:spacing w:before="78" w:line="282" w:lineRule="auto"/>
        <w:rPr>
          <w:sz w:val="21"/>
          <w:szCs w:val="21"/>
        </w:rPr>
      </w:pPr>
      <w:r>
        <w:rPr>
          <w:sz w:val="21"/>
          <w:szCs w:val="21"/>
          <w:color w:val="231F20"/>
          <w:spacing w:val="10"/>
        </w:rPr>
        <w:t>①临床症状缓解时间。包括腹痛、白带以及</w:t>
      </w:r>
      <w:r>
        <w:rPr>
          <w:sz w:val="21"/>
          <w:szCs w:val="21"/>
          <w:color w:val="231F20"/>
          <w:spacing w:val="1"/>
        </w:rPr>
        <w:t xml:space="preserve"> </w:t>
      </w:r>
      <w:r>
        <w:rPr>
          <w:sz w:val="21"/>
          <w:szCs w:val="21"/>
          <w:color w:val="231F20"/>
          <w:spacing w:val="20"/>
        </w:rPr>
        <w:t>乏力。②中医证候积分。主要症状包括小腹刺</w:t>
      </w:r>
      <w:r>
        <w:rPr>
          <w:sz w:val="21"/>
          <w:szCs w:val="21"/>
          <w:color w:val="231F20"/>
          <w:spacing w:val="3"/>
        </w:rPr>
        <w:t xml:space="preserve"> </w:t>
      </w:r>
      <w:r>
        <w:rPr>
          <w:sz w:val="21"/>
          <w:szCs w:val="21"/>
          <w:color w:val="231F20"/>
          <w:spacing w:val="8"/>
        </w:rPr>
        <w:t>痛、腰骶胀痛和带下异常，评分0～6分，评分越</w:t>
      </w:r>
      <w:r>
        <w:rPr>
          <w:sz w:val="21"/>
          <w:szCs w:val="21"/>
          <w:color w:val="231F20"/>
          <w:spacing w:val="17"/>
        </w:rPr>
        <w:t xml:space="preserve"> </w:t>
      </w:r>
      <w:r>
        <w:rPr>
          <w:sz w:val="21"/>
          <w:szCs w:val="21"/>
          <w:color w:val="231F20"/>
          <w:spacing w:val="9"/>
        </w:rPr>
        <w:t>高表示症状越严重。次要症状包括经期腹痛、月</w:t>
      </w:r>
      <w:r>
        <w:rPr>
          <w:sz w:val="21"/>
          <w:szCs w:val="21"/>
          <w:color w:val="231F20"/>
          <w:spacing w:val="4"/>
        </w:rPr>
        <w:t xml:space="preserve"> </w:t>
      </w:r>
      <w:r>
        <w:rPr>
          <w:sz w:val="21"/>
          <w:szCs w:val="21"/>
          <w:color w:val="231F20"/>
          <w:spacing w:val="7"/>
        </w:rPr>
        <w:t>经不调、胸胁或乳房胀痛以及情志抑郁或烦躁，</w:t>
      </w:r>
      <w:r>
        <w:rPr>
          <w:sz w:val="21"/>
          <w:szCs w:val="21"/>
          <w:color w:val="231F20"/>
          <w:spacing w:val="9"/>
        </w:rPr>
        <w:t xml:space="preserve"> </w:t>
      </w:r>
      <w:r>
        <w:rPr>
          <w:sz w:val="21"/>
          <w:szCs w:val="21"/>
          <w:color w:val="231F20"/>
          <w:spacing w:val="-1"/>
        </w:rPr>
        <w:t>评分0～3分，评分越高表示症状越严重。评分标准</w:t>
      </w:r>
      <w:r>
        <w:rPr>
          <w:sz w:val="21"/>
          <w:szCs w:val="21"/>
          <w:color w:val="231F20"/>
          <w:spacing w:val="5"/>
        </w:rPr>
        <w:t xml:space="preserve"> </w:t>
      </w:r>
      <w:r>
        <w:rPr>
          <w:sz w:val="21"/>
          <w:szCs w:val="21"/>
          <w:color w:val="231F20"/>
          <w:spacing w:val="-2"/>
        </w:rPr>
        <w:t>参照</w:t>
      </w:r>
      <w:r>
        <w:rPr>
          <w:sz w:val="21"/>
          <w:szCs w:val="21"/>
          <w:color w:val="231F20"/>
          <w:spacing w:val="-44"/>
        </w:rPr>
        <w:t xml:space="preserve"> </w:t>
      </w:r>
      <w:r>
        <w:rPr>
          <w:sz w:val="21"/>
          <w:szCs w:val="21"/>
          <w:color w:val="231F20"/>
          <w:spacing w:val="-2"/>
        </w:rPr>
        <w:t>《中药新药临床研究指导原则》</w:t>
      </w:r>
      <w:r>
        <w:rPr>
          <w:sz w:val="12"/>
          <w:szCs w:val="12"/>
          <w:color w:val="231F20"/>
          <w:spacing w:val="-2"/>
          <w:position w:val="9"/>
        </w:rPr>
        <w:t>[6]</w:t>
      </w:r>
      <w:r>
        <w:rPr>
          <w:sz w:val="21"/>
          <w:szCs w:val="21"/>
          <w:color w:val="231F20"/>
          <w:spacing w:val="-2"/>
        </w:rPr>
        <w:t>拟定。评估</w:t>
      </w:r>
      <w:r>
        <w:rPr>
          <w:sz w:val="21"/>
          <w:szCs w:val="21"/>
          <w:color w:val="231F20"/>
        </w:rPr>
        <w:t xml:space="preserve"> </w:t>
      </w:r>
      <w:r>
        <w:rPr>
          <w:sz w:val="21"/>
          <w:szCs w:val="21"/>
          <w:color w:val="231F20"/>
          <w:spacing w:val="7"/>
        </w:rPr>
        <w:t>时间为治疗前和治疗后。③不良反应发生情况，</w:t>
      </w:r>
      <w:r>
        <w:rPr>
          <w:sz w:val="21"/>
          <w:szCs w:val="21"/>
          <w:color w:val="231F20"/>
          <w:spacing w:val="10"/>
        </w:rPr>
        <w:t xml:space="preserve"> </w:t>
      </w:r>
      <w:r>
        <w:rPr>
          <w:sz w:val="21"/>
          <w:szCs w:val="21"/>
          <w:color w:val="231F20"/>
          <w:spacing w:val="-5"/>
        </w:rPr>
        <w:t>包括胃肠道症状、皮肤过敏、头痛、头晕及厌食。</w:t>
      </w:r>
    </w:p>
    <w:p>
      <w:pPr>
        <w:pStyle w:val="BodyText"/>
        <w:ind w:left="26"/>
        <w:spacing w:before="87" w:line="221" w:lineRule="auto"/>
        <w:rPr>
          <w:sz w:val="21"/>
          <w:szCs w:val="21"/>
        </w:rPr>
      </w:pPr>
      <w:r>
        <w:rPr>
          <w:sz w:val="21"/>
          <w:szCs w:val="21"/>
          <w:b/>
          <w:bCs/>
          <w:color w:val="231F20"/>
          <w:spacing w:val="-1"/>
        </w:rPr>
        <w:t>1.4</w:t>
      </w:r>
      <w:r>
        <w:rPr>
          <w:sz w:val="21"/>
          <w:szCs w:val="21"/>
          <w:color w:val="231F20"/>
          <w:spacing w:val="-1"/>
        </w:rPr>
        <w:t xml:space="preserve">  统计学方法</w:t>
      </w:r>
    </w:p>
    <w:p>
      <w:pPr>
        <w:pStyle w:val="BodyText"/>
        <w:ind w:left="14" w:firstLine="418"/>
        <w:spacing w:before="84" w:line="281" w:lineRule="auto"/>
        <w:jc w:val="both"/>
        <w:rPr>
          <w:sz w:val="21"/>
          <w:szCs w:val="21"/>
        </w:rPr>
      </w:pPr>
      <w:r>
        <w:rPr>
          <w:sz w:val="21"/>
          <w:szCs w:val="21"/>
          <w:color w:val="231F20"/>
          <w:spacing w:val="15"/>
        </w:rPr>
        <w:t>采用</w:t>
      </w:r>
      <w:r>
        <w:rPr>
          <w:sz w:val="21"/>
          <w:szCs w:val="21"/>
          <w:color w:val="231F20"/>
        </w:rPr>
        <w:t>SPSS</w:t>
      </w:r>
      <w:r>
        <w:rPr>
          <w:sz w:val="21"/>
          <w:szCs w:val="21"/>
          <w:color w:val="231F20"/>
          <w:spacing w:val="15"/>
        </w:rPr>
        <w:t xml:space="preserve"> 20.0统计学软件分析数据。计量</w:t>
      </w:r>
      <w:r>
        <w:rPr>
          <w:sz w:val="21"/>
          <w:szCs w:val="21"/>
          <w:color w:val="231F20"/>
          <w:spacing w:val="10"/>
        </w:rPr>
        <w:t xml:space="preserve"> </w:t>
      </w:r>
      <w:r>
        <w:rPr>
          <w:sz w:val="21"/>
          <w:szCs w:val="21"/>
          <w:color w:val="231F20"/>
          <w:spacing w:val="1"/>
        </w:rPr>
        <w:t>资料以均数±标准差（</w:t>
      </w:r>
      <w:r>
        <w:rPr>
          <w:sz w:val="21"/>
          <w:szCs w:val="21"/>
          <w:color w:val="231F20"/>
          <w:spacing w:val="-42"/>
        </w:rPr>
        <w:t xml:space="preserve"> </w:t>
      </w:r>
      <w:r>
        <w:rPr>
          <w:rFonts w:ascii="Times New Roman" w:hAnsi="Times New Roman" w:eastAsia="Times New Roman" w:cs="Times New Roman"/>
          <w:sz w:val="21"/>
          <w:szCs w:val="21"/>
          <w:i/>
          <w:iCs/>
          <w:color w:val="231F20"/>
          <w:spacing w:val="1"/>
        </w:rPr>
        <w:t>x</w:t>
      </w:r>
      <w:r>
        <w:rPr>
          <w:rFonts w:ascii="Times New Roman" w:hAnsi="Times New Roman" w:eastAsia="Times New Roman" w:cs="Times New Roman"/>
          <w:sz w:val="21"/>
          <w:szCs w:val="21"/>
          <w:i/>
          <w:iCs/>
          <w:strike/>
          <w:color w:val="231F20"/>
          <w:spacing w:val="-35"/>
        </w:rPr>
        <w:t xml:space="preserve"> </w:t>
      </w:r>
      <w:r>
        <w:rPr>
          <w:rFonts w:ascii="Times New Roman" w:hAnsi="Times New Roman" w:eastAsia="Times New Roman" w:cs="Times New Roman"/>
          <w:sz w:val="21"/>
          <w:szCs w:val="21"/>
          <w:i/>
          <w:iCs/>
          <w:color w:val="231F20"/>
          <w:spacing w:val="-26"/>
        </w:rPr>
        <w:t xml:space="preserve"> </w:t>
      </w:r>
      <w:r>
        <w:rPr>
          <w:sz w:val="21"/>
          <w:szCs w:val="21"/>
          <w:color w:val="231F20"/>
          <w:spacing w:val="1"/>
        </w:rPr>
        <w:t>±</w:t>
      </w:r>
      <w:r>
        <w:rPr>
          <w:rFonts w:ascii="Times New Roman" w:hAnsi="Times New Roman" w:eastAsia="Times New Roman" w:cs="Times New Roman"/>
          <w:sz w:val="21"/>
          <w:szCs w:val="21"/>
          <w:i/>
          <w:iCs/>
          <w:color w:val="231F20"/>
          <w:spacing w:val="1"/>
        </w:rPr>
        <w:t>s</w:t>
      </w:r>
      <w:r>
        <w:rPr>
          <w:rFonts w:ascii="Times New Roman" w:hAnsi="Times New Roman" w:eastAsia="Times New Roman" w:cs="Times New Roman"/>
          <w:sz w:val="21"/>
          <w:szCs w:val="21"/>
          <w:i/>
          <w:iCs/>
          <w:color w:val="231F20"/>
          <w:spacing w:val="22"/>
          <w:w w:val="101"/>
        </w:rPr>
        <w:t xml:space="preserve"> </w:t>
      </w:r>
      <w:r>
        <w:rPr>
          <w:sz w:val="21"/>
          <w:szCs w:val="21"/>
          <w:color w:val="231F20"/>
          <w:spacing w:val="1"/>
        </w:rPr>
        <w:t>）表示，计数资料以</w:t>
      </w:r>
      <w:r>
        <w:rPr>
          <w:sz w:val="21"/>
          <w:szCs w:val="21"/>
          <w:color w:val="231F20"/>
        </w:rPr>
        <w:t xml:space="preserve"> </w:t>
      </w:r>
      <w:r>
        <w:rPr>
          <w:sz w:val="21"/>
          <w:szCs w:val="21"/>
          <w:color w:val="231F20"/>
          <w:spacing w:val="1"/>
        </w:rPr>
        <w:t>[</w:t>
      </w:r>
      <w:r>
        <w:rPr>
          <w:rFonts w:ascii="Times New Roman" w:hAnsi="Times New Roman" w:eastAsia="Times New Roman" w:cs="Times New Roman"/>
          <w:sz w:val="21"/>
          <w:szCs w:val="21"/>
          <w:i/>
          <w:iCs/>
          <w:color w:val="231F20"/>
          <w:spacing w:val="1"/>
        </w:rPr>
        <w:t>n</w:t>
      </w:r>
      <w:r>
        <w:rPr>
          <w:sz w:val="21"/>
          <w:szCs w:val="21"/>
          <w:color w:val="231F20"/>
          <w:spacing w:val="1"/>
        </w:rPr>
        <w:t>（%）]表示，分别采用</w:t>
      </w:r>
      <w:r>
        <w:rPr>
          <w:rFonts w:ascii="Times New Roman" w:hAnsi="Times New Roman" w:eastAsia="Times New Roman" w:cs="Times New Roman"/>
          <w:sz w:val="21"/>
          <w:szCs w:val="21"/>
          <w:i/>
          <w:iCs/>
          <w:color w:val="231F20"/>
          <w:spacing w:val="1"/>
        </w:rPr>
        <w:t>t</w:t>
      </w:r>
      <w:r>
        <w:rPr>
          <w:sz w:val="21"/>
          <w:szCs w:val="21"/>
          <w:color w:val="231F20"/>
          <w:spacing w:val="1"/>
        </w:rPr>
        <w:t>检验、</w:t>
      </w:r>
      <w:r>
        <w:rPr>
          <w:rFonts w:ascii="Times New Roman" w:hAnsi="Times New Roman" w:eastAsia="Times New Roman" w:cs="Times New Roman"/>
          <w:sz w:val="21"/>
          <w:szCs w:val="21"/>
          <w:i/>
          <w:iCs/>
          <w:color w:val="231F20"/>
          <w:spacing w:val="1"/>
        </w:rPr>
        <w:t>χ</w:t>
      </w:r>
      <w:r>
        <w:rPr>
          <w:rFonts w:ascii="Times New Roman" w:hAnsi="Times New Roman" w:eastAsia="Times New Roman" w:cs="Times New Roman"/>
          <w:sz w:val="21"/>
          <w:szCs w:val="21"/>
          <w:i/>
          <w:iCs/>
          <w:color w:val="231F20"/>
          <w:spacing w:val="-20"/>
        </w:rPr>
        <w:t xml:space="preserve"> </w:t>
      </w:r>
      <w:r>
        <w:rPr>
          <w:sz w:val="12"/>
          <w:szCs w:val="12"/>
          <w:color w:val="231F20"/>
          <w:spacing w:val="1"/>
          <w:position w:val="10"/>
        </w:rPr>
        <w:t>2</w:t>
      </w:r>
      <w:r>
        <w:rPr>
          <w:sz w:val="21"/>
          <w:szCs w:val="21"/>
          <w:color w:val="231F20"/>
          <w:spacing w:val="1"/>
        </w:rPr>
        <w:t>检验。</w:t>
      </w:r>
      <w:r>
        <w:rPr>
          <w:rFonts w:ascii="Times New Roman" w:hAnsi="Times New Roman" w:eastAsia="Times New Roman" w:cs="Times New Roman"/>
          <w:sz w:val="21"/>
          <w:szCs w:val="21"/>
          <w:i/>
          <w:iCs/>
          <w:color w:val="231F20"/>
          <w:spacing w:val="1"/>
        </w:rPr>
        <w:t>P</w:t>
      </w:r>
      <w:r>
        <w:rPr>
          <w:sz w:val="21"/>
          <w:szCs w:val="21"/>
          <w:color w:val="231F20"/>
          <w:spacing w:val="1"/>
        </w:rPr>
        <w:t>＜0.05</w:t>
      </w:r>
      <w:r>
        <w:rPr>
          <w:sz w:val="21"/>
          <w:szCs w:val="21"/>
          <w:color w:val="231F20"/>
        </w:rPr>
        <w:t xml:space="preserve"> </w:t>
      </w:r>
      <w:r>
        <w:rPr>
          <w:sz w:val="21"/>
          <w:szCs w:val="21"/>
          <w:color w:val="231F20"/>
          <w:spacing w:val="-3"/>
        </w:rPr>
        <w:t>表示差异具有统计学意义。</w:t>
      </w:r>
    </w:p>
    <w:p>
      <w:pPr>
        <w:pStyle w:val="BodyText"/>
        <w:ind w:left="21"/>
        <w:spacing w:before="34" w:line="175" w:lineRule="auto"/>
        <w:outlineLvl w:val="0"/>
        <w:rPr>
          <w:rFonts w:ascii="Microsoft YaHei" w:hAnsi="Microsoft YaHei" w:eastAsia="Microsoft YaHei" w:cs="Microsoft YaHei"/>
          <w:sz w:val="22"/>
          <w:szCs w:val="22"/>
        </w:rPr>
      </w:pPr>
      <w:r>
        <w:rPr>
          <w:sz w:val="22"/>
          <w:szCs w:val="22"/>
          <w:b/>
          <w:bCs/>
          <w:color w:val="231F20"/>
          <w:spacing w:val="2"/>
        </w:rPr>
        <w:t>2</w:t>
      </w:r>
      <w:r>
        <w:rPr>
          <w:sz w:val="22"/>
          <w:szCs w:val="22"/>
          <w:color w:val="231F20"/>
          <w:spacing w:val="2"/>
        </w:rPr>
        <w:t xml:space="preserve">  </w:t>
      </w:r>
      <w:r>
        <w:rPr>
          <w:rFonts w:ascii="Microsoft YaHei" w:hAnsi="Microsoft YaHei" w:eastAsia="Microsoft YaHei" w:cs="Microsoft YaHei"/>
          <w:sz w:val="22"/>
          <w:szCs w:val="22"/>
          <w:color w:val="231F20"/>
          <w:spacing w:val="2"/>
        </w:rPr>
        <w:t>结果</w:t>
      </w:r>
    </w:p>
    <w:p>
      <w:pPr>
        <w:pStyle w:val="BodyText"/>
        <w:ind w:left="20"/>
        <w:spacing w:before="47" w:line="220" w:lineRule="auto"/>
        <w:outlineLvl w:val="1"/>
        <w:rPr>
          <w:sz w:val="21"/>
          <w:szCs w:val="21"/>
        </w:rPr>
      </w:pPr>
      <w:r>
        <w:rPr>
          <w:sz w:val="21"/>
          <w:szCs w:val="21"/>
          <w:b/>
          <w:bCs/>
          <w:color w:val="231F20"/>
          <w:spacing w:val="-1"/>
        </w:rPr>
        <w:t>2.1</w:t>
      </w:r>
      <w:r>
        <w:rPr>
          <w:sz w:val="21"/>
          <w:szCs w:val="21"/>
          <w:color w:val="231F20"/>
          <w:spacing w:val="-1"/>
        </w:rPr>
        <w:t xml:space="preserve">  两组临床症状缓解时间比较</w:t>
      </w:r>
    </w:p>
    <w:p>
      <w:pPr>
        <w:pStyle w:val="BodyText"/>
        <w:ind w:firstLine="433"/>
        <w:spacing w:before="85" w:line="304" w:lineRule="auto"/>
        <w:rPr>
          <w:sz w:val="21"/>
          <w:szCs w:val="21"/>
        </w:rPr>
      </w:pPr>
      <w:r>
        <w:rPr>
          <w:sz w:val="21"/>
          <w:szCs w:val="21"/>
          <w:color w:val="231F20"/>
          <w:spacing w:val="10"/>
        </w:rPr>
        <w:t>相比对照组，观察组症状缓解时间明显缩短</w:t>
      </w:r>
      <w:r>
        <w:rPr>
          <w:sz w:val="21"/>
          <w:szCs w:val="21"/>
          <w:color w:val="231F20"/>
        </w:rPr>
        <w:t xml:space="preserve"> </w:t>
      </w:r>
      <w:r>
        <w:rPr>
          <w:sz w:val="21"/>
          <w:szCs w:val="21"/>
          <w:color w:val="231F20"/>
          <w:spacing w:val="-5"/>
        </w:rPr>
        <w:t>（</w:t>
      </w:r>
      <w:r>
        <w:rPr>
          <w:rFonts w:ascii="Times New Roman" w:hAnsi="Times New Roman" w:eastAsia="Times New Roman" w:cs="Times New Roman"/>
          <w:sz w:val="21"/>
          <w:szCs w:val="21"/>
          <w:i/>
          <w:iCs/>
          <w:color w:val="231F20"/>
          <w:spacing w:val="-5"/>
        </w:rPr>
        <w:t>P</w:t>
      </w:r>
      <w:r>
        <w:rPr>
          <w:sz w:val="21"/>
          <w:szCs w:val="21"/>
          <w:color w:val="231F20"/>
          <w:spacing w:val="-5"/>
        </w:rPr>
        <w:t>＜0.05）。见表1。</w:t>
      </w:r>
    </w:p>
    <w:p>
      <w:pPr>
        <w:pStyle w:val="BodyText"/>
        <w:ind w:left="511"/>
        <w:spacing w:before="16" w:line="187" w:lineRule="auto"/>
        <w:rPr>
          <w:sz w:val="18"/>
          <w:szCs w:val="18"/>
        </w:rPr>
      </w:pPr>
      <w:r>
        <w:pict>
          <v:shape id="_x0000_s16" style="position:absolute;margin-left:165.505pt;margin-top:1.83626pt;mso-position-vertical-relative:text;mso-position-horizontal-relative:text;width:5.1pt;height:0.6pt;z-index:-251657216;" filled="false" strokecolor="#231F20" strokeweight="0.57pt" coordsize="101,12" coordorigin="0,0" path="m0,5l101,5e">
            <v:stroke joinstyle="miter" miterlimit="10"/>
          </v:shape>
        </w:pict>
      </w:r>
      <w:r>
        <w:rPr>
          <w:rFonts w:ascii="Microsoft YaHei" w:hAnsi="Microsoft YaHei" w:eastAsia="Microsoft YaHei" w:cs="Microsoft YaHei"/>
          <w:sz w:val="18"/>
          <w:szCs w:val="18"/>
          <w:color w:val="231F20"/>
          <w:spacing w:val="-1"/>
        </w:rPr>
        <w:t>表1   </w:t>
      </w:r>
      <w:r>
        <w:rPr>
          <w:sz w:val="18"/>
          <w:szCs w:val="18"/>
          <w:color w:val="231F20"/>
          <w:spacing w:val="-1"/>
        </w:rPr>
        <w:t>两组临床症状缓解时间比较（</w:t>
      </w:r>
      <w:r>
        <w:rPr>
          <w:rFonts w:ascii="Times New Roman" w:hAnsi="Times New Roman" w:eastAsia="Times New Roman" w:cs="Times New Roman"/>
          <w:sz w:val="18"/>
          <w:szCs w:val="18"/>
          <w:i/>
          <w:iCs/>
          <w:color w:val="231F20"/>
          <w:spacing w:val="-1"/>
        </w:rPr>
        <w:t>x</w:t>
      </w:r>
      <w:r>
        <w:rPr>
          <w:rFonts w:ascii="Times New Roman" w:hAnsi="Times New Roman" w:eastAsia="Times New Roman" w:cs="Times New Roman"/>
          <w:sz w:val="18"/>
          <w:szCs w:val="18"/>
          <w:i/>
          <w:iCs/>
          <w:color w:val="231F20"/>
          <w:spacing w:val="-15"/>
        </w:rPr>
        <w:t xml:space="preserve"> </w:t>
      </w:r>
      <w:r>
        <w:rPr>
          <w:sz w:val="18"/>
          <w:szCs w:val="18"/>
          <w:color w:val="231F20"/>
          <w:spacing w:val="-1"/>
        </w:rPr>
        <w:t>±</w:t>
      </w:r>
      <w:r>
        <w:rPr>
          <w:rFonts w:ascii="Times New Roman" w:hAnsi="Times New Roman" w:eastAsia="Times New Roman" w:cs="Times New Roman"/>
          <w:sz w:val="18"/>
          <w:szCs w:val="18"/>
          <w:i/>
          <w:iCs/>
          <w:color w:val="231F20"/>
          <w:spacing w:val="-1"/>
        </w:rPr>
        <w:t>s </w:t>
      </w:r>
      <w:r>
        <w:rPr>
          <w:sz w:val="18"/>
          <w:szCs w:val="18"/>
          <w:color w:val="231F20"/>
          <w:spacing w:val="-1"/>
        </w:rPr>
        <w:t>，</w:t>
      </w:r>
      <w:r>
        <w:rPr>
          <w:sz w:val="18"/>
          <w:szCs w:val="18"/>
          <w:color w:val="231F20"/>
          <w:spacing w:val="-2"/>
        </w:rPr>
        <w:t>d）</w:t>
      </w:r>
    </w:p>
    <w:tbl>
      <w:tblPr>
        <w:tblStyle w:val="TableNormal"/>
        <w:tblW w:w="4606" w:type="dxa"/>
        <w:tblInd w:w="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668"/>
        <w:gridCol w:w="495"/>
        <w:gridCol w:w="1161"/>
        <w:gridCol w:w="1133"/>
        <w:gridCol w:w="1149"/>
      </w:tblGrid>
      <w:tr>
        <w:trPr>
          <w:trHeight w:val="314" w:hRule="atLeast"/>
        </w:trPr>
        <w:tc>
          <w:tcPr>
            <w:tcW w:w="668" w:type="dxa"/>
            <w:vAlign w:val="top"/>
            <w:tcBorders>
              <w:bottom w:val="single" w:color="231F20" w:sz="2" w:space="0"/>
              <w:top w:val="single" w:color="231F20" w:sz="4" w:space="0"/>
            </w:tcBorders>
          </w:tcPr>
          <w:p>
            <w:pPr>
              <w:pStyle w:val="TableText"/>
              <w:ind w:left="167"/>
              <w:spacing w:before="75" w:line="211" w:lineRule="auto"/>
              <w:rPr/>
            </w:pPr>
            <w:r>
              <w:rPr>
                <w:color w:val="231F20"/>
                <w:spacing w:val="-1"/>
              </w:rPr>
              <w:t>组别</w:t>
            </w:r>
          </w:p>
        </w:tc>
        <w:tc>
          <w:tcPr>
            <w:tcW w:w="495" w:type="dxa"/>
            <w:vAlign w:val="top"/>
            <w:tcBorders>
              <w:bottom w:val="single" w:color="231F20" w:sz="2" w:space="0"/>
              <w:top w:val="single" w:color="231F20" w:sz="4" w:space="0"/>
            </w:tcBorders>
          </w:tcPr>
          <w:p>
            <w:pPr>
              <w:pStyle w:val="TableText"/>
              <w:ind w:left="87"/>
              <w:spacing w:before="74" w:line="212" w:lineRule="auto"/>
              <w:rPr/>
            </w:pPr>
            <w:r>
              <w:rPr>
                <w:color w:val="231F20"/>
                <w:spacing w:val="-2"/>
              </w:rPr>
              <w:t>例数</w:t>
            </w:r>
          </w:p>
        </w:tc>
        <w:tc>
          <w:tcPr>
            <w:tcW w:w="1161" w:type="dxa"/>
            <w:vAlign w:val="top"/>
            <w:tcBorders>
              <w:bottom w:val="single" w:color="231F20" w:sz="2" w:space="0"/>
              <w:top w:val="single" w:color="231F20" w:sz="4" w:space="0"/>
            </w:tcBorders>
          </w:tcPr>
          <w:p>
            <w:pPr>
              <w:pStyle w:val="TableText"/>
              <w:ind w:left="76"/>
              <w:spacing w:before="76" w:line="209" w:lineRule="auto"/>
              <w:rPr/>
            </w:pPr>
            <w:r>
              <w:rPr>
                <w:color w:val="231F20"/>
                <w:spacing w:val="-1"/>
              </w:rPr>
              <w:t>腹痛缓解时间</w:t>
            </w:r>
          </w:p>
        </w:tc>
        <w:tc>
          <w:tcPr>
            <w:tcW w:w="1133" w:type="dxa"/>
            <w:vAlign w:val="top"/>
            <w:tcBorders>
              <w:bottom w:val="single" w:color="231F20" w:sz="2" w:space="0"/>
              <w:top w:val="single" w:color="231F20" w:sz="4" w:space="0"/>
            </w:tcBorders>
          </w:tcPr>
          <w:p>
            <w:pPr>
              <w:pStyle w:val="TableText"/>
              <w:ind w:left="82"/>
              <w:spacing w:before="75" w:line="210" w:lineRule="auto"/>
              <w:rPr/>
            </w:pPr>
            <w:r>
              <w:rPr>
                <w:color w:val="231F20"/>
                <w:spacing w:val="-4"/>
              </w:rPr>
              <w:t>白带消失时间</w:t>
            </w:r>
          </w:p>
        </w:tc>
        <w:tc>
          <w:tcPr>
            <w:tcW w:w="1149" w:type="dxa"/>
            <w:vAlign w:val="top"/>
            <w:tcBorders>
              <w:bottom w:val="single" w:color="231F20" w:sz="2" w:space="0"/>
              <w:top w:val="single" w:color="231F20" w:sz="4" w:space="0"/>
            </w:tcBorders>
          </w:tcPr>
          <w:p>
            <w:pPr>
              <w:pStyle w:val="TableText"/>
              <w:ind w:left="72"/>
              <w:spacing w:before="76" w:line="208" w:lineRule="auto"/>
              <w:rPr/>
            </w:pPr>
            <w:r>
              <w:rPr>
                <w:color w:val="231F20"/>
                <w:spacing w:val="-1"/>
              </w:rPr>
              <w:t>乏力缓解时间</w:t>
            </w:r>
          </w:p>
        </w:tc>
      </w:tr>
      <w:tr>
        <w:trPr>
          <w:trHeight w:val="314" w:hRule="atLeast"/>
        </w:trPr>
        <w:tc>
          <w:tcPr>
            <w:tcW w:w="668" w:type="dxa"/>
            <w:vAlign w:val="top"/>
            <w:tcBorders>
              <w:top w:val="single" w:color="231F20" w:sz="2" w:space="0"/>
            </w:tcBorders>
          </w:tcPr>
          <w:p>
            <w:pPr>
              <w:pStyle w:val="TableText"/>
              <w:ind w:left="84"/>
              <w:spacing w:before="76" w:line="212" w:lineRule="auto"/>
              <w:rPr/>
            </w:pPr>
            <w:r>
              <w:rPr>
                <w:color w:val="231F20"/>
                <w:spacing w:val="-2"/>
              </w:rPr>
              <w:t>治疗组</w:t>
            </w:r>
          </w:p>
        </w:tc>
        <w:tc>
          <w:tcPr>
            <w:tcW w:w="495" w:type="dxa"/>
            <w:vAlign w:val="top"/>
            <w:tcBorders>
              <w:top w:val="single" w:color="231F20" w:sz="2" w:space="0"/>
            </w:tcBorders>
          </w:tcPr>
          <w:p>
            <w:pPr>
              <w:pStyle w:val="TableText"/>
              <w:ind w:left="176"/>
              <w:spacing w:before="71" w:line="233" w:lineRule="exact"/>
              <w:rPr/>
            </w:pPr>
            <w:r>
              <w:rPr>
                <w:color w:val="231F20"/>
                <w:spacing w:val="-3"/>
                <w:position w:val="1"/>
              </w:rPr>
              <w:t>30</w:t>
            </w:r>
          </w:p>
        </w:tc>
        <w:tc>
          <w:tcPr>
            <w:tcW w:w="1161" w:type="dxa"/>
            <w:vAlign w:val="top"/>
            <w:tcBorders>
              <w:top w:val="single" w:color="231F20" w:sz="2" w:space="0"/>
            </w:tcBorders>
          </w:tcPr>
          <w:p>
            <w:pPr>
              <w:pStyle w:val="TableText"/>
              <w:ind w:left="185"/>
              <w:spacing w:before="50" w:line="254" w:lineRule="exact"/>
              <w:rPr>
                <w:sz w:val="9"/>
                <w:szCs w:val="9"/>
              </w:rPr>
            </w:pPr>
            <w:r>
              <w:rPr>
                <w:color w:val="231F20"/>
                <w:spacing w:val="-11"/>
                <w:position w:val="1"/>
              </w:rPr>
              <w:t>7.68±1.45</w:t>
            </w:r>
            <w:r>
              <w:rPr>
                <w:sz w:val="9"/>
                <w:szCs w:val="9"/>
                <w:color w:val="231F20"/>
                <w:spacing w:val="4"/>
                <w:position w:val="8"/>
              </w:rPr>
              <w:t>a</w:t>
            </w:r>
          </w:p>
        </w:tc>
        <w:tc>
          <w:tcPr>
            <w:tcW w:w="1133" w:type="dxa"/>
            <w:vAlign w:val="top"/>
            <w:tcBorders>
              <w:top w:val="single" w:color="231F20" w:sz="2" w:space="0"/>
            </w:tcBorders>
          </w:tcPr>
          <w:p>
            <w:pPr>
              <w:pStyle w:val="TableText"/>
              <w:ind w:left="168"/>
              <w:spacing w:before="50" w:line="254" w:lineRule="exact"/>
              <w:rPr>
                <w:sz w:val="9"/>
                <w:szCs w:val="9"/>
              </w:rPr>
            </w:pPr>
            <w:r>
              <w:rPr>
                <w:color w:val="231F20"/>
                <w:spacing w:val="-11"/>
                <w:position w:val="1"/>
              </w:rPr>
              <w:t>7.56±1.27</w:t>
            </w:r>
            <w:r>
              <w:rPr>
                <w:sz w:val="9"/>
                <w:szCs w:val="9"/>
                <w:color w:val="231F20"/>
                <w:spacing w:val="4"/>
                <w:position w:val="8"/>
              </w:rPr>
              <w:t>a</w:t>
            </w:r>
          </w:p>
        </w:tc>
        <w:tc>
          <w:tcPr>
            <w:tcW w:w="1149" w:type="dxa"/>
            <w:vAlign w:val="top"/>
            <w:tcBorders>
              <w:top w:val="single" w:color="231F20" w:sz="2" w:space="0"/>
            </w:tcBorders>
          </w:tcPr>
          <w:p>
            <w:pPr>
              <w:pStyle w:val="TableText"/>
              <w:ind w:left="182"/>
              <w:spacing w:before="50" w:line="254" w:lineRule="exact"/>
              <w:rPr>
                <w:sz w:val="9"/>
                <w:szCs w:val="9"/>
              </w:rPr>
            </w:pPr>
            <w:r>
              <w:rPr>
                <w:color w:val="231F20"/>
                <w:spacing w:val="-11"/>
                <w:position w:val="1"/>
              </w:rPr>
              <w:t>8.68±1.32</w:t>
            </w:r>
            <w:r>
              <w:rPr>
                <w:sz w:val="9"/>
                <w:szCs w:val="9"/>
                <w:color w:val="231F20"/>
                <w:position w:val="8"/>
              </w:rPr>
              <w:t>a</w:t>
            </w:r>
          </w:p>
        </w:tc>
      </w:tr>
      <w:tr>
        <w:trPr>
          <w:trHeight w:val="325" w:hRule="atLeast"/>
        </w:trPr>
        <w:tc>
          <w:tcPr>
            <w:tcW w:w="668" w:type="dxa"/>
            <w:vAlign w:val="top"/>
          </w:tcPr>
          <w:p>
            <w:pPr>
              <w:pStyle w:val="TableText"/>
              <w:ind w:left="81"/>
              <w:spacing w:before="84" w:line="205" w:lineRule="auto"/>
              <w:rPr/>
            </w:pPr>
            <w:r>
              <w:rPr>
                <w:color w:val="231F20"/>
                <w:spacing w:val="-1"/>
              </w:rPr>
              <w:t>对照组</w:t>
            </w:r>
          </w:p>
        </w:tc>
        <w:tc>
          <w:tcPr>
            <w:tcW w:w="495" w:type="dxa"/>
            <w:vAlign w:val="top"/>
          </w:tcPr>
          <w:p>
            <w:pPr>
              <w:pStyle w:val="TableText"/>
              <w:ind w:left="176"/>
              <w:spacing w:before="77" w:line="237" w:lineRule="exact"/>
              <w:rPr/>
            </w:pPr>
            <w:r>
              <w:rPr>
                <w:color w:val="231F20"/>
                <w:spacing w:val="-3"/>
                <w:position w:val="1"/>
              </w:rPr>
              <w:t>30</w:t>
            </w:r>
          </w:p>
        </w:tc>
        <w:tc>
          <w:tcPr>
            <w:tcW w:w="1161" w:type="dxa"/>
            <w:vAlign w:val="top"/>
          </w:tcPr>
          <w:p>
            <w:pPr>
              <w:pStyle w:val="TableText"/>
              <w:ind w:left="210"/>
              <w:spacing w:before="74" w:line="241" w:lineRule="exact"/>
              <w:rPr/>
            </w:pPr>
            <w:r>
              <w:rPr>
                <w:color w:val="231F20"/>
                <w:spacing w:val="-10"/>
                <w:position w:val="1"/>
              </w:rPr>
              <w:t>8.68±1.52</w:t>
            </w:r>
          </w:p>
        </w:tc>
        <w:tc>
          <w:tcPr>
            <w:tcW w:w="1133" w:type="dxa"/>
            <w:vAlign w:val="top"/>
          </w:tcPr>
          <w:p>
            <w:pPr>
              <w:pStyle w:val="TableText"/>
              <w:ind w:left="191"/>
              <w:spacing w:before="74" w:line="241" w:lineRule="exact"/>
              <w:rPr/>
            </w:pPr>
            <w:r>
              <w:rPr>
                <w:color w:val="231F20"/>
                <w:spacing w:val="-10"/>
                <w:position w:val="1"/>
              </w:rPr>
              <w:t>9.43±1.37</w:t>
            </w:r>
          </w:p>
        </w:tc>
        <w:tc>
          <w:tcPr>
            <w:tcW w:w="1149" w:type="dxa"/>
            <w:vAlign w:val="top"/>
          </w:tcPr>
          <w:p>
            <w:pPr>
              <w:pStyle w:val="TableText"/>
              <w:ind w:left="173"/>
              <w:spacing w:before="74" w:line="241" w:lineRule="exact"/>
              <w:rPr/>
            </w:pPr>
            <w:r>
              <w:rPr>
                <w:color w:val="231F20"/>
                <w:spacing w:val="-10"/>
                <w:position w:val="1"/>
              </w:rPr>
              <w:t>10.74±1.23</w:t>
            </w:r>
          </w:p>
        </w:tc>
      </w:tr>
      <w:tr>
        <w:trPr>
          <w:trHeight w:val="311" w:hRule="atLeast"/>
        </w:trPr>
        <w:tc>
          <w:tcPr>
            <w:tcW w:w="668" w:type="dxa"/>
            <w:vAlign w:val="top"/>
          </w:tcPr>
          <w:p>
            <w:pPr>
              <w:ind w:left="306"/>
              <w:spacing w:before="72" w:line="205"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9"/>
                <w:position w:val="1"/>
              </w:rPr>
              <w:t>t</w:t>
            </w:r>
          </w:p>
        </w:tc>
        <w:tc>
          <w:tcPr>
            <w:tcW w:w="495" w:type="dxa"/>
            <w:vAlign w:val="top"/>
          </w:tcPr>
          <w:p>
            <w:pPr>
              <w:rPr>
                <w:rFonts w:ascii="Arial"/>
                <w:sz w:val="21"/>
              </w:rPr>
            </w:pPr>
            <w:r/>
          </w:p>
        </w:tc>
        <w:tc>
          <w:tcPr>
            <w:tcW w:w="1161" w:type="dxa"/>
            <w:vAlign w:val="top"/>
          </w:tcPr>
          <w:p>
            <w:pPr>
              <w:pStyle w:val="TableText"/>
              <w:ind w:left="398"/>
              <w:spacing w:before="71" w:line="229" w:lineRule="exact"/>
              <w:rPr/>
            </w:pPr>
            <w:r>
              <w:rPr>
                <w:color w:val="231F20"/>
                <w:spacing w:val="-9"/>
                <w:position w:val="1"/>
              </w:rPr>
              <w:t>2.607</w:t>
            </w:r>
          </w:p>
        </w:tc>
        <w:tc>
          <w:tcPr>
            <w:tcW w:w="1133" w:type="dxa"/>
            <w:vAlign w:val="top"/>
          </w:tcPr>
          <w:p>
            <w:pPr>
              <w:pStyle w:val="TableText"/>
              <w:ind w:left="381"/>
              <w:spacing w:before="71" w:line="229" w:lineRule="exact"/>
              <w:rPr/>
            </w:pPr>
            <w:r>
              <w:rPr>
                <w:color w:val="231F20"/>
                <w:spacing w:val="-9"/>
                <w:position w:val="1"/>
              </w:rPr>
              <w:t>5.483</w:t>
            </w:r>
          </w:p>
        </w:tc>
        <w:tc>
          <w:tcPr>
            <w:tcW w:w="1149" w:type="dxa"/>
            <w:vAlign w:val="top"/>
          </w:tcPr>
          <w:p>
            <w:pPr>
              <w:pStyle w:val="TableText"/>
              <w:ind w:left="392"/>
              <w:spacing w:before="71" w:line="229" w:lineRule="exact"/>
              <w:rPr/>
            </w:pPr>
            <w:r>
              <w:rPr>
                <w:color w:val="231F20"/>
                <w:spacing w:val="-9"/>
                <w:position w:val="1"/>
              </w:rPr>
              <w:t>6.254</w:t>
            </w:r>
          </w:p>
        </w:tc>
      </w:tr>
      <w:tr>
        <w:trPr>
          <w:trHeight w:val="322" w:hRule="atLeast"/>
        </w:trPr>
        <w:tc>
          <w:tcPr>
            <w:tcW w:w="668" w:type="dxa"/>
            <w:vAlign w:val="top"/>
            <w:tcBorders>
              <w:bottom w:val="single" w:color="231F20" w:sz="4" w:space="0"/>
            </w:tcBorders>
          </w:tcPr>
          <w:p>
            <w:pPr>
              <w:ind w:left="290"/>
              <w:spacing w:before="81" w:line="206"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position w:val="1"/>
              </w:rPr>
              <w:t>P</w:t>
            </w:r>
          </w:p>
        </w:tc>
        <w:tc>
          <w:tcPr>
            <w:tcW w:w="495" w:type="dxa"/>
            <w:vAlign w:val="top"/>
            <w:tcBorders>
              <w:bottom w:val="single" w:color="231F20" w:sz="4" w:space="0"/>
            </w:tcBorders>
          </w:tcPr>
          <w:p>
            <w:pPr>
              <w:rPr>
                <w:rFonts w:ascii="Arial"/>
                <w:sz w:val="21"/>
              </w:rPr>
            </w:pPr>
            <w:r/>
          </w:p>
        </w:tc>
        <w:tc>
          <w:tcPr>
            <w:tcW w:w="1161" w:type="dxa"/>
            <w:vAlign w:val="top"/>
            <w:tcBorders>
              <w:bottom w:val="single" w:color="231F20" w:sz="4" w:space="0"/>
            </w:tcBorders>
          </w:tcPr>
          <w:p>
            <w:pPr>
              <w:pStyle w:val="TableText"/>
              <w:ind w:left="398"/>
              <w:spacing w:before="80" w:line="232" w:lineRule="exact"/>
              <w:rPr/>
            </w:pPr>
            <w:r>
              <w:rPr>
                <w:color w:val="231F20"/>
                <w:spacing w:val="-8"/>
                <w:position w:val="1"/>
              </w:rPr>
              <w:t>0.012</w:t>
            </w:r>
          </w:p>
        </w:tc>
        <w:tc>
          <w:tcPr>
            <w:tcW w:w="1133" w:type="dxa"/>
            <w:vAlign w:val="top"/>
            <w:tcBorders>
              <w:bottom w:val="single" w:color="231F20" w:sz="4" w:space="0"/>
            </w:tcBorders>
          </w:tcPr>
          <w:p>
            <w:pPr>
              <w:pStyle w:val="TableText"/>
              <w:ind w:left="380"/>
              <w:spacing w:before="80" w:line="232" w:lineRule="exact"/>
              <w:rPr/>
            </w:pPr>
            <w:r>
              <w:rPr>
                <w:color w:val="231F20"/>
                <w:spacing w:val="-8"/>
                <w:position w:val="1"/>
              </w:rPr>
              <w:t>0.000</w:t>
            </w:r>
          </w:p>
        </w:tc>
        <w:tc>
          <w:tcPr>
            <w:tcW w:w="1149" w:type="dxa"/>
            <w:vAlign w:val="top"/>
            <w:tcBorders>
              <w:bottom w:val="single" w:color="231F20" w:sz="4" w:space="0"/>
            </w:tcBorders>
          </w:tcPr>
          <w:p>
            <w:pPr>
              <w:pStyle w:val="TableText"/>
              <w:ind w:left="391"/>
              <w:spacing w:before="80" w:line="232" w:lineRule="exact"/>
              <w:rPr/>
            </w:pPr>
            <w:r>
              <w:rPr>
                <w:color w:val="231F20"/>
                <w:spacing w:val="-8"/>
                <w:position w:val="1"/>
              </w:rPr>
              <w:t>0.000</w:t>
            </w:r>
          </w:p>
        </w:tc>
      </w:tr>
    </w:tbl>
    <w:p>
      <w:pPr>
        <w:ind w:left="336"/>
        <w:spacing w:before="57" w:line="185"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2"/>
        </w:rPr>
        <w:t>注：与对照组比较，</w:t>
      </w:r>
      <w:r>
        <w:rPr>
          <w:rFonts w:ascii="Microsoft YaHei" w:hAnsi="Microsoft YaHei" w:eastAsia="Microsoft YaHei" w:cs="Microsoft YaHei"/>
          <w:sz w:val="9"/>
          <w:szCs w:val="9"/>
          <w:color w:val="231F20"/>
          <w:spacing w:val="-2"/>
          <w:position w:val="7"/>
        </w:rPr>
        <w:t>a</w:t>
      </w:r>
      <w:r>
        <w:rPr>
          <w:rFonts w:ascii="Times New Roman" w:hAnsi="Times New Roman" w:eastAsia="Times New Roman" w:cs="Times New Roman"/>
          <w:sz w:val="16"/>
          <w:szCs w:val="16"/>
          <w:i/>
          <w:iCs/>
          <w:color w:val="231F20"/>
          <w:spacing w:val="-2"/>
        </w:rPr>
        <w:t>P</w:t>
      </w:r>
      <w:r>
        <w:rPr>
          <w:rFonts w:ascii="Microsoft YaHei" w:hAnsi="Microsoft YaHei" w:eastAsia="Microsoft YaHei" w:cs="Microsoft YaHei"/>
          <w:sz w:val="16"/>
          <w:szCs w:val="16"/>
          <w:color w:val="231F20"/>
          <w:spacing w:val="-2"/>
        </w:rPr>
        <w:t>＜0.05</w:t>
      </w:r>
    </w:p>
    <w:p>
      <w:pPr>
        <w:pStyle w:val="BodyText"/>
        <w:ind w:left="20"/>
        <w:spacing w:before="121" w:line="220" w:lineRule="auto"/>
        <w:outlineLvl w:val="1"/>
        <w:rPr>
          <w:sz w:val="21"/>
          <w:szCs w:val="21"/>
        </w:rPr>
      </w:pPr>
      <w:r>
        <w:rPr>
          <w:sz w:val="21"/>
          <w:szCs w:val="21"/>
          <w:b/>
          <w:bCs/>
          <w:color w:val="231F20"/>
          <w:spacing w:val="-1"/>
        </w:rPr>
        <w:t>2.2</w:t>
      </w:r>
      <w:r>
        <w:rPr>
          <w:sz w:val="21"/>
          <w:szCs w:val="21"/>
          <w:color w:val="231F20"/>
          <w:spacing w:val="-1"/>
        </w:rPr>
        <w:t xml:space="preserve">  两组治疗前后中医证候积分比较</w:t>
      </w:r>
    </w:p>
    <w:p>
      <w:pPr>
        <w:pStyle w:val="BodyText"/>
        <w:ind w:left="11" w:firstLine="422"/>
        <w:spacing w:before="85" w:line="288" w:lineRule="auto"/>
        <w:rPr>
          <w:sz w:val="21"/>
          <w:szCs w:val="21"/>
        </w:rPr>
      </w:pPr>
      <w:r>
        <w:rPr>
          <w:sz w:val="21"/>
          <w:szCs w:val="21"/>
          <w:color w:val="231F20"/>
          <w:spacing w:val="10"/>
        </w:rPr>
        <w:t>相比对照组，治疗后治疗组主症评分和次症</w:t>
      </w:r>
      <w:r>
        <w:rPr>
          <w:sz w:val="21"/>
          <w:szCs w:val="21"/>
          <w:color w:val="231F20"/>
        </w:rPr>
        <w:t xml:space="preserve"> </w:t>
      </w:r>
      <w:r>
        <w:rPr>
          <w:sz w:val="21"/>
          <w:szCs w:val="21"/>
          <w:color w:val="231F20"/>
          <w:spacing w:val="-4"/>
        </w:rPr>
        <w:t>评分均明显降低（</w:t>
      </w:r>
      <w:r>
        <w:rPr>
          <w:rFonts w:ascii="Times New Roman" w:hAnsi="Times New Roman" w:eastAsia="Times New Roman" w:cs="Times New Roman"/>
          <w:sz w:val="21"/>
          <w:szCs w:val="21"/>
          <w:i/>
          <w:iCs/>
          <w:color w:val="231F20"/>
          <w:spacing w:val="-4"/>
        </w:rPr>
        <w:t>P</w:t>
      </w:r>
      <w:r>
        <w:rPr>
          <w:sz w:val="21"/>
          <w:szCs w:val="21"/>
          <w:color w:val="231F20"/>
          <w:spacing w:val="-4"/>
        </w:rPr>
        <w:t>＜0.05）。见表2。</w:t>
      </w:r>
    </w:p>
    <w:p>
      <w:pPr>
        <w:pStyle w:val="BodyText"/>
        <w:ind w:left="20"/>
        <w:spacing w:before="1" w:line="220" w:lineRule="auto"/>
        <w:outlineLvl w:val="1"/>
        <w:rPr>
          <w:sz w:val="21"/>
          <w:szCs w:val="21"/>
        </w:rPr>
      </w:pPr>
      <w:r>
        <w:rPr>
          <w:sz w:val="21"/>
          <w:szCs w:val="21"/>
          <w:b/>
          <w:bCs/>
          <w:color w:val="231F20"/>
          <w:spacing w:val="-1"/>
        </w:rPr>
        <w:t>2.3</w:t>
      </w:r>
      <w:r>
        <w:rPr>
          <w:sz w:val="21"/>
          <w:szCs w:val="21"/>
          <w:color w:val="231F20"/>
          <w:spacing w:val="-1"/>
        </w:rPr>
        <w:t xml:space="preserve">  两组不良反应发生情况比较</w:t>
      </w:r>
    </w:p>
    <w:p>
      <w:pPr>
        <w:pStyle w:val="BodyText"/>
        <w:ind w:left="14" w:firstLine="420"/>
        <w:spacing w:before="81" w:line="305" w:lineRule="auto"/>
        <w:rPr>
          <w:sz w:val="21"/>
          <w:szCs w:val="21"/>
        </w:rPr>
      </w:pPr>
      <w:r>
        <w:pict>
          <v:shape id="_x0000_s18" style="position:absolute;margin-left:55.4496pt;margin-top:46.9996pt;mso-position-vertical-relative:text;mso-position-horizontal-relative:text;width:5.1pt;height:0.6pt;z-index:-251656192;" filled="false" strokecolor="#231F20" strokeweight="0.57pt" coordsize="101,12" coordorigin="0,0" path="m0,5l101,5e">
            <v:stroke joinstyle="miter" miterlimit="10"/>
          </v:shape>
        </w:pict>
      </w:r>
      <w:r>
        <w:rPr>
          <w:sz w:val="21"/>
          <w:szCs w:val="21"/>
          <w:color w:val="231F20"/>
          <w:spacing w:val="10"/>
        </w:rPr>
        <w:t>两组不良反应发生率比较，差异无统计学意</w:t>
      </w:r>
      <w:r>
        <w:rPr>
          <w:sz w:val="21"/>
          <w:szCs w:val="21"/>
          <w:color w:val="231F20"/>
        </w:rPr>
        <w:t xml:space="preserve"> </w:t>
      </w:r>
      <w:r>
        <w:rPr>
          <w:sz w:val="21"/>
          <w:szCs w:val="21"/>
          <w:color w:val="231F20"/>
          <w:spacing w:val="-6"/>
        </w:rPr>
        <w:t>义（</w:t>
      </w:r>
      <w:r>
        <w:rPr>
          <w:rFonts w:ascii="Times New Roman" w:hAnsi="Times New Roman" w:eastAsia="Times New Roman" w:cs="Times New Roman"/>
          <w:sz w:val="21"/>
          <w:szCs w:val="21"/>
          <w:i/>
          <w:iCs/>
          <w:color w:val="231F20"/>
          <w:spacing w:val="-6"/>
        </w:rPr>
        <w:t>P</w:t>
      </w:r>
      <w:r>
        <w:rPr>
          <w:sz w:val="21"/>
          <w:szCs w:val="21"/>
          <w:color w:val="231F20"/>
          <w:spacing w:val="-6"/>
        </w:rPr>
        <w:t>＞0.05）。见表3。</w:t>
      </w:r>
    </w:p>
    <w:p>
      <w:pPr>
        <w:spacing w:line="305" w:lineRule="auto"/>
        <w:sectPr>
          <w:type w:val="continuous"/>
          <w:pgSz w:w="11906" w:h="16838"/>
          <w:pgMar w:top="1059" w:right="1132" w:bottom="836" w:left="424" w:header="0" w:footer="354" w:gutter="0"/>
          <w:cols w:equalWidth="0" w:num="2">
            <w:col w:w="5633" w:space="100"/>
            <w:col w:w="4617" w:space="0"/>
          </w:cols>
        </w:sectPr>
        <w:rPr>
          <w:sz w:val="21"/>
          <w:szCs w:val="21"/>
        </w:rPr>
      </w:pPr>
    </w:p>
    <w:p>
      <w:pPr>
        <w:pStyle w:val="BodyText"/>
        <w:ind w:left="3682"/>
        <w:spacing w:before="139" w:line="187" w:lineRule="auto"/>
        <w:rPr>
          <w:sz w:val="18"/>
          <w:szCs w:val="18"/>
        </w:rPr>
      </w:pPr>
      <w:r>
        <w:rPr>
          <w:rFonts w:ascii="Microsoft YaHei" w:hAnsi="Microsoft YaHei" w:eastAsia="Microsoft YaHei" w:cs="Microsoft YaHei"/>
          <w:sz w:val="18"/>
          <w:szCs w:val="18"/>
          <w:color w:val="231F20"/>
        </w:rPr>
        <w:t>表2   </w:t>
      </w:r>
      <w:r>
        <w:rPr>
          <w:sz w:val="18"/>
          <w:szCs w:val="18"/>
          <w:color w:val="231F20"/>
        </w:rPr>
        <w:t>两组治疗前后中医证候积分比较（</w:t>
      </w:r>
      <w:r>
        <w:rPr>
          <w:rFonts w:ascii="Times New Roman" w:hAnsi="Times New Roman" w:eastAsia="Times New Roman" w:cs="Times New Roman"/>
          <w:sz w:val="18"/>
          <w:szCs w:val="18"/>
          <w:i/>
          <w:iCs/>
          <w:color w:val="231F20"/>
        </w:rPr>
        <w:t>x</w:t>
      </w:r>
      <w:r>
        <w:rPr>
          <w:rFonts w:ascii="Times New Roman" w:hAnsi="Times New Roman" w:eastAsia="Times New Roman" w:cs="Times New Roman"/>
          <w:sz w:val="18"/>
          <w:szCs w:val="18"/>
          <w:i/>
          <w:iCs/>
          <w:color w:val="231F20"/>
          <w:spacing w:val="-10"/>
        </w:rPr>
        <w:t xml:space="preserve"> </w:t>
      </w:r>
      <w:r>
        <w:rPr>
          <w:sz w:val="18"/>
          <w:szCs w:val="18"/>
          <w:color w:val="231F20"/>
        </w:rPr>
        <w:t>±</w:t>
      </w:r>
      <w:r>
        <w:rPr>
          <w:rFonts w:ascii="Times New Roman" w:hAnsi="Times New Roman" w:eastAsia="Times New Roman" w:cs="Times New Roman"/>
          <w:sz w:val="18"/>
          <w:szCs w:val="18"/>
          <w:i/>
          <w:iCs/>
          <w:color w:val="231F20"/>
        </w:rPr>
        <w:t>s</w:t>
      </w:r>
      <w:r>
        <w:rPr>
          <w:rFonts w:ascii="Times New Roman" w:hAnsi="Times New Roman" w:eastAsia="Times New Roman" w:cs="Times New Roman"/>
          <w:sz w:val="18"/>
          <w:szCs w:val="18"/>
          <w:i/>
          <w:iCs/>
          <w:color w:val="231F20"/>
          <w:spacing w:val="-15"/>
        </w:rPr>
        <w:t xml:space="preserve"> </w:t>
      </w:r>
      <w:r>
        <w:rPr>
          <w:sz w:val="18"/>
          <w:szCs w:val="18"/>
          <w:color w:val="231F20"/>
        </w:rPr>
        <w:t>）</w:t>
      </w:r>
    </w:p>
    <w:tbl>
      <w:tblPr>
        <w:tblStyle w:val="TableNormal"/>
        <w:tblW w:w="9637" w:type="dxa"/>
        <w:tblInd w:w="7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21"/>
        <w:gridCol w:w="757"/>
        <w:gridCol w:w="1127"/>
        <w:gridCol w:w="1214"/>
        <w:gridCol w:w="848"/>
        <w:gridCol w:w="749"/>
        <w:gridCol w:w="1257"/>
        <w:gridCol w:w="1234"/>
        <w:gridCol w:w="785"/>
        <w:gridCol w:w="745"/>
      </w:tblGrid>
      <w:tr>
        <w:trPr>
          <w:trHeight w:val="250" w:hRule="atLeast"/>
        </w:trPr>
        <w:tc>
          <w:tcPr>
            <w:tcW w:w="921" w:type="dxa"/>
            <w:vAlign w:val="top"/>
            <w:vMerge w:val="restart"/>
            <w:tcBorders>
              <w:bottom w:val="nil"/>
              <w:top w:val="single" w:color="231F20" w:sz="4" w:space="0"/>
            </w:tcBorders>
          </w:tcPr>
          <w:p>
            <w:pPr>
              <w:pStyle w:val="TableText"/>
              <w:ind w:left="301"/>
              <w:spacing w:before="170" w:line="211" w:lineRule="auto"/>
              <w:rPr/>
            </w:pPr>
            <w:r>
              <w:rPr>
                <w:color w:val="231F20"/>
                <w:spacing w:val="-1"/>
              </w:rPr>
              <w:t>组别</w:t>
            </w:r>
          </w:p>
        </w:tc>
        <w:tc>
          <w:tcPr>
            <w:tcW w:w="757" w:type="dxa"/>
            <w:vAlign w:val="top"/>
            <w:vMerge w:val="restart"/>
            <w:tcBorders>
              <w:bottom w:val="nil"/>
              <w:top w:val="single" w:color="231F20" w:sz="4" w:space="0"/>
            </w:tcBorders>
          </w:tcPr>
          <w:p>
            <w:pPr>
              <w:pStyle w:val="TableText"/>
              <w:ind w:left="206"/>
              <w:spacing w:before="169" w:line="212" w:lineRule="auto"/>
              <w:rPr/>
            </w:pPr>
            <w:r>
              <w:rPr>
                <w:color w:val="231F20"/>
                <w:spacing w:val="-2"/>
              </w:rPr>
              <w:t>例数</w:t>
            </w:r>
          </w:p>
        </w:tc>
        <w:tc>
          <w:tcPr>
            <w:tcW w:w="3938" w:type="dxa"/>
            <w:vAlign w:val="top"/>
            <w:gridSpan w:val="4"/>
            <w:tcBorders>
              <w:bottom w:val="single" w:color="231F20" w:sz="2" w:space="0"/>
              <w:top w:val="single" w:color="231F20" w:sz="4" w:space="0"/>
            </w:tcBorders>
          </w:tcPr>
          <w:p>
            <w:pPr>
              <w:pStyle w:val="TableText"/>
              <w:ind w:left="1638"/>
              <w:spacing w:before="44" w:line="211" w:lineRule="auto"/>
              <w:rPr/>
            </w:pPr>
            <w:r>
              <w:rPr>
                <w:color w:val="231F20"/>
                <w:spacing w:val="-2"/>
              </w:rPr>
              <w:t>主症评分</w:t>
            </w:r>
          </w:p>
        </w:tc>
        <w:tc>
          <w:tcPr>
            <w:tcW w:w="4021" w:type="dxa"/>
            <w:vAlign w:val="top"/>
            <w:gridSpan w:val="4"/>
            <w:tcBorders>
              <w:bottom w:val="single" w:color="231F20" w:sz="2" w:space="0"/>
              <w:top w:val="single" w:color="231F20" w:sz="4" w:space="0"/>
            </w:tcBorders>
          </w:tcPr>
          <w:p>
            <w:pPr>
              <w:pStyle w:val="TableText"/>
              <w:ind w:left="1689"/>
              <w:spacing w:before="43" w:line="211" w:lineRule="auto"/>
              <w:rPr/>
            </w:pPr>
            <w:r>
              <w:rPr>
                <w:color w:val="231F20"/>
                <w:spacing w:val="-1"/>
              </w:rPr>
              <w:t>次症评分</w:t>
            </w:r>
          </w:p>
        </w:tc>
      </w:tr>
      <w:tr>
        <w:trPr>
          <w:trHeight w:val="248" w:hRule="atLeast"/>
        </w:trPr>
        <w:tc>
          <w:tcPr>
            <w:tcW w:w="921" w:type="dxa"/>
            <w:vAlign w:val="top"/>
            <w:vMerge w:val="continue"/>
            <w:tcBorders>
              <w:bottom w:val="single" w:color="231F20" w:sz="2" w:space="0"/>
              <w:top w:val="nil"/>
            </w:tcBorders>
          </w:tcPr>
          <w:p>
            <w:pPr>
              <w:rPr>
                <w:rFonts w:ascii="Arial"/>
                <w:sz w:val="21"/>
              </w:rPr>
            </w:pPr>
            <w:r/>
          </w:p>
        </w:tc>
        <w:tc>
          <w:tcPr>
            <w:tcW w:w="757" w:type="dxa"/>
            <w:vAlign w:val="top"/>
            <w:vMerge w:val="continue"/>
            <w:tcBorders>
              <w:bottom w:val="single" w:color="231F20" w:sz="2" w:space="0"/>
              <w:top w:val="nil"/>
            </w:tcBorders>
          </w:tcPr>
          <w:p>
            <w:pPr>
              <w:rPr>
                <w:rFonts w:ascii="Arial"/>
                <w:sz w:val="21"/>
              </w:rPr>
            </w:pPr>
            <w:r/>
          </w:p>
        </w:tc>
        <w:tc>
          <w:tcPr>
            <w:tcW w:w="1127" w:type="dxa"/>
            <w:vAlign w:val="top"/>
            <w:tcBorders>
              <w:bottom w:val="single" w:color="231F20" w:sz="2" w:space="0"/>
              <w:top w:val="single" w:color="231F20" w:sz="2" w:space="0"/>
            </w:tcBorders>
          </w:tcPr>
          <w:p>
            <w:pPr>
              <w:pStyle w:val="TableText"/>
              <w:ind w:left="306"/>
              <w:spacing w:before="43" w:line="211" w:lineRule="auto"/>
              <w:rPr/>
            </w:pPr>
            <w:r>
              <w:rPr>
                <w:color w:val="231F20"/>
                <w:spacing w:val="-2"/>
              </w:rPr>
              <w:t>治疗前</w:t>
            </w:r>
          </w:p>
        </w:tc>
        <w:tc>
          <w:tcPr>
            <w:tcW w:w="1214" w:type="dxa"/>
            <w:vAlign w:val="top"/>
            <w:tcBorders>
              <w:bottom w:val="single" w:color="231F20" w:sz="2" w:space="0"/>
              <w:top w:val="single" w:color="231F20" w:sz="2" w:space="0"/>
            </w:tcBorders>
          </w:tcPr>
          <w:p>
            <w:pPr>
              <w:pStyle w:val="TableText"/>
              <w:ind w:left="350"/>
              <w:spacing w:before="43" w:line="211" w:lineRule="auto"/>
              <w:rPr/>
            </w:pPr>
            <w:r>
              <w:rPr>
                <w:color w:val="231F20"/>
                <w:spacing w:val="-2"/>
              </w:rPr>
              <w:t>治疗后</w:t>
            </w:r>
          </w:p>
        </w:tc>
        <w:tc>
          <w:tcPr>
            <w:tcW w:w="848" w:type="dxa"/>
            <w:vAlign w:val="top"/>
            <w:tcBorders>
              <w:bottom w:val="single" w:color="231F20" w:sz="2" w:space="0"/>
              <w:top w:val="single" w:color="231F20" w:sz="2" w:space="0"/>
            </w:tcBorders>
          </w:tcPr>
          <w:p>
            <w:pPr>
              <w:ind w:left="385"/>
              <w:spacing w:before="39" w:line="199"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9"/>
                <w:position w:val="1"/>
              </w:rPr>
              <w:t>t</w:t>
            </w:r>
          </w:p>
        </w:tc>
        <w:tc>
          <w:tcPr>
            <w:tcW w:w="749" w:type="dxa"/>
            <w:vAlign w:val="top"/>
            <w:tcBorders>
              <w:bottom w:val="single" w:color="231F20" w:sz="2" w:space="0"/>
              <w:top w:val="single" w:color="231F20" w:sz="2" w:space="0"/>
            </w:tcBorders>
          </w:tcPr>
          <w:p>
            <w:pPr>
              <w:ind w:left="347"/>
              <w:spacing w:before="39" w:line="199"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P</w:t>
            </w:r>
          </w:p>
        </w:tc>
        <w:tc>
          <w:tcPr>
            <w:tcW w:w="1257" w:type="dxa"/>
            <w:vAlign w:val="top"/>
            <w:tcBorders>
              <w:bottom w:val="single" w:color="231F20" w:sz="2" w:space="0"/>
              <w:top w:val="single" w:color="231F20" w:sz="2" w:space="0"/>
            </w:tcBorders>
          </w:tcPr>
          <w:p>
            <w:pPr>
              <w:pStyle w:val="TableText"/>
              <w:ind w:left="393"/>
              <w:spacing w:before="43" w:line="211" w:lineRule="auto"/>
              <w:rPr/>
            </w:pPr>
            <w:r>
              <w:rPr>
                <w:color w:val="231F20"/>
                <w:spacing w:val="-2"/>
              </w:rPr>
              <w:t>治疗前</w:t>
            </w:r>
          </w:p>
        </w:tc>
        <w:tc>
          <w:tcPr>
            <w:tcW w:w="1234" w:type="dxa"/>
            <w:vAlign w:val="top"/>
            <w:tcBorders>
              <w:bottom w:val="single" w:color="231F20" w:sz="2" w:space="0"/>
              <w:top w:val="single" w:color="231F20" w:sz="2" w:space="0"/>
            </w:tcBorders>
          </w:tcPr>
          <w:p>
            <w:pPr>
              <w:pStyle w:val="TableText"/>
              <w:ind w:left="377"/>
              <w:spacing w:before="43" w:line="211" w:lineRule="auto"/>
              <w:rPr/>
            </w:pPr>
            <w:r>
              <w:rPr>
                <w:color w:val="231F20"/>
                <w:spacing w:val="-2"/>
              </w:rPr>
              <w:t>治疗后</w:t>
            </w:r>
          </w:p>
        </w:tc>
        <w:tc>
          <w:tcPr>
            <w:tcW w:w="785" w:type="dxa"/>
            <w:vAlign w:val="top"/>
            <w:tcBorders>
              <w:bottom w:val="single" w:color="231F20" w:sz="2" w:space="0"/>
              <w:top w:val="single" w:color="231F20" w:sz="2" w:space="0"/>
            </w:tcBorders>
          </w:tcPr>
          <w:p>
            <w:pPr>
              <w:ind w:left="362"/>
              <w:spacing w:before="39" w:line="199"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9"/>
                <w:position w:val="1"/>
              </w:rPr>
              <w:t>t</w:t>
            </w:r>
          </w:p>
        </w:tc>
        <w:tc>
          <w:tcPr>
            <w:tcW w:w="745" w:type="dxa"/>
            <w:vAlign w:val="top"/>
            <w:tcBorders>
              <w:bottom w:val="single" w:color="231F20" w:sz="2" w:space="0"/>
              <w:top w:val="single" w:color="231F20" w:sz="2" w:space="0"/>
            </w:tcBorders>
          </w:tcPr>
          <w:p>
            <w:pPr>
              <w:ind w:left="316"/>
              <w:spacing w:before="39" w:line="199"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P</w:t>
            </w:r>
          </w:p>
        </w:tc>
      </w:tr>
      <w:tr>
        <w:trPr>
          <w:trHeight w:val="250" w:hRule="atLeast"/>
        </w:trPr>
        <w:tc>
          <w:tcPr>
            <w:tcW w:w="921" w:type="dxa"/>
            <w:vAlign w:val="top"/>
            <w:tcBorders>
              <w:top w:val="single" w:color="231F20" w:sz="2" w:space="0"/>
            </w:tcBorders>
          </w:tcPr>
          <w:p>
            <w:pPr>
              <w:pStyle w:val="TableText"/>
              <w:ind w:left="218"/>
              <w:spacing w:before="45" w:line="211" w:lineRule="auto"/>
              <w:rPr/>
            </w:pPr>
            <w:r>
              <w:rPr>
                <w:color w:val="231F20"/>
                <w:spacing w:val="-2"/>
              </w:rPr>
              <w:t>治疗组</w:t>
            </w:r>
          </w:p>
        </w:tc>
        <w:tc>
          <w:tcPr>
            <w:tcW w:w="757" w:type="dxa"/>
            <w:vAlign w:val="top"/>
            <w:tcBorders>
              <w:top w:val="single" w:color="231F20" w:sz="2" w:space="0"/>
            </w:tcBorders>
          </w:tcPr>
          <w:p>
            <w:pPr>
              <w:pStyle w:val="TableText"/>
              <w:ind w:left="294"/>
              <w:spacing w:before="41" w:line="216" w:lineRule="auto"/>
              <w:rPr/>
            </w:pPr>
            <w:r>
              <w:rPr>
                <w:color w:val="231F20"/>
                <w:spacing w:val="-3"/>
              </w:rPr>
              <w:t>30</w:t>
            </w:r>
          </w:p>
        </w:tc>
        <w:tc>
          <w:tcPr>
            <w:tcW w:w="1127" w:type="dxa"/>
            <w:vAlign w:val="top"/>
            <w:tcBorders>
              <w:top w:val="single" w:color="231F20" w:sz="2" w:space="0"/>
            </w:tcBorders>
          </w:tcPr>
          <w:p>
            <w:pPr>
              <w:pStyle w:val="TableText"/>
              <w:ind w:left="181"/>
              <w:spacing w:before="38" w:line="219" w:lineRule="auto"/>
              <w:rPr/>
            </w:pPr>
            <w:r>
              <w:rPr>
                <w:color w:val="231F20"/>
                <w:spacing w:val="-10"/>
              </w:rPr>
              <w:t>5.12±0.34</w:t>
            </w:r>
          </w:p>
        </w:tc>
        <w:tc>
          <w:tcPr>
            <w:tcW w:w="1214" w:type="dxa"/>
            <w:vAlign w:val="top"/>
            <w:tcBorders>
              <w:top w:val="single" w:color="231F20" w:sz="2" w:space="0"/>
            </w:tcBorders>
          </w:tcPr>
          <w:p>
            <w:pPr>
              <w:pStyle w:val="TableText"/>
              <w:ind w:left="192"/>
              <w:spacing w:before="19" w:line="239" w:lineRule="auto"/>
              <w:rPr>
                <w:sz w:val="9"/>
                <w:szCs w:val="9"/>
              </w:rPr>
            </w:pPr>
            <w:r>
              <w:rPr>
                <w:color w:val="231F20"/>
                <w:spacing w:val="-13"/>
              </w:rPr>
              <w:t>1.89±0.48</w:t>
            </w:r>
            <w:r>
              <w:rPr>
                <w:sz w:val="9"/>
                <w:szCs w:val="9"/>
                <w:color w:val="231F20"/>
                <w:spacing w:val="4"/>
                <w:position w:val="7"/>
              </w:rPr>
              <w:t>ab</w:t>
            </w:r>
          </w:p>
        </w:tc>
        <w:tc>
          <w:tcPr>
            <w:tcW w:w="848" w:type="dxa"/>
            <w:vAlign w:val="top"/>
            <w:tcBorders>
              <w:top w:val="single" w:color="231F20" w:sz="2" w:space="0"/>
            </w:tcBorders>
          </w:tcPr>
          <w:p>
            <w:pPr>
              <w:pStyle w:val="TableText"/>
              <w:ind w:left="188"/>
              <w:spacing w:before="41" w:line="216" w:lineRule="auto"/>
              <w:rPr/>
            </w:pPr>
            <w:r>
              <w:rPr>
                <w:color w:val="231F20"/>
                <w:spacing w:val="-8"/>
              </w:rPr>
              <w:t>30.076</w:t>
            </w:r>
          </w:p>
        </w:tc>
        <w:tc>
          <w:tcPr>
            <w:tcW w:w="749" w:type="dxa"/>
            <w:vAlign w:val="top"/>
            <w:tcBorders>
              <w:top w:val="single" w:color="231F20" w:sz="2" w:space="0"/>
            </w:tcBorders>
          </w:tcPr>
          <w:p>
            <w:pPr>
              <w:pStyle w:val="TableText"/>
              <w:ind w:left="205"/>
              <w:spacing w:before="41" w:line="216" w:lineRule="auto"/>
              <w:rPr/>
            </w:pPr>
            <w:r>
              <w:rPr>
                <w:color w:val="231F20"/>
                <w:spacing w:val="-8"/>
              </w:rPr>
              <w:t>0.000</w:t>
            </w:r>
          </w:p>
        </w:tc>
        <w:tc>
          <w:tcPr>
            <w:tcW w:w="1257" w:type="dxa"/>
            <w:vAlign w:val="top"/>
            <w:tcBorders>
              <w:top w:val="single" w:color="231F20" w:sz="2" w:space="0"/>
            </w:tcBorders>
          </w:tcPr>
          <w:p>
            <w:pPr>
              <w:pStyle w:val="TableText"/>
              <w:ind w:left="267"/>
              <w:spacing w:before="38" w:line="219" w:lineRule="auto"/>
              <w:rPr/>
            </w:pPr>
            <w:r>
              <w:rPr>
                <w:color w:val="231F20"/>
                <w:spacing w:val="-10"/>
              </w:rPr>
              <w:t>2.53±0.27</w:t>
            </w:r>
          </w:p>
        </w:tc>
        <w:tc>
          <w:tcPr>
            <w:tcW w:w="1234" w:type="dxa"/>
            <w:vAlign w:val="top"/>
            <w:tcBorders>
              <w:top w:val="single" w:color="231F20" w:sz="2" w:space="0"/>
            </w:tcBorders>
          </w:tcPr>
          <w:p>
            <w:pPr>
              <w:pStyle w:val="TableText"/>
              <w:ind w:left="240"/>
              <w:spacing w:before="19" w:line="239" w:lineRule="auto"/>
              <w:rPr>
                <w:sz w:val="9"/>
                <w:szCs w:val="9"/>
              </w:rPr>
            </w:pPr>
            <w:r>
              <w:rPr>
                <w:color w:val="231F20"/>
                <w:spacing w:val="-13"/>
              </w:rPr>
              <w:t>1.23±0.18</w:t>
            </w:r>
            <w:r>
              <w:rPr>
                <w:sz w:val="9"/>
                <w:szCs w:val="9"/>
                <w:color w:val="231F20"/>
                <w:spacing w:val="4"/>
                <w:position w:val="7"/>
              </w:rPr>
              <w:t>ab</w:t>
            </w:r>
          </w:p>
        </w:tc>
        <w:tc>
          <w:tcPr>
            <w:tcW w:w="785" w:type="dxa"/>
            <w:vAlign w:val="top"/>
            <w:tcBorders>
              <w:top w:val="single" w:color="231F20" w:sz="2" w:space="0"/>
            </w:tcBorders>
          </w:tcPr>
          <w:p>
            <w:pPr>
              <w:pStyle w:val="TableText"/>
              <w:ind w:left="162"/>
              <w:spacing w:before="41" w:line="216" w:lineRule="auto"/>
              <w:rPr/>
            </w:pPr>
            <w:r>
              <w:rPr>
                <w:color w:val="231F20"/>
                <w:spacing w:val="-8"/>
              </w:rPr>
              <w:t>21.943</w:t>
            </w:r>
          </w:p>
        </w:tc>
        <w:tc>
          <w:tcPr>
            <w:tcW w:w="745" w:type="dxa"/>
            <w:vAlign w:val="top"/>
            <w:tcBorders>
              <w:top w:val="single" w:color="231F20" w:sz="2" w:space="0"/>
            </w:tcBorders>
          </w:tcPr>
          <w:p>
            <w:pPr>
              <w:pStyle w:val="TableText"/>
              <w:ind w:left="174"/>
              <w:spacing w:before="41" w:line="216" w:lineRule="auto"/>
              <w:rPr/>
            </w:pPr>
            <w:r>
              <w:rPr>
                <w:color w:val="231F20"/>
                <w:spacing w:val="-8"/>
              </w:rPr>
              <w:t>0.000</w:t>
            </w:r>
          </w:p>
        </w:tc>
      </w:tr>
      <w:tr>
        <w:trPr>
          <w:trHeight w:val="262" w:hRule="atLeast"/>
        </w:trPr>
        <w:tc>
          <w:tcPr>
            <w:tcW w:w="921" w:type="dxa"/>
            <w:vAlign w:val="top"/>
          </w:tcPr>
          <w:p>
            <w:pPr>
              <w:pStyle w:val="TableText"/>
              <w:ind w:left="215"/>
              <w:spacing w:before="53" w:line="205" w:lineRule="auto"/>
              <w:rPr/>
            </w:pPr>
            <w:r>
              <w:rPr>
                <w:color w:val="231F20"/>
                <w:spacing w:val="-1"/>
              </w:rPr>
              <w:t>对照组</w:t>
            </w:r>
          </w:p>
        </w:tc>
        <w:tc>
          <w:tcPr>
            <w:tcW w:w="757" w:type="dxa"/>
            <w:vAlign w:val="top"/>
          </w:tcPr>
          <w:p>
            <w:pPr>
              <w:pStyle w:val="TableText"/>
              <w:ind w:left="294"/>
              <w:spacing w:before="45" w:line="224" w:lineRule="auto"/>
              <w:rPr/>
            </w:pPr>
            <w:r>
              <w:rPr>
                <w:color w:val="231F20"/>
                <w:spacing w:val="-3"/>
              </w:rPr>
              <w:t>30</w:t>
            </w:r>
          </w:p>
        </w:tc>
        <w:tc>
          <w:tcPr>
            <w:tcW w:w="1127" w:type="dxa"/>
            <w:vAlign w:val="top"/>
          </w:tcPr>
          <w:p>
            <w:pPr>
              <w:pStyle w:val="TableText"/>
              <w:ind w:left="181"/>
              <w:spacing w:before="42" w:line="227" w:lineRule="auto"/>
              <w:rPr/>
            </w:pPr>
            <w:r>
              <w:rPr>
                <w:color w:val="231F20"/>
                <w:spacing w:val="-10"/>
              </w:rPr>
              <w:t>5.08±0.46</w:t>
            </w:r>
          </w:p>
        </w:tc>
        <w:tc>
          <w:tcPr>
            <w:tcW w:w="1214" w:type="dxa"/>
            <w:vAlign w:val="top"/>
          </w:tcPr>
          <w:p>
            <w:pPr>
              <w:pStyle w:val="TableText"/>
              <w:ind w:left="203"/>
              <w:spacing w:before="25" w:line="226" w:lineRule="exact"/>
              <w:rPr>
                <w:sz w:val="9"/>
                <w:szCs w:val="9"/>
              </w:rPr>
            </w:pPr>
            <w:r>
              <w:rPr>
                <w:color w:val="231F20"/>
                <w:spacing w:val="-11"/>
                <w:position w:val="1"/>
              </w:rPr>
              <w:t>2.52±0.64</w:t>
            </w:r>
            <w:r>
              <w:rPr>
                <w:sz w:val="9"/>
                <w:szCs w:val="9"/>
                <w:color w:val="231F20"/>
                <w:spacing w:val="2"/>
                <w:position w:val="8"/>
              </w:rPr>
              <w:t>a</w:t>
            </w:r>
          </w:p>
        </w:tc>
        <w:tc>
          <w:tcPr>
            <w:tcW w:w="848" w:type="dxa"/>
            <w:vAlign w:val="top"/>
          </w:tcPr>
          <w:p>
            <w:pPr>
              <w:pStyle w:val="TableText"/>
              <w:ind w:left="199"/>
              <w:spacing w:before="45" w:line="224" w:lineRule="auto"/>
              <w:rPr/>
            </w:pPr>
            <w:r>
              <w:rPr>
                <w:color w:val="231F20"/>
                <w:spacing w:val="-10"/>
              </w:rPr>
              <w:t>17.790</w:t>
            </w:r>
          </w:p>
        </w:tc>
        <w:tc>
          <w:tcPr>
            <w:tcW w:w="749" w:type="dxa"/>
            <w:vAlign w:val="top"/>
          </w:tcPr>
          <w:p>
            <w:pPr>
              <w:pStyle w:val="TableText"/>
              <w:ind w:left="205"/>
              <w:spacing w:before="45" w:line="224" w:lineRule="auto"/>
              <w:rPr/>
            </w:pPr>
            <w:r>
              <w:rPr>
                <w:color w:val="231F20"/>
                <w:spacing w:val="-8"/>
              </w:rPr>
              <w:t>0.000</w:t>
            </w:r>
          </w:p>
        </w:tc>
        <w:tc>
          <w:tcPr>
            <w:tcW w:w="1257" w:type="dxa"/>
            <w:vAlign w:val="top"/>
          </w:tcPr>
          <w:p>
            <w:pPr>
              <w:pStyle w:val="TableText"/>
              <w:ind w:left="267"/>
              <w:spacing w:before="42" w:line="227" w:lineRule="auto"/>
              <w:rPr/>
            </w:pPr>
            <w:r>
              <w:rPr>
                <w:color w:val="231F20"/>
                <w:spacing w:val="-10"/>
              </w:rPr>
              <w:t>2.57±0.19</w:t>
            </w:r>
          </w:p>
        </w:tc>
        <w:tc>
          <w:tcPr>
            <w:tcW w:w="1234" w:type="dxa"/>
            <w:vAlign w:val="top"/>
          </w:tcPr>
          <w:p>
            <w:pPr>
              <w:pStyle w:val="TableText"/>
              <w:ind w:left="244"/>
              <w:spacing w:before="25" w:line="226" w:lineRule="exact"/>
              <w:rPr>
                <w:sz w:val="9"/>
                <w:szCs w:val="9"/>
              </w:rPr>
            </w:pPr>
            <w:r>
              <w:rPr>
                <w:color w:val="231F20"/>
                <w:spacing w:val="-13"/>
                <w:position w:val="1"/>
              </w:rPr>
              <w:t>1.59±0.22</w:t>
            </w:r>
            <w:r>
              <w:rPr>
                <w:sz w:val="9"/>
                <w:szCs w:val="9"/>
                <w:color w:val="231F20"/>
                <w:spacing w:val="7"/>
                <w:position w:val="8"/>
              </w:rPr>
              <w:t>a</w:t>
            </w:r>
          </w:p>
        </w:tc>
        <w:tc>
          <w:tcPr>
            <w:tcW w:w="785" w:type="dxa"/>
            <w:vAlign w:val="top"/>
          </w:tcPr>
          <w:p>
            <w:pPr>
              <w:pStyle w:val="TableText"/>
              <w:ind w:left="176"/>
              <w:spacing w:before="45" w:line="224" w:lineRule="auto"/>
              <w:rPr/>
            </w:pPr>
            <w:r>
              <w:rPr>
                <w:color w:val="231F20"/>
                <w:spacing w:val="-10"/>
              </w:rPr>
              <w:t>18.465</w:t>
            </w:r>
          </w:p>
        </w:tc>
        <w:tc>
          <w:tcPr>
            <w:tcW w:w="745" w:type="dxa"/>
            <w:vAlign w:val="top"/>
          </w:tcPr>
          <w:p>
            <w:pPr>
              <w:pStyle w:val="TableText"/>
              <w:ind w:left="174"/>
              <w:spacing w:before="45" w:line="224" w:lineRule="auto"/>
              <w:rPr/>
            </w:pPr>
            <w:r>
              <w:rPr>
                <w:color w:val="231F20"/>
                <w:spacing w:val="-8"/>
              </w:rPr>
              <w:t>0.000</w:t>
            </w:r>
          </w:p>
        </w:tc>
      </w:tr>
      <w:tr>
        <w:trPr>
          <w:trHeight w:val="246" w:hRule="atLeast"/>
        </w:trPr>
        <w:tc>
          <w:tcPr>
            <w:tcW w:w="921" w:type="dxa"/>
            <w:vAlign w:val="top"/>
          </w:tcPr>
          <w:p>
            <w:pPr>
              <w:ind w:left="440"/>
              <w:spacing w:before="39" w:line="241"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spacing w:val="9"/>
              </w:rPr>
              <w:t>t</w:t>
            </w:r>
          </w:p>
        </w:tc>
        <w:tc>
          <w:tcPr>
            <w:tcW w:w="757" w:type="dxa"/>
            <w:vAlign w:val="top"/>
          </w:tcPr>
          <w:p>
            <w:pPr>
              <w:spacing w:line="236" w:lineRule="exact"/>
              <w:rPr>
                <w:rFonts w:ascii="Arial"/>
                <w:sz w:val="20"/>
              </w:rPr>
            </w:pPr>
            <w:r/>
          </w:p>
        </w:tc>
        <w:tc>
          <w:tcPr>
            <w:tcW w:w="1127" w:type="dxa"/>
            <w:vAlign w:val="top"/>
          </w:tcPr>
          <w:p>
            <w:pPr>
              <w:pStyle w:val="TableText"/>
              <w:ind w:left="370"/>
              <w:spacing w:before="38" w:line="214" w:lineRule="auto"/>
              <w:rPr/>
            </w:pPr>
            <w:r>
              <w:rPr>
                <w:color w:val="231F20"/>
                <w:spacing w:val="-8"/>
              </w:rPr>
              <w:t>0.383</w:t>
            </w:r>
          </w:p>
        </w:tc>
        <w:tc>
          <w:tcPr>
            <w:tcW w:w="1214" w:type="dxa"/>
            <w:vAlign w:val="top"/>
          </w:tcPr>
          <w:p>
            <w:pPr>
              <w:pStyle w:val="TableText"/>
              <w:ind w:left="412"/>
              <w:spacing w:before="38" w:line="214" w:lineRule="auto"/>
              <w:rPr/>
            </w:pPr>
            <w:r>
              <w:rPr>
                <w:color w:val="231F20"/>
                <w:spacing w:val="-8"/>
              </w:rPr>
              <w:t>4.313</w:t>
            </w:r>
          </w:p>
        </w:tc>
        <w:tc>
          <w:tcPr>
            <w:tcW w:w="848" w:type="dxa"/>
            <w:vAlign w:val="top"/>
          </w:tcPr>
          <w:p>
            <w:pPr>
              <w:spacing w:line="236" w:lineRule="exact"/>
              <w:rPr>
                <w:rFonts w:ascii="Arial"/>
                <w:sz w:val="20"/>
              </w:rPr>
            </w:pPr>
            <w:r/>
          </w:p>
        </w:tc>
        <w:tc>
          <w:tcPr>
            <w:tcW w:w="749" w:type="dxa"/>
            <w:vAlign w:val="top"/>
          </w:tcPr>
          <w:p>
            <w:pPr>
              <w:spacing w:line="236" w:lineRule="exact"/>
              <w:rPr>
                <w:rFonts w:ascii="Arial"/>
                <w:sz w:val="20"/>
              </w:rPr>
            </w:pPr>
            <w:r/>
          </w:p>
        </w:tc>
        <w:tc>
          <w:tcPr>
            <w:tcW w:w="1257" w:type="dxa"/>
            <w:vAlign w:val="top"/>
          </w:tcPr>
          <w:p>
            <w:pPr>
              <w:pStyle w:val="TableText"/>
              <w:ind w:left="457"/>
              <w:spacing w:before="38" w:line="214" w:lineRule="auto"/>
              <w:rPr/>
            </w:pPr>
            <w:r>
              <w:rPr>
                <w:color w:val="231F20"/>
                <w:spacing w:val="-8"/>
              </w:rPr>
              <w:t>0.664</w:t>
            </w:r>
          </w:p>
        </w:tc>
        <w:tc>
          <w:tcPr>
            <w:tcW w:w="1234" w:type="dxa"/>
            <w:vAlign w:val="top"/>
          </w:tcPr>
          <w:p>
            <w:pPr>
              <w:pStyle w:val="TableText"/>
              <w:ind w:left="442"/>
              <w:spacing w:before="38" w:line="214" w:lineRule="auto"/>
              <w:rPr/>
            </w:pPr>
            <w:r>
              <w:rPr>
                <w:color w:val="231F20"/>
                <w:spacing w:val="-9"/>
              </w:rPr>
              <w:t>6.937</w:t>
            </w:r>
          </w:p>
        </w:tc>
        <w:tc>
          <w:tcPr>
            <w:tcW w:w="785" w:type="dxa"/>
            <w:vAlign w:val="top"/>
          </w:tcPr>
          <w:p>
            <w:pPr>
              <w:spacing w:line="236" w:lineRule="exact"/>
              <w:rPr>
                <w:rFonts w:ascii="Arial"/>
                <w:sz w:val="20"/>
              </w:rPr>
            </w:pPr>
            <w:r/>
          </w:p>
        </w:tc>
        <w:tc>
          <w:tcPr>
            <w:tcW w:w="745" w:type="dxa"/>
            <w:vAlign w:val="top"/>
          </w:tcPr>
          <w:p>
            <w:pPr>
              <w:spacing w:line="236" w:lineRule="exact"/>
              <w:rPr>
                <w:rFonts w:ascii="Arial"/>
                <w:sz w:val="20"/>
              </w:rPr>
            </w:pPr>
            <w:r/>
          </w:p>
        </w:tc>
      </w:tr>
      <w:tr>
        <w:trPr>
          <w:trHeight w:val="258" w:hRule="atLeast"/>
        </w:trPr>
        <w:tc>
          <w:tcPr>
            <w:tcW w:w="921" w:type="dxa"/>
            <w:vAlign w:val="top"/>
            <w:tcBorders>
              <w:bottom w:val="single" w:color="231F20" w:sz="4" w:space="0"/>
            </w:tcBorders>
          </w:tcPr>
          <w:p>
            <w:pPr>
              <w:ind w:left="424"/>
              <w:spacing w:before="48" w:line="200"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P</w:t>
            </w:r>
          </w:p>
        </w:tc>
        <w:tc>
          <w:tcPr>
            <w:tcW w:w="757" w:type="dxa"/>
            <w:vAlign w:val="top"/>
            <w:tcBorders>
              <w:bottom w:val="single" w:color="231F20" w:sz="4" w:space="0"/>
            </w:tcBorders>
          </w:tcPr>
          <w:p>
            <w:pPr>
              <w:rPr>
                <w:rFonts w:ascii="Arial"/>
                <w:sz w:val="21"/>
              </w:rPr>
            </w:pPr>
            <w:r/>
          </w:p>
        </w:tc>
        <w:tc>
          <w:tcPr>
            <w:tcW w:w="1127" w:type="dxa"/>
            <w:vAlign w:val="top"/>
            <w:tcBorders>
              <w:bottom w:val="single" w:color="231F20" w:sz="4" w:space="0"/>
            </w:tcBorders>
          </w:tcPr>
          <w:p>
            <w:pPr>
              <w:pStyle w:val="TableText"/>
              <w:ind w:left="370"/>
              <w:spacing w:before="48" w:line="217" w:lineRule="auto"/>
              <w:rPr/>
            </w:pPr>
            <w:r>
              <w:rPr>
                <w:color w:val="231F20"/>
                <w:spacing w:val="-8"/>
              </w:rPr>
              <w:t>0.703</w:t>
            </w:r>
          </w:p>
        </w:tc>
        <w:tc>
          <w:tcPr>
            <w:tcW w:w="1214" w:type="dxa"/>
            <w:vAlign w:val="top"/>
            <w:tcBorders>
              <w:bottom w:val="single" w:color="231F20" w:sz="4" w:space="0"/>
            </w:tcBorders>
          </w:tcPr>
          <w:p>
            <w:pPr>
              <w:pStyle w:val="TableText"/>
              <w:ind w:left="414"/>
              <w:spacing w:before="48" w:line="217" w:lineRule="auto"/>
              <w:rPr/>
            </w:pPr>
            <w:r>
              <w:rPr>
                <w:color w:val="231F20"/>
                <w:spacing w:val="-8"/>
              </w:rPr>
              <w:t>0.000</w:t>
            </w:r>
          </w:p>
        </w:tc>
        <w:tc>
          <w:tcPr>
            <w:tcW w:w="848" w:type="dxa"/>
            <w:vAlign w:val="top"/>
            <w:tcBorders>
              <w:bottom w:val="single" w:color="231F20" w:sz="4" w:space="0"/>
            </w:tcBorders>
          </w:tcPr>
          <w:p>
            <w:pPr>
              <w:rPr>
                <w:rFonts w:ascii="Arial"/>
                <w:sz w:val="21"/>
              </w:rPr>
            </w:pPr>
            <w:r/>
          </w:p>
        </w:tc>
        <w:tc>
          <w:tcPr>
            <w:tcW w:w="749" w:type="dxa"/>
            <w:vAlign w:val="top"/>
            <w:tcBorders>
              <w:bottom w:val="single" w:color="231F20" w:sz="4" w:space="0"/>
            </w:tcBorders>
          </w:tcPr>
          <w:p>
            <w:pPr>
              <w:rPr>
                <w:rFonts w:ascii="Arial"/>
                <w:sz w:val="21"/>
              </w:rPr>
            </w:pPr>
            <w:r/>
          </w:p>
        </w:tc>
        <w:tc>
          <w:tcPr>
            <w:tcW w:w="1257" w:type="dxa"/>
            <w:vAlign w:val="top"/>
            <w:tcBorders>
              <w:bottom w:val="single" w:color="231F20" w:sz="4" w:space="0"/>
            </w:tcBorders>
          </w:tcPr>
          <w:p>
            <w:pPr>
              <w:pStyle w:val="TableText"/>
              <w:ind w:left="457"/>
              <w:spacing w:before="48" w:line="217" w:lineRule="auto"/>
              <w:rPr/>
            </w:pPr>
            <w:r>
              <w:rPr>
                <w:color w:val="231F20"/>
                <w:spacing w:val="-8"/>
              </w:rPr>
              <w:t>0.510</w:t>
            </w:r>
          </w:p>
        </w:tc>
        <w:tc>
          <w:tcPr>
            <w:tcW w:w="1234" w:type="dxa"/>
            <w:vAlign w:val="top"/>
            <w:tcBorders>
              <w:bottom w:val="single" w:color="231F20" w:sz="4" w:space="0"/>
            </w:tcBorders>
          </w:tcPr>
          <w:p>
            <w:pPr>
              <w:pStyle w:val="TableText"/>
              <w:ind w:left="441"/>
              <w:spacing w:before="48" w:line="217" w:lineRule="auto"/>
              <w:rPr/>
            </w:pPr>
            <w:r>
              <w:rPr>
                <w:color w:val="231F20"/>
                <w:spacing w:val="-8"/>
              </w:rPr>
              <w:t>0.000</w:t>
            </w:r>
          </w:p>
        </w:tc>
        <w:tc>
          <w:tcPr>
            <w:tcW w:w="785" w:type="dxa"/>
            <w:vAlign w:val="top"/>
            <w:tcBorders>
              <w:bottom w:val="single" w:color="231F20" w:sz="4" w:space="0"/>
            </w:tcBorders>
          </w:tcPr>
          <w:p>
            <w:pPr>
              <w:rPr>
                <w:rFonts w:ascii="Arial"/>
                <w:sz w:val="21"/>
              </w:rPr>
            </w:pPr>
            <w:r/>
          </w:p>
        </w:tc>
        <w:tc>
          <w:tcPr>
            <w:tcW w:w="745" w:type="dxa"/>
            <w:vAlign w:val="top"/>
            <w:tcBorders>
              <w:bottom w:val="single" w:color="231F20" w:sz="4" w:space="0"/>
            </w:tcBorders>
          </w:tcPr>
          <w:p>
            <w:pPr>
              <w:rPr>
                <w:rFonts w:ascii="Arial"/>
                <w:sz w:val="21"/>
              </w:rPr>
            </w:pPr>
            <w:r/>
          </w:p>
        </w:tc>
      </w:tr>
    </w:tbl>
    <w:p>
      <w:pPr>
        <w:ind w:left="1037"/>
        <w:spacing w:before="43" w:line="17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position w:val="-1"/>
        </w:rPr>
        <w:t>注：与本组治疗前比较，</w:t>
      </w:r>
      <w:r>
        <w:rPr>
          <w:rFonts w:ascii="Microsoft YaHei" w:hAnsi="Microsoft YaHei" w:eastAsia="Microsoft YaHei" w:cs="Microsoft YaHei"/>
          <w:sz w:val="9"/>
          <w:szCs w:val="9"/>
          <w:color w:val="231F20"/>
          <w:spacing w:val="-1"/>
          <w:position w:val="6"/>
        </w:rPr>
        <w:t>a</w:t>
      </w:r>
      <w:r>
        <w:rPr>
          <w:rFonts w:ascii="Times New Roman" w:hAnsi="Times New Roman" w:eastAsia="Times New Roman" w:cs="Times New Roman"/>
          <w:sz w:val="16"/>
          <w:szCs w:val="16"/>
          <w:i/>
          <w:iCs/>
          <w:color w:val="231F20"/>
          <w:spacing w:val="-1"/>
          <w:position w:val="-1"/>
        </w:rPr>
        <w:t>P</w:t>
      </w:r>
      <w:r>
        <w:rPr>
          <w:rFonts w:ascii="Microsoft YaHei" w:hAnsi="Microsoft YaHei" w:eastAsia="Microsoft YaHei" w:cs="Microsoft YaHei"/>
          <w:sz w:val="16"/>
          <w:szCs w:val="16"/>
          <w:color w:val="231F20"/>
          <w:spacing w:val="-1"/>
          <w:position w:val="-1"/>
        </w:rPr>
        <w:t>＜0.05；与对照组治疗后比较，</w:t>
      </w:r>
      <w:r>
        <w:rPr>
          <w:rFonts w:ascii="Microsoft YaHei" w:hAnsi="Microsoft YaHei" w:eastAsia="Microsoft YaHei" w:cs="Microsoft YaHei"/>
          <w:sz w:val="9"/>
          <w:szCs w:val="9"/>
          <w:color w:val="231F20"/>
          <w:spacing w:val="-1"/>
          <w:position w:val="6"/>
        </w:rPr>
        <w:t>b</w:t>
      </w:r>
      <w:r>
        <w:rPr>
          <w:rFonts w:ascii="Times New Roman" w:hAnsi="Times New Roman" w:eastAsia="Times New Roman" w:cs="Times New Roman"/>
          <w:sz w:val="16"/>
          <w:szCs w:val="16"/>
          <w:i/>
          <w:iCs/>
          <w:color w:val="231F20"/>
          <w:spacing w:val="-1"/>
          <w:position w:val="-1"/>
        </w:rPr>
        <w:t>P</w:t>
      </w:r>
      <w:r>
        <w:rPr>
          <w:rFonts w:ascii="Microsoft YaHei" w:hAnsi="Microsoft YaHei" w:eastAsia="Microsoft YaHei" w:cs="Microsoft YaHei"/>
          <w:sz w:val="16"/>
          <w:szCs w:val="16"/>
          <w:color w:val="231F20"/>
          <w:spacing w:val="-1"/>
          <w:position w:val="-1"/>
        </w:rPr>
        <w:t>＜0</w:t>
      </w:r>
      <w:r>
        <w:rPr>
          <w:rFonts w:ascii="Microsoft YaHei" w:hAnsi="Microsoft YaHei" w:eastAsia="Microsoft YaHei" w:cs="Microsoft YaHei"/>
          <w:sz w:val="16"/>
          <w:szCs w:val="16"/>
          <w:color w:val="231F20"/>
          <w:spacing w:val="-2"/>
          <w:position w:val="-1"/>
        </w:rPr>
        <w:t>.05</w:t>
      </w:r>
    </w:p>
    <w:p>
      <w:pPr>
        <w:spacing w:line="178" w:lineRule="exact"/>
        <w:sectPr>
          <w:type w:val="continuous"/>
          <w:pgSz w:w="11906" w:h="16838"/>
          <w:pgMar w:top="1059" w:right="1132" w:bottom="836" w:left="424" w:header="0" w:footer="354" w:gutter="0"/>
          <w:cols w:equalWidth="0" w:num="1">
            <w:col w:w="10349" w:space="0"/>
          </w:cols>
        </w:sectPr>
        <w:rPr>
          <w:rFonts w:ascii="Microsoft YaHei" w:hAnsi="Microsoft YaHei" w:eastAsia="Microsoft YaHei" w:cs="Microsoft YaHei"/>
          <w:sz w:val="16"/>
          <w:szCs w:val="16"/>
        </w:rPr>
      </w:pPr>
    </w:p>
    <w:p>
      <w:pPr>
        <w:spacing w:line="407" w:lineRule="auto"/>
        <w:rPr>
          <w:rFonts w:ascii="Arial"/>
          <w:sz w:val="21"/>
        </w:rPr>
      </w:pPr>
      <w:r/>
    </w:p>
    <w:p>
      <w:pPr>
        <w:pStyle w:val="BodyText"/>
        <w:ind w:left="3831"/>
        <w:spacing w:before="77" w:line="187" w:lineRule="auto"/>
        <w:outlineLvl w:val="0"/>
        <w:rPr>
          <w:sz w:val="18"/>
          <w:szCs w:val="18"/>
        </w:rPr>
      </w:pPr>
      <w:r>
        <w:rPr>
          <w:rFonts w:ascii="Microsoft YaHei" w:hAnsi="Microsoft YaHei" w:eastAsia="Microsoft YaHei" w:cs="Microsoft YaHei"/>
          <w:sz w:val="18"/>
          <w:szCs w:val="18"/>
          <w:color w:val="231F20"/>
          <w:spacing w:val="1"/>
        </w:rPr>
        <w:t>表3   </w:t>
      </w:r>
      <w:r>
        <w:rPr>
          <w:sz w:val="18"/>
          <w:szCs w:val="18"/>
          <w:color w:val="231F20"/>
          <w:spacing w:val="1"/>
        </w:rPr>
        <w:t>两组不良反应发生情况比较</w:t>
      </w:r>
      <w:r>
        <w:rPr>
          <w:sz w:val="18"/>
          <w:szCs w:val="18"/>
          <w:color w:val="231F20"/>
          <w:spacing w:val="-30"/>
        </w:rPr>
        <w:t xml:space="preserve"> </w:t>
      </w:r>
      <w:r>
        <w:rPr>
          <w:sz w:val="18"/>
          <w:szCs w:val="18"/>
          <w:color w:val="231F20"/>
          <w:spacing w:val="1"/>
        </w:rPr>
        <w:t>[</w:t>
      </w:r>
      <w:r>
        <w:rPr>
          <w:rFonts w:ascii="Times New Roman" w:hAnsi="Times New Roman" w:eastAsia="Times New Roman" w:cs="Times New Roman"/>
          <w:sz w:val="18"/>
          <w:szCs w:val="18"/>
          <w:i/>
          <w:iCs/>
          <w:color w:val="231F20"/>
          <w:spacing w:val="1"/>
        </w:rPr>
        <w:t>n</w:t>
      </w:r>
      <w:r>
        <w:rPr>
          <w:sz w:val="18"/>
          <w:szCs w:val="18"/>
          <w:color w:val="231F20"/>
          <w:spacing w:val="1"/>
        </w:rPr>
        <w:t>（%）]</w:t>
      </w:r>
    </w:p>
    <w:tbl>
      <w:tblPr>
        <w:tblStyle w:val="TableNormal"/>
        <w:tblW w:w="9637" w:type="dxa"/>
        <w:tblInd w:w="70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63"/>
        <w:gridCol w:w="1010"/>
        <w:gridCol w:w="1560"/>
        <w:gridCol w:w="1467"/>
        <w:gridCol w:w="1510"/>
        <w:gridCol w:w="1459"/>
        <w:gridCol w:w="1568"/>
      </w:tblGrid>
      <w:tr>
        <w:trPr>
          <w:trHeight w:val="355" w:hRule="atLeast"/>
        </w:trPr>
        <w:tc>
          <w:tcPr>
            <w:tcW w:w="1063" w:type="dxa"/>
            <w:vAlign w:val="top"/>
            <w:tcBorders>
              <w:bottom w:val="single" w:color="231F20" w:sz="2" w:space="0"/>
              <w:top w:val="single" w:color="231F20" w:sz="4" w:space="0"/>
            </w:tcBorders>
          </w:tcPr>
          <w:p>
            <w:pPr>
              <w:pStyle w:val="TableText"/>
              <w:ind w:left="335"/>
              <w:spacing w:before="95" w:line="211" w:lineRule="auto"/>
              <w:rPr/>
            </w:pPr>
            <w:r>
              <w:rPr>
                <w:color w:val="231F20"/>
                <w:spacing w:val="-1"/>
              </w:rPr>
              <w:t>组别</w:t>
            </w:r>
          </w:p>
        </w:tc>
        <w:tc>
          <w:tcPr>
            <w:tcW w:w="1010" w:type="dxa"/>
            <w:vAlign w:val="top"/>
            <w:tcBorders>
              <w:bottom w:val="single" w:color="231F20" w:sz="2" w:space="0"/>
              <w:top w:val="single" w:color="231F20" w:sz="4" w:space="0"/>
            </w:tcBorders>
          </w:tcPr>
          <w:p>
            <w:pPr>
              <w:pStyle w:val="TableText"/>
              <w:ind w:left="313"/>
              <w:spacing w:before="95" w:line="212" w:lineRule="auto"/>
              <w:rPr/>
            </w:pPr>
            <w:r>
              <w:rPr>
                <w:color w:val="231F20"/>
                <w:spacing w:val="-2"/>
              </w:rPr>
              <w:t>例数</w:t>
            </w:r>
          </w:p>
        </w:tc>
        <w:tc>
          <w:tcPr>
            <w:tcW w:w="1560" w:type="dxa"/>
            <w:vAlign w:val="top"/>
            <w:tcBorders>
              <w:bottom w:val="single" w:color="231F20" w:sz="2" w:space="0"/>
              <w:top w:val="single" w:color="231F20" w:sz="4" w:space="0"/>
            </w:tcBorders>
          </w:tcPr>
          <w:p>
            <w:pPr>
              <w:pStyle w:val="TableText"/>
              <w:ind w:left="364"/>
              <w:spacing w:before="96" w:line="208" w:lineRule="auto"/>
              <w:rPr/>
            </w:pPr>
            <w:r>
              <w:rPr>
                <w:color w:val="231F20"/>
                <w:spacing w:val="-5"/>
              </w:rPr>
              <w:t>胃肠道症状</w:t>
            </w:r>
          </w:p>
        </w:tc>
        <w:tc>
          <w:tcPr>
            <w:tcW w:w="1467" w:type="dxa"/>
            <w:vAlign w:val="top"/>
            <w:tcBorders>
              <w:bottom w:val="single" w:color="231F20" w:sz="2" w:space="0"/>
              <w:top w:val="single" w:color="231F20" w:sz="4" w:space="0"/>
            </w:tcBorders>
          </w:tcPr>
          <w:p>
            <w:pPr>
              <w:pStyle w:val="TableText"/>
              <w:ind w:left="376"/>
              <w:spacing w:before="95" w:line="211" w:lineRule="auto"/>
              <w:rPr/>
            </w:pPr>
            <w:r>
              <w:rPr>
                <w:color w:val="231F20"/>
                <w:spacing w:val="-1"/>
              </w:rPr>
              <w:t>皮肤过敏</w:t>
            </w:r>
          </w:p>
        </w:tc>
        <w:tc>
          <w:tcPr>
            <w:tcW w:w="1510" w:type="dxa"/>
            <w:vAlign w:val="top"/>
            <w:tcBorders>
              <w:bottom w:val="single" w:color="231F20" w:sz="2" w:space="0"/>
              <w:top w:val="single" w:color="231F20" w:sz="4" w:space="0"/>
            </w:tcBorders>
          </w:tcPr>
          <w:p>
            <w:pPr>
              <w:pStyle w:val="TableText"/>
              <w:ind w:left="424"/>
              <w:spacing w:before="96" w:line="209" w:lineRule="auto"/>
              <w:rPr/>
            </w:pPr>
            <w:r>
              <w:rPr>
                <w:color w:val="231F20"/>
                <w:spacing w:val="-2"/>
              </w:rPr>
              <w:t>头痛头晕</w:t>
            </w:r>
          </w:p>
        </w:tc>
        <w:tc>
          <w:tcPr>
            <w:tcW w:w="1459" w:type="dxa"/>
            <w:vAlign w:val="top"/>
            <w:tcBorders>
              <w:bottom w:val="single" w:color="231F20" w:sz="2" w:space="0"/>
              <w:top w:val="single" w:color="231F20" w:sz="4" w:space="0"/>
            </w:tcBorders>
          </w:tcPr>
          <w:p>
            <w:pPr>
              <w:pStyle w:val="TableText"/>
              <w:ind w:left="591"/>
              <w:spacing w:before="95" w:line="212" w:lineRule="auto"/>
              <w:rPr/>
            </w:pPr>
            <w:r>
              <w:rPr>
                <w:color w:val="231F20"/>
                <w:spacing w:val="-1"/>
              </w:rPr>
              <w:t>厌食</w:t>
            </w:r>
          </w:p>
        </w:tc>
        <w:tc>
          <w:tcPr>
            <w:tcW w:w="1568" w:type="dxa"/>
            <w:vAlign w:val="top"/>
            <w:tcBorders>
              <w:bottom w:val="single" w:color="231F20" w:sz="2" w:space="0"/>
              <w:top w:val="single" w:color="231F20" w:sz="4" w:space="0"/>
            </w:tcBorders>
          </w:tcPr>
          <w:p>
            <w:pPr>
              <w:pStyle w:val="TableText"/>
              <w:ind w:left="482"/>
              <w:spacing w:before="94" w:line="213" w:lineRule="auto"/>
              <w:rPr/>
            </w:pPr>
            <w:r>
              <w:rPr>
                <w:color w:val="231F20"/>
                <w:spacing w:val="-2"/>
              </w:rPr>
              <w:t>总发生率</w:t>
            </w:r>
          </w:p>
        </w:tc>
      </w:tr>
      <w:tr>
        <w:trPr>
          <w:trHeight w:val="309" w:hRule="atLeast"/>
        </w:trPr>
        <w:tc>
          <w:tcPr>
            <w:tcW w:w="1063" w:type="dxa"/>
            <w:vAlign w:val="top"/>
            <w:tcBorders>
              <w:top w:val="single" w:color="231F20" w:sz="2" w:space="0"/>
            </w:tcBorders>
          </w:tcPr>
          <w:p>
            <w:pPr>
              <w:pStyle w:val="TableText"/>
              <w:ind w:left="252"/>
              <w:spacing w:before="74" w:line="212" w:lineRule="auto"/>
              <w:rPr/>
            </w:pPr>
            <w:r>
              <w:rPr>
                <w:color w:val="231F20"/>
                <w:spacing w:val="-2"/>
              </w:rPr>
              <w:t>治疗组</w:t>
            </w:r>
          </w:p>
        </w:tc>
        <w:tc>
          <w:tcPr>
            <w:tcW w:w="1010" w:type="dxa"/>
            <w:vAlign w:val="top"/>
            <w:tcBorders>
              <w:top w:val="single" w:color="231F20" w:sz="2" w:space="0"/>
            </w:tcBorders>
          </w:tcPr>
          <w:p>
            <w:pPr>
              <w:pStyle w:val="TableText"/>
              <w:ind w:left="401"/>
              <w:spacing w:before="69" w:line="230" w:lineRule="exact"/>
              <w:rPr/>
            </w:pPr>
            <w:r>
              <w:rPr>
                <w:color w:val="231F20"/>
                <w:spacing w:val="-3"/>
                <w:position w:val="1"/>
              </w:rPr>
              <w:t>30</w:t>
            </w:r>
          </w:p>
        </w:tc>
        <w:tc>
          <w:tcPr>
            <w:tcW w:w="1560" w:type="dxa"/>
            <w:vAlign w:val="top"/>
            <w:tcBorders>
              <w:top w:val="single" w:color="231F20" w:sz="2" w:space="0"/>
            </w:tcBorders>
          </w:tcPr>
          <w:p>
            <w:pPr>
              <w:pStyle w:val="TableText"/>
              <w:ind w:left="406"/>
              <w:spacing w:before="69" w:line="230" w:lineRule="exact"/>
              <w:rPr/>
            </w:pPr>
            <w:r>
              <w:rPr>
                <w:color w:val="231F20"/>
                <w:spacing w:val="-7"/>
                <w:position w:val="1"/>
              </w:rPr>
              <w:t>2（6.67）</w:t>
            </w:r>
          </w:p>
        </w:tc>
        <w:tc>
          <w:tcPr>
            <w:tcW w:w="1467" w:type="dxa"/>
            <w:vAlign w:val="top"/>
            <w:tcBorders>
              <w:top w:val="single" w:color="231F20" w:sz="2" w:space="0"/>
            </w:tcBorders>
          </w:tcPr>
          <w:p>
            <w:pPr>
              <w:pStyle w:val="TableText"/>
              <w:ind w:left="675"/>
              <w:spacing w:before="69" w:line="230" w:lineRule="exact"/>
              <w:rPr/>
            </w:pPr>
            <w:r>
              <w:rPr>
                <w:color w:val="231F20"/>
                <w:position w:val="1"/>
              </w:rPr>
              <w:t>0</w:t>
            </w:r>
          </w:p>
        </w:tc>
        <w:tc>
          <w:tcPr>
            <w:tcW w:w="1510" w:type="dxa"/>
            <w:vAlign w:val="top"/>
            <w:tcBorders>
              <w:top w:val="single" w:color="231F20" w:sz="2" w:space="0"/>
            </w:tcBorders>
          </w:tcPr>
          <w:p>
            <w:pPr>
              <w:pStyle w:val="TableText"/>
              <w:ind w:left="417"/>
              <w:spacing w:before="69" w:line="230" w:lineRule="exact"/>
              <w:rPr/>
            </w:pPr>
            <w:r>
              <w:rPr>
                <w:color w:val="231F20"/>
                <w:spacing w:val="-9"/>
                <w:position w:val="1"/>
              </w:rPr>
              <w:t>1（3.33）</w:t>
            </w:r>
          </w:p>
        </w:tc>
        <w:tc>
          <w:tcPr>
            <w:tcW w:w="1459" w:type="dxa"/>
            <w:vAlign w:val="top"/>
            <w:tcBorders>
              <w:top w:val="single" w:color="231F20" w:sz="2" w:space="0"/>
            </w:tcBorders>
          </w:tcPr>
          <w:p>
            <w:pPr>
              <w:pStyle w:val="TableText"/>
              <w:ind w:left="721"/>
              <w:spacing w:before="69" w:line="230" w:lineRule="exact"/>
              <w:rPr/>
            </w:pPr>
            <w:r>
              <w:rPr>
                <w:color w:val="231F20"/>
                <w:position w:val="1"/>
              </w:rPr>
              <w:t>0</w:t>
            </w:r>
          </w:p>
        </w:tc>
        <w:tc>
          <w:tcPr>
            <w:tcW w:w="1568" w:type="dxa"/>
            <w:vAlign w:val="top"/>
            <w:tcBorders>
              <w:top w:val="single" w:color="231F20" w:sz="2" w:space="0"/>
            </w:tcBorders>
          </w:tcPr>
          <w:p>
            <w:pPr>
              <w:pStyle w:val="TableText"/>
              <w:ind w:left="418"/>
              <w:spacing w:before="69" w:line="230" w:lineRule="exact"/>
              <w:rPr/>
            </w:pPr>
            <w:r>
              <w:rPr>
                <w:color w:val="231F20"/>
                <w:spacing w:val="-6"/>
                <w:position w:val="1"/>
              </w:rPr>
              <w:t>3（10.00）</w:t>
            </w:r>
          </w:p>
        </w:tc>
      </w:tr>
      <w:tr>
        <w:trPr>
          <w:trHeight w:val="307" w:hRule="atLeast"/>
        </w:trPr>
        <w:tc>
          <w:tcPr>
            <w:tcW w:w="1063" w:type="dxa"/>
            <w:vAlign w:val="top"/>
          </w:tcPr>
          <w:p>
            <w:pPr>
              <w:pStyle w:val="TableText"/>
              <w:ind w:left="250"/>
              <w:spacing w:before="82" w:line="205" w:lineRule="auto"/>
              <w:rPr/>
            </w:pPr>
            <w:r>
              <w:rPr>
                <w:color w:val="231F20"/>
                <w:spacing w:val="-1"/>
              </w:rPr>
              <w:t>对照组</w:t>
            </w:r>
          </w:p>
        </w:tc>
        <w:tc>
          <w:tcPr>
            <w:tcW w:w="1010" w:type="dxa"/>
            <w:vAlign w:val="top"/>
          </w:tcPr>
          <w:p>
            <w:pPr>
              <w:pStyle w:val="TableText"/>
              <w:ind w:left="401"/>
              <w:spacing w:before="75" w:line="241" w:lineRule="auto"/>
              <w:rPr/>
            </w:pPr>
            <w:r>
              <w:rPr>
                <w:color w:val="231F20"/>
                <w:spacing w:val="-3"/>
              </w:rPr>
              <w:t>30</w:t>
            </w:r>
          </w:p>
        </w:tc>
        <w:tc>
          <w:tcPr>
            <w:tcW w:w="1560" w:type="dxa"/>
            <w:vAlign w:val="top"/>
          </w:tcPr>
          <w:p>
            <w:pPr>
              <w:pStyle w:val="TableText"/>
              <w:ind w:left="420"/>
              <w:spacing w:before="75" w:line="241" w:lineRule="auto"/>
              <w:rPr/>
            </w:pPr>
            <w:r>
              <w:rPr>
                <w:color w:val="231F20"/>
                <w:spacing w:val="-9"/>
              </w:rPr>
              <w:t>1（3.33）</w:t>
            </w:r>
          </w:p>
        </w:tc>
        <w:tc>
          <w:tcPr>
            <w:tcW w:w="1467" w:type="dxa"/>
            <w:vAlign w:val="top"/>
          </w:tcPr>
          <w:p>
            <w:pPr>
              <w:pStyle w:val="TableText"/>
              <w:ind w:left="675"/>
              <w:spacing w:before="75" w:line="241" w:lineRule="auto"/>
              <w:rPr/>
            </w:pPr>
            <w:r>
              <w:rPr>
                <w:color w:val="231F20"/>
              </w:rPr>
              <w:t>0</w:t>
            </w:r>
          </w:p>
        </w:tc>
        <w:tc>
          <w:tcPr>
            <w:tcW w:w="1510" w:type="dxa"/>
            <w:vAlign w:val="top"/>
          </w:tcPr>
          <w:p>
            <w:pPr>
              <w:pStyle w:val="TableText"/>
              <w:ind w:left="720"/>
              <w:spacing w:before="75" w:line="241" w:lineRule="auto"/>
              <w:rPr/>
            </w:pPr>
            <w:r>
              <w:rPr>
                <w:color w:val="231F20"/>
              </w:rPr>
              <w:t>0</w:t>
            </w:r>
          </w:p>
        </w:tc>
        <w:tc>
          <w:tcPr>
            <w:tcW w:w="1459" w:type="dxa"/>
            <w:vAlign w:val="top"/>
          </w:tcPr>
          <w:p>
            <w:pPr>
              <w:pStyle w:val="TableText"/>
              <w:ind w:left="419"/>
              <w:spacing w:before="75" w:line="241" w:lineRule="auto"/>
              <w:rPr/>
            </w:pPr>
            <w:r>
              <w:rPr>
                <w:color w:val="231F20"/>
                <w:spacing w:val="-9"/>
              </w:rPr>
              <w:t>1（3.33）</w:t>
            </w:r>
          </w:p>
        </w:tc>
        <w:tc>
          <w:tcPr>
            <w:tcW w:w="1568" w:type="dxa"/>
            <w:vAlign w:val="top"/>
          </w:tcPr>
          <w:p>
            <w:pPr>
              <w:pStyle w:val="TableText"/>
              <w:ind w:left="457"/>
              <w:spacing w:before="75" w:line="241" w:lineRule="auto"/>
              <w:rPr/>
            </w:pPr>
            <w:r>
              <w:rPr>
                <w:color w:val="231F20"/>
                <w:spacing w:val="-7"/>
              </w:rPr>
              <w:t>2（6.67）</w:t>
            </w:r>
          </w:p>
        </w:tc>
      </w:tr>
      <w:tr>
        <w:trPr>
          <w:trHeight w:val="330" w:hRule="atLeast"/>
        </w:trPr>
        <w:tc>
          <w:tcPr>
            <w:tcW w:w="1063" w:type="dxa"/>
            <w:vAlign w:val="top"/>
          </w:tcPr>
          <w:p>
            <w:pPr>
              <w:pStyle w:val="TableText"/>
              <w:ind w:left="425"/>
              <w:spacing w:before="62" w:line="206" w:lineRule="exact"/>
              <w:rPr>
                <w:sz w:val="9"/>
                <w:szCs w:val="9"/>
              </w:rPr>
            </w:pPr>
            <w:r>
              <w:rPr>
                <w:rFonts w:ascii="Times New Roman" w:hAnsi="Times New Roman" w:eastAsia="Times New Roman" w:cs="Times New Roman"/>
                <w:i/>
                <w:iCs/>
                <w:color w:val="231F20"/>
                <w:spacing w:val="13"/>
                <w:position w:val="1"/>
              </w:rPr>
              <w:t>χ</w:t>
            </w:r>
            <w:r>
              <w:rPr>
                <w:sz w:val="9"/>
                <w:szCs w:val="9"/>
                <w:color w:val="231F20"/>
                <w:spacing w:val="13"/>
                <w:position w:val="8"/>
              </w:rPr>
              <w:t>2</w:t>
            </w:r>
          </w:p>
        </w:tc>
        <w:tc>
          <w:tcPr>
            <w:tcW w:w="1010" w:type="dxa"/>
            <w:vAlign w:val="top"/>
          </w:tcPr>
          <w:p>
            <w:pPr>
              <w:rPr>
                <w:rFonts w:ascii="Arial"/>
                <w:sz w:val="21"/>
              </w:rPr>
            </w:pPr>
            <w:r/>
          </w:p>
        </w:tc>
        <w:tc>
          <w:tcPr>
            <w:tcW w:w="1560" w:type="dxa"/>
            <w:vAlign w:val="top"/>
          </w:tcPr>
          <w:p>
            <w:pPr>
              <w:rPr>
                <w:rFonts w:ascii="Arial"/>
                <w:sz w:val="21"/>
              </w:rPr>
            </w:pPr>
            <w:r/>
          </w:p>
        </w:tc>
        <w:tc>
          <w:tcPr>
            <w:tcW w:w="1467" w:type="dxa"/>
            <w:vAlign w:val="top"/>
          </w:tcPr>
          <w:p>
            <w:pPr>
              <w:rPr>
                <w:rFonts w:ascii="Arial"/>
                <w:sz w:val="21"/>
              </w:rPr>
            </w:pPr>
            <w:r/>
          </w:p>
        </w:tc>
        <w:tc>
          <w:tcPr>
            <w:tcW w:w="1510" w:type="dxa"/>
            <w:vAlign w:val="top"/>
          </w:tcPr>
          <w:p>
            <w:pPr>
              <w:rPr>
                <w:rFonts w:ascii="Arial"/>
                <w:sz w:val="21"/>
              </w:rPr>
            </w:pPr>
            <w:r/>
          </w:p>
        </w:tc>
        <w:tc>
          <w:tcPr>
            <w:tcW w:w="1459" w:type="dxa"/>
            <w:vAlign w:val="top"/>
          </w:tcPr>
          <w:p>
            <w:pPr>
              <w:rPr>
                <w:rFonts w:ascii="Arial"/>
                <w:sz w:val="21"/>
              </w:rPr>
            </w:pPr>
            <w:r/>
          </w:p>
        </w:tc>
        <w:tc>
          <w:tcPr>
            <w:tcW w:w="1568" w:type="dxa"/>
            <w:vAlign w:val="top"/>
          </w:tcPr>
          <w:p>
            <w:pPr>
              <w:pStyle w:val="TableText"/>
              <w:ind w:left="627"/>
              <w:spacing w:before="83" w:line="237" w:lineRule="exact"/>
              <w:rPr/>
            </w:pPr>
            <w:r>
              <w:rPr>
                <w:color w:val="231F20"/>
                <w:spacing w:val="-8"/>
                <w:position w:val="1"/>
              </w:rPr>
              <w:t>0.218</w:t>
            </w:r>
          </w:p>
        </w:tc>
      </w:tr>
      <w:tr>
        <w:trPr>
          <w:trHeight w:val="308" w:hRule="atLeast"/>
        </w:trPr>
        <w:tc>
          <w:tcPr>
            <w:tcW w:w="1063" w:type="dxa"/>
            <w:vAlign w:val="top"/>
            <w:tcBorders>
              <w:bottom w:val="single" w:color="231F20" w:sz="4" w:space="0"/>
            </w:tcBorders>
          </w:tcPr>
          <w:p>
            <w:pPr>
              <w:ind w:left="458"/>
              <w:spacing w:before="68" w:line="207" w:lineRule="exact"/>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position w:val="1"/>
              </w:rPr>
              <w:t>P</w:t>
            </w:r>
          </w:p>
        </w:tc>
        <w:tc>
          <w:tcPr>
            <w:tcW w:w="1010" w:type="dxa"/>
            <w:vAlign w:val="top"/>
            <w:tcBorders>
              <w:bottom w:val="single" w:color="231F20" w:sz="4" w:space="0"/>
            </w:tcBorders>
          </w:tcPr>
          <w:p>
            <w:pPr>
              <w:rPr>
                <w:rFonts w:ascii="Arial"/>
                <w:sz w:val="21"/>
              </w:rPr>
            </w:pPr>
            <w:r/>
          </w:p>
        </w:tc>
        <w:tc>
          <w:tcPr>
            <w:tcW w:w="1560" w:type="dxa"/>
            <w:vAlign w:val="top"/>
            <w:tcBorders>
              <w:bottom w:val="single" w:color="231F20" w:sz="4" w:space="0"/>
            </w:tcBorders>
          </w:tcPr>
          <w:p>
            <w:pPr>
              <w:rPr>
                <w:rFonts w:ascii="Arial"/>
                <w:sz w:val="21"/>
              </w:rPr>
            </w:pPr>
            <w:r/>
          </w:p>
        </w:tc>
        <w:tc>
          <w:tcPr>
            <w:tcW w:w="1467" w:type="dxa"/>
            <w:vAlign w:val="top"/>
            <w:tcBorders>
              <w:bottom w:val="single" w:color="231F20" w:sz="4" w:space="0"/>
            </w:tcBorders>
          </w:tcPr>
          <w:p>
            <w:pPr>
              <w:rPr>
                <w:rFonts w:ascii="Arial"/>
                <w:sz w:val="21"/>
              </w:rPr>
            </w:pPr>
            <w:r/>
          </w:p>
        </w:tc>
        <w:tc>
          <w:tcPr>
            <w:tcW w:w="1510" w:type="dxa"/>
            <w:vAlign w:val="top"/>
            <w:tcBorders>
              <w:bottom w:val="single" w:color="231F20" w:sz="4" w:space="0"/>
            </w:tcBorders>
          </w:tcPr>
          <w:p>
            <w:pPr>
              <w:rPr>
                <w:rFonts w:ascii="Arial"/>
                <w:sz w:val="21"/>
              </w:rPr>
            </w:pPr>
            <w:r/>
          </w:p>
        </w:tc>
        <w:tc>
          <w:tcPr>
            <w:tcW w:w="1459" w:type="dxa"/>
            <w:vAlign w:val="top"/>
            <w:tcBorders>
              <w:bottom w:val="single" w:color="231F20" w:sz="4" w:space="0"/>
            </w:tcBorders>
          </w:tcPr>
          <w:p>
            <w:pPr>
              <w:rPr>
                <w:rFonts w:ascii="Arial"/>
                <w:sz w:val="21"/>
              </w:rPr>
            </w:pPr>
            <w:r/>
          </w:p>
        </w:tc>
        <w:tc>
          <w:tcPr>
            <w:tcW w:w="1568" w:type="dxa"/>
            <w:vAlign w:val="top"/>
            <w:tcBorders>
              <w:bottom w:val="single" w:color="231F20" w:sz="4" w:space="0"/>
            </w:tcBorders>
          </w:tcPr>
          <w:p>
            <w:pPr>
              <w:pStyle w:val="TableText"/>
              <w:ind w:left="627"/>
              <w:spacing w:before="68" w:line="230" w:lineRule="exact"/>
              <w:rPr/>
            </w:pPr>
            <w:r>
              <w:rPr>
                <w:color w:val="231F20"/>
                <w:spacing w:val="-8"/>
                <w:position w:val="1"/>
              </w:rPr>
              <w:t>0.640</w:t>
            </w:r>
          </w:p>
        </w:tc>
      </w:tr>
    </w:tbl>
    <w:p>
      <w:pPr>
        <w:rPr>
          <w:rFonts w:ascii="Arial"/>
          <w:sz w:val="21"/>
        </w:rPr>
      </w:pPr>
      <w:r/>
    </w:p>
    <w:p>
      <w:pPr>
        <w:spacing w:line="48" w:lineRule="exact"/>
        <w:rPr/>
      </w:pPr>
      <w:r/>
    </w:p>
    <w:p>
      <w:pPr>
        <w:spacing w:line="48" w:lineRule="exact"/>
        <w:sectPr>
          <w:headerReference w:type="default" r:id="rId4"/>
          <w:footerReference w:type="default" r:id="rId5"/>
          <w:pgSz w:w="11906" w:h="16838"/>
          <w:pgMar w:top="1493" w:right="1132" w:bottom="604" w:left="424" w:header="1045" w:footer="354" w:gutter="0"/>
          <w:cols w:equalWidth="0" w:num="1">
            <w:col w:w="10349" w:space="0"/>
          </w:cols>
        </w:sectPr>
        <w:rPr/>
      </w:pPr>
    </w:p>
    <w:p>
      <w:pPr>
        <w:pStyle w:val="BodyText"/>
        <w:ind w:left="720"/>
        <w:spacing w:before="57" w:line="174" w:lineRule="auto"/>
        <w:outlineLvl w:val="0"/>
        <w:rPr>
          <w:rFonts w:ascii="Microsoft YaHei" w:hAnsi="Microsoft YaHei" w:eastAsia="Microsoft YaHei" w:cs="Microsoft YaHei"/>
          <w:sz w:val="22"/>
          <w:szCs w:val="22"/>
        </w:rPr>
      </w:pPr>
      <w:r>
        <w:rPr>
          <w:sz w:val="22"/>
          <w:szCs w:val="22"/>
          <w:b/>
          <w:bCs/>
          <w:color w:val="231F20"/>
          <w:spacing w:val="3"/>
        </w:rPr>
        <w:t>3</w:t>
      </w:r>
      <w:r>
        <w:rPr>
          <w:sz w:val="22"/>
          <w:szCs w:val="22"/>
          <w:color w:val="231F20"/>
          <w:spacing w:val="3"/>
        </w:rPr>
        <w:t xml:space="preserve">  </w:t>
      </w:r>
      <w:r>
        <w:rPr>
          <w:rFonts w:ascii="Microsoft YaHei" w:hAnsi="Microsoft YaHei" w:eastAsia="Microsoft YaHei" w:cs="Microsoft YaHei"/>
          <w:sz w:val="22"/>
          <w:szCs w:val="22"/>
          <w:color w:val="231F20"/>
          <w:spacing w:val="3"/>
        </w:rPr>
        <w:t>讨论</w:t>
      </w:r>
    </w:p>
    <w:p>
      <w:pPr>
        <w:pStyle w:val="BodyText"/>
        <w:ind w:left="710" w:right="326" w:firstLine="444"/>
        <w:spacing w:before="50" w:line="287" w:lineRule="auto"/>
        <w:jc w:val="both"/>
        <w:rPr>
          <w:sz w:val="21"/>
          <w:szCs w:val="21"/>
        </w:rPr>
      </w:pPr>
      <w:r>
        <w:rPr>
          <w:sz w:val="21"/>
          <w:szCs w:val="21"/>
          <w:color w:val="231F20"/>
          <w:spacing w:val="7"/>
        </w:rPr>
        <w:t>中医将盆腔炎归属于“妇人腹痛”等范畴，</w:t>
      </w:r>
      <w:r>
        <w:rPr>
          <w:sz w:val="21"/>
          <w:szCs w:val="21"/>
          <w:color w:val="231F20"/>
        </w:rPr>
        <w:t xml:space="preserve"> </w:t>
      </w:r>
      <w:r>
        <w:rPr>
          <w:sz w:val="21"/>
          <w:szCs w:val="21"/>
          <w:color w:val="231F20"/>
          <w:spacing w:val="20"/>
        </w:rPr>
        <w:t>认为此病发病与经期卫生保健不当、宫腔内手</w:t>
      </w:r>
      <w:r>
        <w:rPr>
          <w:sz w:val="21"/>
          <w:szCs w:val="21"/>
          <w:color w:val="231F20"/>
          <w:spacing w:val="5"/>
        </w:rPr>
        <w:t xml:space="preserve"> </w:t>
      </w:r>
      <w:r>
        <w:rPr>
          <w:sz w:val="21"/>
          <w:szCs w:val="21"/>
          <w:color w:val="231F20"/>
          <w:spacing w:val="-1"/>
        </w:rPr>
        <w:t>术、流产后邪毒乘虚侵袭有关</w:t>
      </w:r>
      <w:r>
        <w:rPr>
          <w:sz w:val="12"/>
          <w:szCs w:val="12"/>
          <w:color w:val="231F20"/>
          <w:spacing w:val="-1"/>
          <w:position w:val="9"/>
        </w:rPr>
        <w:t>[7]</w:t>
      </w:r>
      <w:r>
        <w:rPr>
          <w:sz w:val="21"/>
          <w:szCs w:val="21"/>
          <w:color w:val="231F20"/>
          <w:spacing w:val="-1"/>
        </w:rPr>
        <w:t>。邪毒乘虚侵袭，</w:t>
      </w:r>
      <w:r>
        <w:rPr>
          <w:sz w:val="21"/>
          <w:szCs w:val="21"/>
          <w:color w:val="231F20"/>
          <w:spacing w:val="1"/>
        </w:rPr>
        <w:t xml:space="preserve"> </w:t>
      </w:r>
      <w:r>
        <w:rPr>
          <w:sz w:val="21"/>
          <w:szCs w:val="21"/>
          <w:color w:val="231F20"/>
          <w:spacing w:val="7"/>
        </w:rPr>
        <w:t>于胞宫脉络及冲任稽留，邪正交争，气血相搏，</w:t>
      </w:r>
      <w:r>
        <w:rPr>
          <w:sz w:val="21"/>
          <w:szCs w:val="21"/>
          <w:color w:val="231F20"/>
          <w:spacing w:val="11"/>
        </w:rPr>
        <w:t xml:space="preserve"> </w:t>
      </w:r>
      <w:r>
        <w:rPr>
          <w:sz w:val="21"/>
          <w:szCs w:val="21"/>
          <w:color w:val="231F20"/>
          <w:spacing w:val="9"/>
        </w:rPr>
        <w:t>引起疼痛、发热，邪毒炽盛，腐肉酿脓，从而加</w:t>
      </w:r>
      <w:r>
        <w:rPr>
          <w:sz w:val="21"/>
          <w:szCs w:val="21"/>
          <w:color w:val="231F20"/>
          <w:spacing w:val="6"/>
        </w:rPr>
        <w:t xml:space="preserve"> </w:t>
      </w:r>
      <w:r>
        <w:rPr>
          <w:sz w:val="21"/>
          <w:szCs w:val="21"/>
          <w:color w:val="231F20"/>
          <w:spacing w:val="-1"/>
        </w:rPr>
        <w:t>重病情</w:t>
      </w:r>
      <w:r>
        <w:rPr>
          <w:sz w:val="12"/>
          <w:szCs w:val="12"/>
          <w:color w:val="231F20"/>
          <w:spacing w:val="-1"/>
          <w:position w:val="9"/>
        </w:rPr>
        <w:t>[8]</w:t>
      </w:r>
      <w:r>
        <w:rPr>
          <w:sz w:val="12"/>
          <w:szCs w:val="12"/>
          <w:color w:val="231F20"/>
          <w:spacing w:val="-32"/>
          <w:position w:val="9"/>
        </w:rPr>
        <w:t xml:space="preserve"> </w:t>
      </w:r>
      <w:r>
        <w:rPr>
          <w:sz w:val="21"/>
          <w:szCs w:val="21"/>
          <w:color w:val="231F20"/>
          <w:spacing w:val="-1"/>
        </w:rPr>
        <w:t>。中医对盆腔炎的治疗以疏风散寒、清热</w:t>
      </w:r>
      <w:r>
        <w:rPr>
          <w:sz w:val="21"/>
          <w:szCs w:val="21"/>
          <w:color w:val="231F20"/>
        </w:rPr>
        <w:t xml:space="preserve"> </w:t>
      </w:r>
      <w:r>
        <w:rPr>
          <w:sz w:val="21"/>
          <w:szCs w:val="21"/>
          <w:color w:val="231F20"/>
          <w:spacing w:val="-2"/>
        </w:rPr>
        <w:t>解毒、祛湿化滞、活血化瘀为主。</w:t>
      </w:r>
    </w:p>
    <w:p>
      <w:pPr>
        <w:pStyle w:val="BodyText"/>
        <w:ind w:left="700" w:right="326" w:firstLine="454"/>
        <w:spacing w:before="24" w:line="289" w:lineRule="auto"/>
        <w:rPr>
          <w:sz w:val="21"/>
          <w:szCs w:val="21"/>
        </w:rPr>
      </w:pPr>
      <w:r>
        <w:rPr>
          <w:sz w:val="21"/>
          <w:szCs w:val="21"/>
          <w:color w:val="231F20"/>
          <w:spacing w:val="9"/>
        </w:rPr>
        <w:t>中药灌肠是治疗盆腔炎的辅助方法，通过中</w:t>
      </w:r>
      <w:r>
        <w:rPr>
          <w:sz w:val="21"/>
          <w:szCs w:val="21"/>
          <w:color w:val="231F20"/>
        </w:rPr>
        <w:t xml:space="preserve"> </w:t>
      </w:r>
      <w:r>
        <w:rPr>
          <w:sz w:val="21"/>
          <w:szCs w:val="21"/>
          <w:color w:val="231F20"/>
          <w:spacing w:val="9"/>
        </w:rPr>
        <w:t>药灌肠可以起到清热解毒、活血化瘀、理气止痛</w:t>
      </w:r>
      <w:r>
        <w:rPr>
          <w:sz w:val="21"/>
          <w:szCs w:val="21"/>
          <w:color w:val="231F20"/>
          <w:spacing w:val="16"/>
        </w:rPr>
        <w:t xml:space="preserve"> </w:t>
      </w:r>
      <w:r>
        <w:rPr>
          <w:sz w:val="21"/>
          <w:szCs w:val="21"/>
          <w:color w:val="231F20"/>
          <w:spacing w:val="9"/>
        </w:rPr>
        <w:t>等作用，从而缓解盆腔炎的症状。中药灌肠需要</w:t>
      </w:r>
      <w:r>
        <w:rPr>
          <w:sz w:val="21"/>
          <w:szCs w:val="21"/>
          <w:color w:val="231F20"/>
          <w:spacing w:val="16"/>
        </w:rPr>
        <w:t xml:space="preserve"> </w:t>
      </w:r>
      <w:r>
        <w:rPr>
          <w:sz w:val="21"/>
          <w:szCs w:val="21"/>
          <w:color w:val="231F20"/>
          <w:spacing w:val="9"/>
        </w:rPr>
        <w:t>根据患者的具体情况配合其他治疗方法。自拟清</w:t>
      </w:r>
      <w:r>
        <w:rPr>
          <w:sz w:val="21"/>
          <w:szCs w:val="21"/>
          <w:color w:val="231F20"/>
          <w:spacing w:val="16"/>
        </w:rPr>
        <w:t xml:space="preserve"> </w:t>
      </w:r>
      <w:r>
        <w:rPr>
          <w:sz w:val="21"/>
          <w:szCs w:val="21"/>
          <w:color w:val="231F20"/>
          <w:spacing w:val="9"/>
        </w:rPr>
        <w:t>化止痛汤是治疗盆腔炎的中药方剂，成分中的当</w:t>
      </w:r>
      <w:r>
        <w:rPr>
          <w:sz w:val="21"/>
          <w:szCs w:val="21"/>
          <w:color w:val="231F20"/>
          <w:spacing w:val="16"/>
        </w:rPr>
        <w:t xml:space="preserve"> </w:t>
      </w:r>
      <w:r>
        <w:rPr>
          <w:sz w:val="21"/>
          <w:szCs w:val="21"/>
          <w:color w:val="231F20"/>
          <w:spacing w:val="20"/>
        </w:rPr>
        <w:t>归、赤芍、白芍、续断、桑寄生等具有活血化</w:t>
      </w:r>
      <w:r>
        <w:rPr>
          <w:sz w:val="21"/>
          <w:szCs w:val="21"/>
          <w:color w:val="231F20"/>
          <w:spacing w:val="15"/>
        </w:rPr>
        <w:t xml:space="preserve"> </w:t>
      </w:r>
      <w:r>
        <w:rPr>
          <w:sz w:val="21"/>
          <w:szCs w:val="21"/>
          <w:color w:val="231F20"/>
          <w:spacing w:val="9"/>
        </w:rPr>
        <w:t>瘀的作用，可以促进盆腔血液循环，改善局部瘀</w:t>
      </w:r>
      <w:r>
        <w:rPr>
          <w:sz w:val="21"/>
          <w:szCs w:val="21"/>
          <w:color w:val="231F20"/>
          <w:spacing w:val="16"/>
        </w:rPr>
        <w:t xml:space="preserve"> </w:t>
      </w:r>
      <w:r>
        <w:rPr>
          <w:sz w:val="21"/>
          <w:szCs w:val="21"/>
          <w:color w:val="231F20"/>
          <w:spacing w:val="20"/>
        </w:rPr>
        <w:t>血，有助于消散炎症，减轻患者的疼痛和不适</w:t>
      </w:r>
      <w:r>
        <w:rPr>
          <w:sz w:val="21"/>
          <w:szCs w:val="21"/>
          <w:color w:val="231F20"/>
          <w:spacing w:val="15"/>
        </w:rPr>
        <w:t xml:space="preserve"> </w:t>
      </w:r>
      <w:r>
        <w:rPr>
          <w:sz w:val="21"/>
          <w:szCs w:val="21"/>
          <w:color w:val="231F20"/>
          <w:spacing w:val="8"/>
        </w:rPr>
        <w:t>症状</w:t>
      </w:r>
      <w:r>
        <w:rPr>
          <w:sz w:val="12"/>
          <w:szCs w:val="12"/>
          <w:color w:val="231F20"/>
          <w:spacing w:val="8"/>
          <w:position w:val="9"/>
        </w:rPr>
        <w:t>[9]</w:t>
      </w:r>
      <w:r>
        <w:rPr>
          <w:sz w:val="12"/>
          <w:szCs w:val="12"/>
          <w:color w:val="231F20"/>
          <w:spacing w:val="-22"/>
          <w:position w:val="9"/>
        </w:rPr>
        <w:t xml:space="preserve"> </w:t>
      </w:r>
      <w:r>
        <w:rPr>
          <w:sz w:val="21"/>
          <w:szCs w:val="21"/>
          <w:color w:val="231F20"/>
          <w:spacing w:val="8"/>
        </w:rPr>
        <w:t>。本研究结果显示，相比对照组，治疗后</w:t>
      </w:r>
      <w:r>
        <w:rPr>
          <w:sz w:val="21"/>
          <w:szCs w:val="21"/>
          <w:color w:val="231F20"/>
        </w:rPr>
        <w:t xml:space="preserve"> </w:t>
      </w:r>
      <w:r>
        <w:rPr>
          <w:sz w:val="21"/>
          <w:szCs w:val="21"/>
          <w:color w:val="231F20"/>
          <w:spacing w:val="20"/>
        </w:rPr>
        <w:t>治疗组腹痛、白带、乏力缓解时间均明显缩短</w:t>
      </w:r>
      <w:r>
        <w:rPr>
          <w:sz w:val="21"/>
          <w:szCs w:val="21"/>
          <w:color w:val="231F20"/>
          <w:spacing w:val="15"/>
        </w:rPr>
        <w:t xml:space="preserve"> </w:t>
      </w:r>
      <w:r>
        <w:rPr>
          <w:sz w:val="21"/>
          <w:szCs w:val="21"/>
          <w:color w:val="231F20"/>
          <w:spacing w:val="2"/>
        </w:rPr>
        <w:t>（</w:t>
      </w:r>
      <w:r>
        <w:rPr>
          <w:rFonts w:ascii="Times New Roman" w:hAnsi="Times New Roman" w:eastAsia="Times New Roman" w:cs="Times New Roman"/>
          <w:sz w:val="21"/>
          <w:szCs w:val="21"/>
          <w:i/>
          <w:iCs/>
          <w:color w:val="231F20"/>
          <w:spacing w:val="2"/>
        </w:rPr>
        <w:t>P</w:t>
      </w:r>
      <w:r>
        <w:rPr>
          <w:sz w:val="21"/>
          <w:szCs w:val="21"/>
          <w:color w:val="231F20"/>
          <w:spacing w:val="2"/>
        </w:rPr>
        <w:t>＜0.05</w:t>
      </w:r>
      <w:r>
        <w:rPr>
          <w:sz w:val="21"/>
          <w:szCs w:val="21"/>
          <w:color w:val="231F20"/>
          <w:spacing w:val="-12"/>
        </w:rPr>
        <w:t>）</w:t>
      </w:r>
      <w:r>
        <w:rPr>
          <w:sz w:val="21"/>
          <w:szCs w:val="21"/>
          <w:color w:val="231F20"/>
          <w:spacing w:val="-49"/>
        </w:rPr>
        <w:t xml:space="preserve"> </w:t>
      </w:r>
      <w:r>
        <w:rPr>
          <w:sz w:val="21"/>
          <w:szCs w:val="21"/>
          <w:color w:val="231F20"/>
          <w:spacing w:val="-12"/>
        </w:rPr>
        <w:t>，</w:t>
      </w:r>
      <w:r>
        <w:rPr>
          <w:sz w:val="21"/>
          <w:szCs w:val="21"/>
          <w:color w:val="231F20"/>
          <w:spacing w:val="2"/>
        </w:rPr>
        <w:t>治疗组治疗后主症评分和次症评分</w:t>
      </w:r>
      <w:r>
        <w:rPr>
          <w:sz w:val="21"/>
          <w:szCs w:val="21"/>
          <w:color w:val="231F20"/>
        </w:rPr>
        <w:t xml:space="preserve"> </w:t>
      </w:r>
      <w:r>
        <w:rPr>
          <w:sz w:val="21"/>
          <w:szCs w:val="21"/>
          <w:color w:val="231F20"/>
          <w:spacing w:val="3"/>
        </w:rPr>
        <w:t>均明显低于对照组（</w:t>
      </w:r>
      <w:r>
        <w:rPr>
          <w:rFonts w:ascii="Times New Roman" w:hAnsi="Times New Roman" w:eastAsia="Times New Roman" w:cs="Times New Roman"/>
          <w:sz w:val="21"/>
          <w:szCs w:val="21"/>
          <w:i/>
          <w:iCs/>
          <w:color w:val="231F20"/>
          <w:spacing w:val="3"/>
        </w:rPr>
        <w:t>P</w:t>
      </w:r>
      <w:r>
        <w:rPr>
          <w:sz w:val="21"/>
          <w:szCs w:val="21"/>
          <w:color w:val="231F20"/>
          <w:spacing w:val="3"/>
        </w:rPr>
        <w:t>＜0.05）。两组不良反应发</w:t>
      </w:r>
      <w:r>
        <w:rPr>
          <w:sz w:val="21"/>
          <w:szCs w:val="21"/>
          <w:color w:val="231F20"/>
          <w:spacing w:val="4"/>
        </w:rPr>
        <w:t xml:space="preserve"> </w:t>
      </w:r>
      <w:r>
        <w:rPr>
          <w:sz w:val="21"/>
          <w:szCs w:val="21"/>
          <w:color w:val="231F20"/>
          <w:spacing w:val="3"/>
        </w:rPr>
        <w:t>生率比较，差异无统计学意义（</w:t>
      </w:r>
      <w:r>
        <w:rPr>
          <w:rFonts w:ascii="Times New Roman" w:hAnsi="Times New Roman" w:eastAsia="Times New Roman" w:cs="Times New Roman"/>
          <w:sz w:val="21"/>
          <w:szCs w:val="21"/>
          <w:i/>
          <w:iCs/>
          <w:color w:val="231F20"/>
          <w:spacing w:val="3"/>
        </w:rPr>
        <w:t>P</w:t>
      </w:r>
      <w:r>
        <w:rPr>
          <w:sz w:val="21"/>
          <w:szCs w:val="21"/>
          <w:color w:val="231F20"/>
          <w:spacing w:val="3"/>
        </w:rPr>
        <w:t>＞0.05）。中药</w:t>
      </w:r>
      <w:r>
        <w:rPr>
          <w:sz w:val="21"/>
          <w:szCs w:val="21"/>
          <w:color w:val="231F20"/>
          <w:spacing w:val="4"/>
        </w:rPr>
        <w:t xml:space="preserve"> </w:t>
      </w:r>
      <w:r>
        <w:rPr>
          <w:sz w:val="21"/>
          <w:szCs w:val="21"/>
          <w:color w:val="231F20"/>
          <w:spacing w:val="9"/>
        </w:rPr>
        <w:t>灌肠所用的中药具有抗炎、抗菌、消炎、清热解</w:t>
      </w:r>
      <w:r>
        <w:rPr>
          <w:sz w:val="21"/>
          <w:szCs w:val="21"/>
          <w:color w:val="231F20"/>
          <w:spacing w:val="16"/>
        </w:rPr>
        <w:t xml:space="preserve"> </w:t>
      </w:r>
      <w:r>
        <w:rPr>
          <w:sz w:val="21"/>
          <w:szCs w:val="21"/>
          <w:color w:val="231F20"/>
          <w:spacing w:val="8"/>
        </w:rPr>
        <w:t>毒等作用，有助于抑制病原微生物的生长繁殖，</w:t>
      </w:r>
      <w:r>
        <w:rPr>
          <w:sz w:val="21"/>
          <w:szCs w:val="21"/>
          <w:color w:val="231F20"/>
        </w:rPr>
        <w:t xml:space="preserve"> </w:t>
      </w:r>
      <w:r>
        <w:rPr>
          <w:sz w:val="21"/>
          <w:szCs w:val="21"/>
          <w:color w:val="231F20"/>
          <w:spacing w:val="8"/>
        </w:rPr>
        <w:t>减轻炎性反应，促进炎症的吸收和恢复。此外，</w:t>
      </w:r>
      <w:r>
        <w:rPr>
          <w:sz w:val="21"/>
          <w:szCs w:val="21"/>
          <w:color w:val="231F20"/>
        </w:rPr>
        <w:t xml:space="preserve"> </w:t>
      </w:r>
      <w:r>
        <w:rPr>
          <w:sz w:val="21"/>
          <w:szCs w:val="21"/>
          <w:color w:val="231F20"/>
          <w:spacing w:val="8"/>
        </w:rPr>
        <w:t>中药灌肠通过直接作用于患者的局部病变部位，</w:t>
      </w:r>
      <w:r>
        <w:rPr>
          <w:sz w:val="21"/>
          <w:szCs w:val="21"/>
          <w:color w:val="231F20"/>
        </w:rPr>
        <w:t xml:space="preserve"> </w:t>
      </w:r>
      <w:r>
        <w:rPr>
          <w:sz w:val="21"/>
          <w:szCs w:val="21"/>
          <w:color w:val="231F20"/>
          <w:spacing w:val="9"/>
        </w:rPr>
        <w:t>提高药物的局部浓度，减轻药物对全身的不良反</w:t>
      </w:r>
      <w:r>
        <w:rPr>
          <w:sz w:val="21"/>
          <w:szCs w:val="21"/>
          <w:color w:val="231F20"/>
          <w:spacing w:val="16"/>
        </w:rPr>
        <w:t xml:space="preserve"> </w:t>
      </w:r>
      <w:r>
        <w:rPr>
          <w:sz w:val="21"/>
          <w:szCs w:val="21"/>
          <w:color w:val="231F20"/>
          <w:spacing w:val="9"/>
        </w:rPr>
        <w:t>应。自拟清化止痛汤中的大血藤、败酱草具有清</w:t>
      </w:r>
      <w:r>
        <w:rPr>
          <w:sz w:val="21"/>
          <w:szCs w:val="21"/>
          <w:color w:val="231F20"/>
          <w:spacing w:val="16"/>
        </w:rPr>
        <w:t xml:space="preserve"> </w:t>
      </w:r>
      <w:r>
        <w:rPr>
          <w:sz w:val="21"/>
          <w:szCs w:val="21"/>
          <w:color w:val="231F20"/>
          <w:spacing w:val="9"/>
        </w:rPr>
        <w:t>热解毒的作用，可以减轻炎性反应，减少感染相</w:t>
      </w:r>
      <w:r>
        <w:rPr>
          <w:sz w:val="21"/>
          <w:szCs w:val="21"/>
          <w:color w:val="231F20"/>
          <w:spacing w:val="16"/>
        </w:rPr>
        <w:t xml:space="preserve"> </w:t>
      </w:r>
      <w:r>
        <w:rPr>
          <w:sz w:val="21"/>
          <w:szCs w:val="21"/>
          <w:color w:val="231F20"/>
          <w:spacing w:val="9"/>
        </w:rPr>
        <w:t>关症状；木香具有理气活血的作用，可以改善盆</w:t>
      </w:r>
      <w:r>
        <w:rPr>
          <w:sz w:val="21"/>
          <w:szCs w:val="21"/>
          <w:color w:val="231F20"/>
          <w:spacing w:val="16"/>
        </w:rPr>
        <w:t xml:space="preserve"> </w:t>
      </w:r>
      <w:r>
        <w:rPr>
          <w:sz w:val="21"/>
          <w:szCs w:val="21"/>
          <w:color w:val="231F20"/>
          <w:spacing w:val="20"/>
        </w:rPr>
        <w:t>腔气血循环，缓解症状；醋延胡索具有活血化</w:t>
      </w:r>
      <w:r>
        <w:rPr>
          <w:sz w:val="21"/>
          <w:szCs w:val="21"/>
          <w:color w:val="231F20"/>
          <w:spacing w:val="14"/>
        </w:rPr>
        <w:t xml:space="preserve"> </w:t>
      </w:r>
      <w:r>
        <w:rPr>
          <w:sz w:val="21"/>
          <w:szCs w:val="21"/>
          <w:color w:val="231F20"/>
          <w:spacing w:val="9"/>
        </w:rPr>
        <w:t>瘀、行气止痛的作用，缓解疼痛症状；薏苡仁具</w:t>
      </w:r>
      <w:r>
        <w:rPr>
          <w:sz w:val="21"/>
          <w:szCs w:val="21"/>
          <w:color w:val="231F20"/>
          <w:spacing w:val="16"/>
        </w:rPr>
        <w:t xml:space="preserve"> </w:t>
      </w:r>
      <w:r>
        <w:rPr>
          <w:sz w:val="21"/>
          <w:szCs w:val="21"/>
          <w:color w:val="231F20"/>
          <w:spacing w:val="9"/>
        </w:rPr>
        <w:t>有利湿利尿的作用，可排出体内的湿气，减轻盆</w:t>
      </w:r>
      <w:r>
        <w:rPr>
          <w:sz w:val="21"/>
          <w:szCs w:val="21"/>
          <w:color w:val="231F20"/>
          <w:spacing w:val="16"/>
        </w:rPr>
        <w:t xml:space="preserve"> </w:t>
      </w:r>
      <w:r>
        <w:rPr>
          <w:sz w:val="21"/>
          <w:szCs w:val="21"/>
          <w:color w:val="231F20"/>
          <w:spacing w:val="9"/>
        </w:rPr>
        <w:t>腔区域的不适感；生山楂具有活血化瘀、行气解</w:t>
      </w:r>
      <w:r>
        <w:rPr>
          <w:sz w:val="21"/>
          <w:szCs w:val="21"/>
          <w:color w:val="231F20"/>
          <w:spacing w:val="16"/>
        </w:rPr>
        <w:t xml:space="preserve"> </w:t>
      </w:r>
      <w:r>
        <w:rPr>
          <w:sz w:val="21"/>
          <w:szCs w:val="21"/>
          <w:color w:val="231F20"/>
          <w:spacing w:val="8"/>
        </w:rPr>
        <w:t>郁的作用，可以改善血液循环，缓解相关症状；</w:t>
      </w:r>
      <w:r>
        <w:rPr>
          <w:sz w:val="21"/>
          <w:szCs w:val="21"/>
          <w:color w:val="231F20"/>
          <w:spacing w:val="2"/>
        </w:rPr>
        <w:t xml:space="preserve"> </w:t>
      </w:r>
      <w:r>
        <w:rPr>
          <w:sz w:val="21"/>
          <w:szCs w:val="21"/>
          <w:color w:val="231F20"/>
          <w:spacing w:val="9"/>
        </w:rPr>
        <w:t>茯苓具有利水渗湿、健脾益气的作用，调节体内</w:t>
      </w:r>
    </w:p>
    <w:p>
      <w:pPr>
        <w:spacing w:line="14" w:lineRule="auto"/>
        <w:rPr>
          <w:rFonts w:ascii="Arial"/>
          <w:sz w:val="2"/>
        </w:rPr>
      </w:pPr>
      <w:r>
        <w:rPr>
          <w:rFonts w:ascii="Arial" w:hAnsi="Arial" w:eastAsia="Arial" w:cs="Arial"/>
          <w:sz w:val="2"/>
          <w:szCs w:val="2"/>
        </w:rPr>
        <w:br w:type="column"/>
      </w:r>
    </w:p>
    <w:p>
      <w:pPr>
        <w:pStyle w:val="BodyText"/>
        <w:ind w:firstLine="18"/>
        <w:spacing w:before="47" w:line="289" w:lineRule="auto"/>
        <w:jc w:val="both"/>
        <w:rPr>
          <w:sz w:val="21"/>
          <w:szCs w:val="21"/>
        </w:rPr>
      </w:pPr>
      <w:r>
        <w:rPr>
          <w:sz w:val="21"/>
          <w:szCs w:val="21"/>
          <w:color w:val="231F20"/>
          <w:spacing w:val="8"/>
        </w:rPr>
        <w:t>的湿气，减轻相关症状；醋五灵脂具有活血祛瘀</w:t>
      </w:r>
      <w:r>
        <w:rPr>
          <w:sz w:val="21"/>
          <w:szCs w:val="21"/>
          <w:color w:val="231F20"/>
          <w:spacing w:val="6"/>
        </w:rPr>
        <w:t xml:space="preserve"> </w:t>
      </w:r>
      <w:r>
        <w:rPr>
          <w:sz w:val="21"/>
          <w:szCs w:val="21"/>
          <w:color w:val="231F20"/>
          <w:spacing w:val="-2"/>
        </w:rPr>
        <w:t>的作用，改善血液循环，促进炎症的消散</w:t>
      </w:r>
      <w:r>
        <w:rPr>
          <w:sz w:val="12"/>
          <w:szCs w:val="12"/>
          <w:color w:val="231F20"/>
          <w:spacing w:val="-2"/>
          <w:position w:val="9"/>
        </w:rPr>
        <w:t>[1</w:t>
      </w:r>
      <w:r>
        <w:rPr>
          <w:sz w:val="12"/>
          <w:szCs w:val="12"/>
          <w:color w:val="231F20"/>
          <w:spacing w:val="-3"/>
          <w:position w:val="9"/>
        </w:rPr>
        <w:t>0]</w:t>
      </w:r>
      <w:r>
        <w:rPr>
          <w:sz w:val="21"/>
          <w:szCs w:val="21"/>
          <w:color w:val="231F20"/>
          <w:spacing w:val="-3"/>
        </w:rPr>
        <w:t>。共奏</w:t>
      </w:r>
      <w:r>
        <w:rPr>
          <w:sz w:val="21"/>
          <w:szCs w:val="21"/>
          <w:color w:val="231F20"/>
        </w:rPr>
        <w:t xml:space="preserve"> </w:t>
      </w:r>
      <w:r>
        <w:rPr>
          <w:sz w:val="21"/>
          <w:szCs w:val="21"/>
          <w:color w:val="231F20"/>
          <w:spacing w:val="9"/>
        </w:rPr>
        <w:t>活血化瘀、清热解毒、行气止痛、利湿消肿等作</w:t>
      </w:r>
      <w:r>
        <w:rPr>
          <w:sz w:val="21"/>
          <w:szCs w:val="21"/>
          <w:color w:val="231F20"/>
          <w:spacing w:val="4"/>
        </w:rPr>
        <w:t xml:space="preserve"> </w:t>
      </w:r>
      <w:r>
        <w:rPr>
          <w:sz w:val="21"/>
          <w:szCs w:val="21"/>
          <w:color w:val="231F20"/>
          <w:spacing w:val="-1"/>
        </w:rPr>
        <w:t>用，缓解临床症状。采用中药内服和外用的联合治</w:t>
      </w:r>
      <w:r>
        <w:rPr>
          <w:sz w:val="21"/>
          <w:szCs w:val="21"/>
          <w:color w:val="231F20"/>
          <w:spacing w:val="5"/>
        </w:rPr>
        <w:t xml:space="preserve"> </w:t>
      </w:r>
      <w:r>
        <w:rPr>
          <w:sz w:val="21"/>
          <w:szCs w:val="21"/>
          <w:color w:val="231F20"/>
          <w:spacing w:val="-1"/>
        </w:rPr>
        <w:t>疗方式，可以综合调理体内的湿热病邪，并直接作</w:t>
      </w:r>
      <w:r>
        <w:rPr>
          <w:sz w:val="21"/>
          <w:szCs w:val="21"/>
          <w:color w:val="231F20"/>
          <w:spacing w:val="5"/>
        </w:rPr>
        <w:t xml:space="preserve"> </w:t>
      </w:r>
      <w:r>
        <w:rPr>
          <w:sz w:val="21"/>
          <w:szCs w:val="21"/>
          <w:color w:val="231F20"/>
          <w:spacing w:val="-1"/>
        </w:rPr>
        <w:t>用于病变部位，治疗效果更为综合和全面。此外，</w:t>
      </w:r>
      <w:r>
        <w:rPr>
          <w:sz w:val="21"/>
          <w:szCs w:val="21"/>
          <w:color w:val="231F20"/>
          <w:spacing w:val="5"/>
        </w:rPr>
        <w:t xml:space="preserve"> </w:t>
      </w:r>
      <w:r>
        <w:rPr>
          <w:sz w:val="21"/>
          <w:szCs w:val="21"/>
          <w:color w:val="231F20"/>
          <w:spacing w:val="-1"/>
        </w:rPr>
        <w:t>药物成分在合适的使用剂量下，相互协同作用，能</w:t>
      </w:r>
      <w:r>
        <w:rPr>
          <w:sz w:val="21"/>
          <w:szCs w:val="21"/>
          <w:color w:val="231F20"/>
          <w:spacing w:val="5"/>
        </w:rPr>
        <w:t xml:space="preserve"> </w:t>
      </w:r>
      <w:r>
        <w:rPr>
          <w:sz w:val="21"/>
          <w:szCs w:val="21"/>
          <w:color w:val="231F20"/>
          <w:spacing w:val="-2"/>
        </w:rPr>
        <w:t>够有效发挥治疗作用，且具有较低的毒副作用。</w:t>
      </w:r>
    </w:p>
    <w:p>
      <w:pPr>
        <w:pStyle w:val="BodyText"/>
        <w:ind w:firstLine="420"/>
        <w:spacing w:before="12" w:line="290" w:lineRule="auto"/>
        <w:jc w:val="both"/>
        <w:rPr>
          <w:sz w:val="21"/>
          <w:szCs w:val="21"/>
        </w:rPr>
      </w:pPr>
      <w:r>
        <w:rPr>
          <w:sz w:val="21"/>
          <w:szCs w:val="21"/>
          <w:color w:val="231F20"/>
          <w:spacing w:val="10"/>
        </w:rPr>
        <w:t>综上所述，湿热瘀结型急性盆腔炎患者治疗</w:t>
      </w:r>
      <w:r>
        <w:rPr>
          <w:sz w:val="21"/>
          <w:szCs w:val="21"/>
          <w:color w:val="231F20"/>
          <w:spacing w:val="3"/>
        </w:rPr>
        <w:t xml:space="preserve"> </w:t>
      </w:r>
      <w:r>
        <w:rPr>
          <w:sz w:val="21"/>
          <w:szCs w:val="21"/>
          <w:color w:val="231F20"/>
          <w:spacing w:val="9"/>
        </w:rPr>
        <w:t>期间，除接受常规西药治疗，增加自拟清化止痛</w:t>
      </w:r>
      <w:r>
        <w:rPr>
          <w:sz w:val="21"/>
          <w:szCs w:val="21"/>
          <w:color w:val="231F20"/>
          <w:spacing w:val="4"/>
        </w:rPr>
        <w:t xml:space="preserve"> </w:t>
      </w:r>
      <w:r>
        <w:rPr>
          <w:sz w:val="21"/>
          <w:szCs w:val="21"/>
          <w:color w:val="231F20"/>
          <w:spacing w:val="20"/>
        </w:rPr>
        <w:t>汤联合中药灌肠治疗，可加速临床症状缓解进</w:t>
      </w:r>
      <w:r>
        <w:rPr>
          <w:sz w:val="21"/>
          <w:szCs w:val="21"/>
          <w:color w:val="231F20"/>
          <w:spacing w:val="3"/>
        </w:rPr>
        <w:t xml:space="preserve"> </w:t>
      </w:r>
      <w:r>
        <w:rPr>
          <w:sz w:val="21"/>
          <w:szCs w:val="21"/>
          <w:color w:val="231F20"/>
          <w:spacing w:val="-2"/>
        </w:rPr>
        <w:t>程，降低中医证候积分，且安全性较高。</w:t>
      </w:r>
    </w:p>
    <w:p>
      <w:pPr>
        <w:ind w:left="1788"/>
        <w:spacing w:before="286" w:line="17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w w:val="99"/>
        </w:rPr>
        <w:t>参</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5"/>
          <w:w w:val="99"/>
        </w:rPr>
        <w:t>考</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w w:val="99"/>
        </w:rPr>
        <w:t>文</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5"/>
          <w:w w:val="99"/>
        </w:rPr>
        <w:t>献</w:t>
      </w:r>
    </w:p>
    <w:p>
      <w:pPr>
        <w:pStyle w:val="BodyText"/>
        <w:ind w:left="421" w:right="1" w:hanging="416"/>
        <w:spacing w:before="210" w:line="266" w:lineRule="auto"/>
        <w:rPr>
          <w:sz w:val="18"/>
          <w:szCs w:val="18"/>
        </w:rPr>
      </w:pPr>
      <w:r>
        <w:rPr>
          <w:sz w:val="18"/>
          <w:szCs w:val="18"/>
          <w:color w:val="231F20"/>
          <w:spacing w:val="1"/>
        </w:rPr>
        <w:t>[1]</w:t>
      </w:r>
      <w:r>
        <w:rPr>
          <w:sz w:val="18"/>
          <w:szCs w:val="18"/>
          <w:color w:val="231F20"/>
          <w:spacing w:val="34"/>
        </w:rPr>
        <w:t xml:space="preserve">  </w:t>
      </w:r>
      <w:r>
        <w:rPr>
          <w:sz w:val="18"/>
          <w:szCs w:val="18"/>
          <w:color w:val="231F20"/>
          <w:spacing w:val="1"/>
        </w:rPr>
        <w:t>杜娟,杨鲜,张丽.棱术盆炎汤治疗湿热蕴结型慢性盆 </w:t>
      </w:r>
      <w:r>
        <w:rPr>
          <w:sz w:val="18"/>
          <w:szCs w:val="18"/>
          <w:color w:val="231F20"/>
          <w:spacing w:val="9"/>
        </w:rPr>
        <w:t>腔炎伴盆腔积液的临床研究[J].世界中西医结合杂</w:t>
      </w:r>
      <w:r>
        <w:rPr>
          <w:sz w:val="18"/>
          <w:szCs w:val="18"/>
          <w:color w:val="231F20"/>
          <w:spacing w:val="3"/>
        </w:rPr>
        <w:t xml:space="preserve"> </w:t>
      </w:r>
      <w:r>
        <w:rPr>
          <w:sz w:val="18"/>
          <w:szCs w:val="18"/>
          <w:color w:val="231F20"/>
          <w:spacing w:val="-10"/>
        </w:rPr>
        <w:t>志,2023,18(2):387-391.</w:t>
      </w:r>
    </w:p>
    <w:p>
      <w:pPr>
        <w:pStyle w:val="BodyText"/>
        <w:ind w:left="422" w:right="1" w:hanging="417"/>
        <w:spacing w:before="33" w:line="260" w:lineRule="auto"/>
        <w:rPr>
          <w:sz w:val="18"/>
          <w:szCs w:val="18"/>
        </w:rPr>
      </w:pPr>
      <w:r>
        <w:rPr>
          <w:sz w:val="18"/>
          <w:szCs w:val="18"/>
          <w:color w:val="231F20"/>
          <w:spacing w:val="-15"/>
        </w:rPr>
        <w:t>[2]  </w:t>
      </w:r>
      <w:r>
        <w:rPr>
          <w:sz w:val="18"/>
          <w:szCs w:val="18"/>
          <w:color w:val="231F20"/>
          <w:spacing w:val="-14"/>
        </w:rPr>
        <w:t xml:space="preserve"> 李育林,文乃香,蒙海月,等.中药塌渍灌肠治疗老年慢性</w:t>
      </w:r>
      <w:r>
        <w:rPr>
          <w:sz w:val="18"/>
          <w:szCs w:val="18"/>
          <w:color w:val="231F20"/>
          <w:spacing w:val="-9"/>
        </w:rPr>
        <w:t>盆</w:t>
      </w:r>
      <w:r>
        <w:rPr>
          <w:sz w:val="18"/>
          <w:szCs w:val="18"/>
          <w:color w:val="231F20"/>
          <w:spacing w:val="18"/>
        </w:rPr>
        <w:t xml:space="preserve"> </w:t>
      </w:r>
      <w:r>
        <w:rPr>
          <w:sz w:val="18"/>
          <w:szCs w:val="18"/>
          <w:color w:val="231F20"/>
          <w:spacing w:val="-12"/>
        </w:rPr>
        <w:t>腔炎的疗效[J].中国老年学杂志,2023,43(22):5529-5532.</w:t>
      </w:r>
    </w:p>
    <w:p>
      <w:pPr>
        <w:pStyle w:val="BodyText"/>
        <w:ind w:left="421" w:hanging="416"/>
        <w:spacing w:before="32" w:line="266" w:lineRule="auto"/>
        <w:rPr>
          <w:sz w:val="18"/>
          <w:szCs w:val="18"/>
        </w:rPr>
      </w:pPr>
      <w:r>
        <w:rPr>
          <w:sz w:val="18"/>
          <w:szCs w:val="18"/>
          <w:color w:val="231F20"/>
          <w:spacing w:val="-8"/>
        </w:rPr>
        <w:t>[3]</w:t>
      </w:r>
      <w:r>
        <w:rPr>
          <w:sz w:val="18"/>
          <w:szCs w:val="18"/>
          <w:color w:val="231F20"/>
          <w:spacing w:val="29"/>
        </w:rPr>
        <w:t xml:space="preserve">  </w:t>
      </w:r>
      <w:r>
        <w:rPr>
          <w:sz w:val="18"/>
          <w:szCs w:val="18"/>
          <w:color w:val="231F20"/>
          <w:spacing w:val="-8"/>
        </w:rPr>
        <w:t>张春玲,马颖,孙仲函,等.芪地膝黄桂苓汤治疗慢性盆腔</w:t>
      </w:r>
      <w:r>
        <w:rPr>
          <w:sz w:val="18"/>
          <w:szCs w:val="18"/>
          <w:color w:val="231F20"/>
          <w:spacing w:val="1"/>
        </w:rPr>
        <w:t xml:space="preserve"> </w:t>
      </w:r>
      <w:r>
        <w:rPr>
          <w:sz w:val="18"/>
          <w:szCs w:val="18"/>
          <w:color w:val="231F20"/>
          <w:spacing w:val="1"/>
        </w:rPr>
        <w:t>炎疗效及对患者炎性因子和免疫功能的影响[J].陕西</w:t>
      </w:r>
      <w:r>
        <w:rPr>
          <w:sz w:val="18"/>
          <w:szCs w:val="18"/>
          <w:color w:val="231F20"/>
          <w:spacing w:val="15"/>
        </w:rPr>
        <w:t xml:space="preserve"> </w:t>
      </w:r>
      <w:r>
        <w:rPr>
          <w:sz w:val="18"/>
          <w:szCs w:val="18"/>
          <w:color w:val="231F20"/>
          <w:spacing w:val="-10"/>
        </w:rPr>
        <w:t>中医,2022,43(1):41-44.</w:t>
      </w:r>
    </w:p>
    <w:p>
      <w:pPr>
        <w:pStyle w:val="BodyText"/>
        <w:ind w:left="436" w:hanging="431"/>
        <w:spacing w:before="31" w:line="272" w:lineRule="auto"/>
        <w:rPr>
          <w:sz w:val="18"/>
          <w:szCs w:val="18"/>
        </w:rPr>
      </w:pPr>
      <w:r>
        <w:rPr>
          <w:sz w:val="18"/>
          <w:szCs w:val="18"/>
          <w:color w:val="231F20"/>
          <w:spacing w:val="-7"/>
        </w:rPr>
        <w:t>[4]</w:t>
      </w:r>
      <w:r>
        <w:rPr>
          <w:sz w:val="18"/>
          <w:szCs w:val="18"/>
          <w:color w:val="231F20"/>
          <w:spacing w:val="36"/>
        </w:rPr>
        <w:t xml:space="preserve">  </w:t>
      </w:r>
      <w:r>
        <w:rPr>
          <w:sz w:val="18"/>
          <w:szCs w:val="18"/>
          <w:color w:val="231F20"/>
          <w:spacing w:val="-7"/>
        </w:rPr>
        <w:t>曹泽毅.中华妇产科学[M].北京</w:t>
      </w:r>
      <w:r>
        <w:rPr>
          <w:sz w:val="18"/>
          <w:szCs w:val="18"/>
          <w:color w:val="231F20"/>
          <w:spacing w:val="-8"/>
        </w:rPr>
        <w:t>:人民卫生出版社,2014:</w:t>
      </w:r>
      <w:r>
        <w:rPr>
          <w:sz w:val="18"/>
          <w:szCs w:val="18"/>
          <w:color w:val="231F20"/>
        </w:rPr>
        <w:t xml:space="preserve"> </w:t>
      </w:r>
      <w:r>
        <w:rPr>
          <w:sz w:val="18"/>
          <w:szCs w:val="18"/>
          <w:color w:val="231F20"/>
          <w:spacing w:val="-7"/>
        </w:rPr>
        <w:t>183-186.</w:t>
      </w:r>
    </w:p>
    <w:p>
      <w:pPr>
        <w:pStyle w:val="BodyText"/>
        <w:ind w:left="421" w:hanging="416"/>
        <w:spacing w:before="10" w:line="272" w:lineRule="auto"/>
        <w:rPr>
          <w:sz w:val="18"/>
          <w:szCs w:val="18"/>
        </w:rPr>
      </w:pPr>
      <w:r>
        <w:rPr>
          <w:sz w:val="18"/>
          <w:szCs w:val="18"/>
          <w:color w:val="231F20"/>
          <w:spacing w:val="-5"/>
        </w:rPr>
        <w:t>[5]</w:t>
      </w:r>
      <w:r>
        <w:rPr>
          <w:sz w:val="18"/>
          <w:szCs w:val="18"/>
          <w:color w:val="231F20"/>
          <w:spacing w:val="36"/>
        </w:rPr>
        <w:t xml:space="preserve">  </w:t>
      </w:r>
      <w:r>
        <w:rPr>
          <w:sz w:val="18"/>
          <w:szCs w:val="18"/>
          <w:color w:val="231F20"/>
          <w:spacing w:val="-5"/>
        </w:rPr>
        <w:t>张玉珍.中医妇科学[M].2版.北京:中国中医药出版社,</w:t>
      </w:r>
      <w:r>
        <w:rPr>
          <w:sz w:val="18"/>
          <w:szCs w:val="18"/>
          <w:color w:val="231F20"/>
        </w:rPr>
        <w:t xml:space="preserve"> </w:t>
      </w:r>
      <w:r>
        <w:rPr>
          <w:sz w:val="18"/>
          <w:szCs w:val="18"/>
          <w:color w:val="231F20"/>
          <w:spacing w:val="-5"/>
        </w:rPr>
        <w:t>2007:324.</w:t>
      </w:r>
    </w:p>
    <w:p>
      <w:pPr>
        <w:pStyle w:val="BodyText"/>
        <w:ind w:left="422" w:hanging="417"/>
        <w:spacing w:before="11" w:line="260" w:lineRule="auto"/>
        <w:rPr>
          <w:sz w:val="18"/>
          <w:szCs w:val="18"/>
        </w:rPr>
      </w:pPr>
      <w:r>
        <w:rPr>
          <w:sz w:val="18"/>
          <w:szCs w:val="18"/>
          <w:color w:val="231F20"/>
          <w:spacing w:val="-5"/>
        </w:rPr>
        <w:t>[6]</w:t>
      </w:r>
      <w:r>
        <w:rPr>
          <w:sz w:val="18"/>
          <w:szCs w:val="18"/>
          <w:color w:val="231F20"/>
          <w:spacing w:val="36"/>
        </w:rPr>
        <w:t xml:space="preserve">  </w:t>
      </w:r>
      <w:r>
        <w:rPr>
          <w:sz w:val="18"/>
          <w:szCs w:val="18"/>
          <w:color w:val="231F20"/>
          <w:spacing w:val="-5"/>
        </w:rPr>
        <w:t>中药新药临床研究指导原则[M].</w:t>
      </w:r>
      <w:r>
        <w:rPr>
          <w:sz w:val="18"/>
          <w:szCs w:val="18"/>
          <w:color w:val="231F20"/>
          <w:spacing w:val="-6"/>
        </w:rPr>
        <w:t>北京:中国医药科技出</w:t>
      </w:r>
      <w:r>
        <w:rPr>
          <w:sz w:val="18"/>
          <w:szCs w:val="18"/>
          <w:color w:val="231F20"/>
        </w:rPr>
        <w:t xml:space="preserve"> </w:t>
      </w:r>
      <w:r>
        <w:rPr>
          <w:sz w:val="18"/>
          <w:szCs w:val="18"/>
          <w:color w:val="231F20"/>
          <w:spacing w:val="-5"/>
        </w:rPr>
        <w:t>版社,2002:203-205.</w:t>
      </w:r>
    </w:p>
    <w:p>
      <w:pPr>
        <w:pStyle w:val="BodyText"/>
        <w:ind w:left="421" w:hanging="416"/>
        <w:spacing w:before="32" w:line="266" w:lineRule="auto"/>
        <w:rPr>
          <w:sz w:val="18"/>
          <w:szCs w:val="18"/>
        </w:rPr>
      </w:pPr>
      <w:r>
        <w:rPr>
          <w:sz w:val="18"/>
          <w:szCs w:val="18"/>
          <w:color w:val="231F20"/>
          <w:spacing w:val="-8"/>
        </w:rPr>
        <w:t>[7]</w:t>
      </w:r>
      <w:r>
        <w:rPr>
          <w:sz w:val="18"/>
          <w:szCs w:val="18"/>
          <w:color w:val="231F20"/>
          <w:spacing w:val="29"/>
        </w:rPr>
        <w:t xml:space="preserve">  </w:t>
      </w:r>
      <w:r>
        <w:rPr>
          <w:sz w:val="18"/>
          <w:szCs w:val="18"/>
          <w:color w:val="231F20"/>
          <w:spacing w:val="-8"/>
        </w:rPr>
        <w:t>张璐,符圆圆,刘文之,等.化毒除湿汤加味联合常规抗生</w:t>
      </w:r>
      <w:r>
        <w:rPr>
          <w:sz w:val="18"/>
          <w:szCs w:val="18"/>
          <w:color w:val="231F20"/>
          <w:spacing w:val="1"/>
        </w:rPr>
        <w:t xml:space="preserve"> </w:t>
      </w:r>
      <w:r>
        <w:rPr>
          <w:sz w:val="18"/>
          <w:szCs w:val="18"/>
          <w:color w:val="231F20"/>
          <w:spacing w:val="1"/>
        </w:rPr>
        <w:t>素治疗急性盆腔炎湿毒壅盛证的临床研究[J].中医药</w:t>
      </w:r>
      <w:r>
        <w:rPr>
          <w:sz w:val="18"/>
          <w:szCs w:val="18"/>
          <w:color w:val="231F20"/>
          <w:spacing w:val="15"/>
        </w:rPr>
        <w:t xml:space="preserve"> </w:t>
      </w:r>
      <w:r>
        <w:rPr>
          <w:sz w:val="18"/>
          <w:szCs w:val="18"/>
          <w:color w:val="231F20"/>
          <w:spacing w:val="-10"/>
        </w:rPr>
        <w:t>学报,2023,51(8):71-75.</w:t>
      </w:r>
    </w:p>
    <w:p>
      <w:pPr>
        <w:pStyle w:val="BodyText"/>
        <w:ind w:left="419" w:hanging="414"/>
        <w:spacing w:before="32" w:line="266" w:lineRule="auto"/>
        <w:rPr>
          <w:sz w:val="18"/>
          <w:szCs w:val="18"/>
        </w:rPr>
      </w:pPr>
      <w:r>
        <w:rPr>
          <w:sz w:val="18"/>
          <w:szCs w:val="18"/>
          <w:color w:val="231F20"/>
          <w:spacing w:val="5"/>
        </w:rPr>
        <w:t>[8]</w:t>
      </w:r>
      <w:r>
        <w:rPr>
          <w:sz w:val="18"/>
          <w:szCs w:val="18"/>
          <w:color w:val="231F20"/>
          <w:spacing w:val="27"/>
          <w:w w:val="101"/>
        </w:rPr>
        <w:t xml:space="preserve">  </w:t>
      </w:r>
      <w:r>
        <w:rPr>
          <w:sz w:val="18"/>
          <w:szCs w:val="18"/>
          <w:color w:val="231F20"/>
          <w:spacing w:val="5"/>
        </w:rPr>
        <w:t>矫楷琼,滕秀香.清热利湿汤协同抗生素治疗盆腔炎</w:t>
      </w:r>
      <w:r>
        <w:rPr>
          <w:sz w:val="18"/>
          <w:szCs w:val="18"/>
          <w:color w:val="231F20"/>
        </w:rPr>
        <w:t xml:space="preserve"> </w:t>
      </w:r>
      <w:r>
        <w:rPr>
          <w:sz w:val="18"/>
          <w:szCs w:val="18"/>
          <w:color w:val="231F20"/>
          <w:spacing w:val="1"/>
        </w:rPr>
        <w:t>性疾病湿热瘀结证的临床研究[J].中国计划生育学杂</w:t>
      </w:r>
      <w:r>
        <w:rPr>
          <w:sz w:val="18"/>
          <w:szCs w:val="18"/>
          <w:color w:val="231F20"/>
          <w:spacing w:val="17"/>
        </w:rPr>
        <w:t xml:space="preserve"> </w:t>
      </w:r>
      <w:r>
        <w:rPr>
          <w:sz w:val="18"/>
          <w:szCs w:val="18"/>
          <w:color w:val="231F20"/>
          <w:spacing w:val="-8"/>
        </w:rPr>
        <w:t>志,2023,31(10):2447-24</w:t>
      </w:r>
      <w:r>
        <w:rPr>
          <w:sz w:val="18"/>
          <w:szCs w:val="18"/>
          <w:color w:val="231F20"/>
          <w:spacing w:val="-9"/>
        </w:rPr>
        <w:t>51.</w:t>
      </w:r>
    </w:p>
    <w:p>
      <w:pPr>
        <w:pStyle w:val="BodyText"/>
        <w:ind w:left="420" w:hanging="415"/>
        <w:spacing w:before="32" w:line="266" w:lineRule="auto"/>
        <w:rPr>
          <w:sz w:val="18"/>
          <w:szCs w:val="18"/>
        </w:rPr>
      </w:pPr>
      <w:r>
        <w:rPr>
          <w:sz w:val="18"/>
          <w:szCs w:val="18"/>
          <w:color w:val="231F20"/>
          <w:spacing w:val="1"/>
        </w:rPr>
        <w:t>[9]</w:t>
      </w:r>
      <w:r>
        <w:rPr>
          <w:sz w:val="18"/>
          <w:szCs w:val="18"/>
          <w:color w:val="231F20"/>
          <w:spacing w:val="35"/>
        </w:rPr>
        <w:t xml:space="preserve">  </w:t>
      </w:r>
      <w:r>
        <w:rPr>
          <w:sz w:val="18"/>
          <w:szCs w:val="18"/>
          <w:color w:val="231F20"/>
          <w:spacing w:val="1"/>
        </w:rPr>
        <w:t>徐彭丽.清热利湿化瘀汤联合花红胶囊治疗对湿热瘀</w:t>
      </w:r>
      <w:r>
        <w:rPr>
          <w:sz w:val="18"/>
          <w:szCs w:val="18"/>
          <w:color w:val="231F20"/>
        </w:rPr>
        <w:t xml:space="preserve"> </w:t>
      </w:r>
      <w:r>
        <w:rPr>
          <w:sz w:val="18"/>
          <w:szCs w:val="18"/>
          <w:color w:val="231F20"/>
          <w:spacing w:val="11"/>
        </w:rPr>
        <w:t>结证盆腔炎患者子宫血流动力学指标及血清</w:t>
      </w:r>
      <w:r>
        <w:rPr>
          <w:sz w:val="18"/>
          <w:szCs w:val="18"/>
          <w:color w:val="231F20"/>
        </w:rPr>
        <w:t>GM</w:t>
      </w:r>
      <w:r>
        <w:rPr>
          <w:sz w:val="18"/>
          <w:szCs w:val="18"/>
          <w:color w:val="231F20"/>
          <w:spacing w:val="11"/>
        </w:rPr>
        <w:t>-</w:t>
      </w:r>
      <w:r>
        <w:rPr>
          <w:sz w:val="18"/>
          <w:szCs w:val="18"/>
          <w:color w:val="231F20"/>
        </w:rPr>
        <w:t>CSF</w:t>
      </w:r>
      <w:r>
        <w:rPr>
          <w:sz w:val="18"/>
          <w:szCs w:val="18"/>
          <w:color w:val="231F20"/>
          <w:spacing w:val="2"/>
        </w:rPr>
        <w:t xml:space="preserve"> </w:t>
      </w:r>
      <w:r>
        <w:rPr>
          <w:sz w:val="18"/>
          <w:szCs w:val="18"/>
          <w:color w:val="231F20"/>
          <w:spacing w:val="-10"/>
        </w:rPr>
        <w:t>的影响[J].贵州医药,2022,46(10):1633-1635.</w:t>
      </w:r>
    </w:p>
    <w:p>
      <w:pPr>
        <w:pStyle w:val="BodyText"/>
        <w:ind w:left="419" w:right="2" w:hanging="414"/>
        <w:spacing w:before="33" w:line="260" w:lineRule="auto"/>
        <w:rPr>
          <w:sz w:val="18"/>
          <w:szCs w:val="18"/>
        </w:rPr>
      </w:pPr>
      <w:r>
        <w:rPr>
          <w:sz w:val="18"/>
          <w:szCs w:val="18"/>
          <w:color w:val="231F20"/>
          <w:spacing w:val="-5"/>
        </w:rPr>
        <w:t>[10]</w:t>
      </w:r>
      <w:r>
        <w:rPr>
          <w:sz w:val="18"/>
          <w:szCs w:val="18"/>
          <w:color w:val="231F20"/>
          <w:spacing w:val="65"/>
        </w:rPr>
        <w:t xml:space="preserve"> </w:t>
      </w:r>
      <w:r>
        <w:rPr>
          <w:sz w:val="18"/>
          <w:szCs w:val="18"/>
          <w:color w:val="231F20"/>
          <w:spacing w:val="-5"/>
        </w:rPr>
        <w:t>解红梅.中药保留灌肠治疗慢性盆腔炎的效果[J].妇儿</w:t>
      </w:r>
      <w:r>
        <w:rPr>
          <w:sz w:val="18"/>
          <w:szCs w:val="18"/>
          <w:color w:val="231F20"/>
        </w:rPr>
        <w:t xml:space="preserve"> </w:t>
      </w:r>
      <w:r>
        <w:rPr>
          <w:sz w:val="18"/>
          <w:szCs w:val="18"/>
          <w:color w:val="231F20"/>
          <w:spacing w:val="-9"/>
        </w:rPr>
        <w:t>健康导刊,2023,2(10):51-53.</w:t>
      </w:r>
    </w:p>
    <w:p>
      <w:pPr>
        <w:spacing w:line="260" w:lineRule="auto"/>
        <w:sectPr>
          <w:type w:val="continuous"/>
          <w:pgSz w:w="11906" w:h="16838"/>
          <w:pgMar w:top="1493" w:right="1132" w:bottom="604" w:left="424" w:header="1045" w:footer="354" w:gutter="0"/>
          <w:cols w:equalWidth="0" w:num="2">
            <w:col w:w="5644" w:space="100"/>
            <w:col w:w="4605" w:space="0"/>
          </w:cols>
        </w:sectPr>
        <w:rPr>
          <w:sz w:val="18"/>
          <w:szCs w:val="18"/>
        </w:rPr>
      </w:pPr>
    </w:p>
    <w:p>
      <w:pPr>
        <w:pStyle w:val="BodyText"/>
        <w:ind w:right="1"/>
        <w:spacing w:before="289" w:line="185" w:lineRule="auto"/>
        <w:jc w:val="right"/>
        <w:rPr>
          <w:sz w:val="21"/>
          <w:szCs w:val="21"/>
        </w:rPr>
      </w:pPr>
      <w:r>
        <w:rPr>
          <w:sz w:val="21"/>
          <w:szCs w:val="21"/>
          <w:color w:val="231F20"/>
          <w:spacing w:val="3"/>
        </w:rPr>
        <w:t>51</w:t>
      </w:r>
    </w:p>
    <w:sectPr>
      <w:type w:val="continuous"/>
      <w:pgSz w:w="11906" w:h="16838"/>
      <w:pgMar w:top="1493" w:right="1132" w:bottom="604" w:left="424" w:header="1045" w:footer="354" w:gutter="0"/>
      <w:cols w:equalWidth="0" w:num="1">
        <w:col w:w="1034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503050405090304"/>
    <w:charset w:val="00"/>
    <w:family w:val="auto"/>
    <w:pitch w:val="variable"/>
    <w:sig w:usb0="E0000EFF" w:usb1="4000785B" w:usb2="00000001" w:usb3="00000000" w:csb0="400001BF" w:csb1="DFF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18"/>
      <w:spacing w:line="204" w:lineRule="auto"/>
      <w:rPr>
        <w:sz w:val="21"/>
        <w:szCs w:val="21"/>
      </w:rPr>
    </w:pPr>
    <w:r>
      <w:rPr>
        <w:sz w:val="21"/>
        <w:szCs w:val="21"/>
        <w:color w:val="231F20"/>
        <w:spacing w:val="3"/>
      </w:rPr>
      <w:t>50</w:t>
    </w:r>
  </w:p>
  <w:p>
    <w:pPr>
      <w:spacing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8" name="IM 8"/>
          <wp:cNvGraphicFramePr/>
          <a:graphic>
            <a:graphicData uri="http://schemas.openxmlformats.org/drawingml/2006/picture">
              <pic:pic>
                <pic:nvPicPr>
                  <pic:cNvPr id="8" name="IM 8"/>
                  <pic:cNvPicPr/>
                </pic:nvPicPr>
                <pic:blipFill>
                  <a:blip r:embed="rId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0" w:lineRule="exact"/>
      <w:rPr>
        <w:rFonts w:ascii="Arial" w:hAnsi="Arial" w:eastAsia="Arial" w:cs="Arial"/>
        <w:sz w:val="22"/>
        <w:szCs w:val="22"/>
      </w:rPr>
    </w:pPr>
    <w:r>
      <w:rPr>
        <w:rFonts w:ascii="Microsoft YaHei" w:hAnsi="Microsoft YaHei" w:eastAsia="Microsoft YaHei" w:cs="Microsoft YaHei"/>
        <w:sz w:val="22"/>
        <w:szCs w:val="22"/>
        <w:color w:val="999999"/>
        <w:spacing w:val="10"/>
      </w:rPr>
      <w:t>中国知网</w:t>
    </w:r>
    <w:r>
      <w:rPr>
        <w:rFonts w:ascii="Microsoft YaHei" w:hAnsi="Microsoft YaHei" w:eastAsia="Microsoft YaHei" w:cs="Microsoft YaHei"/>
        <w:sz w:val="22"/>
        <w:szCs w:val="22"/>
        <w:color w:val="999999"/>
        <w:spacing w:val="1"/>
      </w:rPr>
      <w:t xml:space="preserve">     </w:t>
    </w:r>
    <w:r>
      <w:rPr>
        <w:rFonts w:ascii="Arial" w:hAnsi="Arial" w:eastAsia="Arial" w:cs="Arial"/>
        <w:sz w:val="22"/>
        <w:szCs w:val="22"/>
        <w:color w:val="999999"/>
      </w:rPr>
      <w:t>https</w:t>
    </w:r>
    <w:r>
      <w:rPr>
        <w:rFonts w:ascii="Arial" w:hAnsi="Arial" w:eastAsia="Arial" w:cs="Arial"/>
        <w:sz w:val="22"/>
        <w:szCs w:val="22"/>
        <w:color w:val="999999"/>
        <w:spacing w:val="10"/>
      </w:rPr>
      <w:t>:</w:t>
    </w:r>
    <w:r>
      <w:rPr>
        <w:sz w:val="22"/>
        <w:szCs w:val="22"/>
        <w:position w:val="-1"/>
      </w:rPr>
      <w:drawing>
        <wp:inline distT="0" distB="0" distL="0" distR="0">
          <wp:extent cx="45084" cy="109727"/>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45084" cy="109727"/>
                  </a:xfrm>
                  <a:prstGeom prst="rect">
                    <a:avLst/>
                  </a:prstGeom>
                </pic:spPr>
              </pic:pic>
            </a:graphicData>
          </a:graphic>
        </wp:inline>
      </w:drawing>
    </w:r>
    <w:r>
      <w:rPr>
        <w:sz w:val="22"/>
        <w:szCs w:val="22"/>
        <w:position w:val="-1"/>
      </w:rPr>
      <w:drawing>
        <wp:inline distT="0" distB="0" distL="0" distR="0">
          <wp:extent cx="45084" cy="109727"/>
          <wp:effectExtent l="0" t="0" r="0" b="0"/>
          <wp:docPr id="12" name="IM 12"/>
          <wp:cNvGraphicFramePr/>
          <a:graphic>
            <a:graphicData uri="http://schemas.openxmlformats.org/drawingml/2006/picture">
              <pic:pic>
                <pic:nvPicPr>
                  <pic:cNvPr id="12" name="IM 12"/>
                  <pic:cNvPicPr/>
                </pic:nvPicPr>
                <pic:blipFill>
                  <a:blip r:embed="rId2"/>
                  <a:stretch>
                    <a:fillRect/>
                  </a:stretch>
                </pic:blipFill>
                <pic:spPr>
                  <a:xfrm rot="0">
                    <a:off x="0" y="0"/>
                    <a:ext cx="45084" cy="109727"/>
                  </a:xfrm>
                  <a:prstGeom prst="rect">
                    <a:avLst/>
                  </a:prstGeom>
                </pic:spPr>
              </pic:pic>
            </a:graphicData>
          </a:graphic>
        </wp:inline>
      </w:drawing>
    </w:r>
    <w:r>
      <w:rPr>
        <w:rFonts w:ascii="Arial" w:hAnsi="Arial" w:eastAsia="Arial" w:cs="Arial"/>
        <w:sz w:val="22"/>
        <w:szCs w:val="22"/>
        <w:color w:val="999999"/>
        <w:position w:val="2"/>
      </w:rPr>
      <w:t>Www</w:t>
    </w:r>
    <w:r>
      <w:rPr>
        <w:rFonts w:ascii="Arial" w:hAnsi="Arial" w:eastAsia="Arial" w:cs="Arial"/>
        <w:sz w:val="22"/>
        <w:szCs w:val="22"/>
        <w:color w:val="999999"/>
        <w:spacing w:val="10"/>
        <w:position w:val="2"/>
      </w:rPr>
      <w:t>.</w:t>
    </w:r>
    <w:r>
      <w:rPr>
        <w:rFonts w:ascii="Arial" w:hAnsi="Arial" w:eastAsia="Arial" w:cs="Arial"/>
        <w:sz w:val="22"/>
        <w:szCs w:val="22"/>
        <w:color w:val="999999"/>
        <w:position w:val="1"/>
      </w:rPr>
      <w:t>cnki</w:t>
    </w:r>
    <w:r>
      <w:rPr>
        <w:rFonts w:ascii="Arial" w:hAnsi="Arial" w:eastAsia="Arial" w:cs="Arial"/>
        <w:sz w:val="22"/>
        <w:szCs w:val="22"/>
        <w:color w:val="999999"/>
        <w:spacing w:val="-16"/>
        <w:position w:val="1"/>
      </w:rPr>
      <w:t xml:space="preserve"> </w:t>
    </w:r>
    <w:r>
      <w:rPr>
        <w:rFonts w:ascii="Arial" w:hAnsi="Arial" w:eastAsia="Arial" w:cs="Arial"/>
        <w:sz w:val="22"/>
        <w:szCs w:val="22"/>
        <w:color w:val="999999"/>
        <w:spacing w:val="10"/>
        <w:position w:val="2"/>
      </w:rPr>
      <w:t>.</w:t>
    </w:r>
    <w:r>
      <w:rPr>
        <w:rFonts w:ascii="Arial" w:hAnsi="Arial" w:eastAsia="Arial" w:cs="Arial"/>
        <w:sz w:val="22"/>
        <w:szCs w:val="22"/>
        <w:color w:val="999999"/>
        <w:spacing w:val="-35"/>
        <w:position w:val="2"/>
      </w:rPr>
      <w:t xml:space="preserve"> </w:t>
    </w:r>
    <w:r>
      <w:rPr>
        <w:rFonts w:ascii="Arial" w:hAnsi="Arial" w:eastAsia="Arial" w:cs="Arial"/>
        <w:sz w:val="22"/>
        <w:szCs w:val="22"/>
        <w:color w:val="999999"/>
        <w:position w:val="2"/>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71" w:line="171" w:lineRule="auto"/>
      <w:jc w:val="right"/>
      <w:rPr>
        <w:rFonts w:ascii="Microsoft YaHei" w:hAnsi="Microsoft YaHei" w:eastAsia="Microsoft YaHei" w:cs="Microsoft YaHei"/>
        <w:sz w:val="24"/>
        <w:szCs w:val="24"/>
      </w:rPr>
    </w:pPr>
    <w:r>
      <w:rPr>
        <w:shd w:val="clear" w:fill="DCDDDF"/>
        <w:rFonts w:ascii="Microsoft YaHei" w:hAnsi="Microsoft YaHei" w:eastAsia="Microsoft YaHei" w:cs="Microsoft YaHei"/>
        <w:sz w:val="21"/>
        <w:szCs w:val="21"/>
        <w:color w:val="231F20"/>
        <w:spacing w:val="-1"/>
      </w:rPr>
      <w:t>实用妇科内分泌电子杂志 </w:t>
    </w:r>
    <w:r>
      <w:rPr>
        <w:rFonts w:ascii="Microsoft YaHei" w:hAnsi="Microsoft YaHei" w:eastAsia="Microsoft YaHei" w:cs="Microsoft YaHei"/>
        <w:sz w:val="21"/>
        <w:szCs w:val="21"/>
        <w:color w:val="231F20"/>
        <w:spacing w:val="-1"/>
      </w:rPr>
      <w:t xml:space="preserve">    2024</w:t>
    </w:r>
    <w:r>
      <w:rPr>
        <w:rFonts w:ascii="Microsoft YaHei" w:hAnsi="Microsoft YaHei" w:eastAsia="Microsoft YaHei" w:cs="Microsoft YaHei"/>
        <w:sz w:val="21"/>
        <w:szCs w:val="21"/>
        <w:color w:val="231F20"/>
        <w:spacing w:val="-24"/>
      </w:rPr>
      <w:t xml:space="preserve"> </w:t>
    </w:r>
    <w:r>
      <w:rPr>
        <w:rFonts w:ascii="Microsoft YaHei" w:hAnsi="Microsoft YaHei" w:eastAsia="Microsoft YaHei" w:cs="Microsoft YaHei"/>
        <w:sz w:val="21"/>
        <w:szCs w:val="21"/>
        <w:color w:val="231F20"/>
        <w:spacing w:val="-1"/>
      </w:rPr>
      <w:t>年第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11</w:t>
    </w:r>
    <w:r>
      <w:rPr>
        <w:rFonts w:ascii="Microsoft YaHei" w:hAnsi="Microsoft YaHei" w:eastAsia="Microsoft YaHei" w:cs="Microsoft YaHei"/>
        <w:sz w:val="21"/>
        <w:szCs w:val="21"/>
        <w:color w:val="231F20"/>
        <w:spacing w:val="-27"/>
      </w:rPr>
      <w:t xml:space="preserve"> </w:t>
    </w:r>
    <w:r>
      <w:rPr>
        <w:rFonts w:ascii="Microsoft YaHei" w:hAnsi="Microsoft YaHei" w:eastAsia="Microsoft YaHei" w:cs="Microsoft YaHei"/>
        <w:sz w:val="21"/>
        <w:szCs w:val="21"/>
        <w:color w:val="231F20"/>
        <w:spacing w:val="-1"/>
      </w:rPr>
      <w:t>卷第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11</w:t>
    </w:r>
    <w:r>
      <w:rPr>
        <w:rFonts w:ascii="Microsoft YaHei" w:hAnsi="Microsoft YaHei" w:eastAsia="Microsoft YaHei" w:cs="Microsoft YaHei"/>
        <w:sz w:val="21"/>
        <w:szCs w:val="21"/>
        <w:color w:val="231F20"/>
        <w:spacing w:val="-26"/>
      </w:rPr>
      <w:t xml:space="preserve"> </w:t>
    </w:r>
    <w:r>
      <w:rPr>
        <w:rFonts w:ascii="Microsoft YaHei" w:hAnsi="Microsoft YaHei" w:eastAsia="Microsoft YaHei" w:cs="Microsoft YaHei"/>
        <w:sz w:val="21"/>
        <w:szCs w:val="21"/>
        <w:color w:val="231F20"/>
        <w:spacing w:val="-1"/>
      </w:rPr>
      <w:t>期                                                 </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4"/>
        <w:szCs w:val="24"/>
        <w:color w:val="231F20"/>
        <w:spacing w:val="-2"/>
        <w:position w:val="1"/>
      </w:rPr>
      <w:t>•  </w:t>
    </w:r>
    <w:r>
      <w:rPr>
        <w:rFonts w:ascii="Microsoft YaHei" w:hAnsi="Microsoft YaHei" w:eastAsia="Microsoft YaHei" w:cs="Microsoft YaHei"/>
        <w:sz w:val="24"/>
        <w:szCs w:val="24"/>
        <w:color w:val="231F20"/>
        <w:spacing w:val="-2"/>
      </w:rPr>
      <w:t>临床研究  </w:t>
    </w:r>
    <w:r>
      <w:rPr>
        <w:rFonts w:ascii="Microsoft YaHei" w:hAnsi="Microsoft YaHei" w:eastAsia="Microsoft YaHei" w:cs="Microsoft YaHei"/>
        <w:sz w:val="24"/>
        <w:szCs w:val="24"/>
        <w:color w:val="231F20"/>
        <w:spacing w:val="-2"/>
        <w:position w:val="1"/>
      </w:rPr>
      <w:t>•</w:t>
    </w:r>
  </w:p>
  <w:p>
    <w:pPr>
      <w:ind w:firstLine="709"/>
      <w:spacing w:before="16" w:line="46" w:lineRule="exact"/>
      <w:rPr/>
    </w:pPr>
    <w:r>
      <w:rPr>
        <w:position w:val="-1"/>
      </w:rPr>
      <w:pict>
        <v:group id="_x0000_s20" style="mso-position-vertical-relative:line;mso-position-horizontal-relative:char;width:481.9pt;height:2.85pt;" filled="false" stroked="false" coordsize="9637,56" coordorigin="0,0">
          <v:shape id="_x0000_s22" style="position:absolute;left:0;top:0;width:9637;height:29;" filled="false" strokecolor="#939598" strokeweight="1.42pt" coordsize="9637,29" coordorigin="0,0" path="m0,14l9637,14e">
            <v:stroke joinstyle="miter" miterlimit="4"/>
          </v:shape>
          <v:shape id="_x0000_s24" style="position:absolute;left:0;top:47;width:9637;height:10;" filled="false" strokecolor="#939598" strokeweight="0.47pt" coordsize="9637,10" coordorigin="0,0" path="m0,4l9637,4e">
            <v:stroke joinstyle="miter" miterlimit="4"/>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5"/>
      <w:szCs w:val="15"/>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image" Target="media/image2.png"/><Relationship Id="rId1"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2024-12-03T16:22:45Z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2025-10-28T21:30:19</vt:filetime>
  </property>
</Properties>
</file>