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9" w:lineRule="auto"/>
        <w:rPr>
          <w:rFonts w:ascii="Arial"/>
          <w:sz w:val="21"/>
        </w:rPr>
      </w:pPr>
      <w:r>
        <w:drawing>
          <wp:anchor distT="0" distB="0" distL="0" distR="0" simplePos="0" relativeHeight="251658240" behindDoc="0" locked="0" layoutInCell="0" allowOverlap="1">
            <wp:simplePos x="0" y="0"/>
            <wp:positionH relativeFrom="page">
              <wp:posOffset>647700</wp:posOffset>
            </wp:positionH>
            <wp:positionV relativeFrom="page">
              <wp:posOffset>821054</wp:posOffset>
            </wp:positionV>
            <wp:extent cx="6264909" cy="635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264909" cy="6350"/>
                    </a:xfrm>
                    <a:prstGeom prst="rect">
                      <a:avLst/>
                    </a:prstGeom>
                  </pic:spPr>
                </pic:pic>
              </a:graphicData>
            </a:graphic>
          </wp:anchor>
        </w:drawing>
      </w:r>
      <w:r/>
    </w:p>
    <w:p>
      <w:pPr>
        <w:spacing w:line="259" w:lineRule="auto"/>
        <w:rPr>
          <w:rFonts w:ascii="Arial"/>
          <w:sz w:val="21"/>
        </w:rPr>
      </w:pPr>
      <w:r/>
    </w:p>
    <w:p>
      <w:pPr>
        <w:pStyle w:val="BodyText"/>
        <w:ind w:left="3768"/>
        <w:spacing w:before="125" w:line="183" w:lineRule="auto"/>
        <w:outlineLvl w:val="0"/>
        <w:rPr>
          <w:sz w:val="29"/>
          <w:szCs w:val="29"/>
        </w:rPr>
      </w:pPr>
      <w:r>
        <w:rPr>
          <w:sz w:val="29"/>
          <w:szCs w:val="29"/>
          <w:color w:val="231F20"/>
          <w:spacing w:val="5"/>
        </w:rPr>
        <w:t>阿莫西林联合妇科千金胶囊</w:t>
      </w:r>
    </w:p>
    <w:p>
      <w:pPr>
        <w:pStyle w:val="BodyText"/>
        <w:ind w:left="2402"/>
        <w:spacing w:before="43" w:line="183" w:lineRule="auto"/>
        <w:outlineLvl w:val="0"/>
        <w:rPr>
          <w:sz w:val="29"/>
          <w:szCs w:val="29"/>
        </w:rPr>
      </w:pPr>
      <w:r>
        <w:rPr>
          <w:sz w:val="29"/>
          <w:szCs w:val="29"/>
          <w:color w:val="231F20"/>
          <w:spacing w:val="7"/>
        </w:rPr>
        <w:t>在急性盆腔炎治疗中对血清炎性因子的影响研究</w:t>
      </w:r>
    </w:p>
    <w:p>
      <w:pPr>
        <w:spacing w:line="283" w:lineRule="auto"/>
        <w:rPr>
          <w:rFonts w:ascii="Arial"/>
          <w:sz w:val="21"/>
        </w:rPr>
      </w:pPr>
      <w:r/>
    </w:p>
    <w:p>
      <w:pPr>
        <w:pStyle w:val="BodyText"/>
        <w:ind w:left="4797"/>
        <w:spacing w:before="86" w:line="186" w:lineRule="auto"/>
        <w:rPr>
          <w:sz w:val="11"/>
          <w:szCs w:val="11"/>
        </w:rPr>
      </w:pPr>
      <w:r>
        <w:rPr>
          <w:sz w:val="20"/>
          <w:szCs w:val="20"/>
          <w:color w:val="231F20"/>
          <w:spacing w:val="4"/>
        </w:rPr>
        <w:t>李春霞</w:t>
      </w:r>
      <w:r>
        <w:rPr>
          <w:sz w:val="11"/>
          <w:szCs w:val="11"/>
          <w:color w:val="231F20"/>
          <w:spacing w:val="4"/>
          <w:position w:val="6"/>
        </w:rPr>
        <w:t>1</w:t>
      </w:r>
      <w:r>
        <w:rPr>
          <w:sz w:val="20"/>
          <w:szCs w:val="20"/>
          <w:color w:val="231F20"/>
          <w:spacing w:val="-22"/>
          <w:w w:val="96"/>
        </w:rPr>
        <w:t>，赖</w:t>
      </w:r>
      <w:r>
        <w:rPr>
          <w:sz w:val="20"/>
          <w:szCs w:val="20"/>
          <w:color w:val="231F20"/>
          <w:spacing w:val="13"/>
        </w:rPr>
        <w:t xml:space="preserve">   </w:t>
      </w:r>
      <w:r>
        <w:rPr>
          <w:sz w:val="20"/>
          <w:szCs w:val="20"/>
          <w:color w:val="231F20"/>
          <w:spacing w:val="-22"/>
          <w:w w:val="96"/>
        </w:rPr>
        <w:t>红</w:t>
      </w:r>
      <w:r>
        <w:rPr>
          <w:sz w:val="11"/>
          <w:szCs w:val="11"/>
          <w:color w:val="231F20"/>
          <w:spacing w:val="2"/>
          <w:position w:val="6"/>
        </w:rPr>
        <w:t>2</w:t>
      </w:r>
    </w:p>
    <w:p>
      <w:pPr>
        <w:pStyle w:val="BodyText"/>
        <w:ind w:left="2690"/>
        <w:spacing w:before="83" w:line="197" w:lineRule="auto"/>
        <w:rPr/>
      </w:pPr>
      <w:r>
        <w:rPr>
          <w:color w:val="231F20"/>
          <w:spacing w:val="-5"/>
        </w:rPr>
        <w:t>（1.瑞金市中医院，江西</w:t>
      </w:r>
      <w:r>
        <w:rPr>
          <w:color w:val="231F20"/>
          <w:spacing w:val="11"/>
        </w:rPr>
        <w:t xml:space="preserve">   </w:t>
      </w:r>
      <w:r>
        <w:rPr>
          <w:color w:val="231F20"/>
          <w:spacing w:val="-5"/>
        </w:rPr>
        <w:t>342500</w:t>
      </w:r>
      <w:r>
        <w:rPr>
          <w:color w:val="231F20"/>
          <w:spacing w:val="-18"/>
        </w:rPr>
        <w:t xml:space="preserve"> </w:t>
      </w:r>
      <w:r>
        <w:rPr>
          <w:color w:val="231F20"/>
          <w:spacing w:val="-5"/>
        </w:rPr>
        <w:t>；</w:t>
      </w:r>
      <w:r>
        <w:rPr>
          <w:color w:val="231F20"/>
          <w:spacing w:val="46"/>
          <w:w w:val="101"/>
        </w:rPr>
        <w:t xml:space="preserve"> </w:t>
      </w:r>
      <w:r>
        <w:rPr>
          <w:color w:val="231F20"/>
          <w:spacing w:val="-5"/>
        </w:rPr>
        <w:t>2.瑞金市妇幼保健院，江</w:t>
      </w:r>
      <w:r>
        <w:rPr>
          <w:color w:val="231F20"/>
          <w:spacing w:val="-6"/>
        </w:rPr>
        <w:t>西</w:t>
      </w:r>
      <w:r>
        <w:rPr>
          <w:color w:val="231F20"/>
          <w:spacing w:val="11"/>
        </w:rPr>
        <w:t xml:space="preserve">   </w:t>
      </w:r>
      <w:r>
        <w:rPr>
          <w:color w:val="231F20"/>
          <w:spacing w:val="-6"/>
        </w:rPr>
        <w:t>342500）</w:t>
      </w:r>
    </w:p>
    <w:p>
      <w:pPr>
        <w:spacing w:line="308" w:lineRule="auto"/>
        <w:rPr>
          <w:rFonts w:ascii="Arial"/>
          <w:sz w:val="21"/>
        </w:rPr>
      </w:pPr>
      <w:r/>
    </w:p>
    <w:p>
      <w:pPr>
        <w:pStyle w:val="BodyText"/>
        <w:ind w:left="994" w:right="395" w:firstLine="422"/>
        <w:spacing w:before="73" w:line="264" w:lineRule="auto"/>
        <w:jc w:val="both"/>
        <w:rPr/>
      </w:pPr>
      <w:r>
        <w:rPr>
          <w:color w:val="231F20"/>
          <w:spacing w:val="5"/>
        </w:rPr>
        <w:t>摘   要    目的：探究阿莫西林联合妇科千金胶囊在急性盆腔炎治疗中对血清炎性因子的影响</w:t>
      </w:r>
      <w:r>
        <w:rPr>
          <w:color w:val="231F20"/>
          <w:spacing w:val="-16"/>
        </w:rPr>
        <w:t xml:space="preserve"> </w:t>
      </w:r>
      <w:r>
        <w:rPr>
          <w:color w:val="231F20"/>
          <w:spacing w:val="5"/>
        </w:rPr>
        <w:t>。方法：本研究选取</w:t>
      </w:r>
      <w:r>
        <w:rPr>
          <w:color w:val="231F20"/>
        </w:rPr>
        <w:t xml:space="preserve"> </w:t>
      </w:r>
      <w:r>
        <w:rPr>
          <w:color w:val="231F20"/>
          <w:spacing w:val="2"/>
        </w:rPr>
        <w:t>2021 年</w:t>
      </w:r>
      <w:r>
        <w:rPr>
          <w:color w:val="231F20"/>
          <w:spacing w:val="14"/>
          <w:w w:val="101"/>
        </w:rPr>
        <w:t xml:space="preserve"> </w:t>
      </w:r>
      <w:r>
        <w:rPr>
          <w:color w:val="231F20"/>
          <w:spacing w:val="2"/>
        </w:rPr>
        <w:t>11 月—2023 年</w:t>
      </w:r>
      <w:r>
        <w:rPr>
          <w:color w:val="231F20"/>
          <w:spacing w:val="14"/>
        </w:rPr>
        <w:t xml:space="preserve"> </w:t>
      </w:r>
      <w:r>
        <w:rPr>
          <w:color w:val="231F20"/>
          <w:spacing w:val="2"/>
        </w:rPr>
        <w:t>10 月本院接收并治疗的 90 例急性盆腔炎患者作为</w:t>
      </w:r>
      <w:r>
        <w:rPr>
          <w:color w:val="231F20"/>
          <w:spacing w:val="1"/>
        </w:rPr>
        <w:t>研究对象</w:t>
      </w:r>
      <w:r>
        <w:rPr>
          <w:color w:val="231F20"/>
          <w:spacing w:val="-28"/>
        </w:rPr>
        <w:t xml:space="preserve"> </w:t>
      </w:r>
      <w:r>
        <w:rPr>
          <w:color w:val="231F20"/>
          <w:spacing w:val="1"/>
        </w:rPr>
        <w:t>。根据随机数字对照表法将 90 例</w:t>
      </w:r>
      <w:r>
        <w:rPr>
          <w:color w:val="231F20"/>
        </w:rPr>
        <w:t xml:space="preserve"> </w:t>
      </w:r>
      <w:r>
        <w:rPr>
          <w:color w:val="231F20"/>
          <w:spacing w:val="1"/>
        </w:rPr>
        <w:t>患者分为实验组和对照组各 45 例。对照组给予阿莫西林胶囊，1 粒/次，3 次/d；实验组在对照组的基础上给予妇科</w:t>
      </w:r>
      <w:r>
        <w:rPr>
          <w:color w:val="231F20"/>
        </w:rPr>
        <w:t>千金 </w:t>
      </w:r>
      <w:r>
        <w:rPr>
          <w:color w:val="231F20"/>
          <w:spacing w:val="-3"/>
        </w:rPr>
        <w:t>胶囊治疗，2 粒/次，3 次/d。两组均治疗</w:t>
      </w:r>
      <w:r>
        <w:rPr>
          <w:color w:val="231F20"/>
          <w:spacing w:val="33"/>
        </w:rPr>
        <w:t xml:space="preserve"> </w:t>
      </w:r>
      <w:r>
        <w:rPr>
          <w:color w:val="231F20"/>
          <w:spacing w:val="-3"/>
        </w:rPr>
        <w:t>14 d 为</w:t>
      </w:r>
      <w:r>
        <w:rPr>
          <w:color w:val="231F20"/>
          <w:spacing w:val="16"/>
        </w:rPr>
        <w:t xml:space="preserve"> </w:t>
      </w:r>
      <w:r>
        <w:rPr>
          <w:color w:val="231F20"/>
          <w:spacing w:val="-3"/>
        </w:rPr>
        <w:t>1 个疗程。比较两组患者治疗后疗效、血清炎性因子指标、不良反应发生</w:t>
      </w:r>
      <w:r>
        <w:rPr>
          <w:color w:val="231F20"/>
        </w:rPr>
        <w:t xml:space="preserve"> </w:t>
      </w:r>
      <w:r>
        <w:rPr>
          <w:color w:val="231F20"/>
          <w:spacing w:val="-5"/>
        </w:rPr>
        <w:t>率。结果：实验组总有效率（95.35%）显著高于对照组（74.42%</w:t>
      </w:r>
      <w:r>
        <w:rPr>
          <w:color w:val="231F20"/>
          <w:spacing w:val="-16"/>
          <w:w w:val="55"/>
        </w:rPr>
        <w:t>）（</w:t>
      </w:r>
      <w:r>
        <w:rPr>
          <w:color w:val="231F20"/>
          <w:spacing w:val="-5"/>
        </w:rPr>
        <w:t>P&lt;0.05）。治疗前，两组患者血清</w:t>
      </w:r>
      <w:r>
        <w:rPr>
          <w:color w:val="231F20"/>
          <w:spacing w:val="-6"/>
        </w:rPr>
        <w:t>炎性因子指标水平均无</w:t>
      </w:r>
      <w:r>
        <w:rPr>
          <w:color w:val="231F20"/>
          <w:spacing w:val="2"/>
        </w:rPr>
        <w:t xml:space="preserve"> </w:t>
      </w:r>
      <w:r>
        <w:rPr>
          <w:color w:val="231F20"/>
          <w:spacing w:val="6"/>
        </w:rPr>
        <w:t>显著差异（P&gt;0.05</w:t>
      </w:r>
      <w:r>
        <w:rPr>
          <w:color w:val="231F20"/>
          <w:spacing w:val="-30"/>
          <w:w w:val="74"/>
        </w:rPr>
        <w:t>）；</w:t>
      </w:r>
      <w:r>
        <w:rPr>
          <w:color w:val="231F20"/>
          <w:spacing w:val="6"/>
        </w:rPr>
        <w:t>治疗后，两组患者血清炎性因子指标水平均降低，且实验组血清炎性因子指标水平显著低于对照</w:t>
      </w:r>
      <w:r>
        <w:rPr>
          <w:color w:val="231F20"/>
        </w:rPr>
        <w:t xml:space="preserve"> </w:t>
      </w:r>
      <w:r>
        <w:rPr>
          <w:color w:val="231F20"/>
          <w:spacing w:val="-6"/>
        </w:rPr>
        <w:t>组（P&lt;0.05）。实验组总不良反应发生率（11.11%）显著低于对照组（35.56%</w:t>
      </w:r>
      <w:r>
        <w:rPr>
          <w:color w:val="231F20"/>
          <w:spacing w:val="-18"/>
          <w:w w:val="60"/>
        </w:rPr>
        <w:t>）（</w:t>
      </w:r>
      <w:r>
        <w:rPr>
          <w:color w:val="231F20"/>
          <w:spacing w:val="-6"/>
        </w:rPr>
        <w:t>P&lt;0.05）。结论：阿莫西林联合妇科千金胶</w:t>
      </w:r>
      <w:r>
        <w:rPr>
          <w:color w:val="231F20"/>
        </w:rPr>
        <w:t xml:space="preserve"> </w:t>
      </w:r>
      <w:r>
        <w:rPr>
          <w:color w:val="231F20"/>
          <w:spacing w:val="9"/>
        </w:rPr>
        <w:t>囊在急性盆腔炎治疗中对血清炎性因子的影响显著。</w:t>
      </w:r>
    </w:p>
    <w:p>
      <w:pPr>
        <w:pStyle w:val="BodyText"/>
        <w:ind w:left="1417"/>
        <w:spacing w:before="6" w:line="188" w:lineRule="auto"/>
        <w:rPr/>
      </w:pPr>
      <w:r>
        <w:rPr>
          <w:color w:val="231F20"/>
          <w:spacing w:val="-2"/>
        </w:rPr>
        <w:t>关键词</w:t>
      </w:r>
      <w:r>
        <w:rPr>
          <w:color w:val="231F20"/>
          <w:spacing w:val="14"/>
        </w:rPr>
        <w:t xml:space="preserve">   </w:t>
      </w:r>
      <w:r>
        <w:rPr>
          <w:color w:val="231F20"/>
          <w:spacing w:val="-2"/>
        </w:rPr>
        <w:t>阿莫西林；妇科千金胶囊；急性盆腔炎；</w:t>
      </w:r>
      <w:r>
        <w:rPr>
          <w:color w:val="231F20"/>
          <w:spacing w:val="-3"/>
        </w:rPr>
        <w:t>血清炎性因子</w:t>
      </w:r>
    </w:p>
    <w:p>
      <w:pPr>
        <w:pStyle w:val="BodyText"/>
        <w:ind w:left="1433"/>
        <w:spacing w:before="89" w:line="196" w:lineRule="auto"/>
        <w:rPr/>
      </w:pPr>
      <w:r>
        <w:rPr>
          <w:color w:val="231F20"/>
          <w:spacing w:val="-7"/>
        </w:rPr>
        <w:t>中图分类号：R984    R711.33 </w:t>
      </w:r>
      <w:r>
        <w:rPr>
          <w:color w:val="231F20"/>
          <w:spacing w:val="-8"/>
        </w:rPr>
        <w:t xml:space="preserve">          文献标识：A            文章编号：1006-5687（2024）04-0025-04</w:t>
      </w:r>
    </w:p>
    <w:p>
      <w:pPr>
        <w:spacing w:line="355" w:lineRule="auto"/>
        <w:rPr>
          <w:rFonts w:ascii="Arial"/>
          <w:sz w:val="21"/>
        </w:rPr>
      </w:pPr>
      <w:r/>
    </w:p>
    <w:p>
      <w:pPr>
        <w:pStyle w:val="BodyText"/>
        <w:ind w:left="3131"/>
        <w:spacing w:before="73" w:line="160" w:lineRule="auto"/>
        <w:rPr/>
      </w:pPr>
      <w:r>
        <w:rPr>
          <w:color w:val="231F20"/>
          <w:spacing w:val="-6"/>
        </w:rPr>
        <w:t>Study</w:t>
      </w:r>
      <w:r>
        <w:rPr>
          <w:color w:val="231F20"/>
          <w:spacing w:val="16"/>
          <w:w w:val="101"/>
        </w:rPr>
        <w:t xml:space="preserve"> </w:t>
      </w:r>
      <w:r>
        <w:rPr>
          <w:color w:val="231F20"/>
          <w:spacing w:val="-6"/>
        </w:rPr>
        <w:t>on</w:t>
      </w:r>
      <w:r>
        <w:rPr>
          <w:color w:val="231F20"/>
          <w:spacing w:val="11"/>
        </w:rPr>
        <w:t xml:space="preserve"> </w:t>
      </w:r>
      <w:r>
        <w:rPr>
          <w:color w:val="231F20"/>
          <w:spacing w:val="-6"/>
        </w:rPr>
        <w:t>the</w:t>
      </w:r>
      <w:r>
        <w:rPr>
          <w:color w:val="231F20"/>
          <w:spacing w:val="13"/>
        </w:rPr>
        <w:t xml:space="preserve"> </w:t>
      </w:r>
      <w:r>
        <w:rPr>
          <w:color w:val="231F20"/>
          <w:spacing w:val="-6"/>
        </w:rPr>
        <w:t>effect</w:t>
      </w:r>
      <w:r>
        <w:rPr>
          <w:color w:val="231F20"/>
          <w:spacing w:val="11"/>
        </w:rPr>
        <w:t xml:space="preserve"> </w:t>
      </w:r>
      <w:r>
        <w:rPr>
          <w:color w:val="231F20"/>
          <w:spacing w:val="-6"/>
        </w:rPr>
        <w:t>of amoxicillin</w:t>
      </w:r>
      <w:r>
        <w:rPr>
          <w:color w:val="231F20"/>
          <w:spacing w:val="12"/>
          <w:w w:val="101"/>
        </w:rPr>
        <w:t xml:space="preserve"> </w:t>
      </w:r>
      <w:r>
        <w:rPr>
          <w:color w:val="231F20"/>
          <w:spacing w:val="-6"/>
        </w:rPr>
        <w:t>combined</w:t>
      </w:r>
      <w:r>
        <w:rPr>
          <w:color w:val="231F20"/>
          <w:spacing w:val="12"/>
        </w:rPr>
        <w:t xml:space="preserve"> </w:t>
      </w:r>
      <w:r>
        <w:rPr>
          <w:color w:val="231F20"/>
          <w:spacing w:val="-6"/>
        </w:rPr>
        <w:t>with</w:t>
      </w:r>
      <w:r>
        <w:rPr>
          <w:color w:val="231F20"/>
          <w:spacing w:val="10"/>
        </w:rPr>
        <w:t xml:space="preserve"> </w:t>
      </w:r>
      <w:r>
        <w:rPr>
          <w:color w:val="231F20"/>
          <w:spacing w:val="-6"/>
        </w:rPr>
        <w:t>Fuke</w:t>
      </w:r>
      <w:r>
        <w:rPr>
          <w:color w:val="231F20"/>
          <w:spacing w:val="15"/>
        </w:rPr>
        <w:t xml:space="preserve"> </w:t>
      </w:r>
      <w:r>
        <w:rPr>
          <w:color w:val="231F20"/>
          <w:spacing w:val="-6"/>
        </w:rPr>
        <w:t>Qianjin</w:t>
      </w:r>
    </w:p>
    <w:p>
      <w:pPr>
        <w:pStyle w:val="BodyText"/>
        <w:ind w:left="1821"/>
        <w:spacing w:before="126" w:line="161" w:lineRule="auto"/>
        <w:rPr/>
      </w:pPr>
      <w:r>
        <w:rPr>
          <w:color w:val="231F20"/>
          <w:spacing w:val="-6"/>
        </w:rPr>
        <w:t>capsules</w:t>
      </w:r>
      <w:r>
        <w:rPr>
          <w:color w:val="231F20"/>
          <w:spacing w:val="12"/>
          <w:w w:val="101"/>
        </w:rPr>
        <w:t xml:space="preserve"> </w:t>
      </w:r>
      <w:r>
        <w:rPr>
          <w:color w:val="231F20"/>
          <w:spacing w:val="-6"/>
        </w:rPr>
        <w:t>on</w:t>
      </w:r>
      <w:r>
        <w:rPr>
          <w:color w:val="231F20"/>
          <w:spacing w:val="12"/>
        </w:rPr>
        <w:t xml:space="preserve"> </w:t>
      </w:r>
      <w:r>
        <w:rPr>
          <w:color w:val="231F20"/>
          <w:spacing w:val="-6"/>
        </w:rPr>
        <w:t>serum</w:t>
      </w:r>
      <w:r>
        <w:rPr>
          <w:color w:val="231F20"/>
          <w:spacing w:val="11"/>
        </w:rPr>
        <w:t xml:space="preserve"> </w:t>
      </w:r>
      <w:r>
        <w:rPr>
          <w:color w:val="231F20"/>
          <w:spacing w:val="-6"/>
        </w:rPr>
        <w:t>inflammatory</w:t>
      </w:r>
      <w:r>
        <w:rPr>
          <w:color w:val="231F20"/>
          <w:spacing w:val="10"/>
        </w:rPr>
        <w:t xml:space="preserve"> </w:t>
      </w:r>
      <w:r>
        <w:rPr>
          <w:color w:val="231F20"/>
          <w:spacing w:val="-6"/>
        </w:rPr>
        <w:t>factors</w:t>
      </w:r>
      <w:r>
        <w:rPr>
          <w:color w:val="231F20"/>
          <w:spacing w:val="11"/>
        </w:rPr>
        <w:t xml:space="preserve"> </w:t>
      </w:r>
      <w:r>
        <w:rPr>
          <w:color w:val="231F20"/>
          <w:spacing w:val="-6"/>
        </w:rPr>
        <w:t>in</w:t>
      </w:r>
      <w:r>
        <w:rPr>
          <w:color w:val="231F20"/>
          <w:spacing w:val="11"/>
        </w:rPr>
        <w:t xml:space="preserve"> </w:t>
      </w:r>
      <w:r>
        <w:rPr>
          <w:color w:val="231F20"/>
          <w:spacing w:val="-6"/>
        </w:rPr>
        <w:t>the</w:t>
      </w:r>
      <w:r>
        <w:rPr>
          <w:color w:val="231F20"/>
          <w:spacing w:val="12"/>
        </w:rPr>
        <w:t xml:space="preserve"> </w:t>
      </w:r>
      <w:r>
        <w:rPr>
          <w:color w:val="231F20"/>
          <w:spacing w:val="-6"/>
        </w:rPr>
        <w:t>treatment</w:t>
      </w:r>
      <w:r>
        <w:rPr>
          <w:color w:val="231F20"/>
          <w:spacing w:val="11"/>
        </w:rPr>
        <w:t xml:space="preserve"> </w:t>
      </w:r>
      <w:r>
        <w:rPr>
          <w:color w:val="231F20"/>
          <w:spacing w:val="-6"/>
        </w:rPr>
        <w:t>of acute</w:t>
      </w:r>
      <w:r>
        <w:rPr>
          <w:color w:val="231F20"/>
          <w:spacing w:val="12"/>
        </w:rPr>
        <w:t xml:space="preserve"> </w:t>
      </w:r>
      <w:r>
        <w:rPr>
          <w:color w:val="231F20"/>
          <w:spacing w:val="-6"/>
        </w:rPr>
        <w:t>pelvic</w:t>
      </w:r>
      <w:r>
        <w:rPr>
          <w:color w:val="231F20"/>
          <w:spacing w:val="10"/>
        </w:rPr>
        <w:t xml:space="preserve"> </w:t>
      </w:r>
      <w:r>
        <w:rPr>
          <w:color w:val="231F20"/>
          <w:spacing w:val="-7"/>
        </w:rPr>
        <w:t>inflammatory</w:t>
      </w:r>
      <w:r>
        <w:rPr>
          <w:color w:val="231F20"/>
          <w:spacing w:val="13"/>
        </w:rPr>
        <w:t xml:space="preserve"> </w:t>
      </w:r>
      <w:r>
        <w:rPr>
          <w:color w:val="231F20"/>
          <w:spacing w:val="-7"/>
        </w:rPr>
        <w:t>disease★</w:t>
      </w:r>
    </w:p>
    <w:p>
      <w:pPr>
        <w:pStyle w:val="BodyText"/>
        <w:ind w:left="4703"/>
        <w:spacing w:before="114" w:line="173" w:lineRule="auto"/>
        <w:rPr>
          <w:sz w:val="10"/>
          <w:szCs w:val="10"/>
        </w:rPr>
      </w:pPr>
      <w:r>
        <w:rPr>
          <w:color w:val="231F20"/>
          <w:spacing w:val="-8"/>
        </w:rPr>
        <w:t>Li</w:t>
      </w:r>
      <w:r>
        <w:rPr>
          <w:color w:val="231F20"/>
          <w:spacing w:val="17"/>
        </w:rPr>
        <w:t xml:space="preserve"> </w:t>
      </w:r>
      <w:r>
        <w:rPr>
          <w:color w:val="231F20"/>
          <w:spacing w:val="-8"/>
        </w:rPr>
        <w:t>Chunxi</w:t>
      </w:r>
      <w:r>
        <w:rPr>
          <w:sz w:val="10"/>
          <w:szCs w:val="10"/>
          <w:color w:val="231F20"/>
          <w:spacing w:val="-8"/>
          <w:position w:val="6"/>
        </w:rPr>
        <w:t>1</w:t>
      </w:r>
      <w:r>
        <w:rPr>
          <w:color w:val="231F20"/>
          <w:spacing w:val="-21"/>
        </w:rPr>
        <w:t>，Lai</w:t>
      </w:r>
      <w:r>
        <w:rPr>
          <w:color w:val="231F20"/>
          <w:spacing w:val="15"/>
        </w:rPr>
        <w:t xml:space="preserve"> </w:t>
      </w:r>
      <w:r>
        <w:rPr>
          <w:color w:val="231F20"/>
          <w:spacing w:val="-21"/>
        </w:rPr>
        <w:t>Hong</w:t>
      </w:r>
      <w:r>
        <w:rPr>
          <w:sz w:val="10"/>
          <w:szCs w:val="10"/>
          <w:color w:val="231F20"/>
          <w:spacing w:val="1"/>
          <w:position w:val="6"/>
        </w:rPr>
        <w:t>2</w:t>
      </w:r>
    </w:p>
    <w:p>
      <w:pPr>
        <w:pStyle w:val="BodyText"/>
        <w:ind w:left="999" w:right="397" w:hanging="77"/>
        <w:spacing w:before="100" w:line="263" w:lineRule="auto"/>
        <w:rPr/>
      </w:pPr>
      <w:r>
        <w:rPr>
          <w:color w:val="231F20"/>
          <w:spacing w:val="-10"/>
        </w:rPr>
        <w:t>（ 1.Ruijin  Traditional  Chinese  Medicine  Hospital，Jiangxi</w:t>
      </w:r>
      <w:r>
        <w:rPr>
          <w:color w:val="231F20"/>
          <w:spacing w:val="-11"/>
        </w:rPr>
        <w:t xml:space="preserve">    342500</w:t>
      </w:r>
      <w:r>
        <w:rPr>
          <w:color w:val="231F20"/>
          <w:spacing w:val="-20"/>
        </w:rPr>
        <w:t xml:space="preserve"> </w:t>
      </w:r>
      <w:r>
        <w:rPr>
          <w:color w:val="231F20"/>
          <w:spacing w:val="-11"/>
        </w:rPr>
        <w:t>；   2.Ruijin  Maternal  and  Child  Health  Hospital，Jiangxi</w:t>
      </w:r>
      <w:r>
        <w:rPr>
          <w:color w:val="231F20"/>
        </w:rPr>
        <w:t xml:space="preserve"> </w:t>
      </w:r>
      <w:r>
        <w:rPr>
          <w:color w:val="231F20"/>
          <w:spacing w:val="-11"/>
        </w:rPr>
        <w:t>342500）</w:t>
      </w:r>
    </w:p>
    <w:p>
      <w:pPr>
        <w:pStyle w:val="BodyText"/>
        <w:ind w:left="993" w:right="341" w:firstLine="357"/>
        <w:spacing w:before="11" w:line="264" w:lineRule="auto"/>
        <w:jc w:val="both"/>
        <w:rPr/>
      </w:pPr>
      <w:r>
        <w:rPr>
          <w:color w:val="231F20"/>
          <w:spacing w:val="-9"/>
        </w:rPr>
        <w:t>ABSTRACT</w:t>
      </w:r>
      <w:r>
        <w:rPr>
          <w:color w:val="231F20"/>
          <w:spacing w:val="7"/>
        </w:rPr>
        <w:t xml:space="preserve">   </w:t>
      </w:r>
      <w:r>
        <w:rPr>
          <w:color w:val="231F20"/>
          <w:spacing w:val="-9"/>
        </w:rPr>
        <w:t>Objective：To</w:t>
      </w:r>
      <w:r>
        <w:rPr>
          <w:color w:val="231F20"/>
          <w:spacing w:val="8"/>
        </w:rPr>
        <w:t xml:space="preserve">  </w:t>
      </w:r>
      <w:r>
        <w:rPr>
          <w:color w:val="231F20"/>
          <w:spacing w:val="-9"/>
        </w:rPr>
        <w:t>investigate</w:t>
      </w:r>
      <w:r>
        <w:rPr>
          <w:color w:val="231F20"/>
          <w:spacing w:val="7"/>
        </w:rPr>
        <w:t xml:space="preserve">  </w:t>
      </w:r>
      <w:r>
        <w:rPr>
          <w:color w:val="231F20"/>
          <w:spacing w:val="-9"/>
        </w:rPr>
        <w:t>the</w:t>
      </w:r>
      <w:r>
        <w:rPr>
          <w:color w:val="231F20"/>
          <w:spacing w:val="8"/>
        </w:rPr>
        <w:t xml:space="preserve">  </w:t>
      </w:r>
      <w:r>
        <w:rPr>
          <w:color w:val="231F20"/>
          <w:spacing w:val="-9"/>
        </w:rPr>
        <w:t>effect</w:t>
      </w:r>
      <w:r>
        <w:rPr>
          <w:color w:val="231F20"/>
          <w:spacing w:val="8"/>
        </w:rPr>
        <w:t xml:space="preserve">  </w:t>
      </w:r>
      <w:r>
        <w:rPr>
          <w:color w:val="231F20"/>
          <w:spacing w:val="-10"/>
        </w:rPr>
        <w:t>of  amoxicillin</w:t>
      </w:r>
      <w:r>
        <w:rPr>
          <w:color w:val="231F20"/>
          <w:spacing w:val="8"/>
        </w:rPr>
        <w:t xml:space="preserve">  </w:t>
      </w:r>
      <w:r>
        <w:rPr>
          <w:color w:val="231F20"/>
          <w:spacing w:val="-10"/>
        </w:rPr>
        <w:t>combined  withFuke   Qianjin   capsules</w:t>
      </w:r>
      <w:r>
        <w:rPr>
          <w:color w:val="231F20"/>
          <w:spacing w:val="7"/>
        </w:rPr>
        <w:t xml:space="preserve">  </w:t>
      </w:r>
      <w:r>
        <w:rPr>
          <w:color w:val="231F20"/>
          <w:spacing w:val="-10"/>
        </w:rPr>
        <w:t>on</w:t>
      </w:r>
      <w:r>
        <w:rPr>
          <w:color w:val="231F20"/>
          <w:spacing w:val="10"/>
        </w:rPr>
        <w:t xml:space="preserve">  </w:t>
      </w:r>
      <w:r>
        <w:rPr>
          <w:color w:val="231F20"/>
          <w:spacing w:val="-10"/>
        </w:rPr>
        <w:t>serum</w:t>
      </w:r>
      <w:r>
        <w:rPr>
          <w:color w:val="231F20"/>
        </w:rPr>
        <w:t xml:space="preserve">  </w:t>
      </w:r>
      <w:r>
        <w:rPr>
          <w:color w:val="231F20"/>
          <w:spacing w:val="-12"/>
        </w:rPr>
        <w:t>inflammatory</w:t>
      </w:r>
      <w:r>
        <w:rPr>
          <w:color w:val="231F20"/>
          <w:spacing w:val="33"/>
        </w:rPr>
        <w:t xml:space="preserve"> </w:t>
      </w:r>
      <w:r>
        <w:rPr>
          <w:color w:val="231F20"/>
          <w:spacing w:val="-12"/>
        </w:rPr>
        <w:t>factors  in  the  treatment  of</w:t>
      </w:r>
      <w:r>
        <w:rPr>
          <w:color w:val="231F20"/>
          <w:spacing w:val="26"/>
        </w:rPr>
        <w:t xml:space="preserve"> </w:t>
      </w:r>
      <w:r>
        <w:rPr>
          <w:color w:val="231F20"/>
          <w:spacing w:val="-12"/>
        </w:rPr>
        <w:t>acute  pelvic  inflammatory  disease.Methods：In  this  study，90  </w:t>
      </w:r>
      <w:r>
        <w:rPr>
          <w:color w:val="231F20"/>
          <w:spacing w:val="-13"/>
        </w:rPr>
        <w:t>patients  with  acute</w:t>
      </w:r>
      <w:r>
        <w:rPr>
          <w:color w:val="231F20"/>
        </w:rPr>
        <w:t xml:space="preserve">  </w:t>
      </w:r>
      <w:r>
        <w:rPr>
          <w:color w:val="231F20"/>
          <w:spacing w:val="-12"/>
        </w:rPr>
        <w:t>pelvic</w:t>
      </w:r>
      <w:r>
        <w:rPr>
          <w:color w:val="231F20"/>
          <w:spacing w:val="33"/>
        </w:rPr>
        <w:t xml:space="preserve"> </w:t>
      </w:r>
      <w:r>
        <w:rPr>
          <w:color w:val="231F20"/>
          <w:spacing w:val="-12"/>
        </w:rPr>
        <w:t>inflammatory</w:t>
      </w:r>
      <w:r>
        <w:rPr>
          <w:color w:val="231F20"/>
          <w:spacing w:val="33"/>
          <w:w w:val="101"/>
        </w:rPr>
        <w:t xml:space="preserve"> </w:t>
      </w:r>
      <w:r>
        <w:rPr>
          <w:color w:val="231F20"/>
          <w:spacing w:val="-12"/>
        </w:rPr>
        <w:t>disease</w:t>
      </w:r>
      <w:r>
        <w:rPr>
          <w:color w:val="231F20"/>
          <w:spacing w:val="31"/>
        </w:rPr>
        <w:t xml:space="preserve"> </w:t>
      </w:r>
      <w:r>
        <w:rPr>
          <w:color w:val="231F20"/>
          <w:spacing w:val="-12"/>
        </w:rPr>
        <w:t>received</w:t>
      </w:r>
      <w:r>
        <w:rPr>
          <w:color w:val="231F20"/>
          <w:spacing w:val="33"/>
        </w:rPr>
        <w:t xml:space="preserve"> </w:t>
      </w:r>
      <w:r>
        <w:rPr>
          <w:color w:val="231F20"/>
          <w:spacing w:val="-12"/>
        </w:rPr>
        <w:t>and</w:t>
      </w:r>
      <w:r>
        <w:rPr>
          <w:color w:val="231F20"/>
          <w:spacing w:val="30"/>
          <w:w w:val="101"/>
        </w:rPr>
        <w:t xml:space="preserve"> </w:t>
      </w:r>
      <w:r>
        <w:rPr>
          <w:color w:val="231F20"/>
          <w:spacing w:val="-12"/>
        </w:rPr>
        <w:t>treated</w:t>
      </w:r>
      <w:r>
        <w:rPr>
          <w:color w:val="231F20"/>
          <w:spacing w:val="35"/>
        </w:rPr>
        <w:t xml:space="preserve"> </w:t>
      </w:r>
      <w:r>
        <w:rPr>
          <w:color w:val="231F20"/>
          <w:spacing w:val="-12"/>
        </w:rPr>
        <w:t>in</w:t>
      </w:r>
      <w:r>
        <w:rPr>
          <w:color w:val="231F20"/>
          <w:spacing w:val="34"/>
          <w:w w:val="101"/>
        </w:rPr>
        <w:t xml:space="preserve"> </w:t>
      </w:r>
      <w:r>
        <w:rPr>
          <w:color w:val="231F20"/>
          <w:spacing w:val="-12"/>
        </w:rPr>
        <w:t>o</w:t>
      </w:r>
      <w:r>
        <w:rPr>
          <w:color w:val="231F20"/>
          <w:spacing w:val="-13"/>
        </w:rPr>
        <w:t>ur</w:t>
      </w:r>
      <w:r>
        <w:rPr>
          <w:color w:val="231F20"/>
          <w:spacing w:val="30"/>
          <w:w w:val="101"/>
        </w:rPr>
        <w:t xml:space="preserve"> </w:t>
      </w:r>
      <w:r>
        <w:rPr>
          <w:color w:val="231F20"/>
          <w:spacing w:val="-13"/>
        </w:rPr>
        <w:t>hospital</w:t>
      </w:r>
      <w:r>
        <w:rPr>
          <w:color w:val="231F20"/>
          <w:spacing w:val="30"/>
          <w:w w:val="101"/>
        </w:rPr>
        <w:t xml:space="preserve"> </w:t>
      </w:r>
      <w:r>
        <w:rPr>
          <w:color w:val="231F20"/>
          <w:spacing w:val="-13"/>
        </w:rPr>
        <w:t>from  November</w:t>
      </w:r>
      <w:r>
        <w:rPr>
          <w:color w:val="231F20"/>
          <w:spacing w:val="32"/>
        </w:rPr>
        <w:t xml:space="preserve"> </w:t>
      </w:r>
      <w:r>
        <w:rPr>
          <w:color w:val="231F20"/>
          <w:spacing w:val="-13"/>
        </w:rPr>
        <w:t>2021</w:t>
      </w:r>
      <w:r>
        <w:rPr>
          <w:color w:val="231F20"/>
          <w:spacing w:val="32"/>
          <w:w w:val="101"/>
        </w:rPr>
        <w:t xml:space="preserve"> </w:t>
      </w:r>
      <w:r>
        <w:rPr>
          <w:color w:val="231F20"/>
          <w:spacing w:val="-13"/>
        </w:rPr>
        <w:t>to  October</w:t>
      </w:r>
      <w:r>
        <w:rPr>
          <w:color w:val="231F20"/>
          <w:spacing w:val="32"/>
        </w:rPr>
        <w:t xml:space="preserve"> </w:t>
      </w:r>
      <w:r>
        <w:rPr>
          <w:color w:val="231F20"/>
          <w:spacing w:val="-13"/>
        </w:rPr>
        <w:t>2023</w:t>
      </w:r>
      <w:r>
        <w:rPr>
          <w:color w:val="231F20"/>
          <w:spacing w:val="30"/>
          <w:w w:val="101"/>
        </w:rPr>
        <w:t xml:space="preserve"> </w:t>
      </w:r>
      <w:r>
        <w:rPr>
          <w:color w:val="231F20"/>
          <w:spacing w:val="-13"/>
        </w:rPr>
        <w:t>were  selected  as</w:t>
      </w:r>
      <w:r>
        <w:rPr>
          <w:color w:val="231F20"/>
        </w:rPr>
        <w:t xml:space="preserve">  </w:t>
      </w:r>
      <w:r>
        <w:rPr>
          <w:color w:val="231F20"/>
          <w:spacing w:val="-14"/>
        </w:rPr>
        <w:t>research</w:t>
      </w:r>
      <w:r>
        <w:rPr>
          <w:color w:val="231F20"/>
          <w:spacing w:val="23"/>
          <w:w w:val="101"/>
        </w:rPr>
        <w:t xml:space="preserve"> </w:t>
      </w:r>
      <w:r>
        <w:rPr>
          <w:color w:val="231F20"/>
          <w:spacing w:val="-14"/>
        </w:rPr>
        <w:t>objects.According</w:t>
      </w:r>
      <w:r>
        <w:rPr>
          <w:color w:val="231F20"/>
          <w:spacing w:val="15"/>
        </w:rPr>
        <w:t xml:space="preserve"> </w:t>
      </w:r>
      <w:r>
        <w:rPr>
          <w:color w:val="231F20"/>
          <w:spacing w:val="-14"/>
        </w:rPr>
        <w:t>to</w:t>
      </w:r>
      <w:r>
        <w:rPr>
          <w:color w:val="231F20"/>
          <w:spacing w:val="15"/>
        </w:rPr>
        <w:t xml:space="preserve"> </w:t>
      </w:r>
      <w:r>
        <w:rPr>
          <w:color w:val="231F20"/>
          <w:spacing w:val="-14"/>
        </w:rPr>
        <w:t>the</w:t>
      </w:r>
      <w:r>
        <w:rPr>
          <w:color w:val="231F20"/>
          <w:spacing w:val="15"/>
          <w:w w:val="101"/>
        </w:rPr>
        <w:t xml:space="preserve"> </w:t>
      </w:r>
      <w:r>
        <w:rPr>
          <w:color w:val="231F20"/>
          <w:spacing w:val="-14"/>
        </w:rPr>
        <w:t>random</w:t>
      </w:r>
      <w:r>
        <w:rPr>
          <w:color w:val="231F20"/>
          <w:spacing w:val="17"/>
        </w:rPr>
        <w:t xml:space="preserve"> </w:t>
      </w:r>
      <w:r>
        <w:rPr>
          <w:color w:val="231F20"/>
          <w:spacing w:val="-14"/>
        </w:rPr>
        <w:t>number</w:t>
      </w:r>
      <w:r>
        <w:rPr>
          <w:color w:val="231F20"/>
          <w:spacing w:val="15"/>
        </w:rPr>
        <w:t xml:space="preserve"> </w:t>
      </w:r>
      <w:r>
        <w:rPr>
          <w:color w:val="231F20"/>
          <w:spacing w:val="-14"/>
        </w:rPr>
        <w:t>comparison</w:t>
      </w:r>
      <w:r>
        <w:rPr>
          <w:color w:val="231F20"/>
          <w:spacing w:val="17"/>
        </w:rPr>
        <w:t xml:space="preserve"> </w:t>
      </w:r>
      <w:r>
        <w:rPr>
          <w:color w:val="231F20"/>
          <w:spacing w:val="-14"/>
        </w:rPr>
        <w:t>table</w:t>
      </w:r>
      <w:r>
        <w:rPr>
          <w:color w:val="231F20"/>
          <w:spacing w:val="19"/>
        </w:rPr>
        <w:t xml:space="preserve"> </w:t>
      </w:r>
      <w:r>
        <w:rPr>
          <w:color w:val="231F20"/>
          <w:spacing w:val="-14"/>
        </w:rPr>
        <w:t>method，90</w:t>
      </w:r>
      <w:r>
        <w:rPr>
          <w:color w:val="231F20"/>
          <w:spacing w:val="17"/>
          <w:w w:val="101"/>
        </w:rPr>
        <w:t xml:space="preserve"> </w:t>
      </w:r>
      <w:r>
        <w:rPr>
          <w:color w:val="231F20"/>
          <w:spacing w:val="-14"/>
        </w:rPr>
        <w:t>patients</w:t>
      </w:r>
      <w:r>
        <w:rPr>
          <w:color w:val="231F20"/>
          <w:spacing w:val="15"/>
        </w:rPr>
        <w:t xml:space="preserve"> </w:t>
      </w:r>
      <w:r>
        <w:rPr>
          <w:color w:val="231F20"/>
          <w:spacing w:val="-14"/>
        </w:rPr>
        <w:t>were</w:t>
      </w:r>
      <w:r>
        <w:rPr>
          <w:color w:val="231F20"/>
          <w:spacing w:val="19"/>
          <w:w w:val="101"/>
        </w:rPr>
        <w:t xml:space="preserve"> </w:t>
      </w:r>
      <w:r>
        <w:rPr>
          <w:color w:val="231F20"/>
          <w:spacing w:val="-14"/>
        </w:rPr>
        <w:t>divided</w:t>
      </w:r>
      <w:r>
        <w:rPr>
          <w:color w:val="231F20"/>
          <w:spacing w:val="19"/>
          <w:w w:val="101"/>
        </w:rPr>
        <w:t xml:space="preserve"> </w:t>
      </w:r>
      <w:r>
        <w:rPr>
          <w:color w:val="231F20"/>
          <w:spacing w:val="-14"/>
        </w:rPr>
        <w:t>into</w:t>
      </w:r>
      <w:r>
        <w:rPr>
          <w:color w:val="231F20"/>
          <w:spacing w:val="19"/>
          <w:w w:val="101"/>
        </w:rPr>
        <w:t xml:space="preserve"> </w:t>
      </w:r>
      <w:r>
        <w:rPr>
          <w:color w:val="231F20"/>
          <w:spacing w:val="-14"/>
        </w:rPr>
        <w:t>experimental</w:t>
      </w:r>
      <w:r>
        <w:rPr>
          <w:color w:val="231F20"/>
          <w:spacing w:val="20"/>
        </w:rPr>
        <w:t xml:space="preserve"> </w:t>
      </w:r>
      <w:r>
        <w:rPr>
          <w:color w:val="231F20"/>
          <w:spacing w:val="-14"/>
        </w:rPr>
        <w:t>and</w:t>
      </w:r>
      <w:r>
        <w:rPr>
          <w:color w:val="231F20"/>
        </w:rPr>
        <w:t xml:space="preserve">  </w:t>
      </w:r>
      <w:r>
        <w:rPr>
          <w:color w:val="231F20"/>
          <w:spacing w:val="-13"/>
        </w:rPr>
        <w:t>control</w:t>
      </w:r>
      <w:r>
        <w:rPr>
          <w:color w:val="231F20"/>
          <w:spacing w:val="19"/>
        </w:rPr>
        <w:t xml:space="preserve"> </w:t>
      </w:r>
      <w:r>
        <w:rPr>
          <w:color w:val="231F20"/>
          <w:spacing w:val="-13"/>
        </w:rPr>
        <w:t>groups，with</w:t>
      </w:r>
      <w:r>
        <w:rPr>
          <w:color w:val="231F20"/>
          <w:spacing w:val="17"/>
          <w:w w:val="101"/>
        </w:rPr>
        <w:t xml:space="preserve"> </w:t>
      </w:r>
      <w:r>
        <w:rPr>
          <w:color w:val="231F20"/>
          <w:spacing w:val="-13"/>
        </w:rPr>
        <w:t>45</w:t>
      </w:r>
      <w:r>
        <w:rPr>
          <w:color w:val="231F20"/>
          <w:spacing w:val="19"/>
          <w:w w:val="101"/>
        </w:rPr>
        <w:t xml:space="preserve"> </w:t>
      </w:r>
      <w:r>
        <w:rPr>
          <w:color w:val="231F20"/>
          <w:spacing w:val="-13"/>
        </w:rPr>
        <w:t>patients</w:t>
      </w:r>
      <w:r>
        <w:rPr>
          <w:color w:val="231F20"/>
          <w:spacing w:val="21"/>
          <w:w w:val="101"/>
        </w:rPr>
        <w:t xml:space="preserve"> </w:t>
      </w:r>
      <w:r>
        <w:rPr>
          <w:color w:val="231F20"/>
          <w:spacing w:val="-13"/>
        </w:rPr>
        <w:t>in</w:t>
      </w:r>
      <w:r>
        <w:rPr>
          <w:color w:val="231F20"/>
          <w:spacing w:val="21"/>
          <w:w w:val="101"/>
        </w:rPr>
        <w:t xml:space="preserve"> </w:t>
      </w:r>
      <w:r>
        <w:rPr>
          <w:color w:val="231F20"/>
          <w:spacing w:val="-13"/>
        </w:rPr>
        <w:t>each</w:t>
      </w:r>
      <w:r>
        <w:rPr>
          <w:color w:val="231F20"/>
          <w:spacing w:val="20"/>
          <w:w w:val="101"/>
        </w:rPr>
        <w:t xml:space="preserve"> </w:t>
      </w:r>
      <w:r>
        <w:rPr>
          <w:color w:val="231F20"/>
          <w:spacing w:val="-13"/>
        </w:rPr>
        <w:t>g</w:t>
      </w:r>
      <w:r>
        <w:rPr>
          <w:color w:val="231F20"/>
          <w:spacing w:val="-14"/>
        </w:rPr>
        <w:t>roup.</w:t>
      </w:r>
      <w:r>
        <w:rPr>
          <w:color w:val="231F20"/>
          <w:spacing w:val="18"/>
        </w:rPr>
        <w:t xml:space="preserve"> </w:t>
      </w:r>
      <w:r>
        <w:rPr>
          <w:color w:val="231F20"/>
          <w:spacing w:val="-14"/>
        </w:rPr>
        <w:t>The</w:t>
      </w:r>
      <w:r>
        <w:rPr>
          <w:color w:val="231F20"/>
          <w:spacing w:val="21"/>
          <w:w w:val="101"/>
        </w:rPr>
        <w:t xml:space="preserve"> </w:t>
      </w:r>
      <w:r>
        <w:rPr>
          <w:color w:val="231F20"/>
          <w:spacing w:val="-14"/>
        </w:rPr>
        <w:t>control</w:t>
      </w:r>
      <w:r>
        <w:rPr>
          <w:color w:val="231F20"/>
          <w:spacing w:val="21"/>
        </w:rPr>
        <w:t xml:space="preserve"> </w:t>
      </w:r>
      <w:r>
        <w:rPr>
          <w:color w:val="231F20"/>
          <w:spacing w:val="-14"/>
        </w:rPr>
        <w:t>group</w:t>
      </w:r>
      <w:r>
        <w:rPr>
          <w:color w:val="231F20"/>
          <w:spacing w:val="16"/>
          <w:w w:val="101"/>
        </w:rPr>
        <w:t xml:space="preserve"> </w:t>
      </w:r>
      <w:r>
        <w:rPr>
          <w:color w:val="231F20"/>
          <w:spacing w:val="-14"/>
        </w:rPr>
        <w:t>was</w:t>
      </w:r>
      <w:r>
        <w:rPr>
          <w:color w:val="231F20"/>
          <w:spacing w:val="22"/>
        </w:rPr>
        <w:t xml:space="preserve"> </w:t>
      </w:r>
      <w:r>
        <w:rPr>
          <w:color w:val="231F20"/>
          <w:spacing w:val="-14"/>
        </w:rPr>
        <w:t>administered</w:t>
      </w:r>
      <w:r>
        <w:rPr>
          <w:color w:val="231F20"/>
          <w:spacing w:val="21"/>
          <w:w w:val="101"/>
        </w:rPr>
        <w:t xml:space="preserve"> </w:t>
      </w:r>
      <w:r>
        <w:rPr>
          <w:color w:val="231F20"/>
          <w:spacing w:val="-14"/>
        </w:rPr>
        <w:t>an</w:t>
      </w:r>
      <w:r>
        <w:rPr>
          <w:color w:val="231F20"/>
          <w:spacing w:val="21"/>
          <w:w w:val="101"/>
        </w:rPr>
        <w:t xml:space="preserve"> </w:t>
      </w:r>
      <w:r>
        <w:rPr>
          <w:color w:val="231F20"/>
          <w:spacing w:val="-14"/>
        </w:rPr>
        <w:t>amoxicillin</w:t>
      </w:r>
      <w:r>
        <w:rPr>
          <w:color w:val="231F20"/>
          <w:spacing w:val="21"/>
          <w:w w:val="101"/>
        </w:rPr>
        <w:t xml:space="preserve"> </w:t>
      </w:r>
      <w:r>
        <w:rPr>
          <w:color w:val="231F20"/>
          <w:spacing w:val="-14"/>
        </w:rPr>
        <w:t>capsule（1</w:t>
      </w:r>
      <w:r>
        <w:rPr>
          <w:color w:val="231F20"/>
          <w:spacing w:val="21"/>
          <w:w w:val="101"/>
        </w:rPr>
        <w:t xml:space="preserve"> </w:t>
      </w:r>
      <w:r>
        <w:rPr>
          <w:color w:val="231F20"/>
          <w:spacing w:val="-14"/>
        </w:rPr>
        <w:t>capsule/time，</w:t>
      </w:r>
      <w:r>
        <w:rPr>
          <w:color w:val="231F20"/>
        </w:rPr>
        <w:t xml:space="preserve"> </w:t>
      </w:r>
      <w:r>
        <w:rPr>
          <w:color w:val="231F20"/>
          <w:spacing w:val="-12"/>
        </w:rPr>
        <w:t>3  times/day）.  The</w:t>
      </w:r>
      <w:r>
        <w:rPr>
          <w:color w:val="231F20"/>
          <w:spacing w:val="-13"/>
        </w:rPr>
        <w:t xml:space="preserve">   experimental   group  was   administered</w:t>
      </w:r>
      <w:r>
        <w:rPr>
          <w:color w:val="231F20"/>
          <w:spacing w:val="5"/>
        </w:rPr>
        <w:t xml:space="preserve">  </w:t>
      </w:r>
      <w:r>
        <w:rPr>
          <w:color w:val="231F20"/>
          <w:spacing w:val="-13"/>
        </w:rPr>
        <w:t>Fuke</w:t>
      </w:r>
      <w:r>
        <w:rPr>
          <w:color w:val="231F20"/>
          <w:spacing w:val="6"/>
        </w:rPr>
        <w:t xml:space="preserve">  </w:t>
      </w:r>
      <w:r>
        <w:rPr>
          <w:color w:val="231F20"/>
          <w:spacing w:val="-13"/>
        </w:rPr>
        <w:t>Qianjin</w:t>
      </w:r>
      <w:r>
        <w:rPr>
          <w:color w:val="231F20"/>
          <w:spacing w:val="5"/>
        </w:rPr>
        <w:t xml:space="preserve">  </w:t>
      </w:r>
      <w:r>
        <w:rPr>
          <w:color w:val="231F20"/>
          <w:spacing w:val="-13"/>
        </w:rPr>
        <w:t>capsules</w:t>
      </w:r>
      <w:r>
        <w:rPr>
          <w:color w:val="231F20"/>
          <w:spacing w:val="5"/>
        </w:rPr>
        <w:t xml:space="preserve">  </w:t>
      </w:r>
      <w:r>
        <w:rPr>
          <w:color w:val="231F20"/>
          <w:spacing w:val="-13"/>
        </w:rPr>
        <w:t>on</w:t>
      </w:r>
      <w:r>
        <w:rPr>
          <w:color w:val="231F20"/>
          <w:spacing w:val="4"/>
        </w:rPr>
        <w:t xml:space="preserve">  </w:t>
      </w:r>
      <w:r>
        <w:rPr>
          <w:color w:val="231F20"/>
          <w:spacing w:val="-13"/>
        </w:rPr>
        <w:t>the</w:t>
      </w:r>
      <w:r>
        <w:rPr>
          <w:color w:val="231F20"/>
          <w:spacing w:val="4"/>
        </w:rPr>
        <w:t xml:space="preserve">  </w:t>
      </w:r>
      <w:r>
        <w:rPr>
          <w:color w:val="231F20"/>
          <w:spacing w:val="-13"/>
        </w:rPr>
        <w:t>basis</w:t>
      </w:r>
      <w:r>
        <w:rPr>
          <w:color w:val="231F20"/>
          <w:spacing w:val="5"/>
        </w:rPr>
        <w:t xml:space="preserve">  </w:t>
      </w:r>
      <w:r>
        <w:rPr>
          <w:color w:val="231F20"/>
          <w:spacing w:val="-13"/>
        </w:rPr>
        <w:t>of  the   control</w:t>
      </w:r>
      <w:r>
        <w:rPr>
          <w:color w:val="231F20"/>
          <w:spacing w:val="4"/>
        </w:rPr>
        <w:t xml:space="preserve">  </w:t>
      </w:r>
      <w:r>
        <w:rPr>
          <w:color w:val="231F20"/>
          <w:spacing w:val="-13"/>
        </w:rPr>
        <w:t>group，2</w:t>
      </w:r>
      <w:r>
        <w:rPr>
          <w:color w:val="231F20"/>
        </w:rPr>
        <w:t xml:space="preserve">  </w:t>
      </w:r>
      <w:r>
        <w:rPr>
          <w:color w:val="231F20"/>
          <w:spacing w:val="-14"/>
        </w:rPr>
        <w:t>capsules/time，3</w:t>
      </w:r>
      <w:r>
        <w:rPr>
          <w:color w:val="231F20"/>
          <w:spacing w:val="19"/>
        </w:rPr>
        <w:t xml:space="preserve"> </w:t>
      </w:r>
      <w:r>
        <w:rPr>
          <w:color w:val="231F20"/>
          <w:spacing w:val="-14"/>
        </w:rPr>
        <w:t>times/day.</w:t>
      </w:r>
      <w:r>
        <w:rPr>
          <w:color w:val="231F20"/>
          <w:spacing w:val="22"/>
          <w:w w:val="101"/>
        </w:rPr>
        <w:t xml:space="preserve"> </w:t>
      </w:r>
      <w:r>
        <w:rPr>
          <w:color w:val="231F20"/>
          <w:spacing w:val="-14"/>
        </w:rPr>
        <w:t>Both</w:t>
      </w:r>
      <w:r>
        <w:rPr>
          <w:color w:val="231F20"/>
          <w:spacing w:val="21"/>
        </w:rPr>
        <w:t xml:space="preserve"> </w:t>
      </w:r>
      <w:r>
        <w:rPr>
          <w:color w:val="231F20"/>
          <w:spacing w:val="-14"/>
        </w:rPr>
        <w:t>groups</w:t>
      </w:r>
      <w:r>
        <w:rPr>
          <w:color w:val="231F20"/>
          <w:spacing w:val="17"/>
        </w:rPr>
        <w:t xml:space="preserve"> </w:t>
      </w:r>
      <w:r>
        <w:rPr>
          <w:color w:val="231F20"/>
          <w:spacing w:val="-14"/>
        </w:rPr>
        <w:t>were</w:t>
      </w:r>
      <w:r>
        <w:rPr>
          <w:color w:val="231F20"/>
          <w:spacing w:val="19"/>
        </w:rPr>
        <w:t xml:space="preserve"> </w:t>
      </w:r>
      <w:r>
        <w:rPr>
          <w:color w:val="231F20"/>
          <w:spacing w:val="-14"/>
        </w:rPr>
        <w:t>treated</w:t>
      </w:r>
      <w:r>
        <w:rPr>
          <w:color w:val="231F20"/>
          <w:spacing w:val="18"/>
          <w:w w:val="101"/>
        </w:rPr>
        <w:t xml:space="preserve"> </w:t>
      </w:r>
      <w:r>
        <w:rPr>
          <w:color w:val="231F20"/>
          <w:spacing w:val="-14"/>
        </w:rPr>
        <w:t>for  14</w:t>
      </w:r>
      <w:r>
        <w:rPr>
          <w:color w:val="231F20"/>
          <w:spacing w:val="23"/>
          <w:w w:val="101"/>
        </w:rPr>
        <w:t xml:space="preserve"> </w:t>
      </w:r>
      <w:r>
        <w:rPr>
          <w:color w:val="231F20"/>
          <w:spacing w:val="-14"/>
        </w:rPr>
        <w:t>days</w:t>
      </w:r>
      <w:r>
        <w:rPr>
          <w:color w:val="231F20"/>
          <w:spacing w:val="23"/>
          <w:w w:val="101"/>
        </w:rPr>
        <w:t xml:space="preserve"> </w:t>
      </w:r>
      <w:r>
        <w:rPr>
          <w:color w:val="231F20"/>
          <w:spacing w:val="-14"/>
        </w:rPr>
        <w:t>as</w:t>
      </w:r>
      <w:r>
        <w:rPr>
          <w:color w:val="231F20"/>
          <w:spacing w:val="23"/>
        </w:rPr>
        <w:t xml:space="preserve"> </w:t>
      </w:r>
      <w:r>
        <w:rPr>
          <w:color w:val="231F20"/>
          <w:spacing w:val="-14"/>
        </w:rPr>
        <w:t>one</w:t>
      </w:r>
      <w:r>
        <w:rPr>
          <w:color w:val="231F20"/>
          <w:spacing w:val="23"/>
          <w:w w:val="101"/>
        </w:rPr>
        <w:t xml:space="preserve"> </w:t>
      </w:r>
      <w:r>
        <w:rPr>
          <w:color w:val="231F20"/>
          <w:spacing w:val="-14"/>
        </w:rPr>
        <w:t>course.</w:t>
      </w:r>
      <w:r>
        <w:rPr>
          <w:color w:val="231F20"/>
          <w:spacing w:val="19"/>
          <w:w w:val="101"/>
        </w:rPr>
        <w:t xml:space="preserve"> </w:t>
      </w:r>
      <w:r>
        <w:rPr>
          <w:color w:val="231F20"/>
          <w:spacing w:val="-14"/>
        </w:rPr>
        <w:t>The</w:t>
      </w:r>
      <w:r>
        <w:rPr>
          <w:color w:val="231F20"/>
          <w:spacing w:val="21"/>
        </w:rPr>
        <w:t xml:space="preserve"> </w:t>
      </w:r>
      <w:r>
        <w:rPr>
          <w:color w:val="231F20"/>
          <w:spacing w:val="-14"/>
        </w:rPr>
        <w:t>therap</w:t>
      </w:r>
      <w:r>
        <w:rPr>
          <w:color w:val="231F20"/>
          <w:spacing w:val="-15"/>
        </w:rPr>
        <w:t>eutic</w:t>
      </w:r>
      <w:r>
        <w:rPr>
          <w:color w:val="231F20"/>
          <w:spacing w:val="23"/>
          <w:w w:val="101"/>
        </w:rPr>
        <w:t xml:space="preserve"> </w:t>
      </w:r>
      <w:r>
        <w:rPr>
          <w:color w:val="231F20"/>
          <w:spacing w:val="-15"/>
        </w:rPr>
        <w:t>effect，serum</w:t>
      </w:r>
      <w:r>
        <w:rPr>
          <w:color w:val="231F20"/>
          <w:spacing w:val="23"/>
          <w:w w:val="101"/>
        </w:rPr>
        <w:t xml:space="preserve"> </w:t>
      </w:r>
      <w:r>
        <w:rPr>
          <w:color w:val="231F20"/>
          <w:spacing w:val="-15"/>
        </w:rPr>
        <w:t>inflammatory</w:t>
      </w:r>
      <w:r>
        <w:rPr>
          <w:color w:val="231F20"/>
        </w:rPr>
        <w:t xml:space="preserve">  </w:t>
      </w:r>
      <w:r>
        <w:rPr>
          <w:color w:val="231F20"/>
          <w:spacing w:val="-14"/>
        </w:rPr>
        <w:t>factor</w:t>
      </w:r>
      <w:r>
        <w:rPr>
          <w:color w:val="231F20"/>
          <w:spacing w:val="19"/>
          <w:w w:val="101"/>
        </w:rPr>
        <w:t xml:space="preserve"> </w:t>
      </w:r>
      <w:r>
        <w:rPr>
          <w:color w:val="231F20"/>
          <w:spacing w:val="-14"/>
        </w:rPr>
        <w:t>index，adverse</w:t>
      </w:r>
      <w:r>
        <w:rPr>
          <w:color w:val="231F20"/>
          <w:spacing w:val="19"/>
          <w:w w:val="101"/>
        </w:rPr>
        <w:t xml:space="preserve"> </w:t>
      </w:r>
      <w:r>
        <w:rPr>
          <w:color w:val="231F20"/>
          <w:spacing w:val="-14"/>
        </w:rPr>
        <w:t>reactions，and</w:t>
      </w:r>
      <w:r>
        <w:rPr>
          <w:color w:val="231F20"/>
          <w:spacing w:val="18"/>
          <w:w w:val="101"/>
        </w:rPr>
        <w:t xml:space="preserve"> </w:t>
      </w:r>
      <w:r>
        <w:rPr>
          <w:color w:val="231F20"/>
          <w:spacing w:val="-14"/>
        </w:rPr>
        <w:t>to</w:t>
      </w:r>
      <w:r>
        <w:rPr>
          <w:color w:val="231F20"/>
          <w:spacing w:val="-15"/>
        </w:rPr>
        <w:t>tal</w:t>
      </w:r>
      <w:r>
        <w:rPr>
          <w:color w:val="231F20"/>
          <w:spacing w:val="22"/>
        </w:rPr>
        <w:t xml:space="preserve"> </w:t>
      </w:r>
      <w:r>
        <w:rPr>
          <w:color w:val="231F20"/>
          <w:spacing w:val="-15"/>
        </w:rPr>
        <w:t>defect</w:t>
      </w:r>
      <w:r>
        <w:rPr>
          <w:color w:val="231F20"/>
          <w:spacing w:val="19"/>
          <w:w w:val="101"/>
        </w:rPr>
        <w:t xml:space="preserve"> </w:t>
      </w:r>
      <w:r>
        <w:rPr>
          <w:color w:val="231F20"/>
          <w:spacing w:val="-15"/>
        </w:rPr>
        <w:t>rate</w:t>
      </w:r>
      <w:r>
        <w:rPr>
          <w:color w:val="231F20"/>
          <w:spacing w:val="17"/>
        </w:rPr>
        <w:t xml:space="preserve"> </w:t>
      </w:r>
      <w:r>
        <w:rPr>
          <w:color w:val="231F20"/>
          <w:spacing w:val="-15"/>
        </w:rPr>
        <w:t>were</w:t>
      </w:r>
      <w:r>
        <w:rPr>
          <w:color w:val="231F20"/>
          <w:spacing w:val="21"/>
          <w:w w:val="101"/>
        </w:rPr>
        <w:t xml:space="preserve"> </w:t>
      </w:r>
      <w:r>
        <w:rPr>
          <w:color w:val="231F20"/>
          <w:spacing w:val="-15"/>
        </w:rPr>
        <w:t>compared</w:t>
      </w:r>
      <w:r>
        <w:rPr>
          <w:color w:val="231F20"/>
          <w:spacing w:val="20"/>
        </w:rPr>
        <w:t xml:space="preserve"> </w:t>
      </w:r>
      <w:r>
        <w:rPr>
          <w:color w:val="231F20"/>
          <w:spacing w:val="-15"/>
        </w:rPr>
        <w:t>between</w:t>
      </w:r>
      <w:r>
        <w:rPr>
          <w:color w:val="231F20"/>
          <w:spacing w:val="18"/>
          <w:w w:val="101"/>
        </w:rPr>
        <w:t xml:space="preserve"> </w:t>
      </w:r>
      <w:r>
        <w:rPr>
          <w:color w:val="231F20"/>
          <w:spacing w:val="-15"/>
        </w:rPr>
        <w:t>the</w:t>
      </w:r>
      <w:r>
        <w:rPr>
          <w:color w:val="231F20"/>
          <w:spacing w:val="19"/>
        </w:rPr>
        <w:t xml:space="preserve"> </w:t>
      </w:r>
      <w:r>
        <w:rPr>
          <w:color w:val="231F20"/>
          <w:spacing w:val="-15"/>
        </w:rPr>
        <w:t>two</w:t>
      </w:r>
      <w:r>
        <w:rPr>
          <w:color w:val="231F20"/>
          <w:spacing w:val="23"/>
        </w:rPr>
        <w:t xml:space="preserve"> </w:t>
      </w:r>
      <w:r>
        <w:rPr>
          <w:color w:val="231F20"/>
          <w:spacing w:val="-15"/>
        </w:rPr>
        <w:t>groups.Results：The</w:t>
      </w:r>
      <w:r>
        <w:rPr>
          <w:color w:val="231F20"/>
          <w:spacing w:val="21"/>
        </w:rPr>
        <w:t xml:space="preserve"> </w:t>
      </w:r>
      <w:r>
        <w:rPr>
          <w:color w:val="231F20"/>
          <w:spacing w:val="-15"/>
        </w:rPr>
        <w:t>total</w:t>
      </w:r>
      <w:r>
        <w:rPr>
          <w:color w:val="231F20"/>
          <w:spacing w:val="23"/>
          <w:w w:val="101"/>
        </w:rPr>
        <w:t xml:space="preserve"> </w:t>
      </w:r>
      <w:r>
        <w:rPr>
          <w:color w:val="231F20"/>
          <w:spacing w:val="-15"/>
        </w:rPr>
        <w:t>effective</w:t>
      </w:r>
      <w:r>
        <w:rPr>
          <w:color w:val="231F20"/>
          <w:spacing w:val="21"/>
          <w:w w:val="101"/>
        </w:rPr>
        <w:t xml:space="preserve"> </w:t>
      </w:r>
      <w:r>
        <w:rPr>
          <w:color w:val="231F20"/>
          <w:spacing w:val="-15"/>
        </w:rPr>
        <w:t>rate</w:t>
      </w:r>
      <w:r>
        <w:rPr>
          <w:color w:val="231F20"/>
        </w:rPr>
        <w:t xml:space="preserve">  </w:t>
      </w:r>
      <w:r>
        <w:rPr>
          <w:color w:val="231F20"/>
          <w:spacing w:val="-12"/>
        </w:rPr>
        <w:t>of</w:t>
      </w:r>
      <w:r>
        <w:rPr>
          <w:color w:val="231F20"/>
          <w:spacing w:val="15"/>
          <w:w w:val="101"/>
        </w:rPr>
        <w:t xml:space="preserve"> </w:t>
      </w:r>
      <w:r>
        <w:rPr>
          <w:color w:val="231F20"/>
          <w:spacing w:val="-12"/>
        </w:rPr>
        <w:t>the</w:t>
      </w:r>
      <w:r>
        <w:rPr>
          <w:color w:val="231F20"/>
          <w:spacing w:val="29"/>
          <w:w w:val="101"/>
        </w:rPr>
        <w:t xml:space="preserve"> </w:t>
      </w:r>
      <w:r>
        <w:rPr>
          <w:color w:val="231F20"/>
          <w:spacing w:val="-12"/>
        </w:rPr>
        <w:t>experimental</w:t>
      </w:r>
      <w:r>
        <w:rPr>
          <w:color w:val="231F20"/>
          <w:spacing w:val="28"/>
          <w:w w:val="101"/>
        </w:rPr>
        <w:t xml:space="preserve"> </w:t>
      </w:r>
      <w:r>
        <w:rPr>
          <w:color w:val="231F20"/>
          <w:spacing w:val="-12"/>
        </w:rPr>
        <w:t>group（95.35</w:t>
      </w:r>
      <w:r>
        <w:rPr>
          <w:color w:val="231F20"/>
          <w:spacing w:val="32"/>
        </w:rPr>
        <w:t xml:space="preserve"> </w:t>
      </w:r>
      <w:r>
        <w:rPr>
          <w:color w:val="231F20"/>
          <w:spacing w:val="-12"/>
        </w:rPr>
        <w:t>%）was</w:t>
      </w:r>
      <w:r>
        <w:rPr>
          <w:color w:val="231F20"/>
          <w:spacing w:val="31"/>
        </w:rPr>
        <w:t xml:space="preserve"> </w:t>
      </w:r>
      <w:r>
        <w:rPr>
          <w:color w:val="231F20"/>
          <w:spacing w:val="-12"/>
        </w:rPr>
        <w:t>significantly</w:t>
      </w:r>
      <w:r>
        <w:rPr>
          <w:color w:val="231F20"/>
          <w:spacing w:val="27"/>
          <w:w w:val="101"/>
        </w:rPr>
        <w:t xml:space="preserve"> </w:t>
      </w:r>
      <w:r>
        <w:rPr>
          <w:color w:val="231F20"/>
          <w:spacing w:val="-12"/>
        </w:rPr>
        <w:t>higher</w:t>
      </w:r>
      <w:r>
        <w:rPr>
          <w:color w:val="231F20"/>
          <w:spacing w:val="24"/>
        </w:rPr>
        <w:t xml:space="preserve"> </w:t>
      </w:r>
      <w:r>
        <w:rPr>
          <w:color w:val="231F20"/>
          <w:spacing w:val="-12"/>
        </w:rPr>
        <w:t>than</w:t>
      </w:r>
      <w:r>
        <w:rPr>
          <w:color w:val="231F20"/>
          <w:spacing w:val="27"/>
        </w:rPr>
        <w:t xml:space="preserve"> </w:t>
      </w:r>
      <w:r>
        <w:rPr>
          <w:color w:val="231F20"/>
          <w:spacing w:val="-12"/>
        </w:rPr>
        <w:t>that</w:t>
      </w:r>
      <w:r>
        <w:rPr>
          <w:color w:val="231F20"/>
          <w:spacing w:val="28"/>
          <w:w w:val="101"/>
        </w:rPr>
        <w:t xml:space="preserve"> </w:t>
      </w:r>
      <w:r>
        <w:rPr>
          <w:color w:val="231F20"/>
          <w:spacing w:val="-12"/>
        </w:rPr>
        <w:t>of</w:t>
      </w:r>
      <w:r>
        <w:rPr>
          <w:color w:val="231F20"/>
          <w:spacing w:val="17"/>
          <w:w w:val="101"/>
        </w:rPr>
        <w:t xml:space="preserve"> </w:t>
      </w:r>
      <w:r>
        <w:rPr>
          <w:color w:val="231F20"/>
          <w:spacing w:val="-12"/>
        </w:rPr>
        <w:t>the</w:t>
      </w:r>
      <w:r>
        <w:rPr>
          <w:color w:val="231F20"/>
          <w:spacing w:val="31"/>
        </w:rPr>
        <w:t xml:space="preserve"> </w:t>
      </w:r>
      <w:r>
        <w:rPr>
          <w:color w:val="231F20"/>
          <w:spacing w:val="-12"/>
        </w:rPr>
        <w:t>control</w:t>
      </w:r>
      <w:r>
        <w:rPr>
          <w:color w:val="231F20"/>
          <w:spacing w:val="30"/>
          <w:w w:val="101"/>
        </w:rPr>
        <w:t xml:space="preserve"> </w:t>
      </w:r>
      <w:r>
        <w:rPr>
          <w:color w:val="231F20"/>
          <w:spacing w:val="-12"/>
        </w:rPr>
        <w:t>group（74.4</w:t>
      </w:r>
      <w:r>
        <w:rPr>
          <w:color w:val="231F20"/>
          <w:spacing w:val="-13"/>
        </w:rPr>
        <w:t>2</w:t>
      </w:r>
      <w:r>
        <w:rPr>
          <w:color w:val="231F20"/>
          <w:spacing w:val="33"/>
          <w:w w:val="101"/>
        </w:rPr>
        <w:t xml:space="preserve"> </w:t>
      </w:r>
      <w:r>
        <w:rPr>
          <w:color w:val="231F20"/>
          <w:spacing w:val="-13"/>
        </w:rPr>
        <w:t>%</w:t>
      </w:r>
      <w:r>
        <w:rPr>
          <w:color w:val="231F20"/>
          <w:spacing w:val="-30"/>
        </w:rPr>
        <w:t xml:space="preserve"> </w:t>
      </w:r>
      <w:r>
        <w:rPr>
          <w:color w:val="231F20"/>
          <w:spacing w:val="-13"/>
        </w:rPr>
        <w:t>；P&lt;0.05）.</w:t>
      </w:r>
      <w:r>
        <w:rPr>
          <w:color w:val="231F20"/>
          <w:spacing w:val="33"/>
        </w:rPr>
        <w:t xml:space="preserve"> </w:t>
      </w:r>
      <w:r>
        <w:rPr>
          <w:color w:val="231F20"/>
          <w:spacing w:val="-13"/>
        </w:rPr>
        <w:t>Before</w:t>
      </w:r>
      <w:r>
        <w:rPr>
          <w:color w:val="231F20"/>
        </w:rPr>
        <w:t xml:space="preserve">  </w:t>
      </w:r>
      <w:r>
        <w:rPr>
          <w:color w:val="231F20"/>
          <w:spacing w:val="-14"/>
        </w:rPr>
        <w:t>treatment，there</w:t>
      </w:r>
      <w:r>
        <w:rPr>
          <w:color w:val="231F20"/>
          <w:spacing w:val="17"/>
        </w:rPr>
        <w:t xml:space="preserve"> </w:t>
      </w:r>
      <w:r>
        <w:rPr>
          <w:color w:val="231F20"/>
          <w:spacing w:val="-14"/>
        </w:rPr>
        <w:t>was</w:t>
      </w:r>
      <w:r>
        <w:rPr>
          <w:color w:val="231F20"/>
          <w:spacing w:val="20"/>
          <w:w w:val="101"/>
        </w:rPr>
        <w:t xml:space="preserve"> </w:t>
      </w:r>
      <w:r>
        <w:rPr>
          <w:color w:val="231F20"/>
          <w:spacing w:val="-14"/>
        </w:rPr>
        <w:t>no</w:t>
      </w:r>
      <w:r>
        <w:rPr>
          <w:color w:val="231F20"/>
          <w:spacing w:val="23"/>
          <w:w w:val="101"/>
        </w:rPr>
        <w:t xml:space="preserve"> </w:t>
      </w:r>
      <w:r>
        <w:rPr>
          <w:color w:val="231F20"/>
          <w:spacing w:val="-14"/>
        </w:rPr>
        <w:t>significant</w:t>
      </w:r>
      <w:r>
        <w:rPr>
          <w:color w:val="231F20"/>
          <w:spacing w:val="21"/>
          <w:w w:val="101"/>
        </w:rPr>
        <w:t xml:space="preserve"> </w:t>
      </w:r>
      <w:r>
        <w:rPr>
          <w:color w:val="231F20"/>
          <w:spacing w:val="-14"/>
        </w:rPr>
        <w:t>difference</w:t>
      </w:r>
      <w:r>
        <w:rPr>
          <w:color w:val="231F20"/>
          <w:spacing w:val="21"/>
          <w:w w:val="101"/>
        </w:rPr>
        <w:t xml:space="preserve"> </w:t>
      </w:r>
      <w:r>
        <w:rPr>
          <w:color w:val="231F20"/>
          <w:spacing w:val="-14"/>
        </w:rPr>
        <w:t>in</w:t>
      </w:r>
      <w:r>
        <w:rPr>
          <w:color w:val="231F20"/>
          <w:spacing w:val="18"/>
          <w:w w:val="101"/>
        </w:rPr>
        <w:t xml:space="preserve"> </w:t>
      </w:r>
      <w:r>
        <w:rPr>
          <w:color w:val="231F20"/>
          <w:spacing w:val="-15"/>
        </w:rPr>
        <w:t>the</w:t>
      </w:r>
      <w:r>
        <w:rPr>
          <w:color w:val="231F20"/>
          <w:spacing w:val="23"/>
        </w:rPr>
        <w:t xml:space="preserve"> </w:t>
      </w:r>
      <w:r>
        <w:rPr>
          <w:color w:val="231F20"/>
          <w:spacing w:val="-15"/>
        </w:rPr>
        <w:t>serum</w:t>
      </w:r>
      <w:r>
        <w:rPr>
          <w:color w:val="231F20"/>
          <w:spacing w:val="21"/>
          <w:w w:val="101"/>
        </w:rPr>
        <w:t xml:space="preserve"> </w:t>
      </w:r>
      <w:r>
        <w:rPr>
          <w:color w:val="231F20"/>
          <w:spacing w:val="-15"/>
        </w:rPr>
        <w:t>inflammatory</w:t>
      </w:r>
      <w:r>
        <w:rPr>
          <w:color w:val="231F20"/>
          <w:spacing w:val="17"/>
        </w:rPr>
        <w:t xml:space="preserve"> </w:t>
      </w:r>
      <w:r>
        <w:rPr>
          <w:color w:val="231F20"/>
          <w:spacing w:val="-15"/>
        </w:rPr>
        <w:t>factor</w:t>
      </w:r>
      <w:r>
        <w:rPr>
          <w:color w:val="231F20"/>
          <w:spacing w:val="18"/>
          <w:w w:val="101"/>
        </w:rPr>
        <w:t xml:space="preserve"> </w:t>
      </w:r>
      <w:r>
        <w:rPr>
          <w:color w:val="231F20"/>
          <w:spacing w:val="-15"/>
        </w:rPr>
        <w:t>indicators</w:t>
      </w:r>
      <w:r>
        <w:rPr>
          <w:color w:val="231F20"/>
          <w:spacing w:val="20"/>
        </w:rPr>
        <w:t xml:space="preserve"> </w:t>
      </w:r>
      <w:r>
        <w:rPr>
          <w:color w:val="231F20"/>
          <w:spacing w:val="-15"/>
        </w:rPr>
        <w:t>between</w:t>
      </w:r>
      <w:r>
        <w:rPr>
          <w:color w:val="231F20"/>
          <w:spacing w:val="19"/>
        </w:rPr>
        <w:t xml:space="preserve"> </w:t>
      </w:r>
      <w:r>
        <w:rPr>
          <w:color w:val="231F20"/>
          <w:spacing w:val="-15"/>
        </w:rPr>
        <w:t>the</w:t>
      </w:r>
      <w:r>
        <w:rPr>
          <w:color w:val="231F20"/>
          <w:spacing w:val="19"/>
        </w:rPr>
        <w:t xml:space="preserve"> </w:t>
      </w:r>
      <w:r>
        <w:rPr>
          <w:color w:val="231F20"/>
          <w:spacing w:val="-15"/>
        </w:rPr>
        <w:t>two</w:t>
      </w:r>
      <w:r>
        <w:rPr>
          <w:color w:val="231F20"/>
          <w:spacing w:val="22"/>
          <w:w w:val="101"/>
        </w:rPr>
        <w:t xml:space="preserve"> </w:t>
      </w:r>
      <w:r>
        <w:rPr>
          <w:color w:val="231F20"/>
          <w:spacing w:val="-15"/>
        </w:rPr>
        <w:t>groups（P&gt;0.05）.</w:t>
      </w:r>
      <w:r>
        <w:rPr>
          <w:color w:val="231F20"/>
        </w:rPr>
        <w:t xml:space="preserve">  </w:t>
      </w:r>
      <w:r>
        <w:rPr>
          <w:color w:val="231F20"/>
          <w:spacing w:val="-13"/>
        </w:rPr>
        <w:t>After</w:t>
      </w:r>
      <w:r>
        <w:rPr>
          <w:color w:val="231F20"/>
          <w:spacing w:val="32"/>
          <w:w w:val="101"/>
        </w:rPr>
        <w:t xml:space="preserve"> </w:t>
      </w:r>
      <w:r>
        <w:rPr>
          <w:color w:val="231F20"/>
          <w:spacing w:val="-13"/>
        </w:rPr>
        <w:t>treatment，the  serum  inflammatory  factor  index  levels  of  both  groups  decreased，and  the  serum  inflammatory</w:t>
      </w:r>
      <w:r>
        <w:rPr>
          <w:color w:val="231F20"/>
          <w:spacing w:val="-14"/>
        </w:rPr>
        <w:t xml:space="preserve">  factor</w:t>
      </w:r>
      <w:r>
        <w:rPr>
          <w:color w:val="231F20"/>
        </w:rPr>
        <w:t xml:space="preserve">  </w:t>
      </w:r>
      <w:r>
        <w:rPr>
          <w:color w:val="231F20"/>
          <w:spacing w:val="-13"/>
        </w:rPr>
        <w:t>index</w:t>
      </w:r>
      <w:r>
        <w:rPr>
          <w:color w:val="231F20"/>
          <w:spacing w:val="16"/>
        </w:rPr>
        <w:t xml:space="preserve"> </w:t>
      </w:r>
      <w:r>
        <w:rPr>
          <w:color w:val="231F20"/>
          <w:spacing w:val="-13"/>
        </w:rPr>
        <w:t>level</w:t>
      </w:r>
      <w:r>
        <w:rPr>
          <w:color w:val="231F20"/>
          <w:spacing w:val="17"/>
        </w:rPr>
        <w:t xml:space="preserve"> </w:t>
      </w:r>
      <w:r>
        <w:rPr>
          <w:color w:val="231F20"/>
          <w:spacing w:val="-13"/>
        </w:rPr>
        <w:t>of</w:t>
      </w:r>
      <w:r>
        <w:rPr>
          <w:color w:val="231F20"/>
          <w:spacing w:val="4"/>
        </w:rPr>
        <w:t xml:space="preserve"> </w:t>
      </w:r>
      <w:r>
        <w:rPr>
          <w:color w:val="231F20"/>
          <w:spacing w:val="-13"/>
        </w:rPr>
        <w:t>the</w:t>
      </w:r>
      <w:r>
        <w:rPr>
          <w:color w:val="231F20"/>
          <w:spacing w:val="17"/>
          <w:w w:val="101"/>
        </w:rPr>
        <w:t xml:space="preserve"> </w:t>
      </w:r>
      <w:r>
        <w:rPr>
          <w:color w:val="231F20"/>
          <w:spacing w:val="-13"/>
        </w:rPr>
        <w:t>experimental</w:t>
      </w:r>
      <w:r>
        <w:rPr>
          <w:color w:val="231F20"/>
          <w:spacing w:val="17"/>
        </w:rPr>
        <w:t xml:space="preserve"> </w:t>
      </w:r>
      <w:r>
        <w:rPr>
          <w:color w:val="231F20"/>
          <w:spacing w:val="-13"/>
        </w:rPr>
        <w:t>group</w:t>
      </w:r>
      <w:r>
        <w:rPr>
          <w:color w:val="231F20"/>
          <w:spacing w:val="13"/>
        </w:rPr>
        <w:t xml:space="preserve"> </w:t>
      </w:r>
      <w:r>
        <w:rPr>
          <w:color w:val="231F20"/>
          <w:spacing w:val="-13"/>
        </w:rPr>
        <w:t>was</w:t>
      </w:r>
      <w:r>
        <w:rPr>
          <w:color w:val="231F20"/>
          <w:spacing w:val="19"/>
        </w:rPr>
        <w:t xml:space="preserve"> </w:t>
      </w:r>
      <w:r>
        <w:rPr>
          <w:color w:val="231F20"/>
          <w:spacing w:val="-13"/>
        </w:rPr>
        <w:t>significantly</w:t>
      </w:r>
      <w:r>
        <w:rPr>
          <w:color w:val="231F20"/>
          <w:spacing w:val="15"/>
          <w:w w:val="101"/>
        </w:rPr>
        <w:t xml:space="preserve"> </w:t>
      </w:r>
      <w:r>
        <w:rPr>
          <w:color w:val="231F20"/>
          <w:spacing w:val="-13"/>
        </w:rPr>
        <w:t>lower</w:t>
      </w:r>
      <w:r>
        <w:rPr>
          <w:color w:val="231F20"/>
          <w:spacing w:val="12"/>
          <w:w w:val="101"/>
        </w:rPr>
        <w:t xml:space="preserve"> </w:t>
      </w:r>
      <w:r>
        <w:rPr>
          <w:color w:val="231F20"/>
          <w:spacing w:val="-13"/>
        </w:rPr>
        <w:t>than</w:t>
      </w:r>
      <w:r>
        <w:rPr>
          <w:color w:val="231F20"/>
          <w:spacing w:val="14"/>
          <w:w w:val="101"/>
        </w:rPr>
        <w:t xml:space="preserve"> </w:t>
      </w:r>
      <w:r>
        <w:rPr>
          <w:color w:val="231F20"/>
          <w:spacing w:val="-13"/>
        </w:rPr>
        <w:t>that</w:t>
      </w:r>
      <w:r>
        <w:rPr>
          <w:color w:val="231F20"/>
          <w:spacing w:val="19"/>
        </w:rPr>
        <w:t xml:space="preserve"> </w:t>
      </w:r>
      <w:r>
        <w:rPr>
          <w:color w:val="231F20"/>
          <w:spacing w:val="-13"/>
        </w:rPr>
        <w:t>of</w:t>
      </w:r>
      <w:r>
        <w:rPr>
          <w:color w:val="231F20"/>
          <w:spacing w:val="6"/>
        </w:rPr>
        <w:t xml:space="preserve"> </w:t>
      </w:r>
      <w:r>
        <w:rPr>
          <w:color w:val="231F20"/>
          <w:spacing w:val="-13"/>
        </w:rPr>
        <w:t>the</w:t>
      </w:r>
      <w:r>
        <w:rPr>
          <w:color w:val="231F20"/>
          <w:spacing w:val="19"/>
          <w:w w:val="101"/>
        </w:rPr>
        <w:t xml:space="preserve"> </w:t>
      </w:r>
      <w:r>
        <w:rPr>
          <w:color w:val="231F20"/>
          <w:spacing w:val="-13"/>
        </w:rPr>
        <w:t>control</w:t>
      </w:r>
      <w:r>
        <w:rPr>
          <w:color w:val="231F20"/>
          <w:spacing w:val="19"/>
        </w:rPr>
        <w:t xml:space="preserve"> </w:t>
      </w:r>
      <w:r>
        <w:rPr>
          <w:color w:val="231F20"/>
          <w:spacing w:val="-13"/>
        </w:rPr>
        <w:t>group（P&lt;0.05）.</w:t>
      </w:r>
      <w:r>
        <w:rPr>
          <w:color w:val="231F20"/>
          <w:spacing w:val="15"/>
          <w:w w:val="101"/>
        </w:rPr>
        <w:t xml:space="preserve"> </w:t>
      </w:r>
      <w:r>
        <w:rPr>
          <w:color w:val="231F20"/>
          <w:spacing w:val="-13"/>
        </w:rPr>
        <w:t>The</w:t>
      </w:r>
      <w:r>
        <w:rPr>
          <w:color w:val="231F20"/>
          <w:spacing w:val="17"/>
        </w:rPr>
        <w:t xml:space="preserve"> </w:t>
      </w:r>
      <w:r>
        <w:rPr>
          <w:color w:val="231F20"/>
          <w:spacing w:val="-14"/>
        </w:rPr>
        <w:t>total</w:t>
      </w:r>
      <w:r>
        <w:rPr>
          <w:color w:val="231F20"/>
          <w:spacing w:val="19"/>
          <w:w w:val="101"/>
        </w:rPr>
        <w:t xml:space="preserve"> </w:t>
      </w:r>
      <w:r>
        <w:rPr>
          <w:color w:val="231F20"/>
          <w:spacing w:val="-14"/>
        </w:rPr>
        <w:t>incidence</w:t>
      </w:r>
      <w:r>
        <w:rPr>
          <w:color w:val="231F20"/>
          <w:spacing w:val="19"/>
        </w:rPr>
        <w:t xml:space="preserve"> </w:t>
      </w:r>
      <w:r>
        <w:rPr>
          <w:color w:val="231F20"/>
          <w:spacing w:val="-14"/>
        </w:rPr>
        <w:t>of</w:t>
      </w:r>
      <w:r>
        <w:rPr>
          <w:color w:val="231F20"/>
        </w:rPr>
        <w:t xml:space="preserve">  </w:t>
      </w:r>
      <w:r>
        <w:rPr>
          <w:color w:val="231F20"/>
          <w:spacing w:val="-13"/>
        </w:rPr>
        <w:t>adverse</w:t>
      </w:r>
      <w:r>
        <w:rPr>
          <w:color w:val="231F20"/>
          <w:spacing w:val="21"/>
          <w:w w:val="101"/>
        </w:rPr>
        <w:t xml:space="preserve"> </w:t>
      </w:r>
      <w:r>
        <w:rPr>
          <w:color w:val="231F20"/>
          <w:spacing w:val="-13"/>
        </w:rPr>
        <w:t>reactions</w:t>
      </w:r>
      <w:r>
        <w:rPr>
          <w:color w:val="231F20"/>
          <w:spacing w:val="23"/>
        </w:rPr>
        <w:t xml:space="preserve"> </w:t>
      </w:r>
      <w:r>
        <w:rPr>
          <w:color w:val="231F20"/>
          <w:spacing w:val="-13"/>
        </w:rPr>
        <w:t>in</w:t>
      </w:r>
      <w:r>
        <w:rPr>
          <w:color w:val="231F20"/>
          <w:spacing w:val="21"/>
        </w:rPr>
        <w:t xml:space="preserve"> </w:t>
      </w:r>
      <w:r>
        <w:rPr>
          <w:color w:val="231F20"/>
          <w:spacing w:val="-13"/>
        </w:rPr>
        <w:t>the</w:t>
      </w:r>
      <w:r>
        <w:rPr>
          <w:color w:val="231F20"/>
          <w:spacing w:val="23"/>
          <w:w w:val="101"/>
        </w:rPr>
        <w:t xml:space="preserve"> </w:t>
      </w:r>
      <w:r>
        <w:rPr>
          <w:color w:val="231F20"/>
          <w:spacing w:val="-13"/>
        </w:rPr>
        <w:t>experimental</w:t>
      </w:r>
      <w:r>
        <w:rPr>
          <w:color w:val="231F20"/>
          <w:spacing w:val="23"/>
        </w:rPr>
        <w:t xml:space="preserve"> </w:t>
      </w:r>
      <w:r>
        <w:rPr>
          <w:color w:val="231F20"/>
          <w:spacing w:val="-13"/>
        </w:rPr>
        <w:t>group（11.11</w:t>
      </w:r>
      <w:r>
        <w:rPr>
          <w:color w:val="231F20"/>
          <w:spacing w:val="26"/>
        </w:rPr>
        <w:t xml:space="preserve"> </w:t>
      </w:r>
      <w:r>
        <w:rPr>
          <w:color w:val="231F20"/>
          <w:spacing w:val="-13"/>
        </w:rPr>
        <w:t>%）was</w:t>
      </w:r>
      <w:r>
        <w:rPr>
          <w:color w:val="231F20"/>
          <w:spacing w:val="26"/>
          <w:w w:val="101"/>
        </w:rPr>
        <w:t xml:space="preserve"> </w:t>
      </w:r>
      <w:r>
        <w:rPr>
          <w:color w:val="231F20"/>
          <w:spacing w:val="-13"/>
        </w:rPr>
        <w:t>si</w:t>
      </w:r>
      <w:r>
        <w:rPr>
          <w:color w:val="231F20"/>
          <w:spacing w:val="-14"/>
        </w:rPr>
        <w:t>gnificantly</w:t>
      </w:r>
      <w:r>
        <w:rPr>
          <w:color w:val="231F20"/>
          <w:spacing w:val="23"/>
        </w:rPr>
        <w:t xml:space="preserve"> </w:t>
      </w:r>
      <w:r>
        <w:rPr>
          <w:color w:val="231F20"/>
          <w:spacing w:val="-14"/>
        </w:rPr>
        <w:t>lower</w:t>
      </w:r>
      <w:r>
        <w:rPr>
          <w:color w:val="231F20"/>
          <w:spacing w:val="20"/>
          <w:w w:val="101"/>
        </w:rPr>
        <w:t xml:space="preserve"> </w:t>
      </w:r>
      <w:r>
        <w:rPr>
          <w:color w:val="231F20"/>
          <w:spacing w:val="-14"/>
        </w:rPr>
        <w:t>than</w:t>
      </w:r>
      <w:r>
        <w:rPr>
          <w:color w:val="231F20"/>
          <w:spacing w:val="22"/>
          <w:w w:val="101"/>
        </w:rPr>
        <w:t xml:space="preserve"> </w:t>
      </w:r>
      <w:r>
        <w:rPr>
          <w:color w:val="231F20"/>
          <w:spacing w:val="-14"/>
        </w:rPr>
        <w:t>that</w:t>
      </w:r>
      <w:r>
        <w:rPr>
          <w:color w:val="231F20"/>
          <w:spacing w:val="25"/>
          <w:w w:val="101"/>
        </w:rPr>
        <w:t xml:space="preserve"> </w:t>
      </w:r>
      <w:r>
        <w:rPr>
          <w:color w:val="231F20"/>
          <w:spacing w:val="-14"/>
        </w:rPr>
        <w:t>in</w:t>
      </w:r>
      <w:r>
        <w:rPr>
          <w:color w:val="231F20"/>
          <w:spacing w:val="23"/>
        </w:rPr>
        <w:t xml:space="preserve"> </w:t>
      </w:r>
      <w:r>
        <w:rPr>
          <w:color w:val="231F20"/>
          <w:spacing w:val="-14"/>
        </w:rPr>
        <w:t>the</w:t>
      </w:r>
      <w:r>
        <w:rPr>
          <w:color w:val="231F20"/>
          <w:spacing w:val="25"/>
        </w:rPr>
        <w:t xml:space="preserve"> </w:t>
      </w:r>
      <w:r>
        <w:rPr>
          <w:color w:val="231F20"/>
          <w:spacing w:val="-14"/>
        </w:rPr>
        <w:t>control</w:t>
      </w:r>
      <w:r>
        <w:rPr>
          <w:color w:val="231F20"/>
          <w:spacing w:val="25"/>
        </w:rPr>
        <w:t xml:space="preserve"> </w:t>
      </w:r>
      <w:r>
        <w:rPr>
          <w:color w:val="231F20"/>
          <w:spacing w:val="-14"/>
        </w:rPr>
        <w:t>group（35.56</w:t>
      </w:r>
      <w:r>
        <w:rPr>
          <w:color w:val="231F20"/>
          <w:spacing w:val="28"/>
        </w:rPr>
        <w:t xml:space="preserve"> </w:t>
      </w:r>
      <w:r>
        <w:rPr>
          <w:color w:val="231F20"/>
          <w:spacing w:val="-14"/>
        </w:rPr>
        <w:t>%；P&lt;</w:t>
      </w:r>
      <w:r>
        <w:rPr>
          <w:color w:val="231F20"/>
        </w:rPr>
        <w:t xml:space="preserve">  </w:t>
      </w:r>
      <w:r>
        <w:rPr>
          <w:color w:val="231F20"/>
          <w:spacing w:val="-10"/>
        </w:rPr>
        <w:t>0.05）.Conclusions：Th</w:t>
      </w:r>
      <w:r>
        <w:rPr>
          <w:color w:val="231F20"/>
          <w:spacing w:val="-11"/>
        </w:rPr>
        <w:t>e   combination   of   amoxicillin   and   Fuke   Qianjin</w:t>
      </w:r>
      <w:r>
        <w:rPr>
          <w:color w:val="231F20"/>
          <w:spacing w:val="18"/>
          <w:w w:val="101"/>
        </w:rPr>
        <w:t xml:space="preserve">  </w:t>
      </w:r>
      <w:r>
        <w:rPr>
          <w:color w:val="231F20"/>
          <w:spacing w:val="-11"/>
        </w:rPr>
        <w:t>capsules   had</w:t>
      </w:r>
      <w:r>
        <w:rPr>
          <w:color w:val="231F20"/>
          <w:spacing w:val="18"/>
          <w:w w:val="101"/>
        </w:rPr>
        <w:t xml:space="preserve">  </w:t>
      </w:r>
      <w:r>
        <w:rPr>
          <w:color w:val="231F20"/>
          <w:spacing w:val="-11"/>
        </w:rPr>
        <w:t>a</w:t>
      </w:r>
      <w:r>
        <w:rPr>
          <w:color w:val="231F20"/>
          <w:spacing w:val="19"/>
          <w:w w:val="101"/>
        </w:rPr>
        <w:t xml:space="preserve">  </w:t>
      </w:r>
      <w:r>
        <w:rPr>
          <w:color w:val="231F20"/>
          <w:spacing w:val="-11"/>
        </w:rPr>
        <w:t>significant</w:t>
      </w:r>
      <w:r>
        <w:rPr>
          <w:color w:val="231F20"/>
          <w:spacing w:val="19"/>
          <w:w w:val="101"/>
        </w:rPr>
        <w:t xml:space="preserve">  </w:t>
      </w:r>
      <w:r>
        <w:rPr>
          <w:color w:val="231F20"/>
          <w:spacing w:val="-11"/>
        </w:rPr>
        <w:t>effect</w:t>
      </w:r>
      <w:r>
        <w:rPr>
          <w:color w:val="231F20"/>
          <w:spacing w:val="19"/>
          <w:w w:val="101"/>
        </w:rPr>
        <w:t xml:space="preserve">  </w:t>
      </w:r>
      <w:r>
        <w:rPr>
          <w:color w:val="231F20"/>
          <w:spacing w:val="-11"/>
        </w:rPr>
        <w:t>on</w:t>
      </w:r>
      <w:r>
        <w:rPr>
          <w:color w:val="231F20"/>
          <w:spacing w:val="20"/>
        </w:rPr>
        <w:t xml:space="preserve">  </w:t>
      </w:r>
      <w:r>
        <w:rPr>
          <w:color w:val="231F20"/>
          <w:spacing w:val="-11"/>
        </w:rPr>
        <w:t>serum</w:t>
      </w:r>
      <w:r>
        <w:rPr>
          <w:color w:val="231F20"/>
        </w:rPr>
        <w:t xml:space="preserve">  </w:t>
      </w:r>
      <w:r>
        <w:rPr>
          <w:color w:val="231F20"/>
          <w:spacing w:val="-12"/>
        </w:rPr>
        <w:t>inflammatory</w:t>
      </w:r>
      <w:r>
        <w:rPr>
          <w:color w:val="231F20"/>
          <w:spacing w:val="13"/>
        </w:rPr>
        <w:t xml:space="preserve"> </w:t>
      </w:r>
      <w:r>
        <w:rPr>
          <w:color w:val="231F20"/>
          <w:spacing w:val="-12"/>
        </w:rPr>
        <w:t>factors</w:t>
      </w:r>
      <w:r>
        <w:rPr>
          <w:color w:val="231F20"/>
          <w:spacing w:val="17"/>
          <w:w w:val="101"/>
        </w:rPr>
        <w:t xml:space="preserve"> </w:t>
      </w:r>
      <w:r>
        <w:rPr>
          <w:color w:val="231F20"/>
          <w:spacing w:val="-12"/>
        </w:rPr>
        <w:t>in</w:t>
      </w:r>
      <w:r>
        <w:rPr>
          <w:color w:val="231F20"/>
          <w:spacing w:val="15"/>
        </w:rPr>
        <w:t xml:space="preserve"> </w:t>
      </w:r>
      <w:r>
        <w:rPr>
          <w:color w:val="231F20"/>
          <w:spacing w:val="-12"/>
        </w:rPr>
        <w:t>the</w:t>
      </w:r>
      <w:r>
        <w:rPr>
          <w:color w:val="231F20"/>
          <w:spacing w:val="15"/>
        </w:rPr>
        <w:t xml:space="preserve"> </w:t>
      </w:r>
      <w:r>
        <w:rPr>
          <w:color w:val="231F20"/>
          <w:spacing w:val="-12"/>
        </w:rPr>
        <w:t>treatment</w:t>
      </w:r>
      <w:r>
        <w:rPr>
          <w:color w:val="231F20"/>
          <w:spacing w:val="17"/>
        </w:rPr>
        <w:t xml:space="preserve"> </w:t>
      </w:r>
      <w:r>
        <w:rPr>
          <w:color w:val="231F20"/>
          <w:spacing w:val="-12"/>
        </w:rPr>
        <w:t>of</w:t>
      </w:r>
      <w:r>
        <w:rPr>
          <w:color w:val="231F20"/>
          <w:spacing w:val="6"/>
        </w:rPr>
        <w:t xml:space="preserve"> </w:t>
      </w:r>
      <w:r>
        <w:rPr>
          <w:color w:val="231F20"/>
          <w:spacing w:val="-12"/>
        </w:rPr>
        <w:t>acute</w:t>
      </w:r>
      <w:r>
        <w:rPr>
          <w:color w:val="231F20"/>
          <w:spacing w:val="16"/>
          <w:w w:val="101"/>
        </w:rPr>
        <w:t xml:space="preserve"> </w:t>
      </w:r>
      <w:r>
        <w:rPr>
          <w:color w:val="231F20"/>
          <w:spacing w:val="-12"/>
        </w:rPr>
        <w:t>pelvic</w:t>
      </w:r>
      <w:r>
        <w:rPr>
          <w:color w:val="231F20"/>
          <w:spacing w:val="17"/>
          <w:w w:val="101"/>
        </w:rPr>
        <w:t xml:space="preserve"> </w:t>
      </w:r>
      <w:r>
        <w:rPr>
          <w:color w:val="231F20"/>
          <w:spacing w:val="-12"/>
        </w:rPr>
        <w:t>inflammat</w:t>
      </w:r>
      <w:r>
        <w:rPr>
          <w:color w:val="231F20"/>
          <w:spacing w:val="-13"/>
        </w:rPr>
        <w:t>ory</w:t>
      </w:r>
      <w:r>
        <w:rPr>
          <w:color w:val="231F20"/>
          <w:spacing w:val="17"/>
          <w:w w:val="101"/>
        </w:rPr>
        <w:t xml:space="preserve"> </w:t>
      </w:r>
      <w:r>
        <w:rPr>
          <w:color w:val="231F20"/>
          <w:spacing w:val="-13"/>
        </w:rPr>
        <w:t>disease.</w:t>
      </w:r>
    </w:p>
    <w:p>
      <w:pPr>
        <w:pStyle w:val="BodyText"/>
        <w:ind w:left="1614"/>
        <w:spacing w:before="19" w:line="164" w:lineRule="auto"/>
        <w:rPr/>
      </w:pPr>
      <w:r>
        <w:rPr>
          <w:color w:val="231F20"/>
          <w:spacing w:val="-12"/>
        </w:rPr>
        <w:t>KEY</w:t>
      </w:r>
      <w:r>
        <w:rPr>
          <w:color w:val="231F20"/>
          <w:spacing w:val="11"/>
        </w:rPr>
        <w:t xml:space="preserve"> </w:t>
      </w:r>
      <w:r>
        <w:rPr>
          <w:color w:val="231F20"/>
          <w:spacing w:val="-12"/>
        </w:rPr>
        <w:t>WORDS</w:t>
      </w:r>
      <w:r>
        <w:rPr>
          <w:color w:val="231F20"/>
          <w:spacing w:val="11"/>
        </w:rPr>
        <w:t xml:space="preserve">  </w:t>
      </w:r>
      <w:r>
        <w:rPr>
          <w:color w:val="231F20"/>
          <w:spacing w:val="-12"/>
        </w:rPr>
        <w:t>amoxicillin；Fuke</w:t>
      </w:r>
      <w:r>
        <w:rPr>
          <w:color w:val="231F20"/>
          <w:spacing w:val="17"/>
        </w:rPr>
        <w:t xml:space="preserve"> </w:t>
      </w:r>
      <w:r>
        <w:rPr>
          <w:color w:val="231F20"/>
          <w:spacing w:val="-12"/>
        </w:rPr>
        <w:t>Qianjin</w:t>
      </w:r>
      <w:r>
        <w:rPr>
          <w:color w:val="231F20"/>
          <w:spacing w:val="13"/>
          <w:w w:val="101"/>
        </w:rPr>
        <w:t xml:space="preserve"> </w:t>
      </w:r>
      <w:r>
        <w:rPr>
          <w:color w:val="231F20"/>
          <w:spacing w:val="-12"/>
        </w:rPr>
        <w:t>capsules；acute</w:t>
      </w:r>
      <w:r>
        <w:rPr>
          <w:color w:val="231F20"/>
          <w:spacing w:val="12"/>
        </w:rPr>
        <w:t xml:space="preserve"> </w:t>
      </w:r>
      <w:r>
        <w:rPr>
          <w:color w:val="231F20"/>
          <w:spacing w:val="-12"/>
        </w:rPr>
        <w:t>pelvic</w:t>
      </w:r>
      <w:r>
        <w:rPr>
          <w:color w:val="231F20"/>
          <w:spacing w:val="13"/>
          <w:w w:val="101"/>
        </w:rPr>
        <w:t xml:space="preserve"> </w:t>
      </w:r>
      <w:r>
        <w:rPr>
          <w:color w:val="231F20"/>
          <w:spacing w:val="-12"/>
        </w:rPr>
        <w:t>inflammatory</w:t>
      </w:r>
      <w:r>
        <w:rPr>
          <w:color w:val="231F20"/>
          <w:spacing w:val="14"/>
        </w:rPr>
        <w:t xml:space="preserve"> </w:t>
      </w:r>
      <w:r>
        <w:rPr>
          <w:color w:val="231F20"/>
          <w:spacing w:val="-12"/>
        </w:rPr>
        <w:t>disease；serum</w:t>
      </w:r>
      <w:r>
        <w:rPr>
          <w:color w:val="231F20"/>
          <w:spacing w:val="13"/>
          <w:w w:val="101"/>
        </w:rPr>
        <w:t xml:space="preserve"> </w:t>
      </w:r>
      <w:r>
        <w:rPr>
          <w:color w:val="231F20"/>
          <w:spacing w:val="-12"/>
        </w:rPr>
        <w:t>in</w:t>
      </w:r>
      <w:r>
        <w:rPr>
          <w:color w:val="231F20"/>
          <w:spacing w:val="-13"/>
        </w:rPr>
        <w:t>flammatory</w:t>
      </w:r>
      <w:r>
        <w:rPr>
          <w:color w:val="231F20"/>
          <w:spacing w:val="9"/>
        </w:rPr>
        <w:t xml:space="preserve"> </w:t>
      </w:r>
      <w:r>
        <w:rPr>
          <w:color w:val="231F20"/>
          <w:spacing w:val="-13"/>
        </w:rPr>
        <w:t>factors</w:t>
      </w:r>
    </w:p>
    <w:p>
      <w:pPr>
        <w:spacing w:line="282" w:lineRule="auto"/>
        <w:rPr>
          <w:rFonts w:ascii="Arial"/>
          <w:sz w:val="21"/>
        </w:rPr>
      </w:pPr>
      <w:r/>
    </w:p>
    <w:p>
      <w:pPr>
        <w:spacing w:line="283" w:lineRule="auto"/>
        <w:rPr>
          <w:rFonts w:ascii="Arial"/>
          <w:sz w:val="21"/>
        </w:rPr>
      </w:pPr>
      <w:r>
        <w:drawing>
          <wp:anchor distT="0" distB="0" distL="0" distR="0" simplePos="0" relativeHeight="251659264" behindDoc="0" locked="0" layoutInCell="1" allowOverlap="1">
            <wp:simplePos x="0" y="0"/>
            <wp:positionH relativeFrom="column">
              <wp:posOffset>378459</wp:posOffset>
            </wp:positionH>
            <wp:positionV relativeFrom="paragraph">
              <wp:posOffset>95798</wp:posOffset>
            </wp:positionV>
            <wp:extent cx="1601470" cy="6350"/>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601470" cy="6350"/>
                    </a:xfrm>
                    <a:prstGeom prst="rect">
                      <a:avLst/>
                    </a:prstGeom>
                  </pic:spPr>
                </pic:pic>
              </a:graphicData>
            </a:graphic>
          </wp:anchor>
        </w:drawing>
      </w:r>
      <w:r/>
    </w:p>
    <w:p>
      <w:pPr>
        <w:pStyle w:val="BodyText"/>
        <w:ind w:left="928"/>
        <w:spacing w:before="65" w:line="203" w:lineRule="auto"/>
        <w:rPr>
          <w:sz w:val="15"/>
          <w:szCs w:val="15"/>
        </w:rPr>
      </w:pPr>
      <w:r>
        <w:rPr>
          <w:sz w:val="15"/>
          <w:szCs w:val="15"/>
          <w:color w:val="231F20"/>
          <w:spacing w:val="-9"/>
        </w:rPr>
        <w:t>收稿日期：2024-03-15</w:t>
      </w:r>
    </w:p>
    <w:p>
      <w:pPr>
        <w:spacing w:line="203" w:lineRule="auto"/>
        <w:sectPr>
          <w:headerReference w:type="default" r:id="rId1"/>
          <w:pgSz w:w="11905" w:h="16156"/>
          <w:pgMar w:top="1308" w:right="1018" w:bottom="0" w:left="424" w:header="982" w:footer="0" w:gutter="0"/>
        </w:sectPr>
        <w:rPr>
          <w:sz w:val="15"/>
          <w:szCs w:val="15"/>
        </w:rPr>
      </w:pPr>
    </w:p>
    <w:p>
      <w:pPr>
        <w:spacing w:line="164" w:lineRule="exact"/>
        <w:rPr/>
      </w:pPr>
      <w:r/>
    </w:p>
    <w:p>
      <w:pPr>
        <w:spacing w:line="164" w:lineRule="exact"/>
        <w:sectPr>
          <w:headerReference w:type="default" r:id="rId4"/>
          <w:pgSz w:w="11905" w:h="16156"/>
          <w:pgMar w:top="1308" w:right="943" w:bottom="0" w:left="424" w:header="982" w:footer="0" w:gutter="0"/>
          <w:cols w:equalWidth="0" w:num="1">
            <w:col w:w="10537" w:space="0"/>
          </w:cols>
        </w:sectPr>
        <w:rPr/>
      </w:pPr>
    </w:p>
    <w:p>
      <w:pPr>
        <w:pStyle w:val="BodyText"/>
        <w:ind w:left="598" w:right="205" w:firstLine="400"/>
        <w:spacing w:before="47" w:line="232" w:lineRule="auto"/>
        <w:jc w:val="both"/>
        <w:rPr>
          <w:sz w:val="20"/>
          <w:szCs w:val="20"/>
        </w:rPr>
      </w:pPr>
      <w:r>
        <w:rPr>
          <w:sz w:val="20"/>
          <w:szCs w:val="20"/>
          <w:color w:val="231F20"/>
          <w:spacing w:val="6"/>
        </w:rPr>
        <w:t>急性盆腔炎是指女性盆腔生殖器官、子宫周围的  </w:t>
      </w:r>
      <w:r>
        <w:rPr>
          <w:sz w:val="20"/>
          <w:szCs w:val="20"/>
          <w:color w:val="231F20"/>
          <w:spacing w:val="6"/>
        </w:rPr>
        <w:t>结缔组织及盆腔腹膜的炎症，是常见的女性盆腔感染</w:t>
      </w:r>
      <w:r>
        <w:rPr>
          <w:sz w:val="20"/>
          <w:szCs w:val="20"/>
          <w:color w:val="231F20"/>
        </w:rPr>
        <w:t xml:space="preserve">  </w:t>
      </w:r>
      <w:r>
        <w:rPr>
          <w:sz w:val="20"/>
          <w:szCs w:val="20"/>
          <w:color w:val="231F20"/>
          <w:spacing w:val="-2"/>
        </w:rPr>
        <w:t>性疾病</w:t>
      </w:r>
      <w:r>
        <w:rPr>
          <w:sz w:val="10"/>
          <w:szCs w:val="10"/>
          <w:color w:val="231F20"/>
          <w:spacing w:val="-2"/>
          <w:position w:val="7"/>
        </w:rPr>
        <w:t>［</w:t>
      </w:r>
      <w:r>
        <w:rPr>
          <w:sz w:val="11"/>
          <w:szCs w:val="11"/>
          <w:color w:val="231F20"/>
          <w:spacing w:val="-2"/>
          <w:position w:val="7"/>
        </w:rPr>
        <w:t>1-2</w:t>
      </w:r>
      <w:r>
        <w:rPr>
          <w:sz w:val="10"/>
          <w:szCs w:val="10"/>
          <w:color w:val="231F20"/>
          <w:spacing w:val="-2"/>
          <w:position w:val="7"/>
        </w:rPr>
        <w:t>］</w:t>
      </w:r>
      <w:r>
        <w:rPr>
          <w:sz w:val="20"/>
          <w:szCs w:val="20"/>
          <w:color w:val="231F20"/>
          <w:spacing w:val="-2"/>
        </w:rPr>
        <w:t>。其发病率逐年上升，严重影响了女性的生</w:t>
      </w:r>
      <w:r>
        <w:rPr>
          <w:sz w:val="20"/>
          <w:szCs w:val="20"/>
          <w:color w:val="231F20"/>
          <w:spacing w:val="8"/>
        </w:rPr>
        <w:t xml:space="preserve">  </w:t>
      </w:r>
      <w:r>
        <w:rPr>
          <w:sz w:val="20"/>
          <w:szCs w:val="20"/>
          <w:color w:val="231F20"/>
          <w:spacing w:val="6"/>
        </w:rPr>
        <w:t>殖健康和生活质量。急性盆腔炎的病理过程涉及多种</w:t>
      </w:r>
      <w:r>
        <w:rPr>
          <w:sz w:val="20"/>
          <w:szCs w:val="20"/>
          <w:color w:val="231F20"/>
        </w:rPr>
        <w:t xml:space="preserve">  </w:t>
      </w:r>
      <w:r>
        <w:rPr>
          <w:sz w:val="20"/>
          <w:szCs w:val="20"/>
          <w:color w:val="231F20"/>
          <w:spacing w:val="6"/>
        </w:rPr>
        <w:t>炎性因子的释放和免疫反应的激活，因此，控制炎性</w:t>
      </w:r>
      <w:r>
        <w:rPr>
          <w:sz w:val="20"/>
          <w:szCs w:val="20"/>
          <w:color w:val="231F20"/>
        </w:rPr>
        <w:t xml:space="preserve">  </w:t>
      </w:r>
      <w:r>
        <w:rPr>
          <w:sz w:val="20"/>
          <w:szCs w:val="20"/>
          <w:color w:val="231F20"/>
          <w:spacing w:val="1"/>
        </w:rPr>
        <w:t>因子的表达和活性是治疗急性盆腔炎的重要手段</w:t>
      </w:r>
      <w:r>
        <w:rPr>
          <w:sz w:val="10"/>
          <w:szCs w:val="10"/>
          <w:color w:val="231F20"/>
          <w:spacing w:val="1"/>
          <w:position w:val="7"/>
        </w:rPr>
        <w:t>［</w:t>
      </w:r>
      <w:r>
        <w:rPr>
          <w:sz w:val="11"/>
          <w:szCs w:val="11"/>
          <w:color w:val="231F20"/>
          <w:spacing w:val="1"/>
          <w:position w:val="7"/>
        </w:rPr>
        <w:t>3-4</w:t>
      </w:r>
      <w:r>
        <w:rPr>
          <w:sz w:val="10"/>
          <w:szCs w:val="10"/>
          <w:color w:val="231F20"/>
          <w:spacing w:val="1"/>
          <w:position w:val="7"/>
        </w:rPr>
        <w:t>］</w:t>
      </w:r>
      <w:r>
        <w:rPr>
          <w:sz w:val="20"/>
          <w:szCs w:val="20"/>
          <w:color w:val="231F20"/>
          <w:spacing w:val="1"/>
        </w:rPr>
        <w:t>。</w:t>
      </w:r>
      <w:r>
        <w:rPr>
          <w:sz w:val="20"/>
          <w:szCs w:val="20"/>
          <w:color w:val="231F20"/>
          <w:spacing w:val="11"/>
        </w:rPr>
        <w:t xml:space="preserve"> </w:t>
      </w:r>
      <w:r>
        <w:rPr>
          <w:sz w:val="20"/>
          <w:szCs w:val="20"/>
          <w:color w:val="231F20"/>
          <w:spacing w:val="6"/>
        </w:rPr>
        <w:t>阿莫西林作为广谱抗生素，已被广泛应用于急性盆腔</w:t>
      </w:r>
      <w:r>
        <w:rPr>
          <w:sz w:val="20"/>
          <w:szCs w:val="20"/>
          <w:color w:val="231F20"/>
        </w:rPr>
        <w:t xml:space="preserve">  </w:t>
      </w:r>
      <w:r>
        <w:rPr>
          <w:sz w:val="20"/>
          <w:szCs w:val="20"/>
          <w:color w:val="231F20"/>
          <w:spacing w:val="6"/>
        </w:rPr>
        <w:t>炎的治疗中，其抗菌效果确切，但对于一些难治性病</w:t>
      </w:r>
      <w:r>
        <w:rPr>
          <w:sz w:val="20"/>
          <w:szCs w:val="20"/>
          <w:color w:val="231F20"/>
        </w:rPr>
        <w:t xml:space="preserve">  </w:t>
      </w:r>
      <w:r>
        <w:rPr>
          <w:sz w:val="20"/>
          <w:szCs w:val="20"/>
          <w:color w:val="231F20"/>
          <w:spacing w:val="7"/>
        </w:rPr>
        <w:t>例</w:t>
      </w:r>
      <w:r>
        <w:rPr>
          <w:sz w:val="20"/>
          <w:szCs w:val="20"/>
          <w:color w:val="231F20"/>
          <w:spacing w:val="-6"/>
        </w:rPr>
        <w:t xml:space="preserve"> </w:t>
      </w:r>
      <w:r>
        <w:rPr>
          <w:sz w:val="20"/>
          <w:szCs w:val="20"/>
          <w:color w:val="231F20"/>
          <w:spacing w:val="7"/>
        </w:rPr>
        <w:t>，单纯使用阿莫西林并不能达到理想的治疗效果。</w:t>
      </w:r>
      <w:r>
        <w:rPr>
          <w:sz w:val="20"/>
          <w:szCs w:val="20"/>
          <w:color w:val="231F20"/>
        </w:rPr>
        <w:t xml:space="preserve"> </w:t>
      </w:r>
      <w:r>
        <w:rPr>
          <w:sz w:val="20"/>
          <w:szCs w:val="20"/>
          <w:color w:val="231F20"/>
          <w:spacing w:val="6"/>
        </w:rPr>
        <w:t>因此，探索阿莫西林联合其他药物的治疗方案，对于</w:t>
      </w:r>
      <w:r>
        <w:rPr>
          <w:sz w:val="20"/>
          <w:szCs w:val="20"/>
          <w:color w:val="231F20"/>
        </w:rPr>
        <w:t xml:space="preserve">  </w:t>
      </w:r>
      <w:r>
        <w:rPr>
          <w:sz w:val="20"/>
          <w:szCs w:val="20"/>
          <w:color w:val="231F20"/>
          <w:spacing w:val="6"/>
        </w:rPr>
        <w:t>提高急性盆腔炎的治疗效果具有重要意义。妇科千金</w:t>
      </w:r>
      <w:r>
        <w:rPr>
          <w:sz w:val="20"/>
          <w:szCs w:val="20"/>
          <w:color w:val="231F20"/>
        </w:rPr>
        <w:t xml:space="preserve">  </w:t>
      </w:r>
      <w:r>
        <w:rPr>
          <w:sz w:val="20"/>
          <w:szCs w:val="20"/>
          <w:color w:val="231F20"/>
          <w:spacing w:val="6"/>
        </w:rPr>
        <w:t>胶囊作为一种传统的中药制剂，具有清热解毒、活血</w:t>
      </w:r>
      <w:r>
        <w:rPr>
          <w:sz w:val="20"/>
          <w:szCs w:val="20"/>
          <w:color w:val="231F20"/>
        </w:rPr>
        <w:t xml:space="preserve">  </w:t>
      </w:r>
      <w:r>
        <w:rPr>
          <w:sz w:val="20"/>
          <w:szCs w:val="20"/>
          <w:color w:val="231F20"/>
          <w:spacing w:val="-2"/>
        </w:rPr>
        <w:t>化瘀的功效，已在妇科领域得到了广泛的应用</w:t>
      </w:r>
      <w:r>
        <w:rPr>
          <w:sz w:val="10"/>
          <w:szCs w:val="10"/>
          <w:color w:val="231F20"/>
          <w:spacing w:val="-2"/>
          <w:position w:val="7"/>
        </w:rPr>
        <w:t>［</w:t>
      </w:r>
      <w:r>
        <w:rPr>
          <w:sz w:val="11"/>
          <w:szCs w:val="11"/>
          <w:color w:val="231F20"/>
          <w:spacing w:val="-2"/>
          <w:position w:val="7"/>
        </w:rPr>
        <w:t>5-6</w:t>
      </w:r>
      <w:r>
        <w:rPr>
          <w:sz w:val="10"/>
          <w:szCs w:val="10"/>
          <w:color w:val="231F20"/>
          <w:spacing w:val="-2"/>
          <w:position w:val="7"/>
        </w:rPr>
        <w:t>］</w:t>
      </w:r>
      <w:r>
        <w:rPr>
          <w:sz w:val="20"/>
          <w:szCs w:val="20"/>
          <w:color w:val="231F20"/>
          <w:spacing w:val="-2"/>
        </w:rPr>
        <w:t>。近</w:t>
      </w:r>
      <w:r>
        <w:rPr>
          <w:sz w:val="20"/>
          <w:szCs w:val="20"/>
          <w:color w:val="231F20"/>
          <w:spacing w:val="8"/>
        </w:rPr>
        <w:t xml:space="preserve">  </w:t>
      </w:r>
      <w:r>
        <w:rPr>
          <w:sz w:val="20"/>
          <w:szCs w:val="20"/>
          <w:color w:val="231F20"/>
          <w:spacing w:val="6"/>
        </w:rPr>
        <w:t>年来，越来越多的研究表明，妇科千金胶囊中的有效</w:t>
      </w:r>
      <w:r>
        <w:rPr>
          <w:sz w:val="20"/>
          <w:szCs w:val="20"/>
          <w:color w:val="231F20"/>
        </w:rPr>
        <w:t xml:space="preserve">  </w:t>
      </w:r>
      <w:r>
        <w:rPr>
          <w:sz w:val="20"/>
          <w:szCs w:val="20"/>
          <w:color w:val="231F20"/>
          <w:spacing w:val="6"/>
        </w:rPr>
        <w:t>成分可以抑制炎性因子的释放，减轻组织损伤，促进</w:t>
      </w:r>
      <w:r>
        <w:rPr>
          <w:sz w:val="20"/>
          <w:szCs w:val="20"/>
          <w:color w:val="231F20"/>
        </w:rPr>
        <w:t xml:space="preserve">  </w:t>
      </w:r>
      <w:r>
        <w:rPr>
          <w:sz w:val="20"/>
          <w:szCs w:val="20"/>
          <w:color w:val="231F20"/>
          <w:spacing w:val="-2"/>
        </w:rPr>
        <w:t>炎症的消退</w:t>
      </w:r>
      <w:r>
        <w:rPr>
          <w:sz w:val="10"/>
          <w:szCs w:val="10"/>
          <w:color w:val="231F20"/>
          <w:spacing w:val="-2"/>
          <w:position w:val="7"/>
        </w:rPr>
        <w:t>［</w:t>
      </w:r>
      <w:r>
        <w:rPr>
          <w:sz w:val="11"/>
          <w:szCs w:val="11"/>
          <w:color w:val="231F20"/>
          <w:spacing w:val="-2"/>
          <w:position w:val="7"/>
        </w:rPr>
        <w:t>7-8</w:t>
      </w:r>
      <w:r>
        <w:rPr>
          <w:sz w:val="10"/>
          <w:szCs w:val="10"/>
          <w:color w:val="231F20"/>
          <w:spacing w:val="-2"/>
          <w:position w:val="7"/>
        </w:rPr>
        <w:t>］</w:t>
      </w:r>
      <w:r>
        <w:rPr>
          <w:sz w:val="20"/>
          <w:szCs w:val="20"/>
          <w:color w:val="231F20"/>
          <w:spacing w:val="-2"/>
        </w:rPr>
        <w:t>。因此，将阿莫西林与妇科千金胶囊联</w:t>
      </w:r>
      <w:r>
        <w:rPr>
          <w:sz w:val="20"/>
          <w:szCs w:val="20"/>
          <w:color w:val="231F20"/>
          <w:spacing w:val="8"/>
        </w:rPr>
        <w:t xml:space="preserve">  </w:t>
      </w:r>
      <w:r>
        <w:rPr>
          <w:sz w:val="20"/>
          <w:szCs w:val="20"/>
          <w:color w:val="231F20"/>
        </w:rPr>
        <w:t>合使用，可通过不同的作用机制，共同发挥抗炎作用，</w:t>
      </w:r>
      <w:r>
        <w:rPr>
          <w:sz w:val="20"/>
          <w:szCs w:val="20"/>
          <w:color w:val="231F20"/>
          <w:spacing w:val="15"/>
        </w:rPr>
        <w:t xml:space="preserve"> </w:t>
      </w:r>
      <w:r>
        <w:rPr>
          <w:sz w:val="20"/>
          <w:szCs w:val="20"/>
          <w:color w:val="231F20"/>
          <w:spacing w:val="6"/>
        </w:rPr>
        <w:t>提高急性盆腔炎的治疗效果。然关于阿莫西林联合妇</w:t>
      </w:r>
      <w:r>
        <w:rPr>
          <w:sz w:val="20"/>
          <w:szCs w:val="20"/>
          <w:color w:val="231F20"/>
        </w:rPr>
        <w:t xml:space="preserve">  </w:t>
      </w:r>
      <w:r>
        <w:rPr>
          <w:sz w:val="20"/>
          <w:szCs w:val="20"/>
          <w:color w:val="231F20"/>
          <w:spacing w:val="15"/>
        </w:rPr>
        <w:t>科千金胶囊在急性盆腔炎治疗中对血清炎性因子的</w:t>
      </w:r>
      <w:r>
        <w:rPr>
          <w:sz w:val="20"/>
          <w:szCs w:val="20"/>
          <w:color w:val="231F20"/>
          <w:spacing w:val="4"/>
        </w:rPr>
        <w:t xml:space="preserve">  </w:t>
      </w:r>
      <w:r>
        <w:rPr>
          <w:sz w:val="20"/>
          <w:szCs w:val="20"/>
          <w:color w:val="231F20"/>
          <w:spacing w:val="-1"/>
        </w:rPr>
        <w:t>影响的研究尚少。基于此，本研究选取 90 例急性盆腔</w:t>
      </w:r>
      <w:r>
        <w:rPr>
          <w:sz w:val="20"/>
          <w:szCs w:val="20"/>
          <w:color w:val="231F20"/>
          <w:spacing w:val="6"/>
        </w:rPr>
        <w:t xml:space="preserve">  </w:t>
      </w:r>
      <w:r>
        <w:rPr>
          <w:sz w:val="20"/>
          <w:szCs w:val="20"/>
          <w:color w:val="231F20"/>
          <w:spacing w:val="6"/>
        </w:rPr>
        <w:t>炎患者作为研究对象，探究阿莫西林联合妇科千金胶</w:t>
      </w:r>
      <w:r>
        <w:rPr>
          <w:sz w:val="20"/>
          <w:szCs w:val="20"/>
          <w:color w:val="231F20"/>
        </w:rPr>
        <w:t xml:space="preserve">  </w:t>
      </w:r>
      <w:r>
        <w:rPr>
          <w:sz w:val="20"/>
          <w:szCs w:val="20"/>
          <w:color w:val="231F20"/>
          <w:spacing w:val="6"/>
        </w:rPr>
        <w:t>囊在急性盆腔炎治疗中对血清炎性因子的影响。现将</w:t>
      </w:r>
      <w:r>
        <w:rPr>
          <w:sz w:val="20"/>
          <w:szCs w:val="20"/>
          <w:color w:val="231F20"/>
        </w:rPr>
        <w:t xml:space="preserve">  </w:t>
      </w:r>
      <w:r>
        <w:rPr>
          <w:sz w:val="20"/>
          <w:szCs w:val="20"/>
          <w:color w:val="231F20"/>
          <w:spacing w:val="8"/>
        </w:rPr>
        <w:t>研究结果报道如下。</w:t>
      </w:r>
    </w:p>
    <w:p>
      <w:pPr>
        <w:pStyle w:val="BodyText"/>
        <w:ind w:left="610"/>
        <w:spacing w:line="185" w:lineRule="auto"/>
        <w:rPr>
          <w:sz w:val="20"/>
          <w:szCs w:val="20"/>
        </w:rPr>
      </w:pPr>
      <w:r>
        <w:rPr>
          <w:sz w:val="20"/>
          <w:szCs w:val="20"/>
          <w:color w:val="231F20"/>
          <w:spacing w:val="1"/>
        </w:rPr>
        <w:t>1</w:t>
      </w:r>
      <w:r>
        <w:rPr>
          <w:sz w:val="20"/>
          <w:szCs w:val="20"/>
          <w:color w:val="231F20"/>
          <w:spacing w:val="15"/>
          <w:w w:val="101"/>
        </w:rPr>
        <w:t xml:space="preserve">   </w:t>
      </w:r>
      <w:r>
        <w:rPr>
          <w:sz w:val="20"/>
          <w:szCs w:val="20"/>
          <w:color w:val="231F20"/>
          <w:spacing w:val="1"/>
        </w:rPr>
        <w:t>资料与方法</w:t>
      </w:r>
    </w:p>
    <w:p>
      <w:pPr>
        <w:pStyle w:val="BodyText"/>
        <w:ind w:left="598" w:right="280" w:firstLine="11"/>
        <w:spacing w:before="51" w:line="232" w:lineRule="auto"/>
        <w:jc w:val="both"/>
        <w:rPr>
          <w:sz w:val="20"/>
          <w:szCs w:val="20"/>
        </w:rPr>
      </w:pPr>
      <w:r>
        <w:rPr>
          <w:sz w:val="20"/>
          <w:szCs w:val="20"/>
          <w:color w:val="231F20"/>
          <w:spacing w:val="-3"/>
        </w:rPr>
        <w:t>1.1</w:t>
      </w:r>
      <w:r>
        <w:rPr>
          <w:sz w:val="20"/>
          <w:szCs w:val="20"/>
          <w:color w:val="231F20"/>
          <w:spacing w:val="12"/>
        </w:rPr>
        <w:t xml:space="preserve">   </w:t>
      </w:r>
      <w:r>
        <w:rPr>
          <w:sz w:val="20"/>
          <w:szCs w:val="20"/>
          <w:color w:val="231F20"/>
          <w:spacing w:val="-3"/>
        </w:rPr>
        <w:t>一般资料</w:t>
      </w:r>
      <w:r>
        <w:rPr>
          <w:sz w:val="20"/>
          <w:szCs w:val="20"/>
          <w:color w:val="231F20"/>
          <w:spacing w:val="13"/>
        </w:rPr>
        <w:t xml:space="preserve">   </w:t>
      </w:r>
      <w:r>
        <w:rPr>
          <w:sz w:val="20"/>
          <w:szCs w:val="20"/>
          <w:color w:val="231F20"/>
          <w:spacing w:val="-3"/>
        </w:rPr>
        <w:t>本研究选取 2021 年</w:t>
      </w:r>
      <w:r>
        <w:rPr>
          <w:sz w:val="20"/>
          <w:szCs w:val="20"/>
          <w:color w:val="231F20"/>
          <w:spacing w:val="20"/>
          <w:w w:val="101"/>
        </w:rPr>
        <w:t xml:space="preserve"> </w:t>
      </w:r>
      <w:r>
        <w:rPr>
          <w:sz w:val="20"/>
          <w:szCs w:val="20"/>
          <w:color w:val="231F20"/>
          <w:spacing w:val="-3"/>
        </w:rPr>
        <w:t>11 月—2023 年</w:t>
      </w:r>
      <w:r>
        <w:rPr>
          <w:sz w:val="20"/>
          <w:szCs w:val="20"/>
          <w:color w:val="231F20"/>
        </w:rPr>
        <w:t xml:space="preserve"> </w:t>
      </w:r>
      <w:r>
        <w:rPr>
          <w:sz w:val="20"/>
          <w:szCs w:val="20"/>
          <w:color w:val="231F20"/>
          <w:spacing w:val="11"/>
        </w:rPr>
        <w:t>10 月本院接收并治疗的 90 例急性盆腔炎患者作为</w:t>
      </w:r>
      <w:r>
        <w:rPr>
          <w:sz w:val="20"/>
          <w:szCs w:val="20"/>
          <w:color w:val="231F20"/>
          <w:spacing w:val="6"/>
        </w:rPr>
        <w:t xml:space="preserve"> </w:t>
      </w:r>
      <w:r>
        <w:rPr>
          <w:sz w:val="20"/>
          <w:szCs w:val="20"/>
          <w:color w:val="231F20"/>
          <w:spacing w:val="6"/>
        </w:rPr>
        <w:t>研究对象。本研究通过本院伦理委员会审批。纳入标</w:t>
      </w:r>
      <w:r>
        <w:rPr>
          <w:sz w:val="20"/>
          <w:szCs w:val="20"/>
          <w:color w:val="231F20"/>
          <w:spacing w:val="1"/>
        </w:rPr>
        <w:t xml:space="preserve"> </w:t>
      </w:r>
      <w:r>
        <w:rPr>
          <w:sz w:val="20"/>
          <w:szCs w:val="20"/>
          <w:color w:val="231F20"/>
          <w:spacing w:val="-6"/>
        </w:rPr>
        <w:t>准：①符合急性盆腔炎</w:t>
      </w:r>
      <w:r>
        <w:rPr>
          <w:sz w:val="10"/>
          <w:szCs w:val="10"/>
          <w:color w:val="231F20"/>
          <w:spacing w:val="-6"/>
          <w:position w:val="7"/>
        </w:rPr>
        <w:t>［</w:t>
      </w:r>
      <w:r>
        <w:rPr>
          <w:sz w:val="11"/>
          <w:szCs w:val="11"/>
          <w:color w:val="231F20"/>
          <w:spacing w:val="-6"/>
          <w:position w:val="7"/>
        </w:rPr>
        <w:t>9</w:t>
      </w:r>
      <w:r>
        <w:rPr>
          <w:sz w:val="10"/>
          <w:szCs w:val="10"/>
          <w:color w:val="231F20"/>
          <w:spacing w:val="-6"/>
          <w:position w:val="7"/>
        </w:rPr>
        <w:t>］</w:t>
      </w:r>
      <w:r>
        <w:rPr>
          <w:sz w:val="20"/>
          <w:szCs w:val="20"/>
          <w:color w:val="231F20"/>
          <w:spacing w:val="-6"/>
        </w:rPr>
        <w:t>诊断标准；②研究前</w:t>
      </w:r>
      <w:r>
        <w:rPr>
          <w:sz w:val="20"/>
          <w:szCs w:val="20"/>
          <w:color w:val="231F20"/>
          <w:spacing w:val="39"/>
          <w:w w:val="101"/>
        </w:rPr>
        <w:t xml:space="preserve"> </w:t>
      </w:r>
      <w:r>
        <w:rPr>
          <w:sz w:val="20"/>
          <w:szCs w:val="20"/>
          <w:color w:val="231F20"/>
          <w:spacing w:val="-6"/>
        </w:rPr>
        <w:t>14</w:t>
      </w:r>
      <w:r>
        <w:rPr>
          <w:sz w:val="20"/>
          <w:szCs w:val="20"/>
          <w:color w:val="231F20"/>
          <w:spacing w:val="25"/>
          <w:w w:val="101"/>
        </w:rPr>
        <w:t xml:space="preserve"> </w:t>
      </w:r>
      <w:r>
        <w:rPr>
          <w:sz w:val="20"/>
          <w:szCs w:val="20"/>
          <w:color w:val="231F20"/>
          <w:spacing w:val="-6"/>
        </w:rPr>
        <w:t>d</w:t>
      </w:r>
      <w:r>
        <w:rPr>
          <w:sz w:val="20"/>
          <w:szCs w:val="20"/>
          <w:color w:val="231F20"/>
          <w:spacing w:val="25"/>
          <w:w w:val="101"/>
        </w:rPr>
        <w:t xml:space="preserve"> </w:t>
      </w:r>
      <w:r>
        <w:rPr>
          <w:sz w:val="20"/>
          <w:szCs w:val="20"/>
          <w:color w:val="231F20"/>
          <w:spacing w:val="-6"/>
        </w:rPr>
        <w:t>内</w:t>
      </w:r>
      <w:r>
        <w:rPr>
          <w:sz w:val="20"/>
          <w:szCs w:val="20"/>
          <w:color w:val="231F20"/>
        </w:rPr>
        <w:t xml:space="preserve"> </w:t>
      </w:r>
      <w:r>
        <w:rPr>
          <w:sz w:val="20"/>
          <w:szCs w:val="20"/>
          <w:color w:val="231F20"/>
          <w:spacing w:val="6"/>
        </w:rPr>
        <w:t>未使用相关药物；③患者意识清晰，具有基本的语言</w:t>
      </w:r>
      <w:r>
        <w:rPr>
          <w:sz w:val="20"/>
          <w:szCs w:val="20"/>
          <w:color w:val="231F20"/>
          <w:spacing w:val="1"/>
        </w:rPr>
        <w:t xml:space="preserve"> </w:t>
      </w:r>
      <w:r>
        <w:rPr>
          <w:sz w:val="20"/>
          <w:szCs w:val="20"/>
          <w:color w:val="231F20"/>
          <w:spacing w:val="13"/>
        </w:rPr>
        <w:t>沟通能力</w:t>
      </w:r>
      <w:r>
        <w:rPr>
          <w:sz w:val="20"/>
          <w:szCs w:val="20"/>
          <w:color w:val="231F20"/>
          <w:spacing w:val="-6"/>
        </w:rPr>
        <w:t xml:space="preserve"> </w:t>
      </w:r>
      <w:r>
        <w:rPr>
          <w:sz w:val="20"/>
          <w:szCs w:val="20"/>
          <w:color w:val="231F20"/>
          <w:spacing w:val="13"/>
        </w:rPr>
        <w:t>；④患者对本研究内容详细了解并签署同</w:t>
      </w:r>
      <w:r>
        <w:rPr>
          <w:sz w:val="20"/>
          <w:szCs w:val="20"/>
          <w:color w:val="231F20"/>
        </w:rPr>
        <w:t xml:space="preserve"> </w:t>
      </w:r>
      <w:r>
        <w:rPr>
          <w:sz w:val="20"/>
          <w:szCs w:val="20"/>
          <w:color w:val="231F20"/>
          <w:spacing w:val="4"/>
        </w:rPr>
        <w:t>意书</w:t>
      </w:r>
      <w:r>
        <w:rPr>
          <w:sz w:val="20"/>
          <w:szCs w:val="20"/>
          <w:color w:val="231F20"/>
          <w:spacing w:val="-12"/>
        </w:rPr>
        <w:t xml:space="preserve"> </w:t>
      </w:r>
      <w:r>
        <w:rPr>
          <w:sz w:val="20"/>
          <w:szCs w:val="20"/>
          <w:color w:val="231F20"/>
          <w:spacing w:val="4"/>
        </w:rPr>
        <w:t>。排除标准：①对本研究药物过敏；②患有其他</w:t>
      </w:r>
      <w:r>
        <w:rPr>
          <w:sz w:val="20"/>
          <w:szCs w:val="20"/>
          <w:color w:val="231F20"/>
        </w:rPr>
        <w:t xml:space="preserve"> </w:t>
      </w:r>
      <w:r>
        <w:rPr>
          <w:sz w:val="20"/>
          <w:szCs w:val="20"/>
          <w:color w:val="231F20"/>
          <w:spacing w:val="13"/>
        </w:rPr>
        <w:t>严重躯体疾病或精神障碍</w:t>
      </w:r>
      <w:r>
        <w:rPr>
          <w:sz w:val="20"/>
          <w:szCs w:val="20"/>
          <w:color w:val="231F20"/>
          <w:spacing w:val="-6"/>
        </w:rPr>
        <w:t xml:space="preserve"> </w:t>
      </w:r>
      <w:r>
        <w:rPr>
          <w:sz w:val="20"/>
          <w:szCs w:val="20"/>
          <w:color w:val="231F20"/>
          <w:spacing w:val="13"/>
        </w:rPr>
        <w:t>；③伴有其他严重疾病或</w:t>
      </w:r>
      <w:r>
        <w:rPr>
          <w:sz w:val="20"/>
          <w:szCs w:val="20"/>
          <w:color w:val="231F20"/>
        </w:rPr>
        <w:t xml:space="preserve"> </w:t>
      </w:r>
      <w:r>
        <w:rPr>
          <w:sz w:val="20"/>
          <w:szCs w:val="20"/>
          <w:color w:val="231F20"/>
          <w:spacing w:val="5"/>
        </w:rPr>
        <w:t>重要器官合并症；④中途因自身原因退出研究者</w:t>
      </w:r>
      <w:r>
        <w:rPr>
          <w:sz w:val="20"/>
          <w:szCs w:val="20"/>
          <w:color w:val="231F20"/>
          <w:spacing w:val="-33"/>
        </w:rPr>
        <w:t xml:space="preserve"> </w:t>
      </w:r>
      <w:r>
        <w:rPr>
          <w:sz w:val="20"/>
          <w:szCs w:val="20"/>
          <w:color w:val="231F20"/>
          <w:spacing w:val="4"/>
        </w:rPr>
        <w:t>。根</w:t>
      </w:r>
      <w:r>
        <w:rPr>
          <w:sz w:val="20"/>
          <w:szCs w:val="20"/>
          <w:color w:val="231F20"/>
        </w:rPr>
        <w:t xml:space="preserve"> </w:t>
      </w:r>
      <w:r>
        <w:rPr>
          <w:sz w:val="20"/>
          <w:szCs w:val="20"/>
          <w:color w:val="231F20"/>
          <w:spacing w:val="7"/>
        </w:rPr>
        <w:t>据对 90 例患者的用药不同，将其分为实验组和对照</w:t>
      </w:r>
      <w:r>
        <w:rPr>
          <w:sz w:val="20"/>
          <w:szCs w:val="20"/>
          <w:color w:val="231F20"/>
          <w:spacing w:val="11"/>
        </w:rPr>
        <w:t xml:space="preserve"> </w:t>
      </w:r>
      <w:r>
        <w:rPr>
          <w:sz w:val="20"/>
          <w:szCs w:val="20"/>
          <w:color w:val="231F20"/>
          <w:spacing w:val="-9"/>
        </w:rPr>
        <w:t>组，各 45 例</w:t>
      </w:r>
      <w:r>
        <w:rPr>
          <w:sz w:val="20"/>
          <w:szCs w:val="20"/>
          <w:color w:val="231F20"/>
          <w:spacing w:val="-30"/>
        </w:rPr>
        <w:t xml:space="preserve"> </w:t>
      </w:r>
      <w:r>
        <w:rPr>
          <w:sz w:val="20"/>
          <w:szCs w:val="20"/>
          <w:color w:val="231F20"/>
          <w:spacing w:val="-9"/>
        </w:rPr>
        <w:t>。两组患者基线资料（年龄、病程、婚姻情</w:t>
      </w:r>
    </w:p>
    <w:p>
      <w:pPr>
        <w:spacing w:line="14" w:lineRule="auto"/>
        <w:rPr>
          <w:rFonts w:ascii="Arial"/>
          <w:sz w:val="2"/>
        </w:rPr>
      </w:pPr>
      <w:r>
        <w:rPr>
          <w:rFonts w:ascii="Arial" w:hAnsi="Arial" w:eastAsia="Arial" w:cs="Arial"/>
          <w:sz w:val="2"/>
          <w:szCs w:val="2"/>
        </w:rPr>
        <w:br w:type="column"/>
      </w:r>
    </w:p>
    <w:p>
      <w:pPr>
        <w:pStyle w:val="BodyText"/>
        <w:ind w:left="2" w:right="75"/>
        <w:spacing w:before="45" w:line="232" w:lineRule="auto"/>
        <w:rPr>
          <w:sz w:val="20"/>
          <w:szCs w:val="20"/>
        </w:rPr>
      </w:pPr>
      <w:r>
        <w:rPr>
          <w:sz w:val="20"/>
          <w:szCs w:val="20"/>
          <w:color w:val="231F20"/>
          <w:spacing w:val="-12"/>
        </w:rPr>
        <w:t>况、疾病类型）比较，均无显著差异（P&gt;0.05）。具体数</w:t>
      </w:r>
      <w:r>
        <w:rPr>
          <w:sz w:val="20"/>
          <w:szCs w:val="20"/>
          <w:color w:val="231F20"/>
          <w:spacing w:val="2"/>
        </w:rPr>
        <w:t xml:space="preserve"> </w:t>
      </w:r>
      <w:r>
        <w:rPr>
          <w:sz w:val="20"/>
          <w:szCs w:val="20"/>
          <w:color w:val="231F20"/>
          <w:spacing w:val="-2"/>
        </w:rPr>
        <w:t>据见表</w:t>
      </w:r>
      <w:r>
        <w:rPr>
          <w:sz w:val="20"/>
          <w:szCs w:val="20"/>
          <w:color w:val="231F20"/>
          <w:spacing w:val="18"/>
        </w:rPr>
        <w:t xml:space="preserve"> </w:t>
      </w:r>
      <w:r>
        <w:rPr>
          <w:sz w:val="20"/>
          <w:szCs w:val="20"/>
          <w:color w:val="231F20"/>
          <w:spacing w:val="-2"/>
        </w:rPr>
        <w:t>1。</w:t>
      </w:r>
    </w:p>
    <w:p>
      <w:pPr>
        <w:pStyle w:val="BodyText"/>
        <w:ind w:firstLine="11"/>
        <w:spacing w:before="2" w:line="225" w:lineRule="auto"/>
        <w:rPr>
          <w:sz w:val="20"/>
          <w:szCs w:val="20"/>
        </w:rPr>
      </w:pPr>
      <w:r>
        <w:rPr>
          <w:sz w:val="20"/>
          <w:szCs w:val="20"/>
          <w:color w:val="231F20"/>
          <w:spacing w:val="8"/>
        </w:rPr>
        <w:t>1.2   干预方法    本研究对照组给予阿莫西林胶</w:t>
      </w:r>
      <w:r>
        <w:rPr>
          <w:sz w:val="20"/>
          <w:szCs w:val="20"/>
          <w:color w:val="231F20"/>
          <w:spacing w:val="7"/>
        </w:rPr>
        <w:t>囊治</w:t>
      </w:r>
      <w:r>
        <w:rPr>
          <w:sz w:val="20"/>
          <w:szCs w:val="20"/>
          <w:color w:val="231F20"/>
        </w:rPr>
        <w:t xml:space="preserve">  </w:t>
      </w:r>
      <w:r>
        <w:rPr>
          <w:sz w:val="20"/>
          <w:szCs w:val="20"/>
          <w:color w:val="231F20"/>
          <w:spacing w:val="-10"/>
        </w:rPr>
        <w:t>疗，1 粒/次（0.5</w:t>
      </w:r>
      <w:r>
        <w:rPr>
          <w:sz w:val="20"/>
          <w:szCs w:val="20"/>
          <w:color w:val="231F20"/>
          <w:spacing w:val="16"/>
        </w:rPr>
        <w:t xml:space="preserve"> </w:t>
      </w:r>
      <w:r>
        <w:rPr>
          <w:sz w:val="20"/>
          <w:szCs w:val="20"/>
          <w:color w:val="231F20"/>
          <w:spacing w:val="-10"/>
        </w:rPr>
        <w:t>g/粒</w:t>
      </w:r>
      <w:r>
        <w:rPr>
          <w:sz w:val="20"/>
          <w:szCs w:val="20"/>
          <w:color w:val="231F20"/>
          <w:spacing w:val="-34"/>
          <w:w w:val="71"/>
        </w:rPr>
        <w:t>），</w:t>
      </w:r>
      <w:r>
        <w:rPr>
          <w:sz w:val="20"/>
          <w:szCs w:val="20"/>
          <w:color w:val="231F20"/>
          <w:spacing w:val="-10"/>
        </w:rPr>
        <w:t>3 次/d。实验组在对照组的基础</w:t>
      </w:r>
      <w:r>
        <w:rPr>
          <w:sz w:val="20"/>
          <w:szCs w:val="20"/>
          <w:color w:val="231F20"/>
        </w:rPr>
        <w:t xml:space="preserve">  </w:t>
      </w:r>
      <w:r>
        <w:rPr>
          <w:sz w:val="20"/>
          <w:szCs w:val="20"/>
          <w:color w:val="231F20"/>
          <w:spacing w:val="-8"/>
        </w:rPr>
        <w:t>上给予妇科千金胶囊治疗，2 粒/次（0.4</w:t>
      </w:r>
      <w:r>
        <w:rPr>
          <w:sz w:val="20"/>
          <w:szCs w:val="20"/>
          <w:color w:val="231F20"/>
          <w:spacing w:val="24"/>
        </w:rPr>
        <w:t xml:space="preserve"> </w:t>
      </w:r>
      <w:r>
        <w:rPr>
          <w:sz w:val="20"/>
          <w:szCs w:val="20"/>
          <w:color w:val="231F20"/>
          <w:spacing w:val="-8"/>
        </w:rPr>
        <w:t>g/粒</w:t>
      </w:r>
      <w:r>
        <w:rPr>
          <w:sz w:val="20"/>
          <w:szCs w:val="20"/>
          <w:color w:val="231F20"/>
          <w:spacing w:val="-36"/>
          <w:w w:val="74"/>
        </w:rPr>
        <w:t>），</w:t>
      </w:r>
      <w:r>
        <w:rPr>
          <w:sz w:val="20"/>
          <w:szCs w:val="20"/>
          <w:color w:val="231F20"/>
          <w:spacing w:val="-8"/>
        </w:rPr>
        <w:t>3 次/d。</w:t>
      </w:r>
      <w:r>
        <w:rPr>
          <w:sz w:val="20"/>
          <w:szCs w:val="20"/>
          <w:color w:val="231F20"/>
        </w:rPr>
        <w:t xml:space="preserve"> </w:t>
      </w:r>
      <w:r>
        <w:rPr>
          <w:sz w:val="20"/>
          <w:szCs w:val="20"/>
          <w:color w:val="231F20"/>
          <w:spacing w:val="-2"/>
        </w:rPr>
        <w:t>两组均持续治疗</w:t>
      </w:r>
      <w:r>
        <w:rPr>
          <w:sz w:val="20"/>
          <w:szCs w:val="20"/>
          <w:color w:val="231F20"/>
          <w:spacing w:val="26"/>
          <w:w w:val="101"/>
        </w:rPr>
        <w:t xml:space="preserve"> </w:t>
      </w:r>
      <w:r>
        <w:rPr>
          <w:sz w:val="20"/>
          <w:szCs w:val="20"/>
          <w:color w:val="231F20"/>
          <w:spacing w:val="-2"/>
        </w:rPr>
        <w:t>14</w:t>
      </w:r>
      <w:r>
        <w:rPr>
          <w:sz w:val="20"/>
          <w:szCs w:val="20"/>
          <w:color w:val="231F20"/>
          <w:spacing w:val="17"/>
          <w:w w:val="101"/>
        </w:rPr>
        <w:t xml:space="preserve"> </w:t>
      </w:r>
      <w:r>
        <w:rPr>
          <w:sz w:val="20"/>
          <w:szCs w:val="20"/>
          <w:color w:val="231F20"/>
          <w:spacing w:val="-2"/>
        </w:rPr>
        <w:t>d 为</w:t>
      </w:r>
      <w:r>
        <w:rPr>
          <w:sz w:val="20"/>
          <w:szCs w:val="20"/>
          <w:color w:val="231F20"/>
          <w:spacing w:val="16"/>
          <w:w w:val="101"/>
        </w:rPr>
        <w:t xml:space="preserve"> </w:t>
      </w:r>
      <w:r>
        <w:rPr>
          <w:sz w:val="20"/>
          <w:szCs w:val="20"/>
          <w:color w:val="231F20"/>
          <w:spacing w:val="-2"/>
        </w:rPr>
        <w:t>1 个疗程。</w:t>
      </w:r>
    </w:p>
    <w:p>
      <w:pPr>
        <w:pStyle w:val="BodyText"/>
        <w:ind w:left="1" w:right="75" w:firstLine="9"/>
        <w:spacing w:before="45" w:line="210" w:lineRule="auto"/>
        <w:rPr>
          <w:sz w:val="20"/>
          <w:szCs w:val="20"/>
        </w:rPr>
      </w:pPr>
      <w:r>
        <w:rPr>
          <w:sz w:val="20"/>
          <w:szCs w:val="20"/>
          <w:color w:val="231F20"/>
          <w:spacing w:val="15"/>
        </w:rPr>
        <w:t>1.3   评价指标    本研究通过对两组患者治疗后疗</w:t>
      </w:r>
      <w:r>
        <w:rPr>
          <w:sz w:val="20"/>
          <w:szCs w:val="20"/>
          <w:color w:val="231F20"/>
          <w:spacing w:val="11"/>
        </w:rPr>
        <w:t xml:space="preserve"> </w:t>
      </w:r>
      <w:r>
        <w:rPr>
          <w:sz w:val="20"/>
          <w:szCs w:val="20"/>
          <w:color w:val="231F20"/>
          <w:spacing w:val="1"/>
        </w:rPr>
        <w:t>效、血清炎性因子指标进行评估。</w:t>
      </w:r>
    </w:p>
    <w:p>
      <w:pPr>
        <w:pStyle w:val="BodyText"/>
        <w:ind w:firstLine="10"/>
        <w:spacing w:before="61" w:line="227" w:lineRule="auto"/>
        <w:rPr>
          <w:sz w:val="20"/>
          <w:szCs w:val="20"/>
        </w:rPr>
      </w:pPr>
      <w:r>
        <w:rPr>
          <w:sz w:val="20"/>
          <w:szCs w:val="20"/>
          <w:color w:val="231F20"/>
          <w:spacing w:val="4"/>
        </w:rPr>
        <w:t>1.3.1   疗效    记录比较两组患者</w:t>
      </w:r>
      <w:r>
        <w:rPr>
          <w:sz w:val="20"/>
          <w:szCs w:val="20"/>
          <w:color w:val="231F20"/>
          <w:spacing w:val="3"/>
        </w:rPr>
        <w:t>治疗后疗效</w:t>
      </w:r>
      <w:r>
        <w:rPr>
          <w:sz w:val="20"/>
          <w:szCs w:val="20"/>
          <w:color w:val="231F20"/>
          <w:spacing w:val="-33"/>
        </w:rPr>
        <w:t xml:space="preserve"> </w:t>
      </w:r>
      <w:r>
        <w:rPr>
          <w:sz w:val="20"/>
          <w:szCs w:val="20"/>
          <w:color w:val="231F20"/>
          <w:spacing w:val="3"/>
        </w:rPr>
        <w:t>。显效：</w:t>
      </w:r>
      <w:r>
        <w:rPr>
          <w:sz w:val="20"/>
          <w:szCs w:val="20"/>
          <w:color w:val="231F20"/>
        </w:rPr>
        <w:t xml:space="preserve"> </w:t>
      </w:r>
      <w:r>
        <w:rPr>
          <w:sz w:val="20"/>
          <w:szCs w:val="20"/>
          <w:color w:val="231F20"/>
          <w:spacing w:val="3"/>
        </w:rPr>
        <w:t>患者在治疗后</w:t>
      </w:r>
      <w:r>
        <w:rPr>
          <w:sz w:val="20"/>
          <w:szCs w:val="20"/>
          <w:color w:val="231F20"/>
          <w:spacing w:val="-13"/>
        </w:rPr>
        <w:t xml:space="preserve"> </w:t>
      </w:r>
      <w:r>
        <w:rPr>
          <w:sz w:val="20"/>
          <w:szCs w:val="20"/>
          <w:color w:val="231F20"/>
          <w:spacing w:val="3"/>
        </w:rPr>
        <w:t>，</w:t>
      </w:r>
      <w:r>
        <w:rPr>
          <w:sz w:val="20"/>
          <w:szCs w:val="20"/>
          <w:color w:val="231F20"/>
          <w:spacing w:val="-24"/>
        </w:rPr>
        <w:t xml:space="preserve"> </w:t>
      </w:r>
      <w:r>
        <w:rPr>
          <w:sz w:val="20"/>
          <w:szCs w:val="20"/>
          <w:color w:val="231F20"/>
          <w:spacing w:val="3"/>
        </w:rPr>
        <w:t>白带异常等临床症状完全消失，B 超</w:t>
      </w:r>
      <w:r>
        <w:rPr>
          <w:sz w:val="20"/>
          <w:szCs w:val="20"/>
          <w:color w:val="231F20"/>
        </w:rPr>
        <w:t xml:space="preserve">  </w:t>
      </w:r>
      <w:r>
        <w:rPr>
          <w:sz w:val="20"/>
          <w:szCs w:val="20"/>
          <w:color w:val="231F20"/>
          <w:spacing w:val="-3"/>
        </w:rPr>
        <w:t>检查显示包块、积液均完全消退，且在一周内，炎性因</w:t>
      </w:r>
      <w:r>
        <w:rPr>
          <w:sz w:val="20"/>
          <w:szCs w:val="20"/>
          <w:color w:val="231F20"/>
          <w:spacing w:val="5"/>
        </w:rPr>
        <w:t xml:space="preserve">  </w:t>
      </w:r>
      <w:r>
        <w:rPr>
          <w:sz w:val="20"/>
          <w:szCs w:val="20"/>
          <w:color w:val="231F20"/>
          <w:spacing w:val="-3"/>
        </w:rPr>
        <w:t>子水平恢复正常。有效：患者在治疗后，白带异常等临</w:t>
      </w:r>
      <w:r>
        <w:rPr>
          <w:sz w:val="20"/>
          <w:szCs w:val="20"/>
          <w:color w:val="231F20"/>
          <w:spacing w:val="5"/>
        </w:rPr>
        <w:t xml:space="preserve">  </w:t>
      </w:r>
      <w:r>
        <w:rPr>
          <w:sz w:val="20"/>
          <w:szCs w:val="20"/>
          <w:color w:val="231F20"/>
          <w:spacing w:val="9"/>
        </w:rPr>
        <w:t>床症状得到一定程度的缓解，B 超检查也显示包块、</w:t>
      </w:r>
      <w:r>
        <w:rPr>
          <w:sz w:val="20"/>
          <w:szCs w:val="20"/>
          <w:color w:val="231F20"/>
          <w:spacing w:val="13"/>
        </w:rPr>
        <w:t xml:space="preserve"> </w:t>
      </w:r>
      <w:r>
        <w:rPr>
          <w:sz w:val="20"/>
          <w:szCs w:val="20"/>
          <w:color w:val="231F20"/>
          <w:spacing w:val="6"/>
        </w:rPr>
        <w:t>积液有所改善，且在两周内，炎性因子水平恢复到了</w:t>
      </w:r>
      <w:r>
        <w:rPr>
          <w:sz w:val="20"/>
          <w:szCs w:val="20"/>
          <w:color w:val="231F20"/>
        </w:rPr>
        <w:t xml:space="preserve">  </w:t>
      </w:r>
      <w:r>
        <w:rPr>
          <w:sz w:val="20"/>
          <w:szCs w:val="20"/>
          <w:color w:val="231F20"/>
          <w:spacing w:val="-3"/>
        </w:rPr>
        <w:t>正常状态。无效：患者在接受治疗后，白带异常等临床</w:t>
      </w:r>
      <w:r>
        <w:rPr>
          <w:sz w:val="20"/>
          <w:szCs w:val="20"/>
          <w:color w:val="231F20"/>
          <w:spacing w:val="5"/>
        </w:rPr>
        <w:t xml:space="preserve">  </w:t>
      </w:r>
      <w:r>
        <w:rPr>
          <w:sz w:val="20"/>
          <w:szCs w:val="20"/>
          <w:color w:val="231F20"/>
          <w:spacing w:val="5"/>
        </w:rPr>
        <w:t>症状并未消失</w:t>
      </w:r>
      <w:r>
        <w:rPr>
          <w:sz w:val="20"/>
          <w:szCs w:val="20"/>
          <w:color w:val="231F20"/>
          <w:spacing w:val="-21"/>
        </w:rPr>
        <w:t xml:space="preserve"> </w:t>
      </w:r>
      <w:r>
        <w:rPr>
          <w:sz w:val="20"/>
          <w:szCs w:val="20"/>
          <w:color w:val="231F20"/>
          <w:spacing w:val="5"/>
        </w:rPr>
        <w:t>，甚至可能有所加重，B 超</w:t>
      </w:r>
      <w:r>
        <w:rPr>
          <w:sz w:val="20"/>
          <w:szCs w:val="20"/>
          <w:color w:val="231F20"/>
          <w:spacing w:val="4"/>
        </w:rPr>
        <w:t>检查也显示</w:t>
      </w:r>
      <w:r>
        <w:rPr>
          <w:sz w:val="20"/>
          <w:szCs w:val="20"/>
          <w:color w:val="231F20"/>
        </w:rPr>
        <w:t xml:space="preserve">  </w:t>
      </w:r>
      <w:r>
        <w:rPr>
          <w:sz w:val="20"/>
          <w:szCs w:val="20"/>
          <w:color w:val="231F20"/>
          <w:spacing w:val="-5"/>
        </w:rPr>
        <w:t>包块、积液情况没有改变，甚至可能有所增加</w:t>
      </w:r>
      <w:r>
        <w:rPr>
          <w:sz w:val="10"/>
          <w:szCs w:val="10"/>
          <w:color w:val="231F20"/>
          <w:spacing w:val="-5"/>
          <w:position w:val="7"/>
        </w:rPr>
        <w:t>［</w:t>
      </w:r>
      <w:r>
        <w:rPr>
          <w:sz w:val="11"/>
          <w:szCs w:val="11"/>
          <w:color w:val="231F20"/>
          <w:spacing w:val="-5"/>
          <w:position w:val="7"/>
        </w:rPr>
        <w:t>10</w:t>
      </w:r>
      <w:r>
        <w:rPr>
          <w:sz w:val="10"/>
          <w:szCs w:val="10"/>
          <w:color w:val="231F20"/>
          <w:spacing w:val="-5"/>
          <w:position w:val="7"/>
        </w:rPr>
        <w:t>］</w:t>
      </w:r>
      <w:r>
        <w:rPr>
          <w:sz w:val="20"/>
          <w:szCs w:val="20"/>
          <w:color w:val="231F20"/>
          <w:spacing w:val="-5"/>
        </w:rPr>
        <w:t>。</w:t>
      </w:r>
    </w:p>
    <w:p>
      <w:pPr>
        <w:pStyle w:val="BodyText"/>
        <w:ind w:right="12" w:firstLine="10"/>
        <w:spacing w:before="57" w:line="227" w:lineRule="auto"/>
        <w:rPr>
          <w:sz w:val="20"/>
          <w:szCs w:val="20"/>
        </w:rPr>
      </w:pPr>
      <w:r>
        <w:rPr>
          <w:sz w:val="20"/>
          <w:szCs w:val="20"/>
          <w:color w:val="231F20"/>
          <w:spacing w:val="9"/>
        </w:rPr>
        <w:t>1.3.2   血清炎性因子指标    记录比较两组</w:t>
      </w:r>
      <w:r>
        <w:rPr>
          <w:sz w:val="20"/>
          <w:szCs w:val="20"/>
          <w:color w:val="231F20"/>
          <w:spacing w:val="8"/>
        </w:rPr>
        <w:t>患者血清</w:t>
      </w:r>
      <w:r>
        <w:rPr>
          <w:sz w:val="20"/>
          <w:szCs w:val="20"/>
          <w:color w:val="231F20"/>
        </w:rPr>
        <w:t xml:space="preserve">  </w:t>
      </w:r>
      <w:r>
        <w:rPr>
          <w:sz w:val="20"/>
          <w:szCs w:val="20"/>
          <w:color w:val="231F20"/>
          <w:spacing w:val="-8"/>
        </w:rPr>
        <w:t>炎性因子指标。包括白细胞介素-6（IL-6</w:t>
      </w:r>
      <w:r>
        <w:rPr>
          <w:sz w:val="20"/>
          <w:szCs w:val="20"/>
          <w:color w:val="231F20"/>
          <w:spacing w:val="-9"/>
        </w:rPr>
        <w:t>）、肿瘤坏死因</w:t>
      </w:r>
      <w:r>
        <w:rPr>
          <w:sz w:val="20"/>
          <w:szCs w:val="20"/>
          <w:color w:val="231F20"/>
        </w:rPr>
        <w:t xml:space="preserve">  </w:t>
      </w:r>
      <w:r>
        <w:rPr>
          <w:sz w:val="20"/>
          <w:szCs w:val="20"/>
          <w:color w:val="231F20"/>
          <w:spacing w:val="-6"/>
        </w:rPr>
        <w:t>子-α（TNF-α)和 C 反应蛋白（CRP）。分别采</w:t>
      </w:r>
      <w:r>
        <w:rPr>
          <w:sz w:val="20"/>
          <w:szCs w:val="20"/>
          <w:color w:val="231F20"/>
          <w:spacing w:val="-7"/>
        </w:rPr>
        <w:t>集治疗前</w:t>
      </w:r>
      <w:r>
        <w:rPr>
          <w:sz w:val="20"/>
          <w:szCs w:val="20"/>
          <w:color w:val="231F20"/>
        </w:rPr>
        <w:t xml:space="preserve">  </w:t>
      </w:r>
      <w:r>
        <w:rPr>
          <w:sz w:val="20"/>
          <w:szCs w:val="20"/>
          <w:color w:val="231F20"/>
          <w:spacing w:val="-16"/>
        </w:rPr>
        <w:t>后空腹静脉血 6 ml，血液样本以</w:t>
      </w:r>
      <w:r>
        <w:rPr>
          <w:sz w:val="20"/>
          <w:szCs w:val="20"/>
          <w:color w:val="231F20"/>
          <w:spacing w:val="-7"/>
        </w:rPr>
        <w:t xml:space="preserve"> </w:t>
      </w:r>
      <w:r>
        <w:rPr>
          <w:sz w:val="20"/>
          <w:szCs w:val="20"/>
          <w:color w:val="231F20"/>
          <w:spacing w:val="-16"/>
        </w:rPr>
        <w:t>3</w:t>
      </w:r>
      <w:r>
        <w:rPr>
          <w:sz w:val="20"/>
          <w:szCs w:val="20"/>
          <w:color w:val="231F20"/>
          <w:spacing w:val="-14"/>
        </w:rPr>
        <w:t xml:space="preserve"> </w:t>
      </w:r>
      <w:r>
        <w:rPr>
          <w:sz w:val="20"/>
          <w:szCs w:val="20"/>
          <w:color w:val="231F20"/>
          <w:spacing w:val="-16"/>
        </w:rPr>
        <w:t>000</w:t>
      </w:r>
      <w:r>
        <w:rPr>
          <w:sz w:val="20"/>
          <w:szCs w:val="20"/>
          <w:color w:val="231F20"/>
          <w:spacing w:val="-14"/>
        </w:rPr>
        <w:t xml:space="preserve"> </w:t>
      </w:r>
      <w:r>
        <w:rPr>
          <w:sz w:val="20"/>
          <w:szCs w:val="20"/>
          <w:color w:val="231F20"/>
          <w:spacing w:val="-16"/>
        </w:rPr>
        <w:t>r/min</w:t>
      </w:r>
      <w:r>
        <w:rPr>
          <w:sz w:val="20"/>
          <w:szCs w:val="20"/>
          <w:color w:val="231F20"/>
          <w:spacing w:val="-12"/>
        </w:rPr>
        <w:t xml:space="preserve"> </w:t>
      </w:r>
      <w:r>
        <w:rPr>
          <w:sz w:val="20"/>
          <w:szCs w:val="20"/>
          <w:color w:val="231F20"/>
          <w:spacing w:val="-16"/>
        </w:rPr>
        <w:t>离心 10 min，</w:t>
      </w:r>
      <w:r>
        <w:rPr>
          <w:sz w:val="20"/>
          <w:szCs w:val="20"/>
          <w:color w:val="231F20"/>
        </w:rPr>
        <w:t xml:space="preserve"> </w:t>
      </w:r>
      <w:r>
        <w:rPr>
          <w:sz w:val="20"/>
          <w:szCs w:val="20"/>
          <w:color w:val="231F20"/>
          <w:spacing w:val="5"/>
        </w:rPr>
        <w:t>分离血清，取上层清液</w:t>
      </w:r>
      <w:r>
        <w:rPr>
          <w:sz w:val="20"/>
          <w:szCs w:val="20"/>
          <w:color w:val="231F20"/>
          <w:spacing w:val="-34"/>
        </w:rPr>
        <w:t xml:space="preserve"> </w:t>
      </w:r>
      <w:r>
        <w:rPr>
          <w:sz w:val="20"/>
          <w:szCs w:val="20"/>
          <w:color w:val="231F20"/>
          <w:spacing w:val="5"/>
        </w:rPr>
        <w:t>。采用酶联免疫吸附法检</w:t>
      </w:r>
      <w:r>
        <w:rPr>
          <w:sz w:val="20"/>
          <w:szCs w:val="20"/>
          <w:color w:val="231F20"/>
          <w:spacing w:val="4"/>
        </w:rPr>
        <w:t>测血</w:t>
      </w:r>
      <w:r>
        <w:rPr>
          <w:sz w:val="20"/>
          <w:szCs w:val="20"/>
          <w:color w:val="231F20"/>
        </w:rPr>
        <w:t xml:space="preserve">  </w:t>
      </w:r>
      <w:r>
        <w:rPr>
          <w:sz w:val="20"/>
          <w:szCs w:val="20"/>
          <w:color w:val="231F20"/>
          <w:spacing w:val="-2"/>
        </w:rPr>
        <w:t>清中 IL-6、TNF-α 和 CRP</w:t>
      </w:r>
      <w:r>
        <w:rPr>
          <w:sz w:val="20"/>
          <w:szCs w:val="20"/>
          <w:color w:val="231F20"/>
          <w:spacing w:val="19"/>
        </w:rPr>
        <w:t xml:space="preserve"> </w:t>
      </w:r>
      <w:r>
        <w:rPr>
          <w:sz w:val="20"/>
          <w:szCs w:val="20"/>
          <w:color w:val="231F20"/>
          <w:spacing w:val="-2"/>
        </w:rPr>
        <w:t>的水平。</w:t>
      </w:r>
    </w:p>
    <w:p>
      <w:pPr>
        <w:pStyle w:val="BodyText"/>
        <w:ind w:right="12" w:firstLine="11"/>
        <w:spacing w:before="42" w:line="218" w:lineRule="auto"/>
        <w:rPr>
          <w:sz w:val="20"/>
          <w:szCs w:val="20"/>
        </w:rPr>
      </w:pPr>
      <w:r>
        <w:rPr>
          <w:sz w:val="20"/>
          <w:szCs w:val="20"/>
          <w:color w:val="231F20"/>
          <w:spacing w:val="9"/>
        </w:rPr>
        <w:t>1.3.3   不良反应发生率    记录比较两组患</w:t>
      </w:r>
      <w:r>
        <w:rPr>
          <w:sz w:val="20"/>
          <w:szCs w:val="20"/>
          <w:color w:val="231F20"/>
          <w:spacing w:val="8"/>
        </w:rPr>
        <w:t>者不良反</w:t>
      </w:r>
      <w:r>
        <w:rPr>
          <w:sz w:val="20"/>
          <w:szCs w:val="20"/>
          <w:color w:val="231F20"/>
        </w:rPr>
        <w:t xml:space="preserve">  </w:t>
      </w:r>
      <w:r>
        <w:rPr>
          <w:sz w:val="20"/>
          <w:szCs w:val="20"/>
          <w:color w:val="231F20"/>
          <w:spacing w:val="-8"/>
        </w:rPr>
        <w:t>应发生情况，包括恶心、食欲不振、呕吐、皮疹、失眠，</w:t>
      </w:r>
      <w:r>
        <w:rPr>
          <w:sz w:val="20"/>
          <w:szCs w:val="20"/>
          <w:color w:val="231F20"/>
          <w:spacing w:val="2"/>
        </w:rPr>
        <w:t xml:space="preserve"> </w:t>
      </w:r>
      <w:r>
        <w:rPr>
          <w:sz w:val="20"/>
          <w:szCs w:val="20"/>
          <w:color w:val="231F20"/>
          <w:spacing w:val="8"/>
        </w:rPr>
        <w:t>并统计总发生率。</w:t>
      </w:r>
    </w:p>
    <w:p>
      <w:pPr>
        <w:pStyle w:val="BodyText"/>
        <w:ind w:right="75" w:firstLine="10"/>
        <w:spacing w:before="61" w:line="232" w:lineRule="auto"/>
        <w:jc w:val="both"/>
        <w:rPr>
          <w:sz w:val="20"/>
          <w:szCs w:val="20"/>
        </w:rPr>
      </w:pPr>
      <w:r>
        <w:pict>
          <v:shape id="_x0000_s6" style="position:absolute;margin-left:176.446pt;margin-top:37.491pt;mso-position-vertical-relative:text;mso-position-horizontal-relative:text;width:4.15pt;height:0.15pt;z-index:-251656192;" filled="false" strokecolor="#231F20" strokeweight="0.14pt" coordsize="83,3" coordorigin="0,0" path="m0,1l82,1e">
            <v:stroke joinstyle="miter" miterlimit="10"/>
          </v:shape>
        </w:pict>
      </w:r>
      <w:r>
        <w:rPr>
          <w:sz w:val="20"/>
          <w:szCs w:val="20"/>
          <w:color w:val="231F20"/>
        </w:rPr>
        <w:t>1.4</w:t>
      </w:r>
      <w:r>
        <w:rPr>
          <w:sz w:val="20"/>
          <w:szCs w:val="20"/>
          <w:color w:val="231F20"/>
          <w:spacing w:val="13"/>
        </w:rPr>
        <w:t xml:space="preserve">   </w:t>
      </w:r>
      <w:r>
        <w:rPr>
          <w:sz w:val="20"/>
          <w:szCs w:val="20"/>
          <w:color w:val="231F20"/>
        </w:rPr>
        <w:t>统计学处理</w:t>
      </w:r>
      <w:r>
        <w:rPr>
          <w:sz w:val="20"/>
          <w:szCs w:val="20"/>
          <w:color w:val="231F20"/>
          <w:spacing w:val="17"/>
        </w:rPr>
        <w:t xml:space="preserve">   </w:t>
      </w:r>
      <w:r>
        <w:rPr>
          <w:sz w:val="20"/>
          <w:szCs w:val="20"/>
          <w:color w:val="231F20"/>
        </w:rPr>
        <w:t>将统计数据录入 Excel（</w:t>
      </w:r>
      <w:r>
        <w:rPr>
          <w:sz w:val="20"/>
          <w:szCs w:val="20"/>
          <w:color w:val="231F20"/>
          <w:spacing w:val="-1"/>
        </w:rPr>
        <w:t>2010）表</w:t>
      </w:r>
      <w:r>
        <w:rPr>
          <w:sz w:val="20"/>
          <w:szCs w:val="20"/>
          <w:color w:val="231F20"/>
        </w:rPr>
        <w:t xml:space="preserve"> </w:t>
      </w:r>
      <w:r>
        <w:rPr>
          <w:sz w:val="20"/>
          <w:szCs w:val="20"/>
          <w:color w:val="231F20"/>
        </w:rPr>
        <w:t>格中</w:t>
      </w:r>
      <w:r>
        <w:rPr>
          <w:sz w:val="20"/>
          <w:szCs w:val="20"/>
          <w:color w:val="231F20"/>
          <w:spacing w:val="-8"/>
        </w:rPr>
        <w:t xml:space="preserve"> </w:t>
      </w:r>
      <w:r>
        <w:rPr>
          <w:sz w:val="20"/>
          <w:szCs w:val="20"/>
          <w:color w:val="231F20"/>
        </w:rPr>
        <w:t>，通过 SPSS</w:t>
      </w:r>
      <w:r>
        <w:rPr>
          <w:sz w:val="20"/>
          <w:szCs w:val="20"/>
          <w:color w:val="231F20"/>
          <w:spacing w:val="17"/>
          <w:w w:val="101"/>
        </w:rPr>
        <w:t xml:space="preserve"> </w:t>
      </w:r>
      <w:r>
        <w:rPr>
          <w:sz w:val="20"/>
          <w:szCs w:val="20"/>
          <w:color w:val="231F20"/>
        </w:rPr>
        <w:t>22.0 软件进行分析计算</w:t>
      </w:r>
      <w:r>
        <w:rPr>
          <w:sz w:val="20"/>
          <w:szCs w:val="20"/>
          <w:color w:val="231F20"/>
          <w:spacing w:val="-36"/>
        </w:rPr>
        <w:t xml:space="preserve"> </w:t>
      </w:r>
      <w:r>
        <w:rPr>
          <w:sz w:val="20"/>
          <w:szCs w:val="20"/>
          <w:color w:val="231F20"/>
        </w:rPr>
        <w:t>。计量数据 </w:t>
      </w:r>
      <w:r>
        <w:rPr>
          <w:sz w:val="20"/>
          <w:szCs w:val="20"/>
          <w:color w:val="231F20"/>
          <w:spacing w:val="-10"/>
        </w:rPr>
        <w:t>资料（年龄、病程、血清性炎性因子）用 </w:t>
      </w:r>
      <w:r>
        <w:rPr>
          <w:sz w:val="20"/>
          <w:szCs w:val="20"/>
          <w:color w:val="231F20"/>
          <w:spacing w:val="-10"/>
        </w:rPr>
        <w:t>x</w:t>
      </w:r>
      <w:r>
        <w:rPr>
          <w:sz w:val="20"/>
          <w:szCs w:val="20"/>
          <w:color w:val="231F20"/>
          <w:spacing w:val="-25"/>
        </w:rPr>
        <w:t xml:space="preserve"> </w:t>
      </w:r>
      <w:r>
        <w:rPr>
          <w:sz w:val="20"/>
          <w:szCs w:val="20"/>
          <w:color w:val="231F20"/>
          <w:spacing w:val="-10"/>
        </w:rPr>
        <w:t>±s 表示，t 检</w:t>
      </w:r>
      <w:r>
        <w:rPr>
          <w:sz w:val="20"/>
          <w:szCs w:val="20"/>
          <w:color w:val="231F20"/>
        </w:rPr>
        <w:t xml:space="preserve"> </w:t>
      </w:r>
      <w:r>
        <w:rPr>
          <w:sz w:val="20"/>
          <w:szCs w:val="20"/>
          <w:color w:val="231F20"/>
          <w:spacing w:val="-11"/>
        </w:rPr>
        <w:t>验；计数数据资料（婚姻情况、疾病类型、疗效、不良反</w:t>
      </w:r>
      <w:r>
        <w:rPr>
          <w:sz w:val="20"/>
          <w:szCs w:val="20"/>
          <w:color w:val="231F20"/>
          <w:spacing w:val="13"/>
        </w:rPr>
        <w:t xml:space="preserve"> </w:t>
      </w:r>
      <w:r>
        <w:rPr>
          <w:sz w:val="20"/>
          <w:szCs w:val="20"/>
          <w:color w:val="231F20"/>
          <w:spacing w:val="-14"/>
          <w:w w:val="98"/>
        </w:rPr>
        <w:t>应）用例（%）表示，卡方(χ</w:t>
      </w:r>
      <w:r>
        <w:rPr>
          <w:sz w:val="11"/>
          <w:szCs w:val="11"/>
          <w:color w:val="231F20"/>
          <w:spacing w:val="-14"/>
          <w:w w:val="98"/>
          <w:position w:val="7"/>
        </w:rPr>
        <w:t>2</w:t>
      </w:r>
      <w:r>
        <w:rPr>
          <w:sz w:val="20"/>
          <w:szCs w:val="20"/>
          <w:color w:val="231F20"/>
          <w:spacing w:val="-10"/>
        </w:rPr>
        <w:t>）检验，P&lt;0.05 表示差异具</w:t>
      </w:r>
      <w:r>
        <w:rPr>
          <w:sz w:val="20"/>
          <w:szCs w:val="20"/>
          <w:color w:val="231F20"/>
          <w:spacing w:val="5"/>
        </w:rPr>
        <w:t xml:space="preserve"> </w:t>
      </w:r>
      <w:r>
        <w:rPr>
          <w:sz w:val="20"/>
          <w:szCs w:val="20"/>
          <w:color w:val="231F20"/>
          <w:spacing w:val="7"/>
        </w:rPr>
        <w:t>有统计学意义。</w:t>
      </w:r>
    </w:p>
    <w:p>
      <w:pPr>
        <w:pStyle w:val="BodyText"/>
        <w:ind w:left="1"/>
        <w:spacing w:before="1" w:line="182" w:lineRule="auto"/>
        <w:rPr>
          <w:sz w:val="20"/>
          <w:szCs w:val="20"/>
        </w:rPr>
      </w:pPr>
      <w:r>
        <w:rPr>
          <w:sz w:val="20"/>
          <w:szCs w:val="20"/>
          <w:color w:val="231F20"/>
          <w:spacing w:val="-4"/>
        </w:rPr>
        <w:t>2</w:t>
      </w:r>
      <w:r>
        <w:rPr>
          <w:sz w:val="20"/>
          <w:szCs w:val="20"/>
          <w:color w:val="231F20"/>
          <w:spacing w:val="15"/>
        </w:rPr>
        <w:t xml:space="preserve">   </w:t>
      </w:r>
      <w:r>
        <w:rPr>
          <w:sz w:val="20"/>
          <w:szCs w:val="20"/>
          <w:color w:val="231F20"/>
          <w:spacing w:val="-4"/>
        </w:rPr>
        <w:t>结果</w:t>
      </w:r>
    </w:p>
    <w:p>
      <w:pPr>
        <w:pStyle w:val="BodyText"/>
        <w:ind w:left="1" w:right="13"/>
        <w:spacing w:before="68" w:line="228" w:lineRule="auto"/>
        <w:rPr>
          <w:sz w:val="20"/>
          <w:szCs w:val="20"/>
        </w:rPr>
      </w:pPr>
      <w:r>
        <w:pict>
          <v:shape id="_x0000_s8" style="position:absolute;margin-left:50.646pt;margin-top:49.9291pt;mso-position-vertical-relative:text;mso-position-horizontal-relative:text;width:3.75pt;height:0.15pt;z-index:-251655168;" filled="false" strokecolor="#231F20" strokeweight="0.14pt" coordsize="75,3" coordorigin="0,0" path="m0,1l74,1e">
            <v:stroke joinstyle="miter" miterlimit="10"/>
          </v:shape>
        </w:pict>
      </w:r>
      <w:r>
        <w:rPr>
          <w:sz w:val="20"/>
          <w:szCs w:val="20"/>
          <w:color w:val="231F20"/>
        </w:rPr>
        <w:t>2.1   两组患者疗效比较    实验组总有效率（95.35%）</w:t>
      </w:r>
      <w:r>
        <w:rPr>
          <w:sz w:val="20"/>
          <w:szCs w:val="20"/>
          <w:color w:val="231F20"/>
          <w:spacing w:val="8"/>
        </w:rPr>
        <w:t xml:space="preserve"> </w:t>
      </w:r>
      <w:r>
        <w:rPr>
          <w:sz w:val="20"/>
          <w:szCs w:val="20"/>
          <w:color w:val="231F20"/>
          <w:spacing w:val="-8"/>
        </w:rPr>
        <w:t>显著高于对照组（74.42%</w:t>
      </w:r>
      <w:r>
        <w:rPr>
          <w:sz w:val="20"/>
          <w:szCs w:val="20"/>
          <w:color w:val="231F20"/>
          <w:spacing w:val="-20"/>
          <w:w w:val="55"/>
        </w:rPr>
        <w:t>）（</w:t>
      </w:r>
      <w:r>
        <w:rPr>
          <w:sz w:val="20"/>
          <w:szCs w:val="20"/>
          <w:color w:val="231F20"/>
          <w:spacing w:val="-8"/>
        </w:rPr>
        <w:t>P&lt;0.05）。见表 2。</w:t>
      </w:r>
    </w:p>
    <w:p>
      <w:pPr>
        <w:spacing w:line="228" w:lineRule="auto"/>
        <w:sectPr>
          <w:type w:val="continuous"/>
          <w:pgSz w:w="11905" w:h="16156"/>
          <w:pgMar w:top="1308" w:right="943" w:bottom="0" w:left="424" w:header="982" w:footer="0" w:gutter="0"/>
          <w:cols w:equalWidth="0" w:num="2">
            <w:col w:w="5621" w:space="100"/>
            <w:col w:w="4817" w:space="0"/>
          </w:cols>
        </w:sectPr>
        <w:rPr>
          <w:sz w:val="20"/>
          <w:szCs w:val="20"/>
        </w:rPr>
      </w:pPr>
    </w:p>
    <w:p>
      <w:pPr>
        <w:pStyle w:val="BodyText"/>
        <w:ind w:left="3948"/>
        <w:spacing w:before="249" w:line="182" w:lineRule="auto"/>
        <w:rPr>
          <w:sz w:val="20"/>
          <w:szCs w:val="20"/>
        </w:rPr>
      </w:pPr>
      <w:r>
        <w:drawing>
          <wp:anchor distT="0" distB="0" distL="0" distR="0" simplePos="0" relativeHeight="251662336" behindDoc="0" locked="0" layoutInCell="1" allowOverlap="1">
            <wp:simplePos x="0" y="0"/>
            <wp:positionH relativeFrom="column">
              <wp:posOffset>378459</wp:posOffset>
            </wp:positionH>
            <wp:positionV relativeFrom="paragraph">
              <wp:posOffset>-7507078</wp:posOffset>
            </wp:positionV>
            <wp:extent cx="6264909" cy="6350"/>
            <wp:effectExtent l="0" t="0" r="0" b="0"/>
            <wp:wrapNone/>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6264909" cy="6350"/>
                    </a:xfrm>
                    <a:prstGeom prst="rect">
                      <a:avLst/>
                    </a:prstGeom>
                  </pic:spPr>
                </pic:pic>
              </a:graphicData>
            </a:graphic>
          </wp:anchor>
        </w:drawing>
      </w:r>
      <w:r>
        <w:rPr>
          <w:sz w:val="20"/>
          <w:szCs w:val="20"/>
          <w:color w:val="231F20"/>
          <w:spacing w:val="-5"/>
        </w:rPr>
        <w:t>表 1    两组患者基线资料比较（</w:t>
      </w:r>
      <w:r>
        <w:rPr>
          <w:sz w:val="20"/>
          <w:szCs w:val="20"/>
          <w:color w:val="231F20"/>
          <w:spacing w:val="-5"/>
        </w:rPr>
        <w:t>x</w:t>
      </w:r>
      <w:r>
        <w:rPr>
          <w:sz w:val="20"/>
          <w:szCs w:val="20"/>
          <w:color w:val="231F20"/>
          <w:spacing w:val="-5"/>
        </w:rPr>
        <w:t>±s）</w:t>
      </w:r>
    </w:p>
    <w:p>
      <w:pPr>
        <w:spacing w:line="85" w:lineRule="exact"/>
        <w:rPr/>
      </w:pPr>
      <w:r/>
    </w:p>
    <w:tbl>
      <w:tblPr>
        <w:tblStyle w:val="TableNormal"/>
        <w:tblW w:w="8895" w:type="dxa"/>
        <w:tblInd w:w="10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63"/>
        <w:gridCol w:w="512"/>
        <w:gridCol w:w="1027"/>
        <w:gridCol w:w="910"/>
        <w:gridCol w:w="867"/>
        <w:gridCol w:w="794"/>
        <w:gridCol w:w="28"/>
        <w:gridCol w:w="85"/>
        <w:gridCol w:w="1038"/>
        <w:gridCol w:w="991"/>
        <w:gridCol w:w="1000"/>
        <w:gridCol w:w="980"/>
      </w:tblGrid>
      <w:tr>
        <w:trPr>
          <w:trHeight w:val="272" w:hRule="atLeast"/>
        </w:trPr>
        <w:tc>
          <w:tcPr>
            <w:tcW w:w="3112" w:type="dxa"/>
            <w:vAlign w:val="top"/>
            <w:gridSpan w:val="4"/>
            <w:vMerge w:val="restart"/>
            <w:tcBorders>
              <w:bottom w:val="nil"/>
              <w:top w:val="single" w:color="231F20" w:sz="6" w:space="0"/>
            </w:tcBorders>
          </w:tcPr>
          <w:p>
            <w:pPr>
              <w:spacing w:line="243" w:lineRule="auto"/>
              <w:rPr>
                <w:rFonts w:ascii="Arial"/>
                <w:sz w:val="21"/>
              </w:rPr>
            </w:pPr>
            <w:r/>
          </w:p>
          <w:p>
            <w:pPr>
              <w:pStyle w:val="TableText"/>
              <w:ind w:left="164"/>
              <w:spacing w:before="65" w:line="198" w:lineRule="auto"/>
              <w:rPr/>
            </w:pPr>
            <w:r>
              <w:rPr>
                <w:color w:val="231F20"/>
                <w:spacing w:val="-4"/>
              </w:rPr>
              <w:t>组别       例数       年龄（岁）       病程（d）</w:t>
            </w:r>
          </w:p>
        </w:tc>
        <w:tc>
          <w:tcPr>
            <w:tcW w:w="1689" w:type="dxa"/>
            <w:vAlign w:val="top"/>
            <w:gridSpan w:val="3"/>
            <w:vMerge w:val="restart"/>
            <w:tcBorders>
              <w:bottom w:val="nil"/>
              <w:top w:val="single" w:color="231F20" w:sz="6" w:space="0"/>
              <w:right w:val="single" w:color="FFFFFF" w:sz="2" w:space="0"/>
            </w:tcBorders>
          </w:tcPr>
          <w:p>
            <w:pPr>
              <w:pStyle w:val="TableText"/>
              <w:ind w:left="261"/>
              <w:spacing w:before="55" w:line="198" w:lineRule="auto"/>
              <w:rPr/>
            </w:pPr>
            <w:r>
              <w:drawing>
                <wp:anchor distT="0" distB="0" distL="0" distR="0" simplePos="0" relativeHeight="251663360" behindDoc="0" locked="0" layoutInCell="1" allowOverlap="1">
                  <wp:simplePos x="0" y="0"/>
                  <wp:positionH relativeFrom="rightMargin">
                    <wp:posOffset>-1050607</wp:posOffset>
                  </wp:positionH>
                  <wp:positionV relativeFrom="topMargin">
                    <wp:posOffset>171899</wp:posOffset>
                  </wp:positionV>
                  <wp:extent cx="1052829" cy="6350"/>
                  <wp:effectExtent l="0" t="0" r="0" b="0"/>
                  <wp:wrapNone/>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052829" cy="6350"/>
                          </a:xfrm>
                          <a:prstGeom prst="rect">
                            <a:avLst/>
                          </a:prstGeom>
                        </pic:spPr>
                      </pic:pic>
                    </a:graphicData>
                  </a:graphic>
                </wp:anchor>
              </w:drawing>
            </w:r>
            <w:r>
              <w:rPr>
                <w:color w:val="231F20"/>
                <w:spacing w:val="-10"/>
                <w:w w:val="98"/>
              </w:rPr>
              <w:t>婚姻情况［例（%</w:t>
            </w:r>
            <w:r>
              <w:rPr>
                <w:color w:val="231F20"/>
                <w:spacing w:val="-26"/>
                <w:w w:val="90"/>
              </w:rPr>
              <w:t>）］</w:t>
            </w:r>
          </w:p>
          <w:p>
            <w:pPr>
              <w:pStyle w:val="TableText"/>
              <w:ind w:left="323"/>
              <w:spacing w:before="183" w:line="192" w:lineRule="auto"/>
              <w:rPr/>
            </w:pPr>
            <w:r>
              <w:rPr>
                <w:color w:val="231F20"/>
                <w:spacing w:val="4"/>
              </w:rPr>
              <w:t>已婚</w:t>
            </w:r>
            <w:r>
              <w:rPr>
                <w:color w:val="231F20"/>
              </w:rPr>
              <w:t xml:space="preserve">            </w:t>
            </w:r>
            <w:r>
              <w:rPr>
                <w:color w:val="231F20"/>
                <w:spacing w:val="4"/>
              </w:rPr>
              <w:t>未婚</w:t>
            </w:r>
          </w:p>
        </w:tc>
        <w:tc>
          <w:tcPr>
            <w:tcW w:w="85" w:type="dxa"/>
            <w:vAlign w:val="top"/>
            <w:tcBorders>
              <w:top w:val="single" w:color="231F20" w:sz="6" w:space="0"/>
              <w:left w:val="single" w:color="FFFFFF" w:sz="2" w:space="0"/>
              <w:right w:val="single" w:color="FFFFFF" w:sz="2" w:space="0"/>
            </w:tcBorders>
          </w:tcPr>
          <w:p>
            <w:pPr>
              <w:rPr>
                <w:rFonts w:ascii="Arial"/>
                <w:sz w:val="21"/>
              </w:rPr>
            </w:pPr>
            <w:r/>
          </w:p>
        </w:tc>
        <w:tc>
          <w:tcPr>
            <w:tcW w:w="4009" w:type="dxa"/>
            <w:vAlign w:val="top"/>
            <w:gridSpan w:val="4"/>
            <w:tcBorders>
              <w:bottom w:val="single" w:color="231F20" w:sz="2" w:space="0"/>
              <w:top w:val="single" w:color="231F20" w:sz="6" w:space="0"/>
              <w:left w:val="single" w:color="FFFFFF" w:sz="2" w:space="0"/>
            </w:tcBorders>
          </w:tcPr>
          <w:p>
            <w:pPr>
              <w:pStyle w:val="TableText"/>
              <w:ind w:left="1361"/>
              <w:spacing w:before="55" w:line="193" w:lineRule="auto"/>
              <w:rPr/>
            </w:pPr>
            <w:r>
              <w:rPr>
                <w:color w:val="231F20"/>
                <w:spacing w:val="-10"/>
                <w:w w:val="98"/>
              </w:rPr>
              <w:t>疾病类型［例（%</w:t>
            </w:r>
            <w:r>
              <w:rPr>
                <w:color w:val="231F20"/>
                <w:spacing w:val="-26"/>
                <w:w w:val="90"/>
              </w:rPr>
              <w:t>）］</w:t>
            </w:r>
          </w:p>
        </w:tc>
      </w:tr>
      <w:tr>
        <w:trPr>
          <w:trHeight w:val="500" w:hRule="atLeast"/>
        </w:trPr>
        <w:tc>
          <w:tcPr>
            <w:tcW w:w="3112" w:type="dxa"/>
            <w:vAlign w:val="top"/>
            <w:gridSpan w:val="4"/>
            <w:vMerge w:val="continue"/>
            <w:tcBorders>
              <w:bottom w:val="single" w:color="231F20" w:sz="2" w:space="0"/>
              <w:top w:val="nil"/>
            </w:tcBorders>
          </w:tcPr>
          <w:p>
            <w:pPr>
              <w:rPr>
                <w:rFonts w:ascii="Arial"/>
                <w:sz w:val="21"/>
              </w:rPr>
            </w:pPr>
            <w:r/>
          </w:p>
        </w:tc>
        <w:tc>
          <w:tcPr>
            <w:tcW w:w="1689" w:type="dxa"/>
            <w:vAlign w:val="top"/>
            <w:gridSpan w:val="3"/>
            <w:vMerge w:val="continue"/>
            <w:tcBorders>
              <w:bottom w:val="single" w:color="231F20" w:sz="2" w:space="0"/>
              <w:top w:val="nil"/>
              <w:right w:val="single" w:color="FFFFFF" w:sz="2" w:space="0"/>
            </w:tcBorders>
          </w:tcPr>
          <w:p>
            <w:pPr>
              <w:rPr>
                <w:rFonts w:ascii="Arial"/>
                <w:sz w:val="21"/>
              </w:rPr>
            </w:pPr>
            <w:r/>
          </w:p>
        </w:tc>
        <w:tc>
          <w:tcPr>
            <w:tcW w:w="85" w:type="dxa"/>
            <w:vAlign w:val="top"/>
            <w:tcBorders>
              <w:bottom w:val="single" w:color="231F20" w:sz="2" w:space="0"/>
              <w:left w:val="single" w:color="FFFFFF" w:sz="2" w:space="0"/>
              <w:right w:val="single" w:color="FFFFFF" w:sz="2" w:space="0"/>
            </w:tcBorders>
          </w:tcPr>
          <w:p>
            <w:pPr>
              <w:rPr>
                <w:rFonts w:ascii="Arial"/>
                <w:sz w:val="21"/>
              </w:rPr>
            </w:pPr>
            <w:r/>
          </w:p>
        </w:tc>
        <w:tc>
          <w:tcPr>
            <w:tcW w:w="1038" w:type="dxa"/>
            <w:vAlign w:val="top"/>
            <w:tcBorders>
              <w:bottom w:val="single" w:color="231F20" w:sz="2" w:space="0"/>
              <w:top w:val="single" w:color="231F20" w:sz="2" w:space="0"/>
              <w:left w:val="single" w:color="FFFFFF" w:sz="2" w:space="0"/>
            </w:tcBorders>
          </w:tcPr>
          <w:p>
            <w:pPr>
              <w:pStyle w:val="TableText"/>
              <w:ind w:left="69"/>
              <w:spacing w:before="63" w:line="192" w:lineRule="auto"/>
              <w:rPr/>
            </w:pPr>
            <w:r>
              <w:rPr>
                <w:color w:val="231F20"/>
                <w:spacing w:val="8"/>
              </w:rPr>
              <w:t>慢性盆腔结缔</w:t>
            </w:r>
          </w:p>
          <w:p>
            <w:pPr>
              <w:pStyle w:val="TableText"/>
              <w:ind w:left="308"/>
              <w:spacing w:before="18" w:line="187" w:lineRule="auto"/>
              <w:rPr/>
            </w:pPr>
            <w:r>
              <w:rPr>
                <w:color w:val="231F20"/>
                <w:spacing w:val="8"/>
              </w:rPr>
              <w:t>组织炎</w:t>
            </w:r>
          </w:p>
        </w:tc>
        <w:tc>
          <w:tcPr>
            <w:tcW w:w="991" w:type="dxa"/>
            <w:vAlign w:val="top"/>
            <w:tcBorders>
              <w:bottom w:val="single" w:color="231F20" w:sz="2" w:space="0"/>
              <w:top w:val="single" w:color="231F20" w:sz="2" w:space="0"/>
            </w:tcBorders>
          </w:tcPr>
          <w:p>
            <w:pPr>
              <w:pStyle w:val="TableText"/>
              <w:ind w:left="137"/>
              <w:spacing w:before="174" w:line="190" w:lineRule="auto"/>
              <w:rPr/>
            </w:pPr>
            <w:r>
              <w:rPr>
                <w:color w:val="231F20"/>
                <w:spacing w:val="8"/>
              </w:rPr>
              <w:t>输卵管积水</w:t>
            </w:r>
          </w:p>
        </w:tc>
        <w:tc>
          <w:tcPr>
            <w:tcW w:w="1000" w:type="dxa"/>
            <w:vAlign w:val="top"/>
            <w:tcBorders>
              <w:bottom w:val="single" w:color="231F20" w:sz="2" w:space="0"/>
              <w:top w:val="single" w:color="231F20" w:sz="2" w:space="0"/>
            </w:tcBorders>
          </w:tcPr>
          <w:p>
            <w:pPr>
              <w:pStyle w:val="TableText"/>
              <w:ind w:left="190" w:right="180" w:firstLine="74"/>
              <w:spacing w:before="63" w:line="199" w:lineRule="auto"/>
              <w:rPr/>
            </w:pPr>
            <w:r>
              <w:rPr>
                <w:color w:val="231F20"/>
                <w:spacing w:val="8"/>
              </w:rPr>
              <w:t>输卵管</w:t>
            </w:r>
            <w:r>
              <w:rPr>
                <w:color w:val="231F20"/>
              </w:rPr>
              <w:t xml:space="preserve">   </w:t>
            </w:r>
            <w:r>
              <w:rPr>
                <w:color w:val="231F20"/>
                <w:spacing w:val="7"/>
              </w:rPr>
              <w:t>卵巢囊肿</w:t>
            </w:r>
          </w:p>
        </w:tc>
        <w:tc>
          <w:tcPr>
            <w:tcW w:w="980" w:type="dxa"/>
            <w:vAlign w:val="top"/>
            <w:tcBorders>
              <w:bottom w:val="single" w:color="231F20" w:sz="2" w:space="0"/>
              <w:top w:val="single" w:color="231F20" w:sz="2" w:space="0"/>
            </w:tcBorders>
          </w:tcPr>
          <w:p>
            <w:pPr>
              <w:pStyle w:val="TableText"/>
              <w:ind w:left="186"/>
              <w:spacing w:before="174" w:line="190" w:lineRule="auto"/>
              <w:rPr/>
            </w:pPr>
            <w:r>
              <w:rPr>
                <w:color w:val="231F20"/>
                <w:spacing w:val="8"/>
              </w:rPr>
              <w:t>输卵管炎</w:t>
            </w:r>
          </w:p>
        </w:tc>
      </w:tr>
      <w:tr>
        <w:trPr>
          <w:trHeight w:val="564" w:hRule="atLeast"/>
        </w:trPr>
        <w:tc>
          <w:tcPr>
            <w:tcW w:w="663" w:type="dxa"/>
            <w:vAlign w:val="top"/>
            <w:tcBorders>
              <w:top w:val="single" w:color="231F20" w:sz="2" w:space="0"/>
              <w:bottom w:val="single" w:color="231F20" w:sz="6" w:space="0"/>
            </w:tcBorders>
          </w:tcPr>
          <w:p>
            <w:pPr>
              <w:pStyle w:val="TableText"/>
              <w:ind w:left="6"/>
              <w:spacing w:before="66" w:line="190" w:lineRule="auto"/>
              <w:rPr/>
            </w:pPr>
            <w:r>
              <w:rPr>
                <w:color w:val="231F20"/>
                <w:spacing w:val="7"/>
              </w:rPr>
              <w:t>实验组</w:t>
            </w:r>
          </w:p>
          <w:p>
            <w:pPr>
              <w:pStyle w:val="TableText"/>
              <w:ind w:left="3"/>
              <w:spacing w:before="78" w:line="191" w:lineRule="auto"/>
              <w:rPr/>
            </w:pPr>
            <w:r>
              <w:rPr>
                <w:color w:val="231F20"/>
                <w:spacing w:val="8"/>
              </w:rPr>
              <w:t>对照组</w:t>
            </w:r>
          </w:p>
        </w:tc>
        <w:tc>
          <w:tcPr>
            <w:tcW w:w="512" w:type="dxa"/>
            <w:vAlign w:val="top"/>
            <w:tcBorders>
              <w:top w:val="single" w:color="231F20" w:sz="2" w:space="0"/>
              <w:bottom w:val="single" w:color="231F20" w:sz="6" w:space="0"/>
            </w:tcBorders>
          </w:tcPr>
          <w:p>
            <w:pPr>
              <w:pStyle w:val="TableText"/>
              <w:ind w:left="192"/>
              <w:spacing w:before="89" w:line="199" w:lineRule="auto"/>
              <w:rPr/>
            </w:pPr>
            <w:r>
              <w:rPr>
                <w:color w:val="231F20"/>
                <w:spacing w:val="-5"/>
              </w:rPr>
              <w:t>45</w:t>
            </w:r>
          </w:p>
          <w:p>
            <w:pPr>
              <w:pStyle w:val="TableText"/>
              <w:ind w:left="192"/>
              <w:spacing w:before="68" w:line="170" w:lineRule="auto"/>
              <w:rPr/>
            </w:pPr>
            <w:r>
              <w:rPr>
                <w:color w:val="231F20"/>
                <w:spacing w:val="-5"/>
              </w:rPr>
              <w:t>45</w:t>
            </w:r>
          </w:p>
        </w:tc>
        <w:tc>
          <w:tcPr>
            <w:tcW w:w="1027" w:type="dxa"/>
            <w:vAlign w:val="top"/>
            <w:tcBorders>
              <w:top w:val="single" w:color="231F20" w:sz="2" w:space="0"/>
              <w:bottom w:val="single" w:color="231F20" w:sz="6" w:space="0"/>
            </w:tcBorders>
          </w:tcPr>
          <w:p>
            <w:pPr>
              <w:pStyle w:val="TableText"/>
              <w:ind w:left="175"/>
              <w:spacing w:before="88" w:line="200" w:lineRule="auto"/>
              <w:rPr/>
            </w:pPr>
            <w:r>
              <w:rPr>
                <w:color w:val="231F20"/>
                <w:spacing w:val="-8"/>
              </w:rPr>
              <w:t>36.73±6.43</w:t>
            </w:r>
          </w:p>
          <w:p>
            <w:pPr>
              <w:pStyle w:val="TableText"/>
              <w:ind w:left="175"/>
              <w:spacing w:before="68" w:line="170" w:lineRule="auto"/>
              <w:rPr/>
            </w:pPr>
            <w:r>
              <w:rPr>
                <w:color w:val="231F20"/>
                <w:spacing w:val="-8"/>
              </w:rPr>
              <w:t>37.09±6.27</w:t>
            </w:r>
          </w:p>
        </w:tc>
        <w:tc>
          <w:tcPr>
            <w:tcW w:w="910" w:type="dxa"/>
            <w:vAlign w:val="top"/>
            <w:tcBorders>
              <w:top w:val="single" w:color="231F20" w:sz="2" w:space="0"/>
              <w:bottom w:val="single" w:color="231F20" w:sz="6" w:space="0"/>
            </w:tcBorders>
          </w:tcPr>
          <w:p>
            <w:pPr>
              <w:pStyle w:val="TableText"/>
              <w:ind w:left="146"/>
              <w:spacing w:before="88" w:line="200" w:lineRule="auto"/>
              <w:rPr/>
            </w:pPr>
            <w:r>
              <w:rPr>
                <w:color w:val="231F20"/>
                <w:spacing w:val="-9"/>
              </w:rPr>
              <w:t>2.47±</w:t>
            </w:r>
            <w:r>
              <w:rPr>
                <w:color w:val="231F20"/>
                <w:spacing w:val="-27"/>
              </w:rPr>
              <w:t xml:space="preserve"> </w:t>
            </w:r>
            <w:r>
              <w:rPr>
                <w:color w:val="231F20"/>
                <w:spacing w:val="-9"/>
              </w:rPr>
              <w:t>1.22</w:t>
            </w:r>
          </w:p>
          <w:p>
            <w:pPr>
              <w:pStyle w:val="TableText"/>
              <w:ind w:left="146"/>
              <w:spacing w:before="68" w:line="170" w:lineRule="auto"/>
              <w:rPr/>
            </w:pPr>
            <w:r>
              <w:rPr>
                <w:color w:val="231F20"/>
                <w:spacing w:val="-9"/>
              </w:rPr>
              <w:t>2.67±</w:t>
            </w:r>
            <w:r>
              <w:rPr>
                <w:color w:val="231F20"/>
                <w:spacing w:val="-27"/>
              </w:rPr>
              <w:t xml:space="preserve"> </w:t>
            </w:r>
            <w:r>
              <w:rPr>
                <w:color w:val="231F20"/>
                <w:spacing w:val="-9"/>
              </w:rPr>
              <w:t>1.15</w:t>
            </w:r>
          </w:p>
        </w:tc>
        <w:tc>
          <w:tcPr>
            <w:tcW w:w="867" w:type="dxa"/>
            <w:vAlign w:val="top"/>
            <w:tcBorders>
              <w:top w:val="single" w:color="231F20" w:sz="2" w:space="0"/>
              <w:bottom w:val="single" w:color="231F20" w:sz="6" w:space="0"/>
            </w:tcBorders>
          </w:tcPr>
          <w:p>
            <w:pPr>
              <w:pStyle w:val="TableText"/>
              <w:spacing w:before="66" w:line="198" w:lineRule="auto"/>
              <w:jc w:val="right"/>
              <w:rPr/>
            </w:pPr>
            <w:r>
              <w:rPr>
                <w:color w:val="231F20"/>
                <w:spacing w:val="-11"/>
                <w:w w:val="94"/>
              </w:rPr>
              <w:t>20（44.44）</w:t>
            </w:r>
          </w:p>
          <w:p>
            <w:pPr>
              <w:pStyle w:val="TableText"/>
              <w:spacing w:before="71" w:line="190" w:lineRule="auto"/>
              <w:jc w:val="right"/>
              <w:rPr/>
            </w:pPr>
            <w:r>
              <w:rPr>
                <w:color w:val="231F20"/>
                <w:spacing w:val="-18"/>
              </w:rPr>
              <w:t>19（42.22）</w:t>
            </w:r>
          </w:p>
        </w:tc>
        <w:tc>
          <w:tcPr>
            <w:tcW w:w="794" w:type="dxa"/>
            <w:vAlign w:val="top"/>
            <w:tcBorders>
              <w:top w:val="single" w:color="231F20" w:sz="2" w:space="0"/>
              <w:bottom w:val="single" w:color="231F20" w:sz="6" w:space="0"/>
            </w:tcBorders>
          </w:tcPr>
          <w:p>
            <w:pPr>
              <w:pStyle w:val="TableText"/>
              <w:spacing w:before="66" w:line="198" w:lineRule="auto"/>
              <w:jc w:val="right"/>
              <w:rPr/>
            </w:pPr>
            <w:r>
              <w:rPr>
                <w:color w:val="231F20"/>
                <w:spacing w:val="-20"/>
                <w:w w:val="99"/>
              </w:rPr>
              <w:t>25（55.56）</w:t>
            </w:r>
          </w:p>
          <w:p>
            <w:pPr>
              <w:pStyle w:val="TableText"/>
              <w:spacing w:before="71" w:line="190" w:lineRule="auto"/>
              <w:jc w:val="right"/>
              <w:rPr/>
            </w:pPr>
            <w:r>
              <w:rPr>
                <w:color w:val="231F20"/>
                <w:spacing w:val="-17"/>
                <w:w w:val="96"/>
              </w:rPr>
              <w:t>26（57.78）</w:t>
            </w:r>
          </w:p>
        </w:tc>
        <w:tc>
          <w:tcPr>
            <w:tcW w:w="1151" w:type="dxa"/>
            <w:vAlign w:val="top"/>
            <w:gridSpan w:val="3"/>
            <w:tcBorders>
              <w:top w:val="single" w:color="231F20" w:sz="2" w:space="0"/>
              <w:bottom w:val="single" w:color="231F20" w:sz="6" w:space="0"/>
            </w:tcBorders>
          </w:tcPr>
          <w:p>
            <w:pPr>
              <w:pStyle w:val="TableText"/>
              <w:ind w:left="339"/>
              <w:spacing w:before="66" w:line="198" w:lineRule="auto"/>
              <w:rPr/>
            </w:pPr>
            <w:r>
              <w:rPr>
                <w:color w:val="231F20"/>
                <w:spacing w:val="-16"/>
              </w:rPr>
              <w:t>15（33.33）</w:t>
            </w:r>
          </w:p>
          <w:p>
            <w:pPr>
              <w:pStyle w:val="TableText"/>
              <w:ind w:left="339"/>
              <w:spacing w:before="71" w:line="190" w:lineRule="auto"/>
              <w:rPr/>
            </w:pPr>
            <w:r>
              <w:rPr>
                <w:color w:val="231F20"/>
                <w:spacing w:val="-16"/>
              </w:rPr>
              <w:t>13（28.89）</w:t>
            </w:r>
          </w:p>
        </w:tc>
        <w:tc>
          <w:tcPr>
            <w:tcW w:w="991" w:type="dxa"/>
            <w:vAlign w:val="top"/>
            <w:tcBorders>
              <w:top w:val="single" w:color="231F20" w:sz="2" w:space="0"/>
              <w:bottom w:val="single" w:color="231F20" w:sz="6" w:space="0"/>
            </w:tcBorders>
          </w:tcPr>
          <w:p>
            <w:pPr>
              <w:pStyle w:val="TableText"/>
              <w:ind w:left="212"/>
              <w:spacing w:before="66" w:line="198" w:lineRule="auto"/>
              <w:rPr/>
            </w:pPr>
            <w:r>
              <w:rPr>
                <w:color w:val="231F20"/>
                <w:spacing w:val="-16"/>
              </w:rPr>
              <w:t>12（26.67）</w:t>
            </w:r>
          </w:p>
          <w:p>
            <w:pPr>
              <w:pStyle w:val="TableText"/>
              <w:ind w:left="212"/>
              <w:spacing w:before="71" w:line="190" w:lineRule="auto"/>
              <w:rPr/>
            </w:pPr>
            <w:r>
              <w:rPr>
                <w:color w:val="231F20"/>
                <w:spacing w:val="-16"/>
              </w:rPr>
              <w:t>10（22.22）</w:t>
            </w:r>
          </w:p>
        </w:tc>
        <w:tc>
          <w:tcPr>
            <w:tcW w:w="1000" w:type="dxa"/>
            <w:vAlign w:val="top"/>
            <w:tcBorders>
              <w:top w:val="single" w:color="231F20" w:sz="2" w:space="0"/>
              <w:bottom w:val="single" w:color="231F20" w:sz="6" w:space="0"/>
            </w:tcBorders>
          </w:tcPr>
          <w:p>
            <w:pPr>
              <w:pStyle w:val="TableText"/>
              <w:ind w:left="245"/>
              <w:spacing w:before="66" w:line="198" w:lineRule="auto"/>
              <w:rPr/>
            </w:pPr>
            <w:r>
              <w:rPr>
                <w:color w:val="231F20"/>
                <w:spacing w:val="-15"/>
              </w:rPr>
              <w:t>9（20.00）</w:t>
            </w:r>
          </w:p>
          <w:p>
            <w:pPr>
              <w:pStyle w:val="TableText"/>
              <w:ind w:left="179"/>
              <w:spacing w:before="71" w:line="190" w:lineRule="auto"/>
              <w:rPr/>
            </w:pPr>
            <w:r>
              <w:rPr>
                <w:color w:val="231F20"/>
                <w:spacing w:val="-16"/>
              </w:rPr>
              <w:t>14（31.11）</w:t>
            </w:r>
          </w:p>
        </w:tc>
        <w:tc>
          <w:tcPr>
            <w:tcW w:w="980" w:type="dxa"/>
            <w:vAlign w:val="top"/>
            <w:tcBorders>
              <w:top w:val="single" w:color="231F20" w:sz="2" w:space="0"/>
              <w:bottom w:val="single" w:color="231F20" w:sz="6" w:space="0"/>
            </w:tcBorders>
          </w:tcPr>
          <w:p>
            <w:pPr>
              <w:pStyle w:val="TableText"/>
              <w:ind w:left="209"/>
              <w:spacing w:before="66" w:line="198" w:lineRule="auto"/>
              <w:rPr/>
            </w:pPr>
            <w:r>
              <w:rPr>
                <w:color w:val="231F20"/>
                <w:spacing w:val="-15"/>
              </w:rPr>
              <w:t>9（20.00）</w:t>
            </w:r>
          </w:p>
          <w:p>
            <w:pPr>
              <w:pStyle w:val="TableText"/>
              <w:ind w:left="214"/>
              <w:spacing w:before="71" w:line="190" w:lineRule="auto"/>
              <w:rPr/>
            </w:pPr>
            <w:r>
              <w:rPr>
                <w:color w:val="231F20"/>
                <w:spacing w:val="-15"/>
              </w:rPr>
              <w:t>8（17.78）</w:t>
            </w:r>
          </w:p>
        </w:tc>
      </w:tr>
    </w:tbl>
    <w:p>
      <w:pPr>
        <w:spacing w:line="14" w:lineRule="auto"/>
        <w:rPr>
          <w:rFonts w:ascii="Arial"/>
          <w:sz w:val="2"/>
        </w:rPr>
      </w:pPr>
      <w:r/>
    </w:p>
    <w:p>
      <w:pPr>
        <w:spacing w:line="14" w:lineRule="auto"/>
        <w:sectPr>
          <w:type w:val="continuous"/>
          <w:pgSz w:w="11905" w:h="16156"/>
          <w:pgMar w:top="1308" w:right="943" w:bottom="0" w:left="424" w:header="982" w:footer="0" w:gutter="0"/>
          <w:cols w:equalWidth="0" w:num="1">
            <w:col w:w="10537" w:space="0"/>
          </w:cols>
        </w:sectPr>
        <w:rPr>
          <w:rFonts w:ascii="Arial" w:hAnsi="Arial" w:eastAsia="Arial" w:cs="Arial"/>
          <w:sz w:val="2"/>
          <w:szCs w:val="2"/>
        </w:rPr>
      </w:pPr>
    </w:p>
    <w:p>
      <w:pPr>
        <w:spacing w:line="177" w:lineRule="exact"/>
        <w:rPr/>
      </w:pPr>
      <w:r/>
    </w:p>
    <w:p>
      <w:pPr>
        <w:spacing w:line="177" w:lineRule="exact"/>
        <w:sectPr>
          <w:headerReference w:type="default" r:id="rId7"/>
          <w:pgSz w:w="11905" w:h="16156"/>
          <w:pgMar w:top="1308" w:right="943" w:bottom="0" w:left="424" w:header="982" w:footer="0" w:gutter="0"/>
          <w:cols w:equalWidth="0" w:num="1">
            <w:col w:w="10537" w:space="0"/>
          </w:cols>
        </w:sectPr>
        <w:rPr/>
      </w:pPr>
    </w:p>
    <w:p>
      <w:pPr>
        <w:pStyle w:val="BodyText"/>
        <w:ind w:left="602" w:right="196" w:hanging="2"/>
        <w:spacing w:before="45" w:line="214" w:lineRule="auto"/>
        <w:rPr>
          <w:sz w:val="20"/>
          <w:szCs w:val="20"/>
        </w:rPr>
      </w:pPr>
      <w:r>
        <w:rPr>
          <w:sz w:val="20"/>
          <w:szCs w:val="20"/>
          <w:color w:val="231F20"/>
          <w:spacing w:val="8"/>
        </w:rPr>
        <w:t>2.2   两组治疗前后血清炎性因子指标比较    治疗前</w:t>
      </w:r>
      <w:r>
        <w:rPr>
          <w:sz w:val="20"/>
          <w:szCs w:val="20"/>
          <w:color w:val="231F20"/>
          <w:spacing w:val="9"/>
        </w:rPr>
        <w:t xml:space="preserve"> </w:t>
      </w:r>
      <w:r>
        <w:rPr>
          <w:sz w:val="20"/>
          <w:szCs w:val="20"/>
          <w:color w:val="231F20"/>
          <w:spacing w:val="2"/>
        </w:rPr>
        <w:t>两组患者血清炎性因子指标水平比较无显著差异（P&gt;</w:t>
      </w:r>
    </w:p>
    <w:p>
      <w:pPr>
        <w:pStyle w:val="BodyText"/>
        <w:ind w:left="599" w:right="196" w:firstLine="1"/>
        <w:spacing w:before="50" w:line="210" w:lineRule="auto"/>
        <w:rPr>
          <w:sz w:val="20"/>
          <w:szCs w:val="20"/>
        </w:rPr>
      </w:pPr>
      <w:r>
        <w:rPr>
          <w:sz w:val="20"/>
          <w:szCs w:val="20"/>
          <w:color w:val="231F20"/>
          <w:spacing w:val="5"/>
        </w:rPr>
        <w:t>0.05</w:t>
      </w:r>
      <w:r>
        <w:rPr>
          <w:sz w:val="20"/>
          <w:szCs w:val="20"/>
          <w:color w:val="231F20"/>
          <w:spacing w:val="-35"/>
          <w:w w:val="72"/>
        </w:rPr>
        <w:t>）；</w:t>
      </w:r>
      <w:r>
        <w:rPr>
          <w:sz w:val="20"/>
          <w:szCs w:val="20"/>
          <w:color w:val="231F20"/>
          <w:spacing w:val="5"/>
        </w:rPr>
        <w:t>治疗后，两组患者血清炎性因子指标</w:t>
      </w:r>
      <w:r>
        <w:rPr>
          <w:sz w:val="20"/>
          <w:szCs w:val="20"/>
          <w:color w:val="231F20"/>
          <w:spacing w:val="4"/>
        </w:rPr>
        <w:t>水平均降</w:t>
      </w:r>
      <w:r>
        <w:rPr>
          <w:sz w:val="20"/>
          <w:szCs w:val="20"/>
          <w:color w:val="231F20"/>
          <w:spacing w:val="3"/>
        </w:rPr>
        <w:t xml:space="preserve"> </w:t>
      </w:r>
      <w:r>
        <w:rPr>
          <w:sz w:val="20"/>
          <w:szCs w:val="20"/>
          <w:color w:val="231F20"/>
          <w:spacing w:val="6"/>
        </w:rPr>
        <w:t>低，且实验组血清炎性因子指标水平显著低于对照组</w:t>
      </w:r>
    </w:p>
    <w:p>
      <w:pPr>
        <w:spacing w:line="14" w:lineRule="auto"/>
        <w:rPr>
          <w:rFonts w:ascii="Arial"/>
          <w:sz w:val="2"/>
        </w:rPr>
      </w:pPr>
      <w:r>
        <w:rPr>
          <w:rFonts w:ascii="Arial" w:hAnsi="Arial" w:eastAsia="Arial" w:cs="Arial"/>
          <w:sz w:val="2"/>
          <w:szCs w:val="2"/>
        </w:rPr>
        <w:br w:type="column"/>
      </w:r>
    </w:p>
    <w:p>
      <w:pPr>
        <w:pStyle w:val="BodyText"/>
        <w:spacing w:before="43" w:line="196" w:lineRule="auto"/>
        <w:rPr>
          <w:sz w:val="20"/>
          <w:szCs w:val="20"/>
        </w:rPr>
      </w:pPr>
      <w:r>
        <w:rPr>
          <w:sz w:val="20"/>
          <w:szCs w:val="20"/>
          <w:color w:val="231F20"/>
          <w:spacing w:val="-13"/>
        </w:rPr>
        <w:t>（P&lt;0.05）。见表 3。</w:t>
      </w:r>
    </w:p>
    <w:p>
      <w:pPr>
        <w:pStyle w:val="BodyText"/>
        <w:ind w:left="85"/>
        <w:spacing w:before="52" w:line="231" w:lineRule="auto"/>
        <w:jc w:val="both"/>
        <w:rPr>
          <w:sz w:val="20"/>
          <w:szCs w:val="20"/>
        </w:rPr>
      </w:pPr>
      <w:r>
        <w:rPr>
          <w:sz w:val="20"/>
          <w:szCs w:val="20"/>
          <w:color w:val="231F20"/>
          <w:spacing w:val="8"/>
        </w:rPr>
        <w:t>2.3   两组不良反应发生率比较    实验组总不良反应</w:t>
      </w:r>
      <w:r>
        <w:rPr>
          <w:sz w:val="20"/>
          <w:szCs w:val="20"/>
          <w:color w:val="231F20"/>
          <w:spacing w:val="4"/>
        </w:rPr>
        <w:t xml:space="preserve">  </w:t>
      </w:r>
      <w:r>
        <w:rPr>
          <w:sz w:val="20"/>
          <w:szCs w:val="20"/>
          <w:color w:val="231F20"/>
          <w:spacing w:val="-13"/>
        </w:rPr>
        <w:t>发生率（11.11%）显著低于对照组（35.56%</w:t>
      </w:r>
      <w:r>
        <w:rPr>
          <w:sz w:val="20"/>
          <w:szCs w:val="20"/>
          <w:color w:val="231F20"/>
          <w:spacing w:val="-20"/>
          <w:w w:val="56"/>
        </w:rPr>
        <w:t>）（</w:t>
      </w:r>
      <w:r>
        <w:rPr>
          <w:sz w:val="20"/>
          <w:szCs w:val="20"/>
          <w:color w:val="231F20"/>
          <w:spacing w:val="-13"/>
        </w:rPr>
        <w:t>P&lt;0.</w:t>
      </w:r>
      <w:r>
        <w:rPr>
          <w:sz w:val="20"/>
          <w:szCs w:val="20"/>
          <w:color w:val="231F20"/>
          <w:spacing w:val="-14"/>
        </w:rPr>
        <w:t>05）。</w:t>
      </w:r>
      <w:r>
        <w:rPr>
          <w:sz w:val="20"/>
          <w:szCs w:val="20"/>
          <w:color w:val="231F20"/>
          <w:spacing w:val="1"/>
        </w:rPr>
        <w:t xml:space="preserve"> </w:t>
      </w:r>
      <w:r>
        <w:rPr>
          <w:sz w:val="20"/>
          <w:szCs w:val="20"/>
          <w:color w:val="231F20"/>
          <w:spacing w:val="-1"/>
        </w:rPr>
        <w:t>见表 4。</w:t>
      </w:r>
    </w:p>
    <w:p>
      <w:pPr>
        <w:spacing w:line="231" w:lineRule="auto"/>
        <w:sectPr>
          <w:type w:val="continuous"/>
          <w:pgSz w:w="11905" w:h="16156"/>
          <w:pgMar w:top="1308" w:right="943" w:bottom="0" w:left="424" w:header="982" w:footer="0" w:gutter="0"/>
          <w:cols w:equalWidth="0" w:num="2">
            <w:col w:w="5537" w:space="100"/>
            <w:col w:w="4901" w:space="0"/>
          </w:cols>
        </w:sectPr>
        <w:rPr>
          <w:sz w:val="20"/>
          <w:szCs w:val="20"/>
        </w:rPr>
      </w:pPr>
    </w:p>
    <w:p>
      <w:pPr>
        <w:pStyle w:val="BodyText"/>
        <w:ind w:left="4617"/>
        <w:spacing w:before="99" w:line="196" w:lineRule="auto"/>
        <w:outlineLvl w:val="1"/>
        <w:rPr>
          <w:sz w:val="20"/>
          <w:szCs w:val="20"/>
        </w:rPr>
      </w:pPr>
      <w:r>
        <w:rPr>
          <w:sz w:val="20"/>
          <w:szCs w:val="20"/>
          <w:color w:val="231F20"/>
          <w:spacing w:val="-2"/>
        </w:rPr>
        <w:t>表 2</w:t>
      </w:r>
      <w:r>
        <w:rPr>
          <w:sz w:val="20"/>
          <w:szCs w:val="20"/>
          <w:color w:val="231F20"/>
          <w:spacing w:val="15"/>
        </w:rPr>
        <w:t xml:space="preserve">   </w:t>
      </w:r>
      <w:r>
        <w:rPr>
          <w:sz w:val="20"/>
          <w:szCs w:val="20"/>
          <w:color w:val="231F20"/>
          <w:spacing w:val="-2"/>
        </w:rPr>
        <w:t>两组疗效比较                                             </w:t>
      </w:r>
      <w:r>
        <w:rPr>
          <w:sz w:val="20"/>
          <w:szCs w:val="20"/>
          <w:color w:val="231F20"/>
          <w:spacing w:val="-3"/>
        </w:rPr>
        <w:t xml:space="preserve"> 例（%）</w:t>
      </w:r>
    </w:p>
    <w:p>
      <w:pPr>
        <w:spacing w:line="103" w:lineRule="auto"/>
        <w:rPr>
          <w:rFonts w:ascii="Arial"/>
          <w:sz w:val="2"/>
        </w:rPr>
      </w:pPr>
      <w:r>
        <w:rPr>
          <w:rFonts w:ascii="Arial"/>
          <w:sz w:val="2"/>
        </w:rPr>
      </w:r>
    </w:p>
    <w:tbl>
      <w:tblPr>
        <w:tblStyle w:val="TableNormal"/>
        <w:tblW w:w="8889" w:type="dxa"/>
        <w:tblInd w:w="10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58"/>
        <w:gridCol w:w="1317"/>
        <w:gridCol w:w="1633"/>
        <w:gridCol w:w="1562"/>
        <w:gridCol w:w="1548"/>
        <w:gridCol w:w="1571"/>
      </w:tblGrid>
      <w:tr>
        <w:trPr>
          <w:trHeight w:val="273" w:hRule="atLeast"/>
        </w:trPr>
        <w:tc>
          <w:tcPr>
            <w:tcW w:w="1258" w:type="dxa"/>
            <w:vAlign w:val="top"/>
            <w:tcBorders>
              <w:bottom w:val="single" w:color="231F20" w:sz="2" w:space="0"/>
              <w:top w:val="single" w:color="231F20" w:sz="6" w:space="0"/>
            </w:tcBorders>
          </w:tcPr>
          <w:p>
            <w:pPr>
              <w:pStyle w:val="TableText"/>
              <w:ind w:left="398"/>
              <w:spacing w:before="56" w:line="192" w:lineRule="auto"/>
              <w:rPr/>
            </w:pPr>
            <w:r>
              <w:rPr>
                <w:color w:val="231F20"/>
                <w:spacing w:val="7"/>
              </w:rPr>
              <w:t>组别</w:t>
            </w:r>
          </w:p>
        </w:tc>
        <w:tc>
          <w:tcPr>
            <w:tcW w:w="1317" w:type="dxa"/>
            <w:vAlign w:val="top"/>
            <w:tcBorders>
              <w:bottom w:val="single" w:color="231F20" w:sz="2" w:space="0"/>
              <w:top w:val="single" w:color="231F20" w:sz="6" w:space="0"/>
            </w:tcBorders>
          </w:tcPr>
          <w:p>
            <w:pPr>
              <w:pStyle w:val="TableText"/>
              <w:ind w:left="473"/>
              <w:spacing w:before="56" w:line="190" w:lineRule="auto"/>
              <w:rPr/>
            </w:pPr>
            <w:r>
              <w:rPr>
                <w:color w:val="231F20"/>
                <w:spacing w:val="6"/>
              </w:rPr>
              <w:t>例数</w:t>
            </w:r>
          </w:p>
        </w:tc>
        <w:tc>
          <w:tcPr>
            <w:tcW w:w="1633" w:type="dxa"/>
            <w:vAlign w:val="top"/>
            <w:tcBorders>
              <w:bottom w:val="single" w:color="231F20" w:sz="2" w:space="0"/>
              <w:top w:val="single" w:color="231F20" w:sz="6" w:space="0"/>
            </w:tcBorders>
          </w:tcPr>
          <w:p>
            <w:pPr>
              <w:pStyle w:val="TableText"/>
              <w:ind w:left="711"/>
              <w:spacing w:before="56" w:line="189" w:lineRule="auto"/>
              <w:rPr/>
            </w:pPr>
            <w:r>
              <w:rPr>
                <w:color w:val="231F20"/>
                <w:spacing w:val="7"/>
              </w:rPr>
              <w:t>显效</w:t>
            </w:r>
          </w:p>
        </w:tc>
        <w:tc>
          <w:tcPr>
            <w:tcW w:w="1562" w:type="dxa"/>
            <w:vAlign w:val="top"/>
            <w:tcBorders>
              <w:bottom w:val="single" w:color="231F20" w:sz="2" w:space="0"/>
              <w:top w:val="single" w:color="231F20" w:sz="6" w:space="0"/>
            </w:tcBorders>
          </w:tcPr>
          <w:p>
            <w:pPr>
              <w:pStyle w:val="TableText"/>
              <w:ind w:left="634"/>
              <w:spacing w:before="57" w:line="187" w:lineRule="auto"/>
              <w:rPr/>
            </w:pPr>
            <w:r>
              <w:rPr>
                <w:color w:val="231F20"/>
                <w:spacing w:val="7"/>
              </w:rPr>
              <w:t>有效</w:t>
            </w:r>
          </w:p>
        </w:tc>
        <w:tc>
          <w:tcPr>
            <w:tcW w:w="1548" w:type="dxa"/>
            <w:vAlign w:val="top"/>
            <w:tcBorders>
              <w:bottom w:val="single" w:color="231F20" w:sz="2" w:space="0"/>
              <w:top w:val="single" w:color="231F20" w:sz="6" w:space="0"/>
            </w:tcBorders>
          </w:tcPr>
          <w:p>
            <w:pPr>
              <w:pStyle w:val="TableText"/>
              <w:ind w:left="628"/>
              <w:spacing w:before="56" w:line="189" w:lineRule="auto"/>
              <w:rPr/>
            </w:pPr>
            <w:r>
              <w:rPr>
                <w:color w:val="231F20"/>
                <w:spacing w:val="8"/>
              </w:rPr>
              <w:t>无效</w:t>
            </w:r>
          </w:p>
        </w:tc>
        <w:tc>
          <w:tcPr>
            <w:tcW w:w="1571" w:type="dxa"/>
            <w:vAlign w:val="top"/>
            <w:tcBorders>
              <w:bottom w:val="single" w:color="231F20" w:sz="2" w:space="0"/>
              <w:top w:val="single" w:color="231F20" w:sz="6" w:space="0"/>
            </w:tcBorders>
          </w:tcPr>
          <w:p>
            <w:pPr>
              <w:pStyle w:val="TableText"/>
              <w:ind w:left="563"/>
              <w:spacing w:before="57" w:line="190" w:lineRule="auto"/>
              <w:rPr/>
            </w:pPr>
            <w:r>
              <w:rPr>
                <w:color w:val="231F20"/>
                <w:spacing w:val="6"/>
              </w:rPr>
              <w:t>总有效</w:t>
            </w:r>
          </w:p>
        </w:tc>
      </w:tr>
      <w:tr>
        <w:trPr>
          <w:trHeight w:val="271" w:hRule="atLeast"/>
        </w:trPr>
        <w:tc>
          <w:tcPr>
            <w:tcW w:w="1258" w:type="dxa"/>
            <w:vAlign w:val="top"/>
            <w:tcBorders>
              <w:top w:val="single" w:color="231F20" w:sz="2" w:space="0"/>
            </w:tcBorders>
          </w:tcPr>
          <w:p>
            <w:pPr>
              <w:pStyle w:val="TableText"/>
              <w:ind w:left="321"/>
              <w:spacing w:before="62" w:line="185" w:lineRule="auto"/>
              <w:rPr/>
            </w:pPr>
            <w:r>
              <w:rPr>
                <w:color w:val="231F20"/>
                <w:spacing w:val="7"/>
              </w:rPr>
              <w:t>实验组</w:t>
            </w:r>
          </w:p>
        </w:tc>
        <w:tc>
          <w:tcPr>
            <w:tcW w:w="1317" w:type="dxa"/>
            <w:vAlign w:val="top"/>
            <w:tcBorders>
              <w:top w:val="single" w:color="231F20" w:sz="2" w:space="0"/>
            </w:tcBorders>
          </w:tcPr>
          <w:p>
            <w:pPr>
              <w:pStyle w:val="TableText"/>
              <w:ind w:left="550"/>
              <w:spacing w:before="85" w:line="164" w:lineRule="auto"/>
              <w:rPr/>
            </w:pPr>
            <w:r>
              <w:rPr>
                <w:color w:val="231F20"/>
                <w:spacing w:val="-5"/>
              </w:rPr>
              <w:t>45</w:t>
            </w:r>
          </w:p>
        </w:tc>
        <w:tc>
          <w:tcPr>
            <w:tcW w:w="1633" w:type="dxa"/>
            <w:vAlign w:val="top"/>
            <w:tcBorders>
              <w:top w:val="single" w:color="231F20" w:sz="2" w:space="0"/>
            </w:tcBorders>
          </w:tcPr>
          <w:p>
            <w:pPr>
              <w:pStyle w:val="TableText"/>
              <w:ind w:left="534"/>
              <w:spacing w:before="62" w:line="185" w:lineRule="auto"/>
              <w:rPr/>
            </w:pPr>
            <w:r>
              <w:rPr>
                <w:color w:val="231F20"/>
                <w:spacing w:val="-14"/>
              </w:rPr>
              <w:t>21（46.67）</w:t>
            </w:r>
          </w:p>
        </w:tc>
        <w:tc>
          <w:tcPr>
            <w:tcW w:w="1562" w:type="dxa"/>
            <w:vAlign w:val="top"/>
            <w:tcBorders>
              <w:top w:val="single" w:color="231F20" w:sz="2" w:space="0"/>
            </w:tcBorders>
          </w:tcPr>
          <w:p>
            <w:pPr>
              <w:pStyle w:val="TableText"/>
              <w:ind w:left="457"/>
              <w:spacing w:before="62" w:line="185" w:lineRule="auto"/>
              <w:rPr/>
            </w:pPr>
            <w:r>
              <w:rPr>
                <w:color w:val="231F20"/>
                <w:spacing w:val="-14"/>
              </w:rPr>
              <w:t>21（46.67）</w:t>
            </w:r>
          </w:p>
        </w:tc>
        <w:tc>
          <w:tcPr>
            <w:tcW w:w="1548" w:type="dxa"/>
            <w:vAlign w:val="top"/>
            <w:tcBorders>
              <w:top w:val="single" w:color="231F20" w:sz="2" w:space="0"/>
            </w:tcBorders>
          </w:tcPr>
          <w:p>
            <w:pPr>
              <w:pStyle w:val="TableText"/>
              <w:ind w:left="611"/>
              <w:spacing w:before="62" w:line="185" w:lineRule="auto"/>
              <w:rPr/>
            </w:pPr>
            <w:r>
              <w:rPr>
                <w:color w:val="231F20"/>
                <w:spacing w:val="-16"/>
              </w:rPr>
              <w:t>3（6.67）</w:t>
            </w:r>
          </w:p>
        </w:tc>
        <w:tc>
          <w:tcPr>
            <w:tcW w:w="1571" w:type="dxa"/>
            <w:vAlign w:val="top"/>
            <w:tcBorders>
              <w:top w:val="single" w:color="231F20" w:sz="2" w:space="0"/>
            </w:tcBorders>
          </w:tcPr>
          <w:p>
            <w:pPr>
              <w:pStyle w:val="TableText"/>
              <w:ind w:left="457"/>
              <w:spacing w:before="62" w:line="185" w:lineRule="auto"/>
              <w:rPr/>
            </w:pPr>
            <w:r>
              <w:rPr>
                <w:color w:val="231F20"/>
                <w:spacing w:val="-14"/>
              </w:rPr>
              <w:t>42（93.33）</w:t>
            </w:r>
          </w:p>
        </w:tc>
      </w:tr>
      <w:tr>
        <w:trPr>
          <w:trHeight w:val="288" w:hRule="atLeast"/>
        </w:trPr>
        <w:tc>
          <w:tcPr>
            <w:tcW w:w="1258" w:type="dxa"/>
            <w:vAlign w:val="top"/>
            <w:tcBorders>
              <w:bottom w:val="single" w:color="231F20" w:sz="6" w:space="0"/>
            </w:tcBorders>
          </w:tcPr>
          <w:p>
            <w:pPr>
              <w:pStyle w:val="TableText"/>
              <w:ind w:left="318"/>
              <w:spacing w:before="74" w:line="190" w:lineRule="auto"/>
              <w:rPr/>
            </w:pPr>
            <w:r>
              <w:rPr>
                <w:color w:val="231F20"/>
                <w:spacing w:val="8"/>
              </w:rPr>
              <w:t>对照组</w:t>
            </w:r>
          </w:p>
        </w:tc>
        <w:tc>
          <w:tcPr>
            <w:tcW w:w="1317" w:type="dxa"/>
            <w:vAlign w:val="top"/>
            <w:tcBorders>
              <w:bottom w:val="single" w:color="231F20" w:sz="6" w:space="0"/>
            </w:tcBorders>
          </w:tcPr>
          <w:p>
            <w:pPr>
              <w:pStyle w:val="TableText"/>
              <w:ind w:left="550"/>
              <w:spacing w:before="96" w:line="169" w:lineRule="auto"/>
              <w:rPr/>
            </w:pPr>
            <w:r>
              <w:rPr>
                <w:color w:val="231F20"/>
                <w:spacing w:val="-5"/>
              </w:rPr>
              <w:t>45</w:t>
            </w:r>
          </w:p>
        </w:tc>
        <w:tc>
          <w:tcPr>
            <w:tcW w:w="1633" w:type="dxa"/>
            <w:vAlign w:val="top"/>
            <w:tcBorders>
              <w:bottom w:val="single" w:color="231F20" w:sz="6" w:space="0"/>
            </w:tcBorders>
          </w:tcPr>
          <w:p>
            <w:pPr>
              <w:pStyle w:val="TableText"/>
              <w:ind w:left="547"/>
              <w:spacing w:before="75" w:line="189" w:lineRule="auto"/>
              <w:rPr/>
            </w:pPr>
            <w:r>
              <w:rPr>
                <w:color w:val="231F20"/>
                <w:spacing w:val="-16"/>
              </w:rPr>
              <w:t>10（22.22）</w:t>
            </w:r>
          </w:p>
        </w:tc>
        <w:tc>
          <w:tcPr>
            <w:tcW w:w="1562" w:type="dxa"/>
            <w:vAlign w:val="top"/>
            <w:tcBorders>
              <w:bottom w:val="single" w:color="231F20" w:sz="6" w:space="0"/>
            </w:tcBorders>
          </w:tcPr>
          <w:p>
            <w:pPr>
              <w:pStyle w:val="TableText"/>
              <w:ind w:left="470"/>
              <w:spacing w:before="75" w:line="189" w:lineRule="auto"/>
              <w:rPr/>
            </w:pPr>
            <w:r>
              <w:rPr>
                <w:color w:val="231F20"/>
                <w:spacing w:val="-16"/>
              </w:rPr>
              <w:t>16（35.56）</w:t>
            </w:r>
          </w:p>
        </w:tc>
        <w:tc>
          <w:tcPr>
            <w:tcW w:w="1548" w:type="dxa"/>
            <w:vAlign w:val="top"/>
            <w:tcBorders>
              <w:bottom w:val="single" w:color="231F20" w:sz="6" w:space="0"/>
            </w:tcBorders>
          </w:tcPr>
          <w:p>
            <w:pPr>
              <w:pStyle w:val="TableText"/>
              <w:ind w:left="463"/>
              <w:spacing w:before="75" w:line="189" w:lineRule="auto"/>
              <w:rPr/>
            </w:pPr>
            <w:r>
              <w:rPr>
                <w:color w:val="231F20"/>
                <w:spacing w:val="-16"/>
              </w:rPr>
              <w:t>19（42.22）</w:t>
            </w:r>
          </w:p>
        </w:tc>
        <w:tc>
          <w:tcPr>
            <w:tcW w:w="1571" w:type="dxa"/>
            <w:vAlign w:val="top"/>
            <w:tcBorders>
              <w:bottom w:val="single" w:color="231F20" w:sz="6" w:space="0"/>
            </w:tcBorders>
          </w:tcPr>
          <w:p>
            <w:pPr>
              <w:pStyle w:val="TableText"/>
              <w:ind w:left="460"/>
              <w:spacing w:before="75" w:line="189" w:lineRule="auto"/>
              <w:rPr/>
            </w:pPr>
            <w:r>
              <w:rPr>
                <w:color w:val="231F20"/>
                <w:spacing w:val="-14"/>
              </w:rPr>
              <w:t>26（57.78）</w:t>
            </w:r>
          </w:p>
        </w:tc>
      </w:tr>
    </w:tbl>
    <w:p>
      <w:pPr>
        <w:pStyle w:val="BodyText"/>
        <w:ind w:left="3318"/>
        <w:spacing w:before="295" w:line="182" w:lineRule="auto"/>
        <w:rPr>
          <w:sz w:val="20"/>
          <w:szCs w:val="20"/>
        </w:rPr>
      </w:pPr>
      <w:r>
        <w:pict>
          <v:shape id="_x0000_s10" style="position:absolute;margin-left:368.171pt;margin-top:16.1799pt;mso-position-vertical-relative:text;mso-position-horizontal-relative:text;width:3.75pt;height:0.15pt;z-index:-251652096;" filled="false" strokecolor="#231F20" strokeweight="0.14pt" coordsize="75,3" coordorigin="0,0" path="m0,1l74,1e">
            <v:stroke joinstyle="miter" miterlimit="10"/>
          </v:shape>
        </w:pict>
      </w:r>
      <w:r>
        <w:rPr>
          <w:sz w:val="20"/>
          <w:szCs w:val="20"/>
          <w:color w:val="231F20"/>
          <w:spacing w:val="-1"/>
        </w:rPr>
        <w:t>表 3</w:t>
      </w:r>
      <w:r>
        <w:rPr>
          <w:sz w:val="20"/>
          <w:szCs w:val="20"/>
          <w:color w:val="231F20"/>
          <w:spacing w:val="15"/>
          <w:w w:val="101"/>
        </w:rPr>
        <w:t xml:space="preserve">   </w:t>
      </w:r>
      <w:r>
        <w:rPr>
          <w:sz w:val="20"/>
          <w:szCs w:val="20"/>
          <w:color w:val="231F20"/>
          <w:spacing w:val="-1"/>
        </w:rPr>
        <w:t>两组治疗前后血清炎性因子指标比较（</w:t>
      </w:r>
      <w:r>
        <w:rPr>
          <w:sz w:val="20"/>
          <w:szCs w:val="20"/>
          <w:color w:val="231F20"/>
          <w:spacing w:val="-1"/>
        </w:rPr>
        <w:t>x</w:t>
      </w:r>
      <w:r>
        <w:rPr>
          <w:sz w:val="20"/>
          <w:szCs w:val="20"/>
          <w:color w:val="231F20"/>
          <w:spacing w:val="-1"/>
        </w:rPr>
        <w:t>±s）</w:t>
      </w:r>
    </w:p>
    <w:p>
      <w:pPr>
        <w:spacing w:line="23" w:lineRule="exact"/>
        <w:rPr/>
      </w:pPr>
      <w:r/>
    </w:p>
    <w:p>
      <w:pPr>
        <w:spacing w:line="23" w:lineRule="exact"/>
        <w:sectPr>
          <w:type w:val="continuous"/>
          <w:pgSz w:w="11905" w:h="16156"/>
          <w:pgMar w:top="1308" w:right="943" w:bottom="0" w:left="424" w:header="982" w:footer="0" w:gutter="0"/>
          <w:cols w:equalWidth="0" w:num="1">
            <w:col w:w="10537" w:space="0"/>
          </w:cols>
        </w:sectPr>
        <w:rPr/>
      </w:pPr>
    </w:p>
    <w:p>
      <w:pPr>
        <w:pStyle w:val="BodyText"/>
        <w:ind w:left="1221"/>
        <w:spacing w:before="239" w:line="190" w:lineRule="auto"/>
        <w:rPr>
          <w:sz w:val="15"/>
          <w:szCs w:val="15"/>
        </w:rPr>
      </w:pPr>
      <w:r>
        <w:drawing>
          <wp:anchor distT="0" distB="0" distL="0" distR="0" simplePos="0" relativeHeight="251665408" behindDoc="0" locked="0" layoutInCell="1" allowOverlap="1">
            <wp:simplePos x="0" y="0"/>
            <wp:positionH relativeFrom="column">
              <wp:posOffset>679449</wp:posOffset>
            </wp:positionH>
            <wp:positionV relativeFrom="paragraph">
              <wp:posOffset>9875</wp:posOffset>
            </wp:positionV>
            <wp:extent cx="5662929" cy="10159"/>
            <wp:effectExtent l="0" t="0" r="0" b="0"/>
            <wp:wrapNone/>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5662929" cy="10159"/>
                    </a:xfrm>
                    <a:prstGeom prst="rect">
                      <a:avLst/>
                    </a:prstGeom>
                  </pic:spPr>
                </pic:pic>
              </a:graphicData>
            </a:graphic>
          </wp:anchor>
        </w:drawing>
      </w:r>
      <w:r>
        <w:rPr>
          <w:sz w:val="15"/>
          <w:szCs w:val="15"/>
          <w:color w:val="231F20"/>
          <w:spacing w:val="7"/>
        </w:rPr>
        <w:t>组别</w:t>
      </w:r>
      <w:r>
        <w:rPr>
          <w:sz w:val="15"/>
          <w:szCs w:val="15"/>
          <w:color w:val="231F20"/>
          <w:spacing w:val="3"/>
        </w:rPr>
        <w:t xml:space="preserve">        </w:t>
      </w:r>
      <w:r>
        <w:rPr>
          <w:sz w:val="15"/>
          <w:szCs w:val="15"/>
          <w:color w:val="231F20"/>
          <w:spacing w:val="7"/>
        </w:rPr>
        <w:t>例数</w:t>
      </w:r>
    </w:p>
    <w:p>
      <w:pPr>
        <w:spacing w:line="14" w:lineRule="auto"/>
        <w:rPr>
          <w:rFonts w:ascii="Arial"/>
          <w:sz w:val="2"/>
        </w:rPr>
      </w:pPr>
      <w:r>
        <w:rPr>
          <w:rFonts w:ascii="Arial" w:hAnsi="Arial" w:eastAsia="Arial" w:cs="Arial"/>
          <w:sz w:val="2"/>
          <w:szCs w:val="2"/>
        </w:rPr>
        <w:br w:type="column"/>
      </w:r>
      <w:r>
        <w:drawing>
          <wp:anchor distT="0" distB="0" distL="0" distR="0" simplePos="0" relativeHeight="251668480" behindDoc="0" locked="0" layoutInCell="1" allowOverlap="1">
            <wp:simplePos x="0" y="0"/>
            <wp:positionH relativeFrom="column">
              <wp:posOffset>1478915</wp:posOffset>
            </wp:positionH>
            <wp:positionV relativeFrom="paragraph">
              <wp:posOffset>19907</wp:posOffset>
            </wp:positionV>
            <wp:extent cx="6350" cy="369569"/>
            <wp:effectExtent l="0" t="0" r="0" b="0"/>
            <wp:wrapNone/>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6350" cy="369569"/>
                    </a:xfrm>
                    <a:prstGeom prst="rect">
                      <a:avLst/>
                    </a:prstGeom>
                  </pic:spPr>
                </pic:pic>
              </a:graphicData>
            </a:graphic>
          </wp:anchor>
        </w:drawing>
      </w:r>
    </w:p>
    <w:p>
      <w:pPr>
        <w:pStyle w:val="BodyText"/>
        <w:ind w:left="790"/>
        <w:spacing w:before="91" w:line="186" w:lineRule="auto"/>
        <w:rPr>
          <w:sz w:val="15"/>
          <w:szCs w:val="15"/>
        </w:rPr>
      </w:pPr>
      <w:r>
        <w:drawing>
          <wp:anchor distT="0" distB="0" distL="0" distR="0" simplePos="0" relativeHeight="251669504" behindDoc="0" locked="0" layoutInCell="1" allowOverlap="1">
            <wp:simplePos x="0" y="0"/>
            <wp:positionH relativeFrom="column">
              <wp:posOffset>0</wp:posOffset>
            </wp:positionH>
            <wp:positionV relativeFrom="paragraph">
              <wp:posOffset>199586</wp:posOffset>
            </wp:positionV>
            <wp:extent cx="1482089" cy="6350"/>
            <wp:effectExtent l="0" t="0" r="0" b="0"/>
            <wp:wrapNone/>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1482089" cy="6350"/>
                    </a:xfrm>
                    <a:prstGeom prst="rect">
                      <a:avLst/>
                    </a:prstGeom>
                  </pic:spPr>
                </pic:pic>
              </a:graphicData>
            </a:graphic>
          </wp:anchor>
        </w:drawing>
      </w:r>
      <w:r>
        <w:rPr>
          <w:sz w:val="15"/>
          <w:szCs w:val="15"/>
          <w:color w:val="231F20"/>
          <w:spacing w:val="-12"/>
        </w:rPr>
        <w:t>IL-6（pg/ml）</w:t>
      </w:r>
    </w:p>
    <w:p>
      <w:pPr>
        <w:pStyle w:val="BodyText"/>
        <w:ind w:left="286"/>
        <w:spacing w:before="97" w:line="191" w:lineRule="auto"/>
        <w:rPr>
          <w:sz w:val="15"/>
          <w:szCs w:val="15"/>
        </w:rPr>
      </w:pPr>
      <w:r>
        <w:rPr>
          <w:sz w:val="15"/>
          <w:szCs w:val="15"/>
          <w:color w:val="231F20"/>
          <w:spacing w:val="7"/>
        </w:rPr>
        <w:t>治疗前</w:t>
      </w:r>
      <w:r>
        <w:rPr>
          <w:sz w:val="15"/>
          <w:szCs w:val="15"/>
          <w:color w:val="231F20"/>
        </w:rPr>
        <w:t xml:space="preserve">                </w:t>
      </w:r>
      <w:r>
        <w:rPr>
          <w:sz w:val="15"/>
          <w:szCs w:val="15"/>
          <w:color w:val="231F20"/>
          <w:spacing w:val="7"/>
        </w:rPr>
        <w:t>治疗后</w:t>
      </w:r>
    </w:p>
    <w:p>
      <w:pPr>
        <w:spacing w:line="14" w:lineRule="auto"/>
        <w:rPr>
          <w:rFonts w:ascii="Arial"/>
          <w:sz w:val="2"/>
        </w:rPr>
      </w:pPr>
      <w:r>
        <w:rPr>
          <w:rFonts w:ascii="Arial" w:hAnsi="Arial" w:eastAsia="Arial" w:cs="Arial"/>
          <w:sz w:val="2"/>
          <w:szCs w:val="2"/>
        </w:rPr>
        <w:br w:type="column"/>
      </w:r>
      <w:r>
        <w:drawing>
          <wp:anchor distT="0" distB="0" distL="0" distR="0" simplePos="0" relativeHeight="251670528" behindDoc="0" locked="0" layoutInCell="1" allowOverlap="1">
            <wp:simplePos x="0" y="0"/>
            <wp:positionH relativeFrom="column">
              <wp:posOffset>1593849</wp:posOffset>
            </wp:positionH>
            <wp:positionV relativeFrom="paragraph">
              <wp:posOffset>19907</wp:posOffset>
            </wp:positionV>
            <wp:extent cx="6350" cy="369569"/>
            <wp:effectExtent l="0" t="0" r="0" b="0"/>
            <wp:wrapNone/>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6350" cy="369569"/>
                    </a:xfrm>
                    <a:prstGeom prst="rect">
                      <a:avLst/>
                    </a:prstGeom>
                  </pic:spPr>
                </pic:pic>
              </a:graphicData>
            </a:graphic>
          </wp:anchor>
        </w:drawing>
      </w:r>
    </w:p>
    <w:p>
      <w:pPr>
        <w:spacing w:line="30" w:lineRule="exact"/>
        <w:rPr/>
      </w:pPr>
      <w:r/>
    </w:p>
    <w:tbl>
      <w:tblPr>
        <w:tblStyle w:val="TableNormal"/>
        <w:tblW w:w="2399"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4"/>
        <w:gridCol w:w="1225"/>
      </w:tblGrid>
      <w:tr>
        <w:trPr>
          <w:trHeight w:val="288" w:hRule="atLeast"/>
        </w:trPr>
        <w:tc>
          <w:tcPr>
            <w:tcW w:w="2399" w:type="dxa"/>
            <w:vAlign w:val="top"/>
            <w:gridSpan w:val="2"/>
            <w:tcBorders>
              <w:left w:val="single" w:color="FFFFFF" w:sz="2" w:space="0"/>
              <w:right w:val="single" w:color="FFFFFF" w:sz="2" w:space="0"/>
              <w:bottom w:val="single" w:color="231F20" w:sz="2" w:space="0"/>
            </w:tcBorders>
          </w:tcPr>
          <w:p>
            <w:pPr>
              <w:pStyle w:val="TableText"/>
              <w:ind w:left="711"/>
              <w:spacing w:before="60" w:line="186" w:lineRule="auto"/>
              <w:rPr/>
            </w:pPr>
            <w:r>
              <w:rPr>
                <w:color w:val="231F20"/>
                <w:spacing w:val="-13"/>
              </w:rPr>
              <w:t>TNF-α（pg/ml）</w:t>
            </w:r>
          </w:p>
        </w:tc>
      </w:tr>
      <w:tr>
        <w:trPr>
          <w:trHeight w:val="287" w:hRule="atLeast"/>
        </w:trPr>
        <w:tc>
          <w:tcPr>
            <w:tcW w:w="1174" w:type="dxa"/>
            <w:vAlign w:val="top"/>
            <w:tcBorders>
              <w:left w:val="single" w:color="FFFFFF" w:sz="2" w:space="0"/>
              <w:top w:val="single" w:color="231F20" w:sz="2" w:space="0"/>
            </w:tcBorders>
          </w:tcPr>
          <w:p>
            <w:pPr>
              <w:pStyle w:val="TableText"/>
              <w:ind w:left="309"/>
              <w:spacing w:before="62" w:line="191" w:lineRule="auto"/>
              <w:rPr/>
            </w:pPr>
            <w:r>
              <w:rPr>
                <w:color w:val="231F20"/>
                <w:spacing w:val="7"/>
              </w:rPr>
              <w:t>治疗前</w:t>
            </w:r>
          </w:p>
        </w:tc>
        <w:tc>
          <w:tcPr>
            <w:tcW w:w="1225" w:type="dxa"/>
            <w:vAlign w:val="top"/>
            <w:tcBorders>
              <w:right w:val="single" w:color="FFFFFF" w:sz="2" w:space="0"/>
              <w:top w:val="single" w:color="231F20" w:sz="2" w:space="0"/>
            </w:tcBorders>
          </w:tcPr>
          <w:p>
            <w:pPr>
              <w:pStyle w:val="TableText"/>
              <w:ind w:left="393"/>
              <w:spacing w:before="64" w:line="190" w:lineRule="auto"/>
              <w:rPr/>
            </w:pPr>
            <w:r>
              <w:rPr>
                <w:color w:val="231F20"/>
                <w:spacing w:val="7"/>
              </w:rPr>
              <w:t>治疗后</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ind w:left="881"/>
        <w:spacing w:before="91" w:line="186" w:lineRule="auto"/>
        <w:rPr>
          <w:sz w:val="15"/>
          <w:szCs w:val="15"/>
        </w:rPr>
      </w:pPr>
      <w:r>
        <w:drawing>
          <wp:anchor distT="0" distB="0" distL="0" distR="0" simplePos="0" relativeHeight="251667456" behindDoc="0" locked="0" layoutInCell="1" allowOverlap="1">
            <wp:simplePos x="0" y="0"/>
            <wp:positionH relativeFrom="column">
              <wp:posOffset>2540</wp:posOffset>
            </wp:positionH>
            <wp:positionV relativeFrom="paragraph">
              <wp:posOffset>199586</wp:posOffset>
            </wp:positionV>
            <wp:extent cx="1625599" cy="6350"/>
            <wp:effectExtent l="0" t="0" r="0" b="0"/>
            <wp:wrapNone/>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1625599" cy="6350"/>
                    </a:xfrm>
                    <a:prstGeom prst="rect">
                      <a:avLst/>
                    </a:prstGeom>
                  </pic:spPr>
                </pic:pic>
              </a:graphicData>
            </a:graphic>
          </wp:anchor>
        </w:drawing>
      </w:r>
      <w:r>
        <w:rPr>
          <w:sz w:val="15"/>
          <w:szCs w:val="15"/>
          <w:color w:val="231F20"/>
          <w:spacing w:val="-16"/>
        </w:rPr>
        <w:t>CRP（mg/L）</w:t>
      </w:r>
    </w:p>
    <w:p>
      <w:pPr>
        <w:pStyle w:val="BodyText"/>
        <w:ind w:left="366"/>
        <w:spacing w:before="97" w:line="191" w:lineRule="auto"/>
        <w:rPr>
          <w:sz w:val="15"/>
          <w:szCs w:val="15"/>
        </w:rPr>
      </w:pPr>
      <w:r>
        <w:rPr>
          <w:sz w:val="15"/>
          <w:szCs w:val="15"/>
          <w:color w:val="231F20"/>
          <w:spacing w:val="7"/>
        </w:rPr>
        <w:t>治疗前</w:t>
      </w:r>
      <w:r>
        <w:rPr>
          <w:sz w:val="15"/>
          <w:szCs w:val="15"/>
          <w:color w:val="231F20"/>
          <w:spacing w:val="2"/>
        </w:rPr>
        <w:t xml:space="preserve">                  </w:t>
      </w:r>
      <w:r>
        <w:rPr>
          <w:sz w:val="15"/>
          <w:szCs w:val="15"/>
          <w:color w:val="231F20"/>
          <w:spacing w:val="7"/>
        </w:rPr>
        <w:t>治疗后</w:t>
      </w:r>
    </w:p>
    <w:p>
      <w:pPr>
        <w:spacing w:line="191" w:lineRule="auto"/>
        <w:sectPr>
          <w:type w:val="continuous"/>
          <w:pgSz w:w="11905" w:h="16156"/>
          <w:pgMar w:top="1308" w:right="943" w:bottom="0" w:left="424" w:header="982" w:footer="0" w:gutter="0"/>
          <w:cols w:equalWidth="0" w:num="4">
            <w:col w:w="2369" w:space="100"/>
            <w:col w:w="2344" w:space="100"/>
            <w:col w:w="2412" w:space="100"/>
            <w:col w:w="3113" w:space="0"/>
          </w:cols>
        </w:sectPr>
        <w:rPr>
          <w:sz w:val="15"/>
          <w:szCs w:val="15"/>
        </w:rPr>
      </w:pPr>
    </w:p>
    <w:tbl>
      <w:tblPr>
        <w:tblStyle w:val="TableNormal"/>
        <w:tblW w:w="8917" w:type="dxa"/>
        <w:tblInd w:w="10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5"/>
        <w:gridCol w:w="581"/>
        <w:gridCol w:w="1227"/>
        <w:gridCol w:w="1189"/>
        <w:gridCol w:w="113"/>
        <w:gridCol w:w="1203"/>
        <w:gridCol w:w="1195"/>
        <w:gridCol w:w="114"/>
        <w:gridCol w:w="1296"/>
        <w:gridCol w:w="1264"/>
      </w:tblGrid>
      <w:tr>
        <w:trPr>
          <w:trHeight w:val="314" w:hRule="atLeast"/>
        </w:trPr>
        <w:tc>
          <w:tcPr>
            <w:tcW w:w="735" w:type="dxa"/>
            <w:vAlign w:val="top"/>
            <w:tcBorders>
              <w:top w:val="single" w:color="231F20" w:sz="2" w:space="0"/>
            </w:tcBorders>
          </w:tcPr>
          <w:p>
            <w:pPr>
              <w:pStyle w:val="TableText"/>
              <w:ind w:left="74"/>
              <w:spacing w:before="82" w:line="190" w:lineRule="auto"/>
              <w:rPr/>
            </w:pPr>
            <w:r>
              <w:rPr>
                <w:color w:val="231F20"/>
                <w:spacing w:val="7"/>
              </w:rPr>
              <w:t>实验组</w:t>
            </w:r>
          </w:p>
        </w:tc>
        <w:tc>
          <w:tcPr>
            <w:tcW w:w="581" w:type="dxa"/>
            <w:vAlign w:val="top"/>
            <w:tcBorders>
              <w:top w:val="single" w:color="231F20" w:sz="2" w:space="0"/>
            </w:tcBorders>
          </w:tcPr>
          <w:p>
            <w:pPr>
              <w:pStyle w:val="TableText"/>
              <w:ind w:left="195"/>
              <w:spacing w:before="104" w:line="186" w:lineRule="auto"/>
              <w:rPr/>
            </w:pPr>
            <w:r>
              <w:rPr>
                <w:color w:val="231F20"/>
                <w:spacing w:val="-5"/>
              </w:rPr>
              <w:t>45</w:t>
            </w:r>
          </w:p>
        </w:tc>
        <w:tc>
          <w:tcPr>
            <w:tcW w:w="1227" w:type="dxa"/>
            <w:vAlign w:val="top"/>
            <w:tcBorders>
              <w:top w:val="single" w:color="231F20" w:sz="2" w:space="0"/>
            </w:tcBorders>
          </w:tcPr>
          <w:p>
            <w:pPr>
              <w:pStyle w:val="TableText"/>
              <w:ind w:left="256"/>
              <w:spacing w:before="104" w:line="186" w:lineRule="auto"/>
              <w:rPr/>
            </w:pPr>
            <w:r>
              <w:rPr>
                <w:color w:val="231F20"/>
                <w:spacing w:val="-9"/>
              </w:rPr>
              <w:t>195.22±28.15</w:t>
            </w:r>
          </w:p>
        </w:tc>
        <w:tc>
          <w:tcPr>
            <w:tcW w:w="1302" w:type="dxa"/>
            <w:vAlign w:val="top"/>
            <w:gridSpan w:val="2"/>
            <w:tcBorders>
              <w:top w:val="single" w:color="231F20" w:sz="2" w:space="0"/>
            </w:tcBorders>
          </w:tcPr>
          <w:p>
            <w:pPr>
              <w:pStyle w:val="TableText"/>
              <w:ind w:left="130"/>
              <w:spacing w:before="89" w:line="200" w:lineRule="auto"/>
              <w:rPr>
                <w:sz w:val="8"/>
                <w:szCs w:val="8"/>
              </w:rPr>
            </w:pPr>
            <w:r>
              <w:rPr>
                <w:color w:val="231F20"/>
                <w:spacing w:val="-10"/>
              </w:rPr>
              <w:t>129.69±25.25</w:t>
            </w:r>
            <w:r>
              <w:rPr>
                <w:sz w:val="8"/>
                <w:szCs w:val="8"/>
                <w:color w:val="231F20"/>
                <w:spacing w:val="10"/>
                <w:w w:val="122"/>
                <w:position w:val="5"/>
              </w:rPr>
              <w:t>*△</w:t>
            </w:r>
          </w:p>
        </w:tc>
        <w:tc>
          <w:tcPr>
            <w:tcW w:w="1203" w:type="dxa"/>
            <w:vAlign w:val="top"/>
            <w:tcBorders>
              <w:top w:val="single" w:color="231F20" w:sz="2" w:space="0"/>
            </w:tcBorders>
          </w:tcPr>
          <w:p>
            <w:pPr>
              <w:pStyle w:val="TableText"/>
              <w:ind w:left="246"/>
              <w:spacing w:before="104" w:line="186" w:lineRule="auto"/>
              <w:rPr/>
            </w:pPr>
            <w:r>
              <w:rPr>
                <w:color w:val="231F20"/>
                <w:spacing w:val="-8"/>
              </w:rPr>
              <w:t>99.24±9.72</w:t>
            </w:r>
          </w:p>
        </w:tc>
        <w:tc>
          <w:tcPr>
            <w:tcW w:w="1309" w:type="dxa"/>
            <w:vAlign w:val="top"/>
            <w:gridSpan w:val="2"/>
            <w:tcBorders>
              <w:top w:val="single" w:color="231F20" w:sz="2" w:space="0"/>
            </w:tcBorders>
          </w:tcPr>
          <w:p>
            <w:pPr>
              <w:pStyle w:val="TableText"/>
              <w:ind w:left="243"/>
              <w:spacing w:before="89" w:line="200" w:lineRule="auto"/>
              <w:rPr>
                <w:sz w:val="8"/>
                <w:szCs w:val="8"/>
              </w:rPr>
            </w:pPr>
            <w:r>
              <w:rPr>
                <w:color w:val="231F20"/>
                <w:spacing w:val="-8"/>
              </w:rPr>
              <w:t>42.42±4.46</w:t>
            </w:r>
            <w:r>
              <w:rPr>
                <w:sz w:val="8"/>
                <w:szCs w:val="8"/>
                <w:color w:val="231F20"/>
                <w:spacing w:val="10"/>
                <w:w w:val="113"/>
                <w:position w:val="5"/>
              </w:rPr>
              <w:t>*△</w:t>
            </w:r>
          </w:p>
        </w:tc>
        <w:tc>
          <w:tcPr>
            <w:tcW w:w="1296" w:type="dxa"/>
            <w:vAlign w:val="top"/>
            <w:tcBorders>
              <w:top w:val="single" w:color="231F20" w:sz="2" w:space="0"/>
            </w:tcBorders>
          </w:tcPr>
          <w:p>
            <w:pPr>
              <w:pStyle w:val="TableText"/>
              <w:ind w:left="259"/>
              <w:spacing w:before="104" w:line="186" w:lineRule="auto"/>
              <w:rPr/>
            </w:pPr>
            <w:r>
              <w:rPr>
                <w:color w:val="231F20"/>
                <w:spacing w:val="-11"/>
              </w:rPr>
              <w:t>11.60±</w:t>
            </w:r>
            <w:r>
              <w:rPr>
                <w:color w:val="231F20"/>
                <w:spacing w:val="-22"/>
              </w:rPr>
              <w:t xml:space="preserve"> </w:t>
            </w:r>
            <w:r>
              <w:rPr>
                <w:color w:val="231F20"/>
                <w:spacing w:val="-11"/>
              </w:rPr>
              <w:t>1.80</w:t>
            </w:r>
          </w:p>
        </w:tc>
        <w:tc>
          <w:tcPr>
            <w:tcW w:w="1264" w:type="dxa"/>
            <w:vAlign w:val="top"/>
            <w:tcBorders>
              <w:top w:val="single" w:color="231F20" w:sz="2" w:space="0"/>
            </w:tcBorders>
          </w:tcPr>
          <w:p>
            <w:pPr>
              <w:pStyle w:val="TableText"/>
              <w:ind w:left="336"/>
              <w:spacing w:before="89" w:line="200" w:lineRule="auto"/>
              <w:rPr>
                <w:sz w:val="8"/>
                <w:szCs w:val="8"/>
              </w:rPr>
            </w:pPr>
            <w:r>
              <w:rPr>
                <w:color w:val="231F20"/>
                <w:spacing w:val="-10"/>
              </w:rPr>
              <w:t>4.62±</w:t>
            </w:r>
            <w:r>
              <w:rPr>
                <w:color w:val="231F20"/>
                <w:spacing w:val="-27"/>
              </w:rPr>
              <w:t xml:space="preserve"> </w:t>
            </w:r>
            <w:r>
              <w:rPr>
                <w:color w:val="231F20"/>
                <w:spacing w:val="-10"/>
              </w:rPr>
              <w:t>1.01</w:t>
            </w:r>
            <w:r>
              <w:rPr>
                <w:sz w:val="8"/>
                <w:szCs w:val="8"/>
                <w:color w:val="231F20"/>
                <w:spacing w:val="10"/>
                <w:w w:val="114"/>
                <w:position w:val="5"/>
              </w:rPr>
              <w:t>*△</w:t>
            </w:r>
          </w:p>
        </w:tc>
      </w:tr>
      <w:tr>
        <w:trPr>
          <w:trHeight w:val="307" w:hRule="atLeast"/>
        </w:trPr>
        <w:tc>
          <w:tcPr>
            <w:tcW w:w="735" w:type="dxa"/>
            <w:vAlign w:val="top"/>
            <w:tcBorders>
              <w:bottom w:val="single" w:color="231F20" w:sz="2" w:space="0"/>
            </w:tcBorders>
          </w:tcPr>
          <w:p>
            <w:pPr>
              <w:pStyle w:val="TableText"/>
              <w:ind w:left="71"/>
              <w:spacing w:before="81" w:line="191" w:lineRule="auto"/>
              <w:rPr/>
            </w:pPr>
            <w:r>
              <w:rPr>
                <w:color w:val="231F20"/>
                <w:spacing w:val="8"/>
              </w:rPr>
              <w:t>对照组</w:t>
            </w:r>
          </w:p>
        </w:tc>
        <w:tc>
          <w:tcPr>
            <w:tcW w:w="581" w:type="dxa"/>
            <w:vAlign w:val="top"/>
            <w:tcBorders>
              <w:bottom w:val="single" w:color="231F20" w:sz="2" w:space="0"/>
            </w:tcBorders>
          </w:tcPr>
          <w:p>
            <w:pPr>
              <w:pStyle w:val="TableText"/>
              <w:ind w:left="195"/>
              <w:spacing w:before="105" w:line="179" w:lineRule="auto"/>
              <w:rPr/>
            </w:pPr>
            <w:r>
              <w:rPr>
                <w:color w:val="231F20"/>
                <w:spacing w:val="-5"/>
              </w:rPr>
              <w:t>45</w:t>
            </w:r>
          </w:p>
        </w:tc>
        <w:tc>
          <w:tcPr>
            <w:tcW w:w="1227" w:type="dxa"/>
            <w:vAlign w:val="top"/>
            <w:tcBorders>
              <w:bottom w:val="single" w:color="231F20" w:sz="2" w:space="0"/>
            </w:tcBorders>
          </w:tcPr>
          <w:p>
            <w:pPr>
              <w:pStyle w:val="TableText"/>
              <w:ind w:left="256"/>
              <w:spacing w:before="105" w:line="179" w:lineRule="auto"/>
              <w:rPr/>
            </w:pPr>
            <w:r>
              <w:rPr>
                <w:color w:val="231F20"/>
                <w:spacing w:val="-9"/>
              </w:rPr>
              <w:t>196.31±28.36</w:t>
            </w:r>
          </w:p>
        </w:tc>
        <w:tc>
          <w:tcPr>
            <w:tcW w:w="1189" w:type="dxa"/>
            <w:vAlign w:val="top"/>
            <w:tcBorders>
              <w:bottom w:val="single" w:color="231F20" w:sz="2" w:space="0"/>
              <w:right w:val="single" w:color="FFFFFF" w:sz="2" w:space="0"/>
            </w:tcBorders>
          </w:tcPr>
          <w:p>
            <w:pPr>
              <w:pStyle w:val="TableText"/>
              <w:ind w:left="130"/>
              <w:spacing w:before="93" w:line="190" w:lineRule="auto"/>
              <w:rPr>
                <w:sz w:val="8"/>
                <w:szCs w:val="8"/>
              </w:rPr>
            </w:pPr>
            <w:r>
              <w:rPr>
                <w:color w:val="231F20"/>
                <w:spacing w:val="-10"/>
              </w:rPr>
              <w:t>162.53±27.64</w:t>
            </w:r>
            <w:r>
              <w:rPr>
                <w:sz w:val="8"/>
                <w:szCs w:val="8"/>
                <w:color w:val="231F20"/>
                <w:spacing w:val="6"/>
                <w:w w:val="126"/>
                <w:position w:val="5"/>
              </w:rPr>
              <w:t>*</w:t>
            </w:r>
          </w:p>
        </w:tc>
        <w:tc>
          <w:tcPr>
            <w:tcW w:w="113" w:type="dxa"/>
            <w:vAlign w:val="top"/>
            <w:tcBorders>
              <w:bottom w:val="single" w:color="231F20" w:sz="2" w:space="0"/>
              <w:left w:val="single" w:color="FFFFFF" w:sz="2" w:space="0"/>
              <w:right w:val="single" w:color="FFFFFF" w:sz="2" w:space="0"/>
            </w:tcBorders>
          </w:tcPr>
          <w:p>
            <w:pPr>
              <w:rPr>
                <w:rFonts w:ascii="Arial"/>
                <w:sz w:val="21"/>
              </w:rPr>
            </w:pPr>
            <w:r/>
          </w:p>
        </w:tc>
        <w:tc>
          <w:tcPr>
            <w:tcW w:w="1203" w:type="dxa"/>
            <w:vAlign w:val="top"/>
            <w:tcBorders>
              <w:bottom w:val="single" w:color="231F20" w:sz="2" w:space="0"/>
              <w:left w:val="single" w:color="FFFFFF" w:sz="2" w:space="0"/>
            </w:tcBorders>
          </w:tcPr>
          <w:p>
            <w:pPr>
              <w:pStyle w:val="TableText"/>
              <w:ind w:left="244"/>
              <w:spacing w:before="105" w:line="179" w:lineRule="auto"/>
              <w:rPr/>
            </w:pPr>
            <w:r>
              <w:rPr>
                <w:color w:val="231F20"/>
                <w:spacing w:val="-8"/>
              </w:rPr>
              <w:t>99.20±9.85</w:t>
            </w:r>
          </w:p>
        </w:tc>
        <w:tc>
          <w:tcPr>
            <w:tcW w:w="1195" w:type="dxa"/>
            <w:vAlign w:val="top"/>
            <w:tcBorders>
              <w:bottom w:val="single" w:color="231F20" w:sz="2" w:space="0"/>
              <w:right w:val="single" w:color="FFFFFF" w:sz="2" w:space="0"/>
            </w:tcBorders>
          </w:tcPr>
          <w:p>
            <w:pPr>
              <w:pStyle w:val="TableText"/>
              <w:ind w:left="246"/>
              <w:spacing w:before="93" w:line="190" w:lineRule="auto"/>
              <w:rPr>
                <w:sz w:val="8"/>
                <w:szCs w:val="8"/>
              </w:rPr>
            </w:pPr>
            <w:r>
              <w:rPr>
                <w:color w:val="231F20"/>
                <w:spacing w:val="-9"/>
              </w:rPr>
              <w:t>51.58±5.36</w:t>
            </w:r>
            <w:r>
              <w:rPr>
                <w:sz w:val="8"/>
                <w:szCs w:val="8"/>
                <w:color w:val="231F20"/>
                <w:spacing w:val="6"/>
                <w:w w:val="125"/>
                <w:position w:val="5"/>
              </w:rPr>
              <w:t>*</w:t>
            </w:r>
          </w:p>
        </w:tc>
        <w:tc>
          <w:tcPr>
            <w:tcW w:w="114" w:type="dxa"/>
            <w:vAlign w:val="top"/>
            <w:tcBorders>
              <w:bottom w:val="single" w:color="231F20" w:sz="2" w:space="0"/>
              <w:left w:val="single" w:color="FFFFFF" w:sz="2" w:space="0"/>
              <w:right w:val="single" w:color="FFFFFF" w:sz="2" w:space="0"/>
            </w:tcBorders>
          </w:tcPr>
          <w:p>
            <w:pPr>
              <w:rPr>
                <w:rFonts w:ascii="Arial"/>
                <w:sz w:val="21"/>
              </w:rPr>
            </w:pPr>
            <w:r/>
          </w:p>
        </w:tc>
        <w:tc>
          <w:tcPr>
            <w:tcW w:w="1296" w:type="dxa"/>
            <w:vAlign w:val="top"/>
            <w:tcBorders>
              <w:bottom w:val="single" w:color="231F20" w:sz="2" w:space="0"/>
              <w:left w:val="single" w:color="FFFFFF" w:sz="2" w:space="0"/>
            </w:tcBorders>
          </w:tcPr>
          <w:p>
            <w:pPr>
              <w:pStyle w:val="TableText"/>
              <w:ind w:left="257"/>
              <w:spacing w:before="105" w:line="179" w:lineRule="auto"/>
              <w:rPr/>
            </w:pPr>
            <w:r>
              <w:rPr>
                <w:color w:val="231F20"/>
                <w:spacing w:val="-9"/>
              </w:rPr>
              <w:t>11.33±2.10</w:t>
            </w:r>
          </w:p>
        </w:tc>
        <w:tc>
          <w:tcPr>
            <w:tcW w:w="1264" w:type="dxa"/>
            <w:vAlign w:val="top"/>
            <w:tcBorders>
              <w:bottom w:val="single" w:color="231F20" w:sz="2" w:space="0"/>
            </w:tcBorders>
          </w:tcPr>
          <w:p>
            <w:pPr>
              <w:pStyle w:val="TableText"/>
              <w:ind w:left="340"/>
              <w:spacing w:before="93" w:line="190" w:lineRule="auto"/>
              <w:rPr>
                <w:sz w:val="8"/>
                <w:szCs w:val="8"/>
              </w:rPr>
            </w:pPr>
            <w:r>
              <w:rPr>
                <w:color w:val="231F20"/>
                <w:spacing w:val="-11"/>
              </w:rPr>
              <w:t>6.62±</w:t>
            </w:r>
            <w:r>
              <w:rPr>
                <w:color w:val="231F20"/>
                <w:spacing w:val="-27"/>
              </w:rPr>
              <w:t xml:space="preserve"> </w:t>
            </w:r>
            <w:r>
              <w:rPr>
                <w:color w:val="231F20"/>
                <w:spacing w:val="-11"/>
              </w:rPr>
              <w:t>1.47</w:t>
            </w:r>
            <w:r>
              <w:rPr>
                <w:sz w:val="8"/>
                <w:szCs w:val="8"/>
                <w:color w:val="231F20"/>
                <w:spacing w:val="6"/>
                <w:w w:val="122"/>
                <w:position w:val="5"/>
              </w:rPr>
              <w:t>*</w:t>
            </w:r>
          </w:p>
        </w:tc>
      </w:tr>
    </w:tbl>
    <w:p>
      <w:pPr>
        <w:pStyle w:val="BodyText"/>
        <w:ind w:left="1386"/>
        <w:spacing w:before="68" w:line="203" w:lineRule="auto"/>
        <w:rPr>
          <w:sz w:val="15"/>
          <w:szCs w:val="15"/>
        </w:rPr>
      </w:pPr>
      <w:r>
        <w:rPr>
          <w:sz w:val="15"/>
          <w:szCs w:val="15"/>
          <w:color w:val="231F20"/>
          <w:spacing w:val="-4"/>
        </w:rPr>
        <w:t>与治疗前同组比较，</w:t>
      </w:r>
      <w:r>
        <w:rPr>
          <w:sz w:val="8"/>
          <w:szCs w:val="8"/>
          <w:color w:val="231F20"/>
          <w:spacing w:val="-4"/>
          <w:position w:val="5"/>
        </w:rPr>
        <w:t>*</w:t>
      </w:r>
      <w:r>
        <w:rPr>
          <w:sz w:val="15"/>
          <w:szCs w:val="15"/>
          <w:color w:val="231F20"/>
          <w:spacing w:val="-4"/>
        </w:rPr>
        <w:t>P&lt;0.05；与治疗后对照组比较，</w:t>
      </w:r>
      <w:r>
        <w:rPr>
          <w:sz w:val="8"/>
          <w:szCs w:val="8"/>
          <w:color w:val="231F20"/>
          <w:spacing w:val="-4"/>
          <w:position w:val="5"/>
        </w:rPr>
        <w:t>△</w:t>
      </w:r>
      <w:r>
        <w:rPr>
          <w:sz w:val="15"/>
          <w:szCs w:val="15"/>
          <w:color w:val="231F20"/>
          <w:spacing w:val="-4"/>
        </w:rPr>
        <w:t>P&lt;0.05</w:t>
      </w:r>
    </w:p>
    <w:p>
      <w:pPr>
        <w:spacing w:line="326" w:lineRule="auto"/>
        <w:rPr>
          <w:rFonts w:ascii="Arial"/>
          <w:sz w:val="21"/>
        </w:rPr>
      </w:pPr>
      <w:r/>
    </w:p>
    <w:p>
      <w:pPr>
        <w:pStyle w:val="BodyText"/>
        <w:ind w:left="4092"/>
        <w:spacing w:before="86" w:line="196" w:lineRule="auto"/>
        <w:outlineLvl w:val="1"/>
        <w:rPr>
          <w:sz w:val="20"/>
          <w:szCs w:val="20"/>
        </w:rPr>
      </w:pPr>
      <w:r>
        <w:rPr>
          <w:sz w:val="20"/>
          <w:szCs w:val="20"/>
          <w:color w:val="231F20"/>
        </w:rPr>
        <w:t>表 4</w:t>
      </w:r>
      <w:r>
        <w:rPr>
          <w:sz w:val="20"/>
          <w:szCs w:val="20"/>
          <w:color w:val="231F20"/>
          <w:spacing w:val="17"/>
          <w:w w:val="101"/>
        </w:rPr>
        <w:t xml:space="preserve">   </w:t>
      </w:r>
      <w:r>
        <w:rPr>
          <w:sz w:val="20"/>
          <w:szCs w:val="20"/>
          <w:color w:val="231F20"/>
        </w:rPr>
        <w:t>两组不良反应发生率比较                                     例（%）</w:t>
      </w:r>
    </w:p>
    <w:p>
      <w:pPr>
        <w:spacing w:line="46" w:lineRule="exact"/>
        <w:rPr/>
      </w:pPr>
      <w:r/>
    </w:p>
    <w:tbl>
      <w:tblPr>
        <w:tblStyle w:val="TableNormal"/>
        <w:tblW w:w="8913" w:type="dxa"/>
        <w:tblInd w:w="10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5"/>
        <w:gridCol w:w="882"/>
        <w:gridCol w:w="1049"/>
        <w:gridCol w:w="1276"/>
        <w:gridCol w:w="1195"/>
        <w:gridCol w:w="1218"/>
        <w:gridCol w:w="1244"/>
        <w:gridCol w:w="1264"/>
      </w:tblGrid>
      <w:tr>
        <w:trPr>
          <w:trHeight w:val="271" w:hRule="atLeast"/>
        </w:trPr>
        <w:tc>
          <w:tcPr>
            <w:tcW w:w="785" w:type="dxa"/>
            <w:vAlign w:val="top"/>
            <w:tcBorders>
              <w:bottom w:val="single" w:color="231F20" w:sz="2" w:space="0"/>
              <w:top w:val="single" w:color="231F20" w:sz="6" w:space="0"/>
            </w:tcBorders>
          </w:tcPr>
          <w:p>
            <w:pPr>
              <w:pStyle w:val="TableText"/>
              <w:ind w:left="107"/>
              <w:spacing w:before="54" w:line="192" w:lineRule="auto"/>
              <w:rPr/>
            </w:pPr>
            <w:r>
              <w:rPr>
                <w:color w:val="231F20"/>
                <w:spacing w:val="7"/>
              </w:rPr>
              <w:t>组别</w:t>
            </w:r>
          </w:p>
        </w:tc>
        <w:tc>
          <w:tcPr>
            <w:tcW w:w="882" w:type="dxa"/>
            <w:vAlign w:val="top"/>
            <w:tcBorders>
              <w:bottom w:val="single" w:color="231F20" w:sz="2" w:space="0"/>
              <w:top w:val="single" w:color="231F20" w:sz="6" w:space="0"/>
            </w:tcBorders>
          </w:tcPr>
          <w:p>
            <w:pPr>
              <w:pStyle w:val="TableText"/>
              <w:ind w:left="317"/>
              <w:spacing w:before="55" w:line="190" w:lineRule="auto"/>
              <w:rPr/>
            </w:pPr>
            <w:r>
              <w:rPr>
                <w:color w:val="231F20"/>
                <w:spacing w:val="6"/>
              </w:rPr>
              <w:t>例数</w:t>
            </w:r>
          </w:p>
        </w:tc>
        <w:tc>
          <w:tcPr>
            <w:tcW w:w="1049" w:type="dxa"/>
            <w:vAlign w:val="top"/>
            <w:tcBorders>
              <w:bottom w:val="single" w:color="231F20" w:sz="2" w:space="0"/>
              <w:top w:val="single" w:color="231F20" w:sz="6" w:space="0"/>
            </w:tcBorders>
          </w:tcPr>
          <w:p>
            <w:pPr>
              <w:pStyle w:val="TableText"/>
              <w:ind w:left="357"/>
              <w:spacing w:before="56" w:line="191" w:lineRule="auto"/>
              <w:rPr/>
            </w:pPr>
            <w:r>
              <w:rPr>
                <w:color w:val="231F20"/>
                <w:spacing w:val="6"/>
              </w:rPr>
              <w:t>恶心</w:t>
            </w:r>
          </w:p>
        </w:tc>
        <w:tc>
          <w:tcPr>
            <w:tcW w:w="1276" w:type="dxa"/>
            <w:vAlign w:val="top"/>
            <w:tcBorders>
              <w:bottom w:val="single" w:color="231F20" w:sz="2" w:space="0"/>
              <w:top w:val="single" w:color="231F20" w:sz="6" w:space="0"/>
            </w:tcBorders>
          </w:tcPr>
          <w:p>
            <w:pPr>
              <w:pStyle w:val="TableText"/>
              <w:ind w:left="309"/>
              <w:spacing w:before="55" w:line="189" w:lineRule="auto"/>
              <w:rPr/>
            </w:pPr>
            <w:r>
              <w:rPr>
                <w:color w:val="231F20"/>
                <w:spacing w:val="8"/>
              </w:rPr>
              <w:t>食欲不振</w:t>
            </w:r>
          </w:p>
        </w:tc>
        <w:tc>
          <w:tcPr>
            <w:tcW w:w="1195" w:type="dxa"/>
            <w:vAlign w:val="top"/>
            <w:tcBorders>
              <w:bottom w:val="single" w:color="231F20" w:sz="2" w:space="0"/>
              <w:top w:val="single" w:color="231F20" w:sz="6" w:space="0"/>
            </w:tcBorders>
          </w:tcPr>
          <w:p>
            <w:pPr>
              <w:pStyle w:val="TableText"/>
              <w:ind w:left="439"/>
              <w:spacing w:before="56" w:line="191" w:lineRule="auto"/>
              <w:rPr/>
            </w:pPr>
            <w:r>
              <w:rPr>
                <w:color w:val="231F20"/>
                <w:spacing w:val="3"/>
              </w:rPr>
              <w:t>呕吐</w:t>
            </w:r>
          </w:p>
        </w:tc>
        <w:tc>
          <w:tcPr>
            <w:tcW w:w="1218" w:type="dxa"/>
            <w:vAlign w:val="top"/>
            <w:tcBorders>
              <w:bottom w:val="single" w:color="231F20" w:sz="2" w:space="0"/>
              <w:top w:val="single" w:color="231F20" w:sz="6" w:space="0"/>
            </w:tcBorders>
          </w:tcPr>
          <w:p>
            <w:pPr>
              <w:pStyle w:val="TableText"/>
              <w:ind w:left="475"/>
              <w:spacing w:before="56" w:line="187" w:lineRule="auto"/>
              <w:rPr/>
            </w:pPr>
            <w:r>
              <w:rPr>
                <w:color w:val="231F20"/>
                <w:spacing w:val="7"/>
              </w:rPr>
              <w:t>皮疹</w:t>
            </w:r>
          </w:p>
        </w:tc>
        <w:tc>
          <w:tcPr>
            <w:tcW w:w="1244" w:type="dxa"/>
            <w:vAlign w:val="top"/>
            <w:tcBorders>
              <w:bottom w:val="single" w:color="231F20" w:sz="2" w:space="0"/>
              <w:top w:val="single" w:color="231F20" w:sz="6" w:space="0"/>
            </w:tcBorders>
          </w:tcPr>
          <w:p>
            <w:pPr>
              <w:pStyle w:val="TableText"/>
              <w:ind w:left="496"/>
              <w:spacing w:before="55" w:line="188" w:lineRule="auto"/>
              <w:rPr/>
            </w:pPr>
            <w:r>
              <w:rPr>
                <w:color w:val="231F20"/>
                <w:spacing w:val="7"/>
              </w:rPr>
              <w:t>失眠</w:t>
            </w:r>
          </w:p>
        </w:tc>
        <w:tc>
          <w:tcPr>
            <w:tcW w:w="1264" w:type="dxa"/>
            <w:vAlign w:val="top"/>
            <w:tcBorders>
              <w:bottom w:val="single" w:color="231F20" w:sz="2" w:space="0"/>
              <w:top w:val="single" w:color="231F20" w:sz="6" w:space="0"/>
            </w:tcBorders>
          </w:tcPr>
          <w:p>
            <w:pPr>
              <w:pStyle w:val="TableText"/>
              <w:ind w:left="416"/>
              <w:spacing w:before="55" w:line="192" w:lineRule="auto"/>
              <w:rPr/>
            </w:pPr>
            <w:r>
              <w:rPr>
                <w:color w:val="231F20"/>
                <w:spacing w:val="6"/>
              </w:rPr>
              <w:t>总发生</w:t>
            </w:r>
          </w:p>
        </w:tc>
      </w:tr>
      <w:tr>
        <w:trPr>
          <w:trHeight w:val="271" w:hRule="atLeast"/>
        </w:trPr>
        <w:tc>
          <w:tcPr>
            <w:tcW w:w="785" w:type="dxa"/>
            <w:vAlign w:val="top"/>
            <w:tcBorders>
              <w:top w:val="single" w:color="231F20" w:sz="2" w:space="0"/>
            </w:tcBorders>
          </w:tcPr>
          <w:p>
            <w:pPr>
              <w:pStyle w:val="TableText"/>
              <w:ind w:left="4"/>
              <w:spacing w:before="62" w:line="185" w:lineRule="auto"/>
              <w:rPr/>
            </w:pPr>
            <w:r>
              <w:rPr>
                <w:color w:val="231F20"/>
                <w:spacing w:val="7"/>
              </w:rPr>
              <w:t>实验组</w:t>
            </w:r>
          </w:p>
        </w:tc>
        <w:tc>
          <w:tcPr>
            <w:tcW w:w="882" w:type="dxa"/>
            <w:vAlign w:val="top"/>
            <w:tcBorders>
              <w:top w:val="single" w:color="231F20" w:sz="2" w:space="0"/>
            </w:tcBorders>
          </w:tcPr>
          <w:p>
            <w:pPr>
              <w:pStyle w:val="TableText"/>
              <w:ind w:left="394"/>
              <w:spacing w:before="85" w:line="164" w:lineRule="auto"/>
              <w:rPr/>
            </w:pPr>
            <w:r>
              <w:rPr>
                <w:color w:val="231F20"/>
                <w:spacing w:val="-5"/>
              </w:rPr>
              <w:t>45</w:t>
            </w:r>
          </w:p>
        </w:tc>
        <w:tc>
          <w:tcPr>
            <w:tcW w:w="1049" w:type="dxa"/>
            <w:vAlign w:val="top"/>
            <w:tcBorders>
              <w:top w:val="single" w:color="231F20" w:sz="2" w:space="0"/>
            </w:tcBorders>
          </w:tcPr>
          <w:p>
            <w:pPr>
              <w:pStyle w:val="TableText"/>
              <w:ind w:left="270"/>
              <w:spacing w:before="63" w:line="184" w:lineRule="auto"/>
              <w:rPr/>
            </w:pPr>
            <w:r>
              <w:rPr>
                <w:color w:val="231F20"/>
                <w:spacing w:val="-17"/>
              </w:rPr>
              <w:t>1（2.22）</w:t>
            </w:r>
          </w:p>
        </w:tc>
        <w:tc>
          <w:tcPr>
            <w:tcW w:w="1276" w:type="dxa"/>
            <w:vAlign w:val="top"/>
            <w:tcBorders>
              <w:top w:val="single" w:color="231F20" w:sz="2" w:space="0"/>
            </w:tcBorders>
          </w:tcPr>
          <w:p>
            <w:pPr>
              <w:pStyle w:val="TableText"/>
              <w:ind w:left="371"/>
              <w:spacing w:before="63" w:line="184" w:lineRule="auto"/>
              <w:rPr/>
            </w:pPr>
            <w:r>
              <w:rPr>
                <w:color w:val="231F20"/>
                <w:spacing w:val="-15"/>
              </w:rPr>
              <w:t>0（0.00）</w:t>
            </w:r>
          </w:p>
        </w:tc>
        <w:tc>
          <w:tcPr>
            <w:tcW w:w="1195" w:type="dxa"/>
            <w:vAlign w:val="top"/>
            <w:tcBorders>
              <w:top w:val="single" w:color="231F20" w:sz="2" w:space="0"/>
            </w:tcBorders>
          </w:tcPr>
          <w:p>
            <w:pPr>
              <w:pStyle w:val="TableText"/>
              <w:ind w:left="348"/>
              <w:spacing w:before="63" w:line="184" w:lineRule="auto"/>
              <w:rPr/>
            </w:pPr>
            <w:r>
              <w:rPr>
                <w:color w:val="231F20"/>
                <w:spacing w:val="-17"/>
              </w:rPr>
              <w:t>1（2.22）</w:t>
            </w:r>
          </w:p>
        </w:tc>
        <w:tc>
          <w:tcPr>
            <w:tcW w:w="1218" w:type="dxa"/>
            <w:vAlign w:val="top"/>
            <w:tcBorders>
              <w:top w:val="single" w:color="231F20" w:sz="2" w:space="0"/>
            </w:tcBorders>
          </w:tcPr>
          <w:p>
            <w:pPr>
              <w:pStyle w:val="TableText"/>
              <w:ind w:left="391"/>
              <w:spacing w:before="63" w:line="184" w:lineRule="auto"/>
              <w:rPr/>
            </w:pPr>
            <w:r>
              <w:rPr>
                <w:color w:val="231F20"/>
                <w:spacing w:val="-17"/>
              </w:rPr>
              <w:t>1（2.22）</w:t>
            </w:r>
          </w:p>
        </w:tc>
        <w:tc>
          <w:tcPr>
            <w:tcW w:w="1244" w:type="dxa"/>
            <w:vAlign w:val="top"/>
            <w:tcBorders>
              <w:top w:val="single" w:color="231F20" w:sz="2" w:space="0"/>
            </w:tcBorders>
          </w:tcPr>
          <w:p>
            <w:pPr>
              <w:pStyle w:val="TableText"/>
              <w:ind w:left="437"/>
              <w:spacing w:before="63" w:line="184" w:lineRule="auto"/>
              <w:rPr/>
            </w:pPr>
            <w:r>
              <w:rPr>
                <w:color w:val="231F20"/>
                <w:spacing w:val="-12"/>
                <w:w w:val="96"/>
              </w:rPr>
              <w:t>2（4.44）</w:t>
            </w:r>
          </w:p>
        </w:tc>
        <w:tc>
          <w:tcPr>
            <w:tcW w:w="1264" w:type="dxa"/>
            <w:vAlign w:val="top"/>
            <w:tcBorders>
              <w:top w:val="single" w:color="231F20" w:sz="2" w:space="0"/>
            </w:tcBorders>
          </w:tcPr>
          <w:p>
            <w:pPr>
              <w:pStyle w:val="TableText"/>
              <w:ind w:left="393"/>
              <w:spacing w:before="63" w:line="184" w:lineRule="auto"/>
              <w:rPr/>
            </w:pPr>
            <w:r>
              <w:rPr>
                <w:color w:val="231F20"/>
                <w:spacing w:val="-15"/>
              </w:rPr>
              <w:t>5（11.11）</w:t>
            </w:r>
          </w:p>
        </w:tc>
      </w:tr>
      <w:tr>
        <w:trPr>
          <w:trHeight w:val="288" w:hRule="atLeast"/>
        </w:trPr>
        <w:tc>
          <w:tcPr>
            <w:tcW w:w="785" w:type="dxa"/>
            <w:vAlign w:val="top"/>
            <w:tcBorders>
              <w:bottom w:val="single" w:color="231F20" w:sz="6" w:space="0"/>
            </w:tcBorders>
          </w:tcPr>
          <w:p>
            <w:pPr>
              <w:pStyle w:val="TableText"/>
              <w:ind w:left="1"/>
              <w:spacing w:before="75" w:line="189" w:lineRule="auto"/>
              <w:rPr/>
            </w:pPr>
            <w:r>
              <w:rPr>
                <w:color w:val="231F20"/>
                <w:spacing w:val="8"/>
              </w:rPr>
              <w:t>对照组</w:t>
            </w:r>
          </w:p>
        </w:tc>
        <w:tc>
          <w:tcPr>
            <w:tcW w:w="882" w:type="dxa"/>
            <w:vAlign w:val="top"/>
            <w:tcBorders>
              <w:bottom w:val="single" w:color="231F20" w:sz="6" w:space="0"/>
            </w:tcBorders>
          </w:tcPr>
          <w:p>
            <w:pPr>
              <w:pStyle w:val="TableText"/>
              <w:ind w:left="394"/>
              <w:spacing w:before="97" w:line="168" w:lineRule="auto"/>
              <w:rPr/>
            </w:pPr>
            <w:r>
              <w:rPr>
                <w:color w:val="231F20"/>
                <w:spacing w:val="-5"/>
              </w:rPr>
              <w:t>45</w:t>
            </w:r>
          </w:p>
        </w:tc>
        <w:tc>
          <w:tcPr>
            <w:tcW w:w="1049" w:type="dxa"/>
            <w:vAlign w:val="top"/>
            <w:tcBorders>
              <w:bottom w:val="single" w:color="231F20" w:sz="6" w:space="0"/>
            </w:tcBorders>
          </w:tcPr>
          <w:p>
            <w:pPr>
              <w:pStyle w:val="TableText"/>
              <w:ind w:left="255"/>
              <w:spacing w:before="75" w:line="189" w:lineRule="auto"/>
              <w:rPr/>
            </w:pPr>
            <w:r>
              <w:rPr>
                <w:color w:val="231F20"/>
                <w:spacing w:val="-15"/>
              </w:rPr>
              <w:t>4（8.89）</w:t>
            </w:r>
          </w:p>
        </w:tc>
        <w:tc>
          <w:tcPr>
            <w:tcW w:w="1276" w:type="dxa"/>
            <w:vAlign w:val="top"/>
            <w:tcBorders>
              <w:bottom w:val="single" w:color="231F20" w:sz="6" w:space="0"/>
            </w:tcBorders>
          </w:tcPr>
          <w:p>
            <w:pPr>
              <w:pStyle w:val="TableText"/>
              <w:ind w:left="372"/>
              <w:spacing w:before="75" w:line="189" w:lineRule="auto"/>
              <w:rPr/>
            </w:pPr>
            <w:r>
              <w:rPr>
                <w:color w:val="231F20"/>
                <w:spacing w:val="-12"/>
                <w:w w:val="96"/>
              </w:rPr>
              <w:t>2（4.44）</w:t>
            </w:r>
          </w:p>
        </w:tc>
        <w:tc>
          <w:tcPr>
            <w:tcW w:w="1195" w:type="dxa"/>
            <w:vAlign w:val="top"/>
            <w:tcBorders>
              <w:bottom w:val="single" w:color="231F20" w:sz="6" w:space="0"/>
            </w:tcBorders>
          </w:tcPr>
          <w:p>
            <w:pPr>
              <w:pStyle w:val="TableText"/>
              <w:ind w:left="337"/>
              <w:spacing w:before="75" w:line="189" w:lineRule="auto"/>
              <w:rPr/>
            </w:pPr>
            <w:r>
              <w:rPr>
                <w:color w:val="231F20"/>
                <w:spacing w:val="-16"/>
              </w:rPr>
              <w:t>3（6.67）</w:t>
            </w:r>
          </w:p>
        </w:tc>
        <w:tc>
          <w:tcPr>
            <w:tcW w:w="1218" w:type="dxa"/>
            <w:vAlign w:val="top"/>
            <w:tcBorders>
              <w:bottom w:val="single" w:color="231F20" w:sz="6" w:space="0"/>
            </w:tcBorders>
          </w:tcPr>
          <w:p>
            <w:pPr>
              <w:pStyle w:val="TableText"/>
              <w:ind w:left="378"/>
              <w:spacing w:before="75" w:line="189" w:lineRule="auto"/>
              <w:rPr/>
            </w:pPr>
            <w:r>
              <w:rPr>
                <w:color w:val="231F20"/>
                <w:spacing w:val="-12"/>
                <w:w w:val="96"/>
              </w:rPr>
              <w:t>2（4.44）</w:t>
            </w:r>
          </w:p>
        </w:tc>
        <w:tc>
          <w:tcPr>
            <w:tcW w:w="1244" w:type="dxa"/>
            <w:vAlign w:val="top"/>
            <w:tcBorders>
              <w:bottom w:val="single" w:color="231F20" w:sz="6" w:space="0"/>
            </w:tcBorders>
          </w:tcPr>
          <w:p>
            <w:pPr>
              <w:pStyle w:val="TableText"/>
              <w:ind w:left="358"/>
              <w:spacing w:before="75" w:line="189" w:lineRule="auto"/>
              <w:rPr/>
            </w:pPr>
            <w:r>
              <w:rPr>
                <w:color w:val="231F20"/>
                <w:spacing w:val="-15"/>
              </w:rPr>
              <w:t>5（11.11）</w:t>
            </w:r>
          </w:p>
        </w:tc>
        <w:tc>
          <w:tcPr>
            <w:tcW w:w="1264" w:type="dxa"/>
            <w:vAlign w:val="top"/>
            <w:tcBorders>
              <w:bottom w:val="single" w:color="231F20" w:sz="6" w:space="0"/>
            </w:tcBorders>
          </w:tcPr>
          <w:p>
            <w:pPr>
              <w:pStyle w:val="TableText"/>
              <w:ind w:left="326"/>
              <w:spacing w:before="75" w:line="189" w:lineRule="auto"/>
              <w:rPr/>
            </w:pPr>
            <w:r>
              <w:rPr>
                <w:color w:val="231F20"/>
                <w:spacing w:val="-16"/>
              </w:rPr>
              <w:t>16（35.56）</w:t>
            </w:r>
          </w:p>
        </w:tc>
      </w:tr>
    </w:tbl>
    <w:p>
      <w:pPr>
        <w:rPr>
          <w:rFonts w:ascii="Arial"/>
          <w:sz w:val="21"/>
        </w:rPr>
      </w:pPr>
      <w:r/>
    </w:p>
    <w:p>
      <w:pPr>
        <w:spacing w:line="48" w:lineRule="exact"/>
        <w:rPr/>
      </w:pPr>
      <w:r/>
    </w:p>
    <w:p>
      <w:pPr>
        <w:spacing w:line="48" w:lineRule="exact"/>
        <w:sectPr>
          <w:type w:val="continuous"/>
          <w:pgSz w:w="11905" w:h="16156"/>
          <w:pgMar w:top="1308" w:right="943" w:bottom="0" w:left="424" w:header="982" w:footer="0" w:gutter="0"/>
          <w:cols w:equalWidth="0" w:num="1">
            <w:col w:w="10537" w:space="0"/>
          </w:cols>
        </w:sectPr>
        <w:rPr/>
      </w:pPr>
    </w:p>
    <w:p>
      <w:pPr>
        <w:pStyle w:val="BodyText"/>
        <w:ind w:left="599"/>
        <w:spacing w:before="58" w:line="184" w:lineRule="auto"/>
        <w:outlineLvl w:val="1"/>
        <w:rPr>
          <w:sz w:val="20"/>
          <w:szCs w:val="20"/>
        </w:rPr>
      </w:pPr>
      <w:r>
        <w:rPr>
          <w:sz w:val="20"/>
          <w:szCs w:val="20"/>
          <w:color w:val="231F20"/>
          <w:spacing w:val="-2"/>
        </w:rPr>
        <w:t>3</w:t>
      </w:r>
      <w:r>
        <w:rPr>
          <w:sz w:val="20"/>
          <w:szCs w:val="20"/>
          <w:color w:val="231F20"/>
          <w:spacing w:val="13"/>
        </w:rPr>
        <w:t xml:space="preserve">   </w:t>
      </w:r>
      <w:r>
        <w:rPr>
          <w:sz w:val="20"/>
          <w:szCs w:val="20"/>
          <w:color w:val="231F20"/>
          <w:spacing w:val="-2"/>
        </w:rPr>
        <w:t>讨论</w:t>
      </w:r>
    </w:p>
    <w:p>
      <w:pPr>
        <w:pStyle w:val="BodyText"/>
        <w:ind w:left="598" w:right="279" w:firstLine="400"/>
        <w:spacing w:before="60" w:line="232" w:lineRule="auto"/>
        <w:jc w:val="both"/>
        <w:rPr>
          <w:sz w:val="20"/>
          <w:szCs w:val="20"/>
        </w:rPr>
      </w:pPr>
      <w:r>
        <w:rPr>
          <w:sz w:val="20"/>
          <w:szCs w:val="20"/>
          <w:color w:val="231F20"/>
          <w:spacing w:val="6"/>
        </w:rPr>
        <w:t>急性盆腔炎作为一种常见的妇科炎症，以其急性</w:t>
      </w:r>
      <w:r>
        <w:rPr>
          <w:sz w:val="20"/>
          <w:szCs w:val="20"/>
          <w:color w:val="231F20"/>
          <w:spacing w:val="12"/>
        </w:rPr>
        <w:t xml:space="preserve"> </w:t>
      </w:r>
      <w:r>
        <w:rPr>
          <w:sz w:val="20"/>
          <w:szCs w:val="20"/>
          <w:color w:val="231F20"/>
          <w:spacing w:val="13"/>
        </w:rPr>
        <w:t>发作和病情严重的特性</w:t>
      </w:r>
      <w:r>
        <w:rPr>
          <w:sz w:val="20"/>
          <w:szCs w:val="20"/>
          <w:color w:val="231F20"/>
          <w:spacing w:val="-6"/>
        </w:rPr>
        <w:t xml:space="preserve"> </w:t>
      </w:r>
      <w:r>
        <w:rPr>
          <w:sz w:val="20"/>
          <w:szCs w:val="20"/>
          <w:color w:val="231F20"/>
          <w:spacing w:val="13"/>
        </w:rPr>
        <w:t>，对女性的生殖健康构成了</w:t>
      </w:r>
      <w:r>
        <w:rPr>
          <w:sz w:val="20"/>
          <w:szCs w:val="20"/>
          <w:color w:val="231F20"/>
        </w:rPr>
        <w:t xml:space="preserve"> </w:t>
      </w:r>
      <w:r>
        <w:rPr>
          <w:sz w:val="20"/>
          <w:szCs w:val="20"/>
          <w:color w:val="231F20"/>
          <w:spacing w:val="5"/>
        </w:rPr>
        <w:t>严重威胁</w:t>
      </w:r>
      <w:r>
        <w:rPr>
          <w:sz w:val="20"/>
          <w:szCs w:val="20"/>
          <w:color w:val="231F20"/>
          <w:spacing w:val="-33"/>
        </w:rPr>
        <w:t xml:space="preserve"> </w:t>
      </w:r>
      <w:r>
        <w:rPr>
          <w:sz w:val="20"/>
          <w:szCs w:val="20"/>
          <w:color w:val="231F20"/>
          <w:spacing w:val="5"/>
        </w:rPr>
        <w:t>。其发病机制复杂，往往涉及多种病原</w:t>
      </w:r>
      <w:r>
        <w:rPr>
          <w:sz w:val="20"/>
          <w:szCs w:val="20"/>
          <w:color w:val="231F20"/>
          <w:spacing w:val="4"/>
        </w:rPr>
        <w:t>体和</w:t>
      </w:r>
      <w:r>
        <w:rPr>
          <w:sz w:val="20"/>
          <w:szCs w:val="20"/>
          <w:color w:val="231F20"/>
        </w:rPr>
        <w:t xml:space="preserve"> </w:t>
      </w:r>
      <w:r>
        <w:rPr>
          <w:sz w:val="20"/>
          <w:szCs w:val="20"/>
          <w:color w:val="231F20"/>
          <w:spacing w:val="13"/>
        </w:rPr>
        <w:t>感染途径</w:t>
      </w:r>
      <w:r>
        <w:rPr>
          <w:sz w:val="20"/>
          <w:szCs w:val="20"/>
          <w:color w:val="231F20"/>
          <w:spacing w:val="-6"/>
        </w:rPr>
        <w:t xml:space="preserve"> </w:t>
      </w:r>
      <w:r>
        <w:rPr>
          <w:sz w:val="20"/>
          <w:szCs w:val="20"/>
          <w:color w:val="231F20"/>
          <w:spacing w:val="13"/>
        </w:rPr>
        <w:t>，导致女性生殖器官及其周围组织的急性</w:t>
      </w:r>
      <w:r>
        <w:rPr>
          <w:sz w:val="20"/>
          <w:szCs w:val="20"/>
          <w:color w:val="231F20"/>
        </w:rPr>
        <w:t xml:space="preserve"> </w:t>
      </w:r>
      <w:r>
        <w:rPr>
          <w:sz w:val="20"/>
          <w:szCs w:val="20"/>
          <w:color w:val="231F20"/>
          <w:spacing w:val="5"/>
        </w:rPr>
        <w:t>炎症</w:t>
      </w:r>
      <w:r>
        <w:rPr>
          <w:sz w:val="20"/>
          <w:szCs w:val="20"/>
          <w:color w:val="231F20"/>
          <w:spacing w:val="-33"/>
        </w:rPr>
        <w:t xml:space="preserve"> </w:t>
      </w:r>
      <w:r>
        <w:rPr>
          <w:sz w:val="20"/>
          <w:szCs w:val="20"/>
          <w:color w:val="231F20"/>
          <w:spacing w:val="5"/>
        </w:rPr>
        <w:t>。这种病症不仅给女性带来身体上的痛苦，</w:t>
      </w:r>
      <w:r>
        <w:rPr>
          <w:sz w:val="20"/>
          <w:szCs w:val="20"/>
          <w:color w:val="231F20"/>
          <w:spacing w:val="4"/>
        </w:rPr>
        <w:t>还可</w:t>
      </w:r>
      <w:r>
        <w:rPr>
          <w:sz w:val="20"/>
          <w:szCs w:val="20"/>
          <w:color w:val="231F20"/>
        </w:rPr>
        <w:t xml:space="preserve"> </w:t>
      </w:r>
      <w:r>
        <w:rPr>
          <w:sz w:val="20"/>
          <w:szCs w:val="20"/>
          <w:color w:val="231F20"/>
          <w:spacing w:val="12"/>
        </w:rPr>
        <w:t>能引发一系列严重的并发症</w:t>
      </w:r>
      <w:r>
        <w:rPr>
          <w:sz w:val="20"/>
          <w:szCs w:val="20"/>
          <w:color w:val="231F20"/>
          <w:spacing w:val="-11"/>
        </w:rPr>
        <w:t xml:space="preserve"> </w:t>
      </w:r>
      <w:r>
        <w:rPr>
          <w:sz w:val="20"/>
          <w:szCs w:val="20"/>
          <w:color w:val="231F20"/>
          <w:spacing w:val="12"/>
        </w:rPr>
        <w:t>，如不孕</w:t>
      </w:r>
      <w:r>
        <w:rPr>
          <w:sz w:val="20"/>
          <w:szCs w:val="20"/>
          <w:color w:val="231F20"/>
          <w:spacing w:val="-32"/>
        </w:rPr>
        <w:t xml:space="preserve"> </w:t>
      </w:r>
      <w:r>
        <w:rPr>
          <w:sz w:val="20"/>
          <w:szCs w:val="20"/>
          <w:color w:val="231F20"/>
          <w:spacing w:val="12"/>
        </w:rPr>
        <w:t>、慢性盆腔痛</w:t>
      </w:r>
      <w:r>
        <w:rPr>
          <w:sz w:val="20"/>
          <w:szCs w:val="20"/>
          <w:color w:val="231F20"/>
        </w:rPr>
        <w:t xml:space="preserve"> </w:t>
      </w:r>
      <w:r>
        <w:rPr>
          <w:sz w:val="20"/>
          <w:szCs w:val="20"/>
          <w:color w:val="231F20"/>
          <w:spacing w:val="-6"/>
        </w:rPr>
        <w:t>等，对女性的生活质量产生深远影响</w:t>
      </w:r>
      <w:r>
        <w:rPr>
          <w:sz w:val="10"/>
          <w:szCs w:val="10"/>
          <w:color w:val="231F20"/>
          <w:spacing w:val="-6"/>
          <w:position w:val="7"/>
        </w:rPr>
        <w:t>［</w:t>
      </w:r>
      <w:r>
        <w:rPr>
          <w:sz w:val="11"/>
          <w:szCs w:val="11"/>
          <w:color w:val="231F20"/>
          <w:spacing w:val="-6"/>
          <w:position w:val="7"/>
        </w:rPr>
        <w:t>11-12</w:t>
      </w:r>
      <w:r>
        <w:rPr>
          <w:sz w:val="10"/>
          <w:szCs w:val="10"/>
          <w:color w:val="231F20"/>
          <w:spacing w:val="-6"/>
          <w:position w:val="7"/>
        </w:rPr>
        <w:t>］</w:t>
      </w:r>
      <w:r>
        <w:rPr>
          <w:sz w:val="20"/>
          <w:szCs w:val="20"/>
          <w:color w:val="231F20"/>
          <w:spacing w:val="-6"/>
        </w:rPr>
        <w:t>。因此，针对</w:t>
      </w:r>
      <w:r>
        <w:rPr>
          <w:sz w:val="20"/>
          <w:szCs w:val="20"/>
          <w:color w:val="231F20"/>
          <w:spacing w:val="7"/>
        </w:rPr>
        <w:t xml:space="preserve"> </w:t>
      </w:r>
      <w:r>
        <w:rPr>
          <w:sz w:val="20"/>
          <w:szCs w:val="20"/>
          <w:color w:val="231F20"/>
          <w:spacing w:val="13"/>
        </w:rPr>
        <w:t>急性盆腔炎的治疗</w:t>
      </w:r>
      <w:r>
        <w:rPr>
          <w:sz w:val="20"/>
          <w:szCs w:val="20"/>
          <w:color w:val="231F20"/>
          <w:spacing w:val="-6"/>
        </w:rPr>
        <w:t xml:space="preserve"> </w:t>
      </w:r>
      <w:r>
        <w:rPr>
          <w:sz w:val="20"/>
          <w:szCs w:val="20"/>
          <w:color w:val="231F20"/>
          <w:spacing w:val="13"/>
        </w:rPr>
        <w:t>，探寻安全有效的药物组合显得</w:t>
      </w:r>
      <w:r>
        <w:rPr>
          <w:sz w:val="20"/>
          <w:szCs w:val="20"/>
          <w:color w:val="231F20"/>
        </w:rPr>
        <w:t xml:space="preserve"> </w:t>
      </w:r>
      <w:r>
        <w:rPr>
          <w:sz w:val="20"/>
          <w:szCs w:val="20"/>
          <w:color w:val="231F20"/>
          <w:spacing w:val="8"/>
        </w:rPr>
        <w:t>尤为重要。</w:t>
      </w:r>
    </w:p>
    <w:p>
      <w:pPr>
        <w:pStyle w:val="BodyText"/>
        <w:ind w:left="598" w:right="203" w:firstLine="395"/>
        <w:spacing w:before="10" w:line="231" w:lineRule="auto"/>
        <w:jc w:val="both"/>
        <w:rPr>
          <w:sz w:val="20"/>
          <w:szCs w:val="20"/>
        </w:rPr>
      </w:pPr>
      <w:r>
        <w:rPr>
          <w:sz w:val="20"/>
          <w:szCs w:val="20"/>
          <w:color w:val="231F20"/>
          <w:spacing w:val="9"/>
        </w:rPr>
        <w:t>将本研究的数据结果与王芳等</w:t>
      </w:r>
      <w:r>
        <w:rPr>
          <w:sz w:val="10"/>
          <w:szCs w:val="10"/>
          <w:color w:val="231F20"/>
          <w:spacing w:val="9"/>
          <w:position w:val="7"/>
        </w:rPr>
        <w:t>［</w:t>
      </w:r>
      <w:r>
        <w:rPr>
          <w:sz w:val="11"/>
          <w:szCs w:val="11"/>
          <w:color w:val="231F20"/>
          <w:spacing w:val="9"/>
          <w:position w:val="7"/>
        </w:rPr>
        <w:t>13</w:t>
      </w:r>
      <w:r>
        <w:rPr>
          <w:sz w:val="10"/>
          <w:szCs w:val="10"/>
          <w:color w:val="231F20"/>
          <w:spacing w:val="9"/>
          <w:position w:val="7"/>
        </w:rPr>
        <w:t>］</w:t>
      </w:r>
      <w:r>
        <w:rPr>
          <w:sz w:val="20"/>
          <w:szCs w:val="20"/>
          <w:color w:val="231F20"/>
          <w:spacing w:val="9"/>
        </w:rPr>
        <w:t>的研究结果进</w:t>
      </w:r>
      <w:r>
        <w:rPr>
          <w:sz w:val="20"/>
          <w:szCs w:val="20"/>
          <w:color w:val="231F20"/>
          <w:spacing w:val="3"/>
        </w:rPr>
        <w:t xml:space="preserve">  </w:t>
      </w:r>
      <w:r>
        <w:rPr>
          <w:sz w:val="20"/>
          <w:szCs w:val="20"/>
          <w:color w:val="231F20"/>
          <w:spacing w:val="6"/>
        </w:rPr>
        <w:t>行比较，可以发现，联合用药组的疗效显著优于传统</w:t>
      </w:r>
      <w:r>
        <w:rPr>
          <w:sz w:val="20"/>
          <w:szCs w:val="20"/>
          <w:color w:val="231F20"/>
        </w:rPr>
        <w:t xml:space="preserve">  </w:t>
      </w:r>
      <w:r>
        <w:rPr>
          <w:sz w:val="20"/>
          <w:szCs w:val="20"/>
          <w:color w:val="231F20"/>
          <w:spacing w:val="6"/>
        </w:rPr>
        <w:t>单药物治疗组。这一进步性的成果不仅体现在总有效</w:t>
      </w:r>
      <w:r>
        <w:rPr>
          <w:sz w:val="20"/>
          <w:szCs w:val="20"/>
          <w:color w:val="231F20"/>
        </w:rPr>
        <w:t xml:space="preserve">  </w:t>
      </w:r>
      <w:r>
        <w:rPr>
          <w:sz w:val="20"/>
          <w:szCs w:val="20"/>
          <w:color w:val="231F20"/>
          <w:spacing w:val="6"/>
        </w:rPr>
        <w:t>率的提高，更体现在血清炎性因子水平的显著降低和</w:t>
      </w:r>
      <w:r>
        <w:rPr>
          <w:sz w:val="20"/>
          <w:szCs w:val="20"/>
          <w:color w:val="231F20"/>
        </w:rPr>
        <w:t xml:space="preserve">  </w:t>
      </w:r>
      <w:r>
        <w:rPr>
          <w:sz w:val="20"/>
          <w:szCs w:val="20"/>
          <w:color w:val="231F20"/>
          <w:spacing w:val="6"/>
        </w:rPr>
        <w:t>不良反应发生率的减少。这一结果进一步证实了联合</w:t>
      </w:r>
      <w:r>
        <w:rPr>
          <w:sz w:val="20"/>
          <w:szCs w:val="20"/>
          <w:color w:val="231F20"/>
        </w:rPr>
        <w:t xml:space="preserve">  </w:t>
      </w:r>
      <w:r>
        <w:rPr>
          <w:sz w:val="20"/>
          <w:szCs w:val="20"/>
          <w:color w:val="231F20"/>
          <w:spacing w:val="6"/>
        </w:rPr>
        <w:t>用药在急性盆腔炎治疗中的优势，也为临床实践提供</w:t>
      </w:r>
      <w:r>
        <w:rPr>
          <w:sz w:val="20"/>
          <w:szCs w:val="20"/>
          <w:color w:val="231F20"/>
        </w:rPr>
        <w:t xml:space="preserve">  </w:t>
      </w:r>
      <w:r>
        <w:rPr>
          <w:sz w:val="20"/>
          <w:szCs w:val="20"/>
          <w:color w:val="231F20"/>
          <w:spacing w:val="5"/>
        </w:rPr>
        <w:t>了新的证据支持</w:t>
      </w:r>
      <w:r>
        <w:rPr>
          <w:sz w:val="20"/>
          <w:szCs w:val="20"/>
          <w:color w:val="231F20"/>
          <w:spacing w:val="-35"/>
        </w:rPr>
        <w:t xml:space="preserve"> </w:t>
      </w:r>
      <w:r>
        <w:rPr>
          <w:sz w:val="20"/>
          <w:szCs w:val="20"/>
          <w:color w:val="231F20"/>
          <w:spacing w:val="5"/>
        </w:rPr>
        <w:t>。阿莫西林作为广谱抗生素，常用于</w:t>
      </w:r>
      <w:r>
        <w:rPr>
          <w:sz w:val="20"/>
          <w:szCs w:val="20"/>
          <w:color w:val="231F20"/>
        </w:rPr>
        <w:t xml:space="preserve">  </w:t>
      </w:r>
      <w:r>
        <w:rPr>
          <w:sz w:val="20"/>
          <w:szCs w:val="20"/>
          <w:color w:val="231F20"/>
          <w:spacing w:val="1"/>
        </w:rPr>
        <w:t>敏感菌引起的各种感染，其抗菌作用明确</w:t>
      </w:r>
      <w:r>
        <w:rPr>
          <w:sz w:val="10"/>
          <w:szCs w:val="10"/>
          <w:color w:val="231F20"/>
          <w:spacing w:val="1"/>
          <w:position w:val="7"/>
        </w:rPr>
        <w:t>［</w:t>
      </w:r>
      <w:r>
        <w:rPr>
          <w:sz w:val="11"/>
          <w:szCs w:val="11"/>
          <w:color w:val="231F20"/>
          <w:spacing w:val="1"/>
          <w:position w:val="7"/>
        </w:rPr>
        <w:t>14-15</w:t>
      </w:r>
      <w:r>
        <w:rPr>
          <w:sz w:val="10"/>
          <w:szCs w:val="10"/>
          <w:color w:val="231F20"/>
          <w:spacing w:val="1"/>
          <w:position w:val="7"/>
        </w:rPr>
        <w:t>］</w:t>
      </w:r>
      <w:r>
        <w:rPr>
          <w:sz w:val="20"/>
          <w:szCs w:val="20"/>
          <w:color w:val="231F20"/>
          <w:spacing w:val="1"/>
        </w:rPr>
        <w:t>。而妇</w:t>
      </w:r>
      <w:r>
        <w:rPr>
          <w:sz w:val="20"/>
          <w:szCs w:val="20"/>
          <w:color w:val="231F20"/>
          <w:spacing w:val="2"/>
        </w:rPr>
        <w:t xml:space="preserve">  </w:t>
      </w:r>
      <w:r>
        <w:rPr>
          <w:sz w:val="20"/>
          <w:szCs w:val="20"/>
          <w:color w:val="231F20"/>
          <w:spacing w:val="6"/>
        </w:rPr>
        <w:t>科千金胶囊则是一种中药制剂，具有清热解毒、活血</w:t>
      </w:r>
      <w:r>
        <w:rPr>
          <w:sz w:val="20"/>
          <w:szCs w:val="20"/>
          <w:color w:val="231F20"/>
        </w:rPr>
        <w:t xml:space="preserve">  </w:t>
      </w:r>
      <w:r>
        <w:rPr>
          <w:sz w:val="20"/>
          <w:szCs w:val="20"/>
          <w:color w:val="231F20"/>
          <w:spacing w:val="7"/>
        </w:rPr>
        <w:t>化瘀的功效</w:t>
      </w:r>
      <w:r>
        <w:rPr>
          <w:sz w:val="20"/>
          <w:szCs w:val="20"/>
          <w:color w:val="231F20"/>
          <w:spacing w:val="-6"/>
        </w:rPr>
        <w:t xml:space="preserve"> </w:t>
      </w:r>
      <w:r>
        <w:rPr>
          <w:sz w:val="20"/>
          <w:szCs w:val="20"/>
          <w:color w:val="231F20"/>
          <w:spacing w:val="7"/>
        </w:rPr>
        <w:t>，对于妇科炎症的治疗具有独特的优势。</w:t>
      </w:r>
      <w:r>
        <w:rPr>
          <w:sz w:val="20"/>
          <w:szCs w:val="20"/>
          <w:color w:val="231F20"/>
        </w:rPr>
        <w:t xml:space="preserve"> </w:t>
      </w:r>
      <w:r>
        <w:rPr>
          <w:sz w:val="20"/>
          <w:szCs w:val="20"/>
          <w:color w:val="231F20"/>
          <w:spacing w:val="5"/>
        </w:rPr>
        <w:t>联用两种药物能够发挥协同作用，提高疗效</w:t>
      </w:r>
      <w:r>
        <w:rPr>
          <w:sz w:val="20"/>
          <w:szCs w:val="20"/>
          <w:color w:val="231F20"/>
          <w:spacing w:val="-33"/>
        </w:rPr>
        <w:t xml:space="preserve"> </w:t>
      </w:r>
      <w:r>
        <w:rPr>
          <w:sz w:val="20"/>
          <w:szCs w:val="20"/>
          <w:color w:val="231F20"/>
          <w:spacing w:val="5"/>
        </w:rPr>
        <w:t>。阿</w:t>
      </w:r>
      <w:r>
        <w:rPr>
          <w:sz w:val="20"/>
          <w:szCs w:val="20"/>
          <w:color w:val="231F20"/>
          <w:spacing w:val="4"/>
        </w:rPr>
        <w:t>莫西</w:t>
      </w:r>
    </w:p>
    <w:p>
      <w:pPr>
        <w:spacing w:line="14" w:lineRule="auto"/>
        <w:rPr>
          <w:rFonts w:ascii="Arial"/>
          <w:sz w:val="2"/>
        </w:rPr>
      </w:pPr>
      <w:r>
        <w:rPr>
          <w:rFonts w:ascii="Arial" w:hAnsi="Arial" w:eastAsia="Arial" w:cs="Arial"/>
          <w:sz w:val="2"/>
          <w:szCs w:val="2"/>
        </w:rPr>
        <w:br w:type="column"/>
      </w:r>
    </w:p>
    <w:p>
      <w:pPr>
        <w:pStyle w:val="BodyText"/>
        <w:spacing w:before="42" w:line="232" w:lineRule="auto"/>
        <w:jc w:val="both"/>
        <w:rPr>
          <w:sz w:val="20"/>
          <w:szCs w:val="20"/>
        </w:rPr>
      </w:pPr>
      <w:r>
        <w:rPr>
          <w:sz w:val="20"/>
          <w:szCs w:val="20"/>
          <w:color w:val="231F20"/>
          <w:spacing w:val="6"/>
        </w:rPr>
        <w:t>林主要作用于细菌感染的控制，而妇科千金胶囊则能</w:t>
      </w:r>
      <w:r>
        <w:rPr>
          <w:sz w:val="20"/>
          <w:szCs w:val="20"/>
          <w:color w:val="231F20"/>
          <w:spacing w:val="1"/>
        </w:rPr>
        <w:t xml:space="preserve">  </w:t>
      </w:r>
      <w:r>
        <w:rPr>
          <w:sz w:val="20"/>
          <w:szCs w:val="20"/>
          <w:color w:val="231F20"/>
          <w:spacing w:val="6"/>
        </w:rPr>
        <w:t>够调节机体免疫功能。这种综合治疗策略可以更全面</w:t>
      </w:r>
      <w:r>
        <w:rPr>
          <w:sz w:val="20"/>
          <w:szCs w:val="20"/>
          <w:color w:val="231F20"/>
          <w:spacing w:val="1"/>
        </w:rPr>
        <w:t xml:space="preserve">  </w:t>
      </w:r>
      <w:r>
        <w:rPr>
          <w:sz w:val="20"/>
          <w:szCs w:val="20"/>
          <w:color w:val="231F20"/>
          <w:spacing w:val="5"/>
        </w:rPr>
        <w:t>地解决急性盆腔炎的多个发病环节，提高治愈率</w:t>
      </w:r>
      <w:r>
        <w:rPr>
          <w:sz w:val="20"/>
          <w:szCs w:val="20"/>
          <w:color w:val="231F20"/>
          <w:spacing w:val="-34"/>
        </w:rPr>
        <w:t xml:space="preserve"> </w:t>
      </w:r>
      <w:r>
        <w:rPr>
          <w:sz w:val="20"/>
          <w:szCs w:val="20"/>
          <w:color w:val="231F20"/>
          <w:spacing w:val="5"/>
        </w:rPr>
        <w:t>。本</w:t>
      </w:r>
      <w:r>
        <w:rPr>
          <w:sz w:val="20"/>
          <w:szCs w:val="20"/>
          <w:color w:val="231F20"/>
        </w:rPr>
        <w:t xml:space="preserve">  </w:t>
      </w:r>
      <w:r>
        <w:rPr>
          <w:sz w:val="20"/>
          <w:szCs w:val="20"/>
          <w:color w:val="231F20"/>
          <w:spacing w:val="5"/>
        </w:rPr>
        <w:t>研究结果表明，实验组总有效率显著高于对照组</w:t>
      </w:r>
      <w:r>
        <w:rPr>
          <w:sz w:val="20"/>
          <w:szCs w:val="20"/>
          <w:color w:val="231F20"/>
          <w:spacing w:val="-34"/>
        </w:rPr>
        <w:t xml:space="preserve"> </w:t>
      </w:r>
      <w:r>
        <w:rPr>
          <w:sz w:val="20"/>
          <w:szCs w:val="20"/>
          <w:color w:val="231F20"/>
          <w:spacing w:val="5"/>
        </w:rPr>
        <w:t>。分</w:t>
      </w:r>
      <w:r>
        <w:rPr>
          <w:sz w:val="20"/>
          <w:szCs w:val="20"/>
          <w:color w:val="231F20"/>
        </w:rPr>
        <w:t xml:space="preserve">  </w:t>
      </w:r>
      <w:r>
        <w:rPr>
          <w:sz w:val="20"/>
          <w:szCs w:val="20"/>
          <w:color w:val="231F20"/>
          <w:spacing w:val="6"/>
        </w:rPr>
        <w:t>析其原因可能是，阿莫西林胶囊联合妇科千金胶囊的</w:t>
      </w:r>
      <w:r>
        <w:rPr>
          <w:sz w:val="20"/>
          <w:szCs w:val="20"/>
          <w:color w:val="231F20"/>
          <w:spacing w:val="1"/>
        </w:rPr>
        <w:t xml:space="preserve">  </w:t>
      </w:r>
      <w:r>
        <w:rPr>
          <w:sz w:val="20"/>
          <w:szCs w:val="20"/>
          <w:color w:val="231F20"/>
          <w:spacing w:val="9"/>
        </w:rPr>
        <w:t>治疗方案能够更全面地针对急性盆腔炎的发病机制。</w:t>
      </w:r>
      <w:r>
        <w:rPr>
          <w:sz w:val="20"/>
          <w:szCs w:val="20"/>
          <w:color w:val="231F20"/>
          <w:spacing w:val="8"/>
        </w:rPr>
        <w:t xml:space="preserve"> </w:t>
      </w:r>
      <w:r>
        <w:rPr>
          <w:sz w:val="20"/>
          <w:szCs w:val="20"/>
          <w:color w:val="231F20"/>
          <w:spacing w:val="6"/>
        </w:rPr>
        <w:t>阿莫西林胶囊能够抑制病原体的生长繁殖，而妇科千</w:t>
      </w:r>
      <w:r>
        <w:rPr>
          <w:sz w:val="20"/>
          <w:szCs w:val="20"/>
          <w:color w:val="231F20"/>
          <w:spacing w:val="1"/>
        </w:rPr>
        <w:t xml:space="preserve">  </w:t>
      </w:r>
      <w:r>
        <w:rPr>
          <w:sz w:val="20"/>
          <w:szCs w:val="20"/>
          <w:color w:val="231F20"/>
          <w:spacing w:val="6"/>
        </w:rPr>
        <w:t>金胶囊则通过清热解毒、活血化瘀的作用，进一步减</w:t>
      </w:r>
      <w:r>
        <w:rPr>
          <w:sz w:val="20"/>
          <w:szCs w:val="20"/>
          <w:color w:val="231F20"/>
          <w:spacing w:val="1"/>
        </w:rPr>
        <w:t xml:space="preserve">  </w:t>
      </w:r>
      <w:r>
        <w:rPr>
          <w:sz w:val="20"/>
          <w:szCs w:val="20"/>
          <w:color w:val="231F20"/>
          <w:spacing w:val="5"/>
        </w:rPr>
        <w:t>轻炎症反应，促进炎症的吸收</w:t>
      </w:r>
      <w:r>
        <w:rPr>
          <w:sz w:val="20"/>
          <w:szCs w:val="20"/>
          <w:color w:val="231F20"/>
          <w:spacing w:val="-34"/>
        </w:rPr>
        <w:t xml:space="preserve"> </w:t>
      </w:r>
      <w:r>
        <w:rPr>
          <w:sz w:val="20"/>
          <w:szCs w:val="20"/>
          <w:color w:val="231F20"/>
          <w:spacing w:val="5"/>
        </w:rPr>
        <w:t>。这种联合用药的方式</w:t>
      </w:r>
      <w:r>
        <w:rPr>
          <w:sz w:val="20"/>
          <w:szCs w:val="20"/>
          <w:color w:val="231F20"/>
        </w:rPr>
        <w:t xml:space="preserve">  </w:t>
      </w:r>
      <w:r>
        <w:rPr>
          <w:sz w:val="20"/>
          <w:szCs w:val="20"/>
          <w:color w:val="231F20"/>
        </w:rPr>
        <w:t>能够发挥两种药物的协同作用，提高治疗效果。此外，</w:t>
      </w:r>
      <w:r>
        <w:rPr>
          <w:sz w:val="20"/>
          <w:szCs w:val="20"/>
          <w:color w:val="231F20"/>
          <w:spacing w:val="3"/>
        </w:rPr>
        <w:t xml:space="preserve"> </w:t>
      </w:r>
      <w:r>
        <w:rPr>
          <w:sz w:val="20"/>
          <w:szCs w:val="20"/>
          <w:color w:val="231F20"/>
          <w:spacing w:val="6"/>
        </w:rPr>
        <w:t>联合用药还可能通过调节机体免疫功能，增强机体的</w:t>
      </w:r>
      <w:r>
        <w:rPr>
          <w:sz w:val="20"/>
          <w:szCs w:val="20"/>
          <w:color w:val="231F20"/>
          <w:spacing w:val="1"/>
        </w:rPr>
        <w:t xml:space="preserve">  </w:t>
      </w:r>
      <w:r>
        <w:rPr>
          <w:sz w:val="20"/>
          <w:szCs w:val="20"/>
          <w:color w:val="231F20"/>
          <w:spacing w:val="5"/>
        </w:rPr>
        <w:t>抵抗力，从而更好地对抗病原体和炎症</w:t>
      </w:r>
      <w:r>
        <w:rPr>
          <w:sz w:val="20"/>
          <w:szCs w:val="20"/>
          <w:color w:val="231F20"/>
          <w:spacing w:val="-34"/>
        </w:rPr>
        <w:t xml:space="preserve"> </w:t>
      </w:r>
      <w:r>
        <w:rPr>
          <w:sz w:val="20"/>
          <w:szCs w:val="20"/>
          <w:color w:val="231F20"/>
          <w:spacing w:val="5"/>
        </w:rPr>
        <w:t>。这种综合治</w:t>
      </w:r>
      <w:r>
        <w:rPr>
          <w:sz w:val="20"/>
          <w:szCs w:val="20"/>
          <w:color w:val="231F20"/>
        </w:rPr>
        <w:t xml:space="preserve">  </w:t>
      </w:r>
      <w:r>
        <w:rPr>
          <w:sz w:val="20"/>
          <w:szCs w:val="20"/>
          <w:color w:val="231F20"/>
          <w:spacing w:val="6"/>
        </w:rPr>
        <w:t>疗策略不仅提高了治疗效率，还减少了无效治疗的情</w:t>
      </w:r>
      <w:r>
        <w:rPr>
          <w:sz w:val="20"/>
          <w:szCs w:val="20"/>
          <w:color w:val="231F20"/>
          <w:spacing w:val="1"/>
        </w:rPr>
        <w:t xml:space="preserve">  </w:t>
      </w:r>
      <w:r>
        <w:rPr>
          <w:sz w:val="20"/>
          <w:szCs w:val="20"/>
          <w:color w:val="231F20"/>
        </w:rPr>
        <w:t>况，使得更多患者能够从治疗中获益。本研究还显示，</w:t>
      </w:r>
      <w:r>
        <w:rPr>
          <w:sz w:val="20"/>
          <w:szCs w:val="20"/>
          <w:color w:val="231F20"/>
          <w:spacing w:val="15"/>
          <w:w w:val="101"/>
        </w:rPr>
        <w:t xml:space="preserve"> </w:t>
      </w:r>
      <w:r>
        <w:rPr>
          <w:sz w:val="20"/>
          <w:szCs w:val="20"/>
          <w:color w:val="231F20"/>
          <w:spacing w:val="6"/>
        </w:rPr>
        <w:t>治疗前，两组患者血清炎性因子指标水平均无显著差</w:t>
      </w:r>
      <w:r>
        <w:rPr>
          <w:sz w:val="20"/>
          <w:szCs w:val="20"/>
          <w:color w:val="231F20"/>
          <w:spacing w:val="1"/>
        </w:rPr>
        <w:t xml:space="preserve">  </w:t>
      </w:r>
      <w:r>
        <w:rPr>
          <w:sz w:val="20"/>
          <w:szCs w:val="20"/>
          <w:color w:val="231F20"/>
          <w:spacing w:val="5"/>
        </w:rPr>
        <w:t>异</w:t>
      </w:r>
      <w:r>
        <w:rPr>
          <w:sz w:val="20"/>
          <w:szCs w:val="20"/>
          <w:color w:val="231F20"/>
          <w:spacing w:val="-34"/>
        </w:rPr>
        <w:t xml:space="preserve"> </w:t>
      </w:r>
      <w:r>
        <w:rPr>
          <w:sz w:val="20"/>
          <w:szCs w:val="20"/>
          <w:color w:val="231F20"/>
          <w:spacing w:val="5"/>
        </w:rPr>
        <w:t>。治疗后，实验组血清炎性因子指标水平显著低于</w:t>
      </w:r>
      <w:r>
        <w:rPr>
          <w:sz w:val="20"/>
          <w:szCs w:val="20"/>
          <w:color w:val="231F20"/>
        </w:rPr>
        <w:t xml:space="preserve">  </w:t>
      </w:r>
      <w:r>
        <w:rPr>
          <w:sz w:val="20"/>
          <w:szCs w:val="20"/>
          <w:color w:val="231F20"/>
          <w:spacing w:val="5"/>
        </w:rPr>
        <w:t>对照组</w:t>
      </w:r>
      <w:r>
        <w:rPr>
          <w:sz w:val="20"/>
          <w:szCs w:val="20"/>
          <w:color w:val="231F20"/>
          <w:spacing w:val="-34"/>
        </w:rPr>
        <w:t xml:space="preserve"> </w:t>
      </w:r>
      <w:r>
        <w:rPr>
          <w:sz w:val="20"/>
          <w:szCs w:val="20"/>
          <w:color w:val="231F20"/>
          <w:spacing w:val="5"/>
        </w:rPr>
        <w:t>。分析其原因可能是，阿莫西林胶囊作为一种</w:t>
      </w:r>
      <w:r>
        <w:rPr>
          <w:sz w:val="20"/>
          <w:szCs w:val="20"/>
          <w:color w:val="231F20"/>
        </w:rPr>
        <w:t xml:space="preserve">  </w:t>
      </w:r>
      <w:r>
        <w:rPr>
          <w:sz w:val="20"/>
          <w:szCs w:val="20"/>
          <w:color w:val="231F20"/>
          <w:spacing w:val="7"/>
        </w:rPr>
        <w:t>广谱抗生素</w:t>
      </w:r>
      <w:r>
        <w:rPr>
          <w:sz w:val="20"/>
          <w:szCs w:val="20"/>
          <w:color w:val="231F20"/>
          <w:spacing w:val="-5"/>
        </w:rPr>
        <w:t xml:space="preserve"> </w:t>
      </w:r>
      <w:r>
        <w:rPr>
          <w:sz w:val="20"/>
          <w:szCs w:val="20"/>
          <w:color w:val="231F20"/>
          <w:spacing w:val="7"/>
        </w:rPr>
        <w:t>，能够杀灭或抑制引起盆腔炎的病原体，</w:t>
      </w:r>
      <w:r>
        <w:rPr>
          <w:sz w:val="20"/>
          <w:szCs w:val="20"/>
          <w:color w:val="231F20"/>
        </w:rPr>
        <w:t xml:space="preserve"> </w:t>
      </w:r>
      <w:r>
        <w:rPr>
          <w:sz w:val="20"/>
          <w:szCs w:val="20"/>
          <w:color w:val="231F20"/>
          <w:spacing w:val="6"/>
        </w:rPr>
        <w:t>从而阻断炎症的进一步发展。而妇科千金胶囊作为一</w:t>
      </w:r>
      <w:r>
        <w:rPr>
          <w:sz w:val="20"/>
          <w:szCs w:val="20"/>
          <w:color w:val="231F20"/>
          <w:spacing w:val="1"/>
        </w:rPr>
        <w:t xml:space="preserve">  </w:t>
      </w:r>
      <w:r>
        <w:rPr>
          <w:sz w:val="20"/>
          <w:szCs w:val="20"/>
          <w:color w:val="231F20"/>
          <w:spacing w:val="6"/>
        </w:rPr>
        <w:t>种中药制剂，其含有的多种活性成分能够调节机体的</w:t>
      </w:r>
      <w:r>
        <w:rPr>
          <w:sz w:val="20"/>
          <w:szCs w:val="20"/>
          <w:color w:val="231F20"/>
          <w:spacing w:val="1"/>
        </w:rPr>
        <w:t xml:space="preserve">  </w:t>
      </w:r>
      <w:r>
        <w:rPr>
          <w:sz w:val="20"/>
          <w:szCs w:val="20"/>
          <w:color w:val="231F20"/>
          <w:spacing w:val="-2"/>
        </w:rPr>
        <w:t>免疫功能，抑制炎性因子的产生，促进炎症</w:t>
      </w:r>
      <w:r>
        <w:rPr>
          <w:sz w:val="20"/>
          <w:szCs w:val="20"/>
          <w:color w:val="231F20"/>
          <w:spacing w:val="-3"/>
        </w:rPr>
        <w:t>的消退。阿</w:t>
      </w:r>
    </w:p>
    <w:p>
      <w:pPr>
        <w:spacing w:line="232" w:lineRule="auto"/>
        <w:sectPr>
          <w:type w:val="continuous"/>
          <w:pgSz w:w="11905" w:h="16156"/>
          <w:pgMar w:top="1308" w:right="943" w:bottom="0" w:left="424" w:header="982" w:footer="0" w:gutter="0"/>
          <w:cols w:equalWidth="0" w:num="2">
            <w:col w:w="5619" w:space="100"/>
            <w:col w:w="4818" w:space="0"/>
          </w:cols>
        </w:sectPr>
        <w:rPr>
          <w:sz w:val="20"/>
          <w:szCs w:val="20"/>
        </w:rPr>
      </w:pPr>
    </w:p>
    <w:p>
      <w:pPr>
        <w:spacing w:line="328" w:lineRule="auto"/>
        <w:rPr>
          <w:rFonts w:ascii="Arial"/>
          <w:sz w:val="21"/>
        </w:rPr>
      </w:pPr>
      <w:r>
        <w:drawing>
          <wp:anchor distT="0" distB="0" distL="0" distR="0" simplePos="0" relativeHeight="251666432" behindDoc="0" locked="0" layoutInCell="1" allowOverlap="1">
            <wp:simplePos x="0" y="0"/>
            <wp:positionH relativeFrom="column">
              <wp:posOffset>378459</wp:posOffset>
            </wp:positionH>
            <wp:positionV relativeFrom="paragraph">
              <wp:posOffset>-8784705</wp:posOffset>
            </wp:positionV>
            <wp:extent cx="6264909" cy="6350"/>
            <wp:effectExtent l="0" t="0" r="0" b="0"/>
            <wp:wrapNone/>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6264909" cy="6350"/>
                    </a:xfrm>
                    <a:prstGeom prst="rect">
                      <a:avLst/>
                    </a:prstGeom>
                  </pic:spPr>
                </pic:pic>
              </a:graphicData>
            </a:graphic>
          </wp:anchor>
        </w:drawing>
      </w:r>
      <w:r/>
    </w:p>
    <w:p>
      <w:pPr>
        <w:pStyle w:val="BodyText"/>
        <w:spacing w:before="95" w:line="159" w:lineRule="auto"/>
        <w:rPr>
          <w:rFonts w:ascii="Arial" w:hAnsi="Arial" w:eastAsia="Arial" w:cs="Arial"/>
          <w:sz w:val="22"/>
          <w:szCs w:val="22"/>
        </w:rPr>
      </w:pPr>
      <w:r>
        <w:rPr>
          <w:sz w:val="22"/>
          <w:szCs w:val="22"/>
          <w:color w:val="999999"/>
          <w:spacing w:val="10"/>
          <w:position w:val="-1"/>
        </w:rPr>
        <w:t>中国知网</w:t>
      </w:r>
      <w:r>
        <w:rPr>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type w:val="continuous"/>
          <w:pgSz w:w="11905" w:h="16156"/>
          <w:pgMar w:top="1308" w:right="943" w:bottom="0" w:left="424" w:header="982" w:footer="0" w:gutter="0"/>
          <w:cols w:equalWidth="0" w:num="1">
            <w:col w:w="10537" w:space="0"/>
          </w:cols>
        </w:sectPr>
        <w:rPr>
          <w:rFonts w:ascii="Arial" w:hAnsi="Arial" w:eastAsia="Arial" w:cs="Arial"/>
          <w:sz w:val="22"/>
          <w:szCs w:val="22"/>
        </w:rPr>
      </w:pPr>
    </w:p>
    <w:p>
      <w:pPr>
        <w:spacing w:line="180" w:lineRule="exact"/>
        <w:rPr/>
      </w:pPr>
      <w:r>
        <w:drawing>
          <wp:anchor distT="0" distB="0" distL="0" distR="0" simplePos="0" relativeHeight="251671552" behindDoc="0" locked="0" layoutInCell="0" allowOverlap="1">
            <wp:simplePos x="0" y="0"/>
            <wp:positionH relativeFrom="page">
              <wp:posOffset>647700</wp:posOffset>
            </wp:positionH>
            <wp:positionV relativeFrom="page">
              <wp:posOffset>821054</wp:posOffset>
            </wp:positionV>
            <wp:extent cx="6264909" cy="6350"/>
            <wp:effectExtent l="0" t="0" r="0" b="0"/>
            <wp:wrapNone/>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6264909" cy="6350"/>
                    </a:xfrm>
                    <a:prstGeom prst="rect">
                      <a:avLst/>
                    </a:prstGeom>
                  </pic:spPr>
                </pic:pic>
              </a:graphicData>
            </a:graphic>
          </wp:anchor>
        </w:drawing>
      </w:r>
      <w:r/>
    </w:p>
    <w:p>
      <w:pPr>
        <w:spacing w:line="180" w:lineRule="exact"/>
        <w:sectPr>
          <w:headerReference w:type="default" r:id="rId16"/>
          <w:pgSz w:w="11905" w:h="16156"/>
          <w:pgMar w:top="1308" w:right="970" w:bottom="0" w:left="424" w:header="982" w:footer="0" w:gutter="0"/>
          <w:cols w:equalWidth="0" w:num="1">
            <w:col w:w="10510" w:space="0"/>
          </w:cols>
        </w:sectPr>
        <w:rPr/>
      </w:pPr>
    </w:p>
    <w:p>
      <w:pPr>
        <w:pStyle w:val="BodyText"/>
        <w:ind w:left="598" w:right="204"/>
        <w:spacing w:before="54" w:line="231" w:lineRule="auto"/>
        <w:jc w:val="both"/>
        <w:rPr>
          <w:sz w:val="20"/>
          <w:szCs w:val="20"/>
        </w:rPr>
      </w:pPr>
      <w:r>
        <w:rPr>
          <w:sz w:val="20"/>
          <w:szCs w:val="20"/>
          <w:color w:val="231F20"/>
          <w:spacing w:val="6"/>
        </w:rPr>
        <w:t>莫西林胶囊直接作用于病原体，减少病原体对机体的</w:t>
      </w:r>
      <w:r>
        <w:rPr>
          <w:sz w:val="20"/>
          <w:szCs w:val="20"/>
          <w:color w:val="231F20"/>
        </w:rPr>
        <w:t xml:space="preserve">  </w:t>
      </w:r>
      <w:r>
        <w:rPr>
          <w:sz w:val="20"/>
          <w:szCs w:val="20"/>
          <w:color w:val="231F20"/>
        </w:rPr>
        <w:t>刺激；另一方面，妇科千金胶囊调节机体的免疫状态，</w:t>
      </w:r>
      <w:r>
        <w:rPr>
          <w:sz w:val="20"/>
          <w:szCs w:val="20"/>
          <w:color w:val="231F20"/>
          <w:spacing w:val="15"/>
        </w:rPr>
        <w:t xml:space="preserve"> </w:t>
      </w:r>
      <w:r>
        <w:rPr>
          <w:sz w:val="20"/>
          <w:szCs w:val="20"/>
          <w:color w:val="231F20"/>
          <w:spacing w:val="5"/>
        </w:rPr>
        <w:t>减少炎性因子的释放，进一步降低炎症反应</w:t>
      </w:r>
      <w:r>
        <w:rPr>
          <w:sz w:val="20"/>
          <w:szCs w:val="20"/>
          <w:color w:val="231F20"/>
          <w:spacing w:val="-33"/>
        </w:rPr>
        <w:t xml:space="preserve"> </w:t>
      </w:r>
      <w:r>
        <w:rPr>
          <w:sz w:val="20"/>
          <w:szCs w:val="20"/>
          <w:color w:val="231F20"/>
          <w:spacing w:val="5"/>
        </w:rPr>
        <w:t>。这</w:t>
      </w:r>
      <w:r>
        <w:rPr>
          <w:sz w:val="20"/>
          <w:szCs w:val="20"/>
          <w:color w:val="231F20"/>
          <w:spacing w:val="4"/>
        </w:rPr>
        <w:t>种综</w:t>
      </w:r>
      <w:r>
        <w:rPr>
          <w:sz w:val="20"/>
          <w:szCs w:val="20"/>
          <w:color w:val="231F20"/>
        </w:rPr>
        <w:t xml:space="preserve">  </w:t>
      </w:r>
      <w:r>
        <w:rPr>
          <w:sz w:val="20"/>
          <w:szCs w:val="20"/>
          <w:color w:val="231F20"/>
          <w:spacing w:val="15"/>
        </w:rPr>
        <w:t>合治疗策略使得实验组患者的炎性因子水平在治疗</w:t>
      </w:r>
      <w:r>
        <w:rPr>
          <w:sz w:val="20"/>
          <w:szCs w:val="20"/>
          <w:color w:val="231F20"/>
          <w:spacing w:val="4"/>
        </w:rPr>
        <w:t xml:space="preserve">  </w:t>
      </w:r>
      <w:r>
        <w:rPr>
          <w:sz w:val="20"/>
          <w:szCs w:val="20"/>
          <w:color w:val="231F20"/>
          <w:spacing w:val="5"/>
        </w:rPr>
        <w:t>后显著降低</w:t>
      </w:r>
      <w:r>
        <w:rPr>
          <w:sz w:val="20"/>
          <w:szCs w:val="20"/>
          <w:color w:val="231F20"/>
          <w:spacing w:val="-35"/>
        </w:rPr>
        <w:t xml:space="preserve"> </w:t>
      </w:r>
      <w:r>
        <w:rPr>
          <w:sz w:val="20"/>
          <w:szCs w:val="20"/>
          <w:color w:val="231F20"/>
          <w:spacing w:val="5"/>
        </w:rPr>
        <w:t>。本研究显示，实验组总不良反应发生率</w:t>
      </w:r>
      <w:r>
        <w:rPr>
          <w:sz w:val="20"/>
          <w:szCs w:val="20"/>
          <w:color w:val="231F20"/>
        </w:rPr>
        <w:t xml:space="preserve">  </w:t>
      </w:r>
      <w:r>
        <w:rPr>
          <w:sz w:val="20"/>
          <w:szCs w:val="20"/>
          <w:color w:val="231F20"/>
          <w:spacing w:val="5"/>
        </w:rPr>
        <w:t>显著低于对照组</w:t>
      </w:r>
      <w:r>
        <w:rPr>
          <w:sz w:val="20"/>
          <w:szCs w:val="20"/>
          <w:color w:val="231F20"/>
          <w:spacing w:val="-35"/>
        </w:rPr>
        <w:t xml:space="preserve"> </w:t>
      </w:r>
      <w:r>
        <w:rPr>
          <w:sz w:val="20"/>
          <w:szCs w:val="20"/>
          <w:color w:val="231F20"/>
          <w:spacing w:val="5"/>
        </w:rPr>
        <w:t>。分析其原因可能是，妇科千金胶囊</w:t>
      </w:r>
      <w:r>
        <w:rPr>
          <w:sz w:val="20"/>
          <w:szCs w:val="20"/>
          <w:color w:val="231F20"/>
        </w:rPr>
        <w:t xml:space="preserve">  </w:t>
      </w:r>
      <w:r>
        <w:rPr>
          <w:sz w:val="20"/>
          <w:szCs w:val="20"/>
          <w:color w:val="231F20"/>
          <w:spacing w:val="6"/>
        </w:rPr>
        <w:t>可能含有一些能够缓解胃肠道不适的成分，这些成分</w:t>
      </w:r>
      <w:r>
        <w:rPr>
          <w:sz w:val="20"/>
          <w:szCs w:val="20"/>
          <w:color w:val="231F20"/>
        </w:rPr>
        <w:t xml:space="preserve">  </w:t>
      </w:r>
      <w:r>
        <w:rPr>
          <w:sz w:val="20"/>
          <w:szCs w:val="20"/>
          <w:color w:val="231F20"/>
          <w:spacing w:val="6"/>
        </w:rPr>
        <w:t>与阿莫西林联合使用时，可能减轻了阿莫西林对胃黏</w:t>
      </w:r>
      <w:r>
        <w:rPr>
          <w:sz w:val="20"/>
          <w:szCs w:val="20"/>
          <w:color w:val="231F20"/>
        </w:rPr>
        <w:t xml:space="preserve">  </w:t>
      </w:r>
      <w:r>
        <w:rPr>
          <w:sz w:val="20"/>
          <w:szCs w:val="20"/>
          <w:color w:val="231F20"/>
          <w:spacing w:val="6"/>
        </w:rPr>
        <w:t>膜的刺激作用，进而减少了恶心、食欲不振和呕吐等</w:t>
      </w:r>
      <w:r>
        <w:rPr>
          <w:sz w:val="20"/>
          <w:szCs w:val="20"/>
          <w:color w:val="231F20"/>
        </w:rPr>
        <w:t xml:space="preserve">  </w:t>
      </w:r>
      <w:r>
        <w:rPr>
          <w:sz w:val="20"/>
          <w:szCs w:val="20"/>
          <w:color w:val="231F20"/>
          <w:spacing w:val="6"/>
        </w:rPr>
        <w:t>胃肠道不良反应的发生。妇科千金胶囊可能通过调节</w:t>
      </w:r>
      <w:r>
        <w:rPr>
          <w:sz w:val="20"/>
          <w:szCs w:val="20"/>
          <w:color w:val="231F20"/>
        </w:rPr>
        <w:t xml:space="preserve">  </w:t>
      </w:r>
      <w:r>
        <w:rPr>
          <w:sz w:val="20"/>
          <w:szCs w:val="20"/>
          <w:color w:val="231F20"/>
          <w:spacing w:val="6"/>
        </w:rPr>
        <w:t>胃肠道功能，改善胃肠道的蠕动和消化能力，从而降</w:t>
      </w:r>
      <w:r>
        <w:rPr>
          <w:sz w:val="20"/>
          <w:szCs w:val="20"/>
          <w:color w:val="231F20"/>
        </w:rPr>
        <w:t xml:space="preserve">  </w:t>
      </w:r>
      <w:r>
        <w:rPr>
          <w:sz w:val="20"/>
          <w:szCs w:val="20"/>
          <w:color w:val="231F20"/>
          <w:spacing w:val="5"/>
        </w:rPr>
        <w:t>低了胃肠道不良反应的发生率</w:t>
      </w:r>
      <w:r>
        <w:rPr>
          <w:sz w:val="20"/>
          <w:szCs w:val="20"/>
          <w:color w:val="231F20"/>
          <w:spacing w:val="-33"/>
        </w:rPr>
        <w:t xml:space="preserve"> </w:t>
      </w:r>
      <w:r>
        <w:rPr>
          <w:sz w:val="20"/>
          <w:szCs w:val="20"/>
          <w:color w:val="231F20"/>
          <w:spacing w:val="5"/>
        </w:rPr>
        <w:t>。同时，妇科千金</w:t>
      </w:r>
      <w:r>
        <w:rPr>
          <w:sz w:val="20"/>
          <w:szCs w:val="20"/>
          <w:color w:val="231F20"/>
          <w:spacing w:val="4"/>
        </w:rPr>
        <w:t>胶囊</w:t>
      </w:r>
      <w:r>
        <w:rPr>
          <w:sz w:val="20"/>
          <w:szCs w:val="20"/>
          <w:color w:val="231F20"/>
        </w:rPr>
        <w:t xml:space="preserve">  </w:t>
      </w:r>
      <w:r>
        <w:rPr>
          <w:sz w:val="20"/>
          <w:szCs w:val="20"/>
          <w:color w:val="231F20"/>
          <w:spacing w:val="6"/>
        </w:rPr>
        <w:t>中的某些成分可能具有抗过敏作用，能够减轻或预防</w:t>
      </w:r>
      <w:r>
        <w:rPr>
          <w:sz w:val="20"/>
          <w:szCs w:val="20"/>
          <w:color w:val="231F20"/>
        </w:rPr>
        <w:t xml:space="preserve">  </w:t>
      </w:r>
      <w:r>
        <w:rPr>
          <w:sz w:val="20"/>
          <w:szCs w:val="20"/>
          <w:color w:val="231F20"/>
          <w:spacing w:val="7"/>
        </w:rPr>
        <w:t>因阿莫西林引起的过敏反应</w:t>
      </w:r>
      <w:r>
        <w:rPr>
          <w:sz w:val="20"/>
          <w:szCs w:val="20"/>
          <w:color w:val="231F20"/>
          <w:spacing w:val="-6"/>
        </w:rPr>
        <w:t xml:space="preserve"> </w:t>
      </w:r>
      <w:r>
        <w:rPr>
          <w:sz w:val="20"/>
          <w:szCs w:val="20"/>
          <w:color w:val="231F20"/>
          <w:spacing w:val="7"/>
        </w:rPr>
        <w:t>，包括皮疹等过敏症状。</w:t>
      </w:r>
      <w:r>
        <w:rPr>
          <w:sz w:val="20"/>
          <w:szCs w:val="20"/>
          <w:color w:val="231F20"/>
        </w:rPr>
        <w:t xml:space="preserve"> </w:t>
      </w:r>
      <w:r>
        <w:rPr>
          <w:sz w:val="20"/>
          <w:szCs w:val="20"/>
          <w:color w:val="231F20"/>
          <w:spacing w:val="6"/>
        </w:rPr>
        <w:t>联合用药时，两种药物可能通过不同的作用机制相互</w:t>
      </w:r>
      <w:r>
        <w:rPr>
          <w:sz w:val="20"/>
          <w:szCs w:val="20"/>
          <w:color w:val="231F20"/>
        </w:rPr>
        <w:t xml:space="preserve">  </w:t>
      </w:r>
      <w:r>
        <w:rPr>
          <w:sz w:val="20"/>
          <w:szCs w:val="20"/>
          <w:color w:val="231F20"/>
          <w:spacing w:val="6"/>
        </w:rPr>
        <w:t>协作，减少了过敏反应的风险，从而降低了皮疹的发</w:t>
      </w:r>
      <w:r>
        <w:rPr>
          <w:sz w:val="20"/>
          <w:szCs w:val="20"/>
          <w:color w:val="231F20"/>
        </w:rPr>
        <w:t xml:space="preserve">  </w:t>
      </w:r>
      <w:r>
        <w:rPr>
          <w:sz w:val="20"/>
          <w:szCs w:val="20"/>
          <w:color w:val="231F20"/>
          <w:spacing w:val="4"/>
        </w:rPr>
        <w:t>生率</w:t>
      </w:r>
      <w:r>
        <w:rPr>
          <w:sz w:val="20"/>
          <w:szCs w:val="20"/>
          <w:color w:val="231F20"/>
          <w:spacing w:val="-12"/>
        </w:rPr>
        <w:t xml:space="preserve"> </w:t>
      </w:r>
      <w:r>
        <w:rPr>
          <w:sz w:val="20"/>
          <w:szCs w:val="20"/>
          <w:color w:val="231F20"/>
          <w:spacing w:val="4"/>
        </w:rPr>
        <w:t>。其次，妇科千金胶囊可能具有安神、镇静的作</w:t>
      </w:r>
      <w:r>
        <w:rPr>
          <w:sz w:val="20"/>
          <w:szCs w:val="20"/>
          <w:color w:val="231F20"/>
        </w:rPr>
        <w:t xml:space="preserve">  </w:t>
      </w:r>
      <w:r>
        <w:rPr>
          <w:sz w:val="20"/>
          <w:szCs w:val="20"/>
          <w:color w:val="231F20"/>
          <w:spacing w:val="6"/>
        </w:rPr>
        <w:t>用，能够缓解因盆腔炎或其他因素引起的焦虑、烦躁</w:t>
      </w:r>
      <w:r>
        <w:rPr>
          <w:sz w:val="20"/>
          <w:szCs w:val="20"/>
          <w:color w:val="231F20"/>
        </w:rPr>
        <w:t xml:space="preserve">  </w:t>
      </w:r>
      <w:r>
        <w:rPr>
          <w:sz w:val="20"/>
          <w:szCs w:val="20"/>
          <w:color w:val="231F20"/>
          <w:spacing w:val="-3"/>
        </w:rPr>
        <w:t>等情绪问题，进而改善睡眠质量，减少失眠的发生。妇</w:t>
      </w:r>
      <w:r>
        <w:rPr>
          <w:sz w:val="20"/>
          <w:szCs w:val="20"/>
          <w:color w:val="231F20"/>
          <w:spacing w:val="5"/>
        </w:rPr>
        <w:t xml:space="preserve">  </w:t>
      </w:r>
      <w:r>
        <w:rPr>
          <w:sz w:val="20"/>
          <w:szCs w:val="20"/>
          <w:color w:val="231F20"/>
          <w:spacing w:val="15"/>
        </w:rPr>
        <w:t>科千金胶囊中的某些成分可能与阿莫西林在中枢神</w:t>
      </w:r>
      <w:r>
        <w:rPr>
          <w:sz w:val="20"/>
          <w:szCs w:val="20"/>
          <w:color w:val="231F20"/>
          <w:spacing w:val="4"/>
        </w:rPr>
        <w:t xml:space="preserve">  </w:t>
      </w:r>
      <w:r>
        <w:rPr>
          <w:sz w:val="20"/>
          <w:szCs w:val="20"/>
          <w:color w:val="231F20"/>
          <w:spacing w:val="6"/>
        </w:rPr>
        <w:t>经系统的作用上产生互补效应，减少了因药物引起的</w:t>
      </w:r>
      <w:r>
        <w:rPr>
          <w:sz w:val="20"/>
          <w:szCs w:val="20"/>
          <w:color w:val="231F20"/>
        </w:rPr>
        <w:t xml:space="preserve">  </w:t>
      </w:r>
      <w:r>
        <w:rPr>
          <w:sz w:val="20"/>
          <w:szCs w:val="20"/>
          <w:color w:val="231F20"/>
          <w:spacing w:val="5"/>
        </w:rPr>
        <w:t>失眠症状</w:t>
      </w:r>
      <w:r>
        <w:rPr>
          <w:sz w:val="20"/>
          <w:szCs w:val="20"/>
          <w:color w:val="231F20"/>
          <w:spacing w:val="-35"/>
        </w:rPr>
        <w:t xml:space="preserve"> </w:t>
      </w:r>
      <w:r>
        <w:rPr>
          <w:sz w:val="20"/>
          <w:szCs w:val="20"/>
          <w:color w:val="231F20"/>
          <w:spacing w:val="5"/>
        </w:rPr>
        <w:t>。研究的局限性主要在于样本量较小、治疗</w:t>
      </w:r>
      <w:r>
        <w:rPr>
          <w:sz w:val="20"/>
          <w:szCs w:val="20"/>
          <w:color w:val="231F20"/>
        </w:rPr>
        <w:t xml:space="preserve">  </w:t>
      </w:r>
      <w:r>
        <w:rPr>
          <w:sz w:val="20"/>
          <w:szCs w:val="20"/>
          <w:color w:val="231F20"/>
          <w:spacing w:val="6"/>
        </w:rPr>
        <w:t>方案单一以及随访时间短。这些局限性可能导致研究</w:t>
      </w:r>
      <w:r>
        <w:rPr>
          <w:sz w:val="20"/>
          <w:szCs w:val="20"/>
          <w:color w:val="231F20"/>
        </w:rPr>
        <w:t xml:space="preserve">  </w:t>
      </w:r>
      <w:r>
        <w:rPr>
          <w:sz w:val="20"/>
          <w:szCs w:val="20"/>
          <w:color w:val="231F20"/>
          <w:spacing w:val="6"/>
        </w:rPr>
        <w:t>结果的稳定性和普适性受到一定影响。为了解决这些</w:t>
      </w:r>
      <w:r>
        <w:rPr>
          <w:sz w:val="20"/>
          <w:szCs w:val="20"/>
          <w:color w:val="231F20"/>
        </w:rPr>
        <w:t xml:space="preserve">  </w:t>
      </w:r>
      <w:r>
        <w:rPr>
          <w:sz w:val="20"/>
          <w:szCs w:val="20"/>
          <w:color w:val="231F20"/>
          <w:spacing w:val="6"/>
        </w:rPr>
        <w:t>问题，未来的研究可以考虑扩大样本量，增加不同治</w:t>
      </w:r>
      <w:r>
        <w:rPr>
          <w:sz w:val="20"/>
          <w:szCs w:val="20"/>
          <w:color w:val="231F20"/>
        </w:rPr>
        <w:t xml:space="preserve">  </w:t>
      </w:r>
      <w:r>
        <w:rPr>
          <w:sz w:val="20"/>
          <w:szCs w:val="20"/>
          <w:color w:val="231F20"/>
          <w:spacing w:val="3"/>
        </w:rPr>
        <w:t>疗方案之间的比较，以及延长随访时间。</w:t>
      </w:r>
    </w:p>
    <w:p>
      <w:pPr>
        <w:pStyle w:val="BodyText"/>
        <w:ind w:left="514" w:right="217" w:firstLine="480"/>
        <w:spacing w:before="7" w:line="221" w:lineRule="auto"/>
        <w:jc w:val="both"/>
        <w:rPr>
          <w:sz w:val="20"/>
          <w:szCs w:val="20"/>
        </w:rPr>
      </w:pPr>
      <w:r>
        <w:rPr>
          <w:sz w:val="20"/>
          <w:szCs w:val="20"/>
          <w:color w:val="231F20"/>
          <w:spacing w:val="6"/>
        </w:rPr>
        <w:t>综上所述，阿莫西林联合妇科千金胶囊在急性盆</w:t>
      </w:r>
      <w:r>
        <w:rPr>
          <w:sz w:val="20"/>
          <w:szCs w:val="20"/>
          <w:color w:val="231F20"/>
          <w:spacing w:val="8"/>
        </w:rPr>
        <w:t xml:space="preserve">  </w:t>
      </w:r>
      <w:r>
        <w:rPr>
          <w:sz w:val="20"/>
          <w:szCs w:val="20"/>
          <w:color w:val="231F20"/>
          <w:spacing w:val="17"/>
        </w:rPr>
        <w:t>腔炎治疗中疗效显著</w:t>
      </w:r>
      <w:r>
        <w:rPr>
          <w:sz w:val="20"/>
          <w:szCs w:val="20"/>
          <w:color w:val="231F20"/>
          <w:spacing w:val="-10"/>
        </w:rPr>
        <w:t xml:space="preserve"> </w:t>
      </w:r>
      <w:r>
        <w:rPr>
          <w:sz w:val="20"/>
          <w:szCs w:val="20"/>
          <w:color w:val="231F20"/>
          <w:spacing w:val="17"/>
        </w:rPr>
        <w:t>，可以有效降低血清炎性因子</w:t>
      </w:r>
      <w:r>
        <w:rPr>
          <w:sz w:val="20"/>
          <w:szCs w:val="20"/>
          <w:color w:val="231F20"/>
        </w:rPr>
        <w:t xml:space="preserve">  </w:t>
      </w:r>
      <w:r>
        <w:rPr>
          <w:sz w:val="20"/>
          <w:szCs w:val="20"/>
          <w:color w:val="231F20"/>
          <w:spacing w:val="-5"/>
        </w:rPr>
        <w:t>（IL-6、TNF-α、CRP）水平，</w:t>
      </w:r>
      <w:r>
        <w:rPr>
          <w:sz w:val="20"/>
          <w:szCs w:val="20"/>
          <w:color w:val="231F20"/>
          <w:spacing w:val="-6"/>
        </w:rPr>
        <w:t>减少不良反应产生</w:t>
      </w:r>
      <w:r>
        <w:rPr>
          <w:sz w:val="20"/>
          <w:szCs w:val="20"/>
          <w:color w:val="231F20"/>
          <w:spacing w:val="-30"/>
        </w:rPr>
        <w:t xml:space="preserve"> </w:t>
      </w:r>
      <w:r>
        <w:rPr>
          <w:sz w:val="20"/>
          <w:szCs w:val="20"/>
          <w:color w:val="231F20"/>
          <w:spacing w:val="-6"/>
        </w:rPr>
        <w:t>。未来</w:t>
      </w:r>
      <w:r>
        <w:rPr>
          <w:sz w:val="20"/>
          <w:szCs w:val="20"/>
          <w:color w:val="231F20"/>
        </w:rPr>
        <w:t xml:space="preserve">  </w:t>
      </w:r>
      <w:r>
        <w:rPr>
          <w:sz w:val="20"/>
          <w:szCs w:val="20"/>
          <w:color w:val="231F20"/>
          <w:spacing w:val="18"/>
        </w:rPr>
        <w:t>的研究可以进一步探索联合用药在不同类型</w:t>
      </w:r>
      <w:r>
        <w:rPr>
          <w:sz w:val="20"/>
          <w:szCs w:val="20"/>
          <w:color w:val="231F20"/>
          <w:spacing w:val="-30"/>
        </w:rPr>
        <w:t xml:space="preserve"> </w:t>
      </w:r>
      <w:r>
        <w:rPr>
          <w:sz w:val="20"/>
          <w:szCs w:val="20"/>
          <w:color w:val="231F20"/>
          <w:spacing w:val="18"/>
        </w:rPr>
        <w:t>、</w:t>
      </w:r>
      <w:r>
        <w:rPr>
          <w:sz w:val="20"/>
          <w:szCs w:val="20"/>
          <w:color w:val="231F20"/>
          <w:spacing w:val="17"/>
        </w:rPr>
        <w:t>不同</w:t>
      </w:r>
      <w:r>
        <w:rPr>
          <w:sz w:val="20"/>
          <w:szCs w:val="20"/>
          <w:color w:val="231F20"/>
        </w:rPr>
        <w:t xml:space="preserve">  </w:t>
      </w:r>
      <w:r>
        <w:rPr>
          <w:sz w:val="20"/>
          <w:szCs w:val="20"/>
          <w:color w:val="231F20"/>
          <w:spacing w:val="17"/>
        </w:rPr>
        <w:t>严重程度的急性盆腔炎患者中的疗效差异，</w:t>
      </w:r>
      <w:r>
        <w:rPr>
          <w:sz w:val="20"/>
          <w:szCs w:val="20"/>
          <w:color w:val="231F20"/>
          <w:spacing w:val="-10"/>
        </w:rPr>
        <w:t xml:space="preserve"> </w:t>
      </w:r>
      <w:r>
        <w:rPr>
          <w:sz w:val="20"/>
          <w:szCs w:val="20"/>
          <w:color w:val="231F20"/>
          <w:spacing w:val="17"/>
        </w:rPr>
        <w:t>以及针</w:t>
      </w:r>
      <w:r>
        <w:rPr>
          <w:sz w:val="20"/>
          <w:szCs w:val="20"/>
          <w:color w:val="231F20"/>
        </w:rPr>
        <w:t xml:space="preserve">  </w:t>
      </w:r>
      <w:r>
        <w:rPr>
          <w:sz w:val="20"/>
          <w:szCs w:val="20"/>
          <w:color w:val="231F20"/>
          <w:spacing w:val="11"/>
        </w:rPr>
        <w:t>对不同病原体和感染途径的个性化治疗方案</w:t>
      </w:r>
      <w:r>
        <w:rPr>
          <w:sz w:val="20"/>
          <w:szCs w:val="20"/>
          <w:color w:val="231F20"/>
          <w:spacing w:val="-26"/>
        </w:rPr>
        <w:t xml:space="preserve"> </w:t>
      </w:r>
      <w:r>
        <w:rPr>
          <w:sz w:val="20"/>
          <w:szCs w:val="20"/>
          <w:color w:val="231F20"/>
          <w:spacing w:val="11"/>
        </w:rPr>
        <w:t>。同时，</w:t>
      </w:r>
      <w:r>
        <w:rPr>
          <w:sz w:val="20"/>
          <w:szCs w:val="20"/>
          <w:color w:val="231F20"/>
        </w:rPr>
        <w:t xml:space="preserve"> </w:t>
      </w:r>
      <w:r>
        <w:rPr>
          <w:sz w:val="20"/>
          <w:szCs w:val="20"/>
          <w:color w:val="231F20"/>
          <w:spacing w:val="18"/>
        </w:rPr>
        <w:t>也可以关注联合用药对患者生活质量</w:t>
      </w:r>
      <w:r>
        <w:rPr>
          <w:sz w:val="20"/>
          <w:szCs w:val="20"/>
          <w:color w:val="231F20"/>
          <w:spacing w:val="-32"/>
        </w:rPr>
        <w:t xml:space="preserve"> </w:t>
      </w:r>
      <w:r>
        <w:rPr>
          <w:sz w:val="20"/>
          <w:szCs w:val="20"/>
          <w:color w:val="231F20"/>
          <w:spacing w:val="18"/>
        </w:rPr>
        <w:t>、心理健康等</w:t>
      </w:r>
      <w:r>
        <w:rPr>
          <w:sz w:val="20"/>
          <w:szCs w:val="20"/>
          <w:color w:val="231F20"/>
        </w:rPr>
        <w:t xml:space="preserve">  </w:t>
      </w:r>
      <w:r>
        <w:rPr>
          <w:sz w:val="20"/>
          <w:szCs w:val="20"/>
          <w:color w:val="231F20"/>
          <w:spacing w:val="17"/>
        </w:rPr>
        <w:t>方面的长期影响，</w:t>
      </w:r>
      <w:r>
        <w:rPr>
          <w:sz w:val="20"/>
          <w:szCs w:val="20"/>
          <w:color w:val="231F20"/>
          <w:spacing w:val="-10"/>
        </w:rPr>
        <w:t xml:space="preserve"> </w:t>
      </w:r>
      <w:r>
        <w:rPr>
          <w:sz w:val="20"/>
          <w:szCs w:val="20"/>
          <w:color w:val="231F20"/>
          <w:spacing w:val="17"/>
        </w:rPr>
        <w:t>以更全面地评估其治疗效果和安</w:t>
      </w:r>
    </w:p>
    <w:p>
      <w:pPr>
        <w:spacing w:line="14" w:lineRule="auto"/>
        <w:rPr>
          <w:rFonts w:ascii="Arial"/>
          <w:sz w:val="2"/>
        </w:rPr>
      </w:pPr>
      <w:r>
        <w:rPr>
          <w:rFonts w:ascii="Arial" w:hAnsi="Arial" w:eastAsia="Arial" w:cs="Arial"/>
          <w:sz w:val="2"/>
          <w:szCs w:val="2"/>
        </w:rPr>
        <w:br w:type="column"/>
      </w:r>
    </w:p>
    <w:p>
      <w:pPr>
        <w:pStyle w:val="BodyText"/>
        <w:ind w:left="2"/>
        <w:spacing w:before="41" w:line="189" w:lineRule="auto"/>
        <w:rPr>
          <w:sz w:val="20"/>
          <w:szCs w:val="20"/>
        </w:rPr>
      </w:pPr>
      <w:r>
        <w:rPr>
          <w:sz w:val="20"/>
          <w:szCs w:val="20"/>
          <w:color w:val="231F20"/>
          <w:spacing w:val="5"/>
        </w:rPr>
        <w:t>全性。</w:t>
      </w:r>
    </w:p>
    <w:p>
      <w:pPr>
        <w:pStyle w:val="BodyText"/>
        <w:ind w:left="2186"/>
        <w:spacing w:before="61" w:line="183" w:lineRule="auto"/>
        <w:outlineLvl w:val="0"/>
        <w:rPr/>
      </w:pPr>
      <w:r>
        <w:rPr>
          <w:color w:val="231F20"/>
          <w:spacing w:val="6"/>
        </w:rPr>
        <w:t>参考文献</w:t>
      </w:r>
    </w:p>
    <w:p>
      <w:pPr>
        <w:pStyle w:val="BodyText"/>
        <w:ind w:left="242" w:right="3" w:hanging="227"/>
        <w:spacing w:before="92" w:line="247" w:lineRule="auto"/>
        <w:rPr>
          <w:sz w:val="15"/>
          <w:szCs w:val="15"/>
        </w:rPr>
      </w:pPr>
      <w:r>
        <w:rPr>
          <w:sz w:val="15"/>
          <w:szCs w:val="15"/>
          <w:color w:val="231F20"/>
          <w:spacing w:val="2"/>
        </w:rPr>
        <w:t>1   周强，龚红霞，曹莉莉，等. 红藤汤加减联合盐酸莫西沙星治疗急性</w:t>
      </w:r>
      <w:r>
        <w:rPr>
          <w:sz w:val="15"/>
          <w:szCs w:val="15"/>
          <w:color w:val="231F20"/>
          <w:spacing w:val="1"/>
        </w:rPr>
        <w:t xml:space="preserve">  </w:t>
      </w:r>
      <w:r>
        <w:rPr>
          <w:sz w:val="15"/>
          <w:szCs w:val="15"/>
          <w:color w:val="231F20"/>
          <w:spacing w:val="-6"/>
        </w:rPr>
        <w:t>盆腔炎疗效及对血清炎性指标的影响［J］.</w:t>
      </w:r>
      <w:r>
        <w:rPr>
          <w:sz w:val="15"/>
          <w:szCs w:val="15"/>
          <w:color w:val="231F20"/>
          <w:spacing w:val="18"/>
          <w:w w:val="101"/>
        </w:rPr>
        <w:t xml:space="preserve"> </w:t>
      </w:r>
      <w:r>
        <w:rPr>
          <w:sz w:val="15"/>
          <w:szCs w:val="15"/>
          <w:color w:val="231F20"/>
          <w:spacing w:val="-6"/>
        </w:rPr>
        <w:t>四川中医，2022，40（8</w:t>
      </w:r>
      <w:r>
        <w:rPr>
          <w:sz w:val="15"/>
          <w:szCs w:val="15"/>
          <w:color w:val="231F20"/>
          <w:spacing w:val="-39"/>
        </w:rPr>
        <w:t>）：</w:t>
      </w:r>
      <w:r>
        <w:rPr>
          <w:sz w:val="15"/>
          <w:szCs w:val="15"/>
          <w:color w:val="231F20"/>
        </w:rPr>
        <w:t xml:space="preserve"> </w:t>
      </w:r>
      <w:r>
        <w:rPr>
          <w:sz w:val="15"/>
          <w:szCs w:val="15"/>
          <w:color w:val="231F20"/>
          <w:spacing w:val="-4"/>
        </w:rPr>
        <w:t>155-157.</w:t>
      </w:r>
    </w:p>
    <w:p>
      <w:pPr>
        <w:pStyle w:val="BodyText"/>
        <w:ind w:left="241" w:right="3" w:hanging="239"/>
        <w:spacing w:before="32" w:line="250" w:lineRule="auto"/>
        <w:rPr>
          <w:sz w:val="15"/>
          <w:szCs w:val="15"/>
        </w:rPr>
      </w:pPr>
      <w:r>
        <w:rPr>
          <w:sz w:val="15"/>
          <w:szCs w:val="15"/>
          <w:color w:val="231F20"/>
          <w:spacing w:val="2"/>
        </w:rPr>
        <w:t>2   卢路艳，王雅咪，马希佳，等. 止痛化癥胶囊联合阿莫西林克拉维酸</w:t>
      </w:r>
      <w:r>
        <w:rPr>
          <w:sz w:val="15"/>
          <w:szCs w:val="15"/>
          <w:color w:val="231F20"/>
          <w:spacing w:val="7"/>
        </w:rPr>
        <w:t xml:space="preserve">  </w:t>
      </w:r>
      <w:r>
        <w:rPr>
          <w:sz w:val="15"/>
          <w:szCs w:val="15"/>
          <w:color w:val="231F20"/>
          <w:spacing w:val="-5"/>
        </w:rPr>
        <w:t>钾治疗慢性盆腔炎的临床研究［J］. 现代药物与临床，2021，36（7</w:t>
      </w:r>
      <w:r>
        <w:rPr>
          <w:sz w:val="15"/>
          <w:szCs w:val="15"/>
          <w:color w:val="231F20"/>
          <w:spacing w:val="-40"/>
          <w:w w:val="97"/>
        </w:rPr>
        <w:t>）：</w:t>
      </w:r>
      <w:r>
        <w:rPr>
          <w:sz w:val="15"/>
          <w:szCs w:val="15"/>
          <w:color w:val="231F20"/>
          <w:spacing w:val="2"/>
        </w:rPr>
        <w:t xml:space="preserve"> </w:t>
      </w:r>
      <w:r>
        <w:rPr>
          <w:sz w:val="15"/>
          <w:szCs w:val="15"/>
          <w:color w:val="231F20"/>
          <w:spacing w:val="-5"/>
        </w:rPr>
        <w:t>1450-1453.</w:t>
      </w:r>
    </w:p>
    <w:p>
      <w:pPr>
        <w:pStyle w:val="BodyText"/>
        <w:ind w:left="243" w:right="48" w:hanging="239"/>
        <w:spacing w:before="42" w:line="239" w:lineRule="auto"/>
        <w:rPr>
          <w:sz w:val="15"/>
          <w:szCs w:val="15"/>
        </w:rPr>
      </w:pPr>
      <w:r>
        <w:rPr>
          <w:sz w:val="15"/>
          <w:szCs w:val="15"/>
          <w:color w:val="231F20"/>
          <w:spacing w:val="2"/>
        </w:rPr>
        <w:t>3   李洁，张媛，张俊勤，等. 经皮神经电刺激联合布洛芬缓释胶囊对盆</w:t>
      </w:r>
      <w:r>
        <w:rPr>
          <w:sz w:val="15"/>
          <w:szCs w:val="15"/>
          <w:color w:val="231F20"/>
          <w:spacing w:val="13"/>
          <w:w w:val="101"/>
        </w:rPr>
        <w:t xml:space="preserve"> </w:t>
      </w:r>
      <w:r>
        <w:rPr>
          <w:sz w:val="15"/>
          <w:szCs w:val="15"/>
          <w:color w:val="231F20"/>
          <w:spacing w:val="10"/>
        </w:rPr>
        <w:t>腔炎性疾病所致慢性盆腔疼痛患者血清炎症因子和致痛物质水平</w:t>
      </w:r>
      <w:r>
        <w:rPr>
          <w:sz w:val="15"/>
          <w:szCs w:val="15"/>
          <w:color w:val="231F20"/>
          <w:spacing w:val="15"/>
          <w:w w:val="101"/>
        </w:rPr>
        <w:t xml:space="preserve"> </w:t>
      </w:r>
      <w:r>
        <w:rPr>
          <w:sz w:val="15"/>
          <w:szCs w:val="15"/>
          <w:color w:val="231F20"/>
          <w:spacing w:val="-12"/>
        </w:rPr>
        <w:t>的影响［J］. 现代生物医学进展，2023，23（1</w:t>
      </w:r>
      <w:r>
        <w:rPr>
          <w:sz w:val="15"/>
          <w:szCs w:val="15"/>
          <w:color w:val="231F20"/>
          <w:spacing w:val="-33"/>
          <w:w w:val="81"/>
        </w:rPr>
        <w:t>）：</w:t>
      </w:r>
      <w:r>
        <w:rPr>
          <w:sz w:val="15"/>
          <w:szCs w:val="15"/>
          <w:color w:val="231F20"/>
          <w:spacing w:val="-12"/>
        </w:rPr>
        <w:t>197-200，192.</w:t>
      </w:r>
    </w:p>
    <w:p>
      <w:pPr>
        <w:pStyle w:val="BodyText"/>
        <w:ind w:left="241" w:right="1" w:hanging="241"/>
        <w:spacing w:before="58" w:line="242" w:lineRule="auto"/>
        <w:rPr>
          <w:sz w:val="15"/>
          <w:szCs w:val="15"/>
        </w:rPr>
      </w:pPr>
      <w:r>
        <w:rPr>
          <w:sz w:val="15"/>
          <w:szCs w:val="15"/>
          <w:color w:val="231F20"/>
          <w:spacing w:val="7"/>
        </w:rPr>
        <w:t>4   宋耀华. 妇科千金胶囊联合替硝唑注射液、注射用头孢呋辛钠治疗</w:t>
      </w:r>
      <w:r>
        <w:rPr>
          <w:sz w:val="15"/>
          <w:szCs w:val="15"/>
          <w:color w:val="231F20"/>
        </w:rPr>
        <w:t xml:space="preserve">  </w:t>
      </w:r>
      <w:r>
        <w:rPr>
          <w:sz w:val="15"/>
          <w:szCs w:val="15"/>
          <w:color w:val="231F20"/>
          <w:spacing w:val="2"/>
        </w:rPr>
        <w:t>慢性盆腔炎的疗效及血清炎症因子水平分析［J］.</w:t>
      </w:r>
      <w:r>
        <w:rPr>
          <w:sz w:val="15"/>
          <w:szCs w:val="15"/>
          <w:color w:val="231F20"/>
          <w:spacing w:val="1"/>
        </w:rPr>
        <w:t xml:space="preserve"> 检验医学与临床，</w:t>
      </w:r>
      <w:r>
        <w:rPr>
          <w:sz w:val="15"/>
          <w:szCs w:val="15"/>
          <w:color w:val="231F20"/>
        </w:rPr>
        <w:t xml:space="preserve"> </w:t>
      </w:r>
      <w:r>
        <w:rPr>
          <w:sz w:val="15"/>
          <w:szCs w:val="15"/>
          <w:color w:val="231F20"/>
          <w:spacing w:val="-14"/>
        </w:rPr>
        <w:t>2023，20（8</w:t>
      </w:r>
      <w:r>
        <w:rPr>
          <w:sz w:val="15"/>
          <w:szCs w:val="15"/>
          <w:color w:val="231F20"/>
          <w:spacing w:val="-33"/>
          <w:w w:val="81"/>
        </w:rPr>
        <w:t>）：</w:t>
      </w:r>
      <w:r>
        <w:rPr>
          <w:sz w:val="15"/>
          <w:szCs w:val="15"/>
          <w:color w:val="231F20"/>
          <w:spacing w:val="-14"/>
        </w:rPr>
        <w:t>1112-1115.</w:t>
      </w:r>
    </w:p>
    <w:p>
      <w:pPr>
        <w:pStyle w:val="BodyText"/>
        <w:ind w:left="243" w:hanging="240"/>
        <w:spacing w:before="64"/>
        <w:rPr>
          <w:sz w:val="15"/>
          <w:szCs w:val="15"/>
        </w:rPr>
      </w:pPr>
      <w:r>
        <w:rPr>
          <w:sz w:val="15"/>
          <w:szCs w:val="15"/>
          <w:color w:val="231F20"/>
          <w:spacing w:val="-2"/>
        </w:rPr>
        <w:t>5   王卓媛，白换换，苟小军，等. 妇科千金片（胶囊）联合克林霉素治疗</w:t>
      </w:r>
      <w:r>
        <w:rPr>
          <w:sz w:val="15"/>
          <w:szCs w:val="15"/>
          <w:color w:val="231F20"/>
          <w:spacing w:val="3"/>
        </w:rPr>
        <w:t xml:space="preserve">  </w:t>
      </w:r>
      <w:r>
        <w:rPr>
          <w:sz w:val="15"/>
          <w:szCs w:val="15"/>
          <w:color w:val="231F20"/>
          <w:spacing w:val="-8"/>
        </w:rPr>
        <w:t>盆腔炎疗效与安全性的系统评价［J］. 中国医院用药评价</w:t>
      </w:r>
      <w:r>
        <w:rPr>
          <w:sz w:val="15"/>
          <w:szCs w:val="15"/>
          <w:color w:val="231F20"/>
          <w:spacing w:val="-9"/>
        </w:rPr>
        <w:t>与分析，2021，</w:t>
      </w:r>
      <w:r>
        <w:rPr>
          <w:sz w:val="15"/>
          <w:szCs w:val="15"/>
          <w:color w:val="231F20"/>
        </w:rPr>
        <w:t xml:space="preserve"> </w:t>
      </w:r>
      <w:r>
        <w:rPr>
          <w:sz w:val="15"/>
          <w:szCs w:val="15"/>
          <w:color w:val="231F20"/>
          <w:spacing w:val="-12"/>
        </w:rPr>
        <w:t>21（6</w:t>
      </w:r>
      <w:r>
        <w:rPr>
          <w:sz w:val="15"/>
          <w:szCs w:val="15"/>
          <w:color w:val="231F20"/>
          <w:spacing w:val="-24"/>
          <w:w w:val="59"/>
        </w:rPr>
        <w:t>）：</w:t>
      </w:r>
      <w:r>
        <w:rPr>
          <w:sz w:val="15"/>
          <w:szCs w:val="15"/>
          <w:color w:val="231F20"/>
          <w:spacing w:val="-12"/>
        </w:rPr>
        <w:t>718-721，729.</w:t>
      </w:r>
    </w:p>
    <w:p>
      <w:pPr>
        <w:pStyle w:val="BodyText"/>
        <w:ind w:left="242" w:right="49" w:hanging="239"/>
        <w:spacing w:before="64" w:line="230" w:lineRule="auto"/>
        <w:rPr>
          <w:sz w:val="15"/>
          <w:szCs w:val="15"/>
        </w:rPr>
      </w:pPr>
      <w:r>
        <w:rPr>
          <w:sz w:val="15"/>
          <w:szCs w:val="15"/>
          <w:color w:val="231F20"/>
          <w:spacing w:val="2"/>
        </w:rPr>
        <w:t>6   杨堃，邓卉，徐小娟，等. 妇科千金片对慢性盆腔炎大鼠炎性因子及</w:t>
      </w:r>
      <w:r>
        <w:rPr>
          <w:sz w:val="15"/>
          <w:szCs w:val="15"/>
          <w:color w:val="231F20"/>
          <w:spacing w:val="14"/>
          <w:w w:val="102"/>
        </w:rPr>
        <w:t xml:space="preserve"> </w:t>
      </w:r>
      <w:r>
        <w:rPr>
          <w:sz w:val="15"/>
          <w:szCs w:val="15"/>
          <w:color w:val="231F20"/>
          <w:spacing w:val="-7"/>
        </w:rPr>
        <w:t>血管内皮功能相关因子的影响［J］.</w:t>
      </w:r>
      <w:r>
        <w:rPr>
          <w:sz w:val="15"/>
          <w:szCs w:val="15"/>
          <w:color w:val="231F20"/>
          <w:spacing w:val="15"/>
          <w:w w:val="102"/>
        </w:rPr>
        <w:t xml:space="preserve"> </w:t>
      </w:r>
      <w:r>
        <w:rPr>
          <w:sz w:val="15"/>
          <w:szCs w:val="15"/>
          <w:color w:val="231F20"/>
          <w:spacing w:val="-7"/>
        </w:rPr>
        <w:t>中国药业，2020，29（21</w:t>
      </w:r>
      <w:r>
        <w:rPr>
          <w:sz w:val="15"/>
          <w:szCs w:val="15"/>
          <w:color w:val="231F20"/>
          <w:spacing w:val="-26"/>
          <w:w w:val="63"/>
        </w:rPr>
        <w:t>）：</w:t>
      </w:r>
      <w:r>
        <w:rPr>
          <w:sz w:val="15"/>
          <w:szCs w:val="15"/>
          <w:color w:val="231F20"/>
          <w:spacing w:val="-7"/>
        </w:rPr>
        <w:t>36-40.</w:t>
      </w:r>
    </w:p>
    <w:p>
      <w:pPr>
        <w:pStyle w:val="BodyText"/>
        <w:ind w:left="243" w:right="45" w:hanging="242"/>
        <w:spacing w:before="57" w:line="233" w:lineRule="auto"/>
        <w:rPr>
          <w:sz w:val="15"/>
          <w:szCs w:val="15"/>
        </w:rPr>
      </w:pPr>
      <w:r>
        <w:rPr>
          <w:sz w:val="15"/>
          <w:szCs w:val="15"/>
          <w:color w:val="231F20"/>
          <w:spacing w:val="-7"/>
        </w:rPr>
        <w:t>7</w:t>
      </w:r>
      <w:r>
        <w:rPr>
          <w:sz w:val="15"/>
          <w:szCs w:val="15"/>
          <w:color w:val="231F20"/>
          <w:spacing w:val="11"/>
        </w:rPr>
        <w:t xml:space="preserve">   </w:t>
      </w:r>
      <w:r>
        <w:rPr>
          <w:sz w:val="15"/>
          <w:szCs w:val="15"/>
          <w:color w:val="231F20"/>
          <w:spacing w:val="-7"/>
        </w:rPr>
        <w:t>张鹏，凌勇根，白璐，等. 中药大品种妇科千金片/胶囊的研究进展［J］.</w:t>
      </w:r>
      <w:r>
        <w:rPr>
          <w:sz w:val="15"/>
          <w:szCs w:val="15"/>
          <w:color w:val="231F20"/>
        </w:rPr>
        <w:t xml:space="preserve"> </w:t>
      </w:r>
      <w:r>
        <w:rPr>
          <w:sz w:val="15"/>
          <w:szCs w:val="15"/>
          <w:color w:val="231F20"/>
          <w:spacing w:val="-9"/>
        </w:rPr>
        <w:t>湖南中医药大学学报，2022，42（2</w:t>
      </w:r>
      <w:r>
        <w:rPr>
          <w:sz w:val="15"/>
          <w:szCs w:val="15"/>
          <w:color w:val="231F20"/>
          <w:spacing w:val="-34"/>
          <w:w w:val="83"/>
        </w:rPr>
        <w:t>）：</w:t>
      </w:r>
      <w:r>
        <w:rPr>
          <w:sz w:val="15"/>
          <w:szCs w:val="15"/>
          <w:color w:val="231F20"/>
          <w:spacing w:val="-9"/>
        </w:rPr>
        <w:t>186-194.</w:t>
      </w:r>
    </w:p>
    <w:p>
      <w:pPr>
        <w:pStyle w:val="BodyText"/>
        <w:ind w:left="240" w:right="15" w:hanging="233"/>
        <w:spacing w:before="56" w:line="242" w:lineRule="auto"/>
        <w:rPr>
          <w:sz w:val="15"/>
          <w:szCs w:val="15"/>
        </w:rPr>
      </w:pPr>
      <w:r>
        <w:rPr>
          <w:sz w:val="15"/>
          <w:szCs w:val="15"/>
          <w:color w:val="231F20"/>
        </w:rPr>
        <w:t>8   吴梦瑶，张鹏，凌勇根，等. 基于网络药理学研究妇科千金片/胶囊治</w:t>
      </w:r>
      <w:r>
        <w:rPr>
          <w:sz w:val="15"/>
          <w:szCs w:val="15"/>
          <w:color w:val="231F20"/>
          <w:spacing w:val="8"/>
        </w:rPr>
        <w:t xml:space="preserve">  </w:t>
      </w:r>
      <w:r>
        <w:rPr>
          <w:sz w:val="15"/>
          <w:szCs w:val="15"/>
          <w:color w:val="231F20"/>
          <w:spacing w:val="-5"/>
        </w:rPr>
        <w:t>疗盆腔炎性疾病后遗症的作用机制［J］. 湖南中医药大学学报，2022，</w:t>
      </w:r>
      <w:r>
        <w:rPr>
          <w:sz w:val="15"/>
          <w:szCs w:val="15"/>
          <w:color w:val="231F20"/>
          <w:spacing w:val="16"/>
        </w:rPr>
        <w:t xml:space="preserve"> </w:t>
      </w:r>
      <w:r>
        <w:rPr>
          <w:sz w:val="15"/>
          <w:szCs w:val="15"/>
          <w:color w:val="231F20"/>
          <w:spacing w:val="-8"/>
        </w:rPr>
        <w:t>42（2</w:t>
      </w:r>
      <w:r>
        <w:rPr>
          <w:sz w:val="15"/>
          <w:szCs w:val="15"/>
          <w:color w:val="231F20"/>
          <w:spacing w:val="-26"/>
          <w:w w:val="63"/>
        </w:rPr>
        <w:t>）：</w:t>
      </w:r>
      <w:r>
        <w:rPr>
          <w:sz w:val="15"/>
          <w:szCs w:val="15"/>
          <w:color w:val="231F20"/>
          <w:spacing w:val="-8"/>
        </w:rPr>
        <w:t>213-222.</w:t>
      </w:r>
    </w:p>
    <w:p>
      <w:pPr>
        <w:pStyle w:val="BodyText"/>
        <w:ind w:left="255" w:right="1" w:hanging="253"/>
        <w:spacing w:before="66" w:line="230" w:lineRule="auto"/>
        <w:rPr>
          <w:sz w:val="15"/>
          <w:szCs w:val="15"/>
        </w:rPr>
      </w:pPr>
      <w:r>
        <w:rPr>
          <w:sz w:val="15"/>
          <w:szCs w:val="15"/>
          <w:color w:val="231F20"/>
          <w:spacing w:val="2"/>
        </w:rPr>
        <w:t>9   朱丽荣. 急性盆腔炎的病因和诊断［J］.</w:t>
      </w:r>
      <w:r>
        <w:rPr>
          <w:sz w:val="15"/>
          <w:szCs w:val="15"/>
          <w:color w:val="231F20"/>
          <w:spacing w:val="16"/>
        </w:rPr>
        <w:t xml:space="preserve"> </w:t>
      </w:r>
      <w:r>
        <w:rPr>
          <w:sz w:val="15"/>
          <w:szCs w:val="15"/>
          <w:color w:val="231F20"/>
          <w:spacing w:val="2"/>
        </w:rPr>
        <w:t>国外医学（妇产科</w:t>
      </w:r>
      <w:r>
        <w:rPr>
          <w:sz w:val="15"/>
          <w:szCs w:val="15"/>
          <w:color w:val="231F20"/>
          <w:spacing w:val="1"/>
        </w:rPr>
        <w:t>学分册</w:t>
      </w:r>
      <w:r>
        <w:rPr>
          <w:sz w:val="15"/>
          <w:szCs w:val="15"/>
          <w:color w:val="231F20"/>
          <w:spacing w:val="-33"/>
          <w:w w:val="92"/>
        </w:rPr>
        <w:t>），</w:t>
      </w:r>
      <w:r>
        <w:rPr>
          <w:sz w:val="15"/>
          <w:szCs w:val="15"/>
          <w:color w:val="231F20"/>
        </w:rPr>
        <w:t xml:space="preserve"> </w:t>
      </w:r>
      <w:r>
        <w:rPr>
          <w:sz w:val="15"/>
          <w:szCs w:val="15"/>
          <w:color w:val="231F20"/>
          <w:spacing w:val="-8"/>
        </w:rPr>
        <w:t>1995</w:t>
      </w:r>
      <w:r>
        <w:rPr>
          <w:sz w:val="15"/>
          <w:szCs w:val="15"/>
          <w:color w:val="231F20"/>
          <w:spacing w:val="-24"/>
          <w:w w:val="61"/>
        </w:rPr>
        <w:t>，（</w:t>
      </w:r>
      <w:r>
        <w:rPr>
          <w:sz w:val="15"/>
          <w:szCs w:val="15"/>
          <w:color w:val="231F20"/>
          <w:spacing w:val="-8"/>
        </w:rPr>
        <w:t>4</w:t>
      </w:r>
      <w:r>
        <w:rPr>
          <w:sz w:val="15"/>
          <w:szCs w:val="15"/>
          <w:color w:val="231F20"/>
          <w:spacing w:val="-24"/>
          <w:w w:val="61"/>
        </w:rPr>
        <w:t>）：</w:t>
      </w:r>
      <w:r>
        <w:rPr>
          <w:sz w:val="15"/>
          <w:szCs w:val="15"/>
          <w:color w:val="231F20"/>
          <w:spacing w:val="-8"/>
        </w:rPr>
        <w:t>225-226，256.</w:t>
      </w:r>
    </w:p>
    <w:p>
      <w:pPr>
        <w:pStyle w:val="BodyText"/>
        <w:ind w:left="242" w:right="48" w:hanging="227"/>
        <w:spacing w:before="57" w:line="233" w:lineRule="auto"/>
        <w:rPr>
          <w:sz w:val="15"/>
          <w:szCs w:val="15"/>
        </w:rPr>
      </w:pPr>
      <w:r>
        <w:rPr>
          <w:sz w:val="15"/>
          <w:szCs w:val="15"/>
          <w:color w:val="231F20"/>
          <w:spacing w:val="1"/>
        </w:rPr>
        <w:t>10</w:t>
      </w:r>
      <w:r>
        <w:rPr>
          <w:sz w:val="15"/>
          <w:szCs w:val="15"/>
          <w:color w:val="231F20"/>
          <w:spacing w:val="37"/>
          <w:w w:val="102"/>
        </w:rPr>
        <w:t xml:space="preserve"> </w:t>
      </w:r>
      <w:r>
        <w:rPr>
          <w:sz w:val="15"/>
          <w:szCs w:val="15"/>
          <w:color w:val="231F20"/>
          <w:spacing w:val="1"/>
        </w:rPr>
        <w:t>安芳，宋文月，段社教，等.</w:t>
      </w:r>
      <w:r>
        <w:rPr>
          <w:sz w:val="15"/>
          <w:szCs w:val="15"/>
          <w:color w:val="231F20"/>
          <w:spacing w:val="11"/>
          <w:w w:val="101"/>
        </w:rPr>
        <w:t xml:space="preserve"> </w:t>
      </w:r>
      <w:r>
        <w:rPr>
          <w:sz w:val="15"/>
          <w:szCs w:val="15"/>
          <w:color w:val="231F20"/>
          <w:spacing w:val="1"/>
        </w:rPr>
        <w:t>当归四逆汤联合阿莫</w:t>
      </w:r>
      <w:r>
        <w:rPr>
          <w:sz w:val="15"/>
          <w:szCs w:val="15"/>
          <w:color w:val="231F20"/>
        </w:rPr>
        <w:t>西林克拉维酸钾片 </w:t>
      </w:r>
      <w:r>
        <w:rPr>
          <w:sz w:val="15"/>
          <w:szCs w:val="15"/>
          <w:color w:val="231F20"/>
          <w:spacing w:val="-8"/>
        </w:rPr>
        <w:t>治疗慢性盆腔炎临床研究［J］. 新中医，2022，54（10</w:t>
      </w:r>
      <w:r>
        <w:rPr>
          <w:sz w:val="15"/>
          <w:szCs w:val="15"/>
          <w:color w:val="231F20"/>
          <w:spacing w:val="-27"/>
          <w:w w:val="66"/>
        </w:rPr>
        <w:t>）：</w:t>
      </w:r>
      <w:r>
        <w:rPr>
          <w:sz w:val="15"/>
          <w:szCs w:val="15"/>
          <w:color w:val="231F20"/>
          <w:spacing w:val="-8"/>
        </w:rPr>
        <w:t>30-33.</w:t>
      </w:r>
    </w:p>
    <w:p>
      <w:pPr>
        <w:pStyle w:val="BodyText"/>
        <w:ind w:left="240" w:right="3" w:hanging="225"/>
        <w:spacing w:before="64" w:line="247" w:lineRule="auto"/>
        <w:rPr>
          <w:sz w:val="15"/>
          <w:szCs w:val="15"/>
        </w:rPr>
      </w:pPr>
      <w:r>
        <w:rPr>
          <w:sz w:val="15"/>
          <w:szCs w:val="15"/>
          <w:color w:val="231F20"/>
          <w:spacing w:val="6"/>
        </w:rPr>
        <w:t>11</w:t>
      </w:r>
      <w:r>
        <w:rPr>
          <w:sz w:val="15"/>
          <w:szCs w:val="15"/>
          <w:color w:val="231F20"/>
          <w:spacing w:val="41"/>
        </w:rPr>
        <w:t xml:space="preserve"> </w:t>
      </w:r>
      <w:r>
        <w:rPr>
          <w:sz w:val="15"/>
          <w:szCs w:val="15"/>
          <w:color w:val="231F20"/>
          <w:spacing w:val="6"/>
        </w:rPr>
        <w:t>吴彦佳，符杨浠，蔡燕. 桂枝茯苓汤联合康</w:t>
      </w:r>
      <w:r>
        <w:rPr>
          <w:sz w:val="15"/>
          <w:szCs w:val="15"/>
          <w:color w:val="231F20"/>
          <w:spacing w:val="5"/>
        </w:rPr>
        <w:t>妇消炎栓对慢性盆腔炎</w:t>
      </w:r>
      <w:r>
        <w:rPr>
          <w:sz w:val="15"/>
          <w:szCs w:val="15"/>
          <w:color w:val="231F20"/>
        </w:rPr>
        <w:t xml:space="preserve">  </w:t>
      </w:r>
      <w:r>
        <w:rPr>
          <w:sz w:val="15"/>
          <w:szCs w:val="15"/>
          <w:color w:val="231F20"/>
          <w:spacing w:val="-5"/>
        </w:rPr>
        <w:t>后遗症及细胞炎性因子的影响［J］.</w:t>
      </w:r>
      <w:r>
        <w:rPr>
          <w:sz w:val="15"/>
          <w:szCs w:val="15"/>
          <w:color w:val="231F20"/>
          <w:spacing w:val="19"/>
          <w:w w:val="102"/>
        </w:rPr>
        <w:t xml:space="preserve"> </w:t>
      </w:r>
      <w:r>
        <w:rPr>
          <w:sz w:val="15"/>
          <w:szCs w:val="15"/>
          <w:color w:val="231F20"/>
          <w:spacing w:val="-5"/>
        </w:rPr>
        <w:t>中华中</w:t>
      </w:r>
      <w:r>
        <w:rPr>
          <w:sz w:val="15"/>
          <w:szCs w:val="15"/>
          <w:color w:val="231F20"/>
          <w:spacing w:val="-6"/>
        </w:rPr>
        <w:t>医药学刊，2020，38（4</w:t>
      </w:r>
      <w:r>
        <w:rPr>
          <w:sz w:val="15"/>
          <w:szCs w:val="15"/>
          <w:color w:val="231F20"/>
          <w:spacing w:val="-38"/>
          <w:w w:val="93"/>
        </w:rPr>
        <w:t>）：</w:t>
      </w:r>
      <w:r>
        <w:rPr>
          <w:sz w:val="15"/>
          <w:szCs w:val="15"/>
          <w:color w:val="231F20"/>
        </w:rPr>
        <w:t xml:space="preserve"> </w:t>
      </w:r>
      <w:r>
        <w:rPr>
          <w:sz w:val="15"/>
          <w:szCs w:val="15"/>
          <w:color w:val="231F20"/>
          <w:spacing w:val="-4"/>
        </w:rPr>
        <w:t>226-228.</w:t>
      </w:r>
    </w:p>
    <w:p>
      <w:pPr>
        <w:pStyle w:val="BodyText"/>
        <w:ind w:left="243" w:right="43" w:hanging="228"/>
        <w:spacing w:before="34" w:line="260" w:lineRule="auto"/>
        <w:rPr>
          <w:sz w:val="15"/>
          <w:szCs w:val="15"/>
        </w:rPr>
      </w:pPr>
      <w:r>
        <w:rPr>
          <w:sz w:val="15"/>
          <w:szCs w:val="15"/>
          <w:color w:val="231F20"/>
          <w:spacing w:val="-1"/>
        </w:rPr>
        <w:t>12</w:t>
      </w:r>
      <w:r>
        <w:rPr>
          <w:sz w:val="15"/>
          <w:szCs w:val="15"/>
          <w:color w:val="231F20"/>
          <w:spacing w:val="41"/>
          <w:w w:val="101"/>
        </w:rPr>
        <w:t xml:space="preserve"> </w:t>
      </w:r>
      <w:r>
        <w:rPr>
          <w:sz w:val="15"/>
          <w:szCs w:val="15"/>
          <w:color w:val="231F20"/>
          <w:spacing w:val="-1"/>
        </w:rPr>
        <w:t>张荣华.</w:t>
      </w:r>
      <w:r>
        <w:rPr>
          <w:sz w:val="15"/>
          <w:szCs w:val="15"/>
          <w:color w:val="231F20"/>
          <w:spacing w:val="-10"/>
        </w:rPr>
        <w:t xml:space="preserve"> </w:t>
      </w:r>
      <w:r>
        <w:rPr>
          <w:sz w:val="15"/>
          <w:szCs w:val="15"/>
          <w:color w:val="231F20"/>
          <w:spacing w:val="-1"/>
        </w:rPr>
        <w:t>金鸡化瘀颗粒联合阿奇霉素治疗</w:t>
      </w:r>
      <w:r>
        <w:rPr>
          <w:sz w:val="15"/>
          <w:szCs w:val="15"/>
          <w:color w:val="231F20"/>
          <w:spacing w:val="-2"/>
        </w:rPr>
        <w:t>慢性盆腔炎的临床研究［J］.</w:t>
      </w:r>
      <w:r>
        <w:rPr>
          <w:sz w:val="15"/>
          <w:szCs w:val="15"/>
          <w:color w:val="231F20"/>
        </w:rPr>
        <w:t xml:space="preserve"> </w:t>
      </w:r>
      <w:r>
        <w:rPr>
          <w:sz w:val="15"/>
          <w:szCs w:val="15"/>
          <w:color w:val="231F20"/>
          <w:spacing w:val="-8"/>
        </w:rPr>
        <w:t>现代药物与临床，2020，35（3</w:t>
      </w:r>
      <w:r>
        <w:rPr>
          <w:sz w:val="15"/>
          <w:szCs w:val="15"/>
          <w:color w:val="231F20"/>
          <w:spacing w:val="-24"/>
          <w:w w:val="59"/>
        </w:rPr>
        <w:t>）：</w:t>
      </w:r>
      <w:r>
        <w:rPr>
          <w:sz w:val="15"/>
          <w:szCs w:val="15"/>
          <w:color w:val="231F20"/>
          <w:spacing w:val="-8"/>
        </w:rPr>
        <w:t>541-54</w:t>
      </w:r>
      <w:r>
        <w:rPr>
          <w:sz w:val="15"/>
          <w:szCs w:val="15"/>
          <w:color w:val="231F20"/>
          <w:spacing w:val="-9"/>
        </w:rPr>
        <w:t>6.</w:t>
      </w:r>
    </w:p>
    <w:p>
      <w:pPr>
        <w:pStyle w:val="BodyText"/>
        <w:ind w:left="242" w:right="49" w:hanging="227"/>
        <w:spacing w:line="233" w:lineRule="auto"/>
        <w:rPr>
          <w:sz w:val="15"/>
          <w:szCs w:val="15"/>
        </w:rPr>
      </w:pPr>
      <w:r>
        <w:rPr>
          <w:sz w:val="15"/>
          <w:szCs w:val="15"/>
          <w:color w:val="231F20"/>
          <w:spacing w:val="6"/>
        </w:rPr>
        <w:t>13</w:t>
      </w:r>
      <w:r>
        <w:rPr>
          <w:sz w:val="15"/>
          <w:szCs w:val="15"/>
          <w:color w:val="231F20"/>
          <w:spacing w:val="44"/>
        </w:rPr>
        <w:t xml:space="preserve"> </w:t>
      </w:r>
      <w:r>
        <w:rPr>
          <w:sz w:val="15"/>
          <w:szCs w:val="15"/>
          <w:color w:val="231F20"/>
          <w:spacing w:val="6"/>
        </w:rPr>
        <w:t>王芳，吴昆仑，唐苾芯. 益肾清热方</w:t>
      </w:r>
      <w:r>
        <w:rPr>
          <w:sz w:val="15"/>
          <w:szCs w:val="15"/>
          <w:color w:val="231F20"/>
          <w:spacing w:val="5"/>
        </w:rPr>
        <w:t>联合妇科千金片治疗慢性盆腔</w:t>
      </w:r>
      <w:r>
        <w:rPr>
          <w:sz w:val="15"/>
          <w:szCs w:val="15"/>
          <w:color w:val="231F20"/>
        </w:rPr>
        <w:t xml:space="preserve"> </w:t>
      </w:r>
      <w:r>
        <w:rPr>
          <w:sz w:val="15"/>
          <w:szCs w:val="15"/>
          <w:color w:val="231F20"/>
          <w:spacing w:val="-10"/>
        </w:rPr>
        <w:t>炎肾虚湿热证临床研究［J］. 新中医，2022，54（12</w:t>
      </w:r>
      <w:r>
        <w:rPr>
          <w:sz w:val="15"/>
          <w:szCs w:val="15"/>
          <w:color w:val="231F20"/>
          <w:spacing w:val="-36"/>
          <w:w w:val="89"/>
        </w:rPr>
        <w:t>）：</w:t>
      </w:r>
      <w:r>
        <w:rPr>
          <w:sz w:val="15"/>
          <w:szCs w:val="15"/>
          <w:color w:val="231F20"/>
          <w:spacing w:val="-10"/>
        </w:rPr>
        <w:t>139-142.</w:t>
      </w:r>
    </w:p>
    <w:p>
      <w:pPr>
        <w:pStyle w:val="BodyText"/>
        <w:ind w:left="239" w:right="49" w:hanging="224"/>
        <w:spacing w:before="64" w:line="230" w:lineRule="auto"/>
        <w:rPr>
          <w:sz w:val="15"/>
          <w:szCs w:val="15"/>
        </w:rPr>
      </w:pPr>
      <w:r>
        <w:rPr>
          <w:sz w:val="15"/>
          <w:szCs w:val="15"/>
          <w:color w:val="231F20"/>
          <w:spacing w:val="11"/>
        </w:rPr>
        <w:t>14</w:t>
      </w:r>
      <w:r>
        <w:rPr>
          <w:sz w:val="15"/>
          <w:szCs w:val="15"/>
          <w:color w:val="231F20"/>
          <w:spacing w:val="40"/>
          <w:w w:val="101"/>
        </w:rPr>
        <w:t xml:space="preserve"> </w:t>
      </w:r>
      <w:r>
        <w:rPr>
          <w:sz w:val="15"/>
          <w:szCs w:val="15"/>
          <w:color w:val="231F20"/>
          <w:spacing w:val="11"/>
        </w:rPr>
        <w:t>宋娟. 妇科千金片联合磷霉素氨丁三醇对慢性</w:t>
      </w:r>
      <w:r>
        <w:rPr>
          <w:sz w:val="15"/>
          <w:szCs w:val="15"/>
          <w:color w:val="231F20"/>
          <w:spacing w:val="10"/>
        </w:rPr>
        <w:t>盆腔炎患者的临床</w:t>
      </w:r>
      <w:r>
        <w:rPr>
          <w:sz w:val="15"/>
          <w:szCs w:val="15"/>
          <w:color w:val="231F20"/>
        </w:rPr>
        <w:t xml:space="preserve"> </w:t>
      </w:r>
      <w:r>
        <w:rPr>
          <w:sz w:val="15"/>
          <w:szCs w:val="15"/>
          <w:color w:val="231F20"/>
          <w:spacing w:val="-11"/>
        </w:rPr>
        <w:t>疗效［J］. 实用临床医药杂志，202</w:t>
      </w:r>
      <w:r>
        <w:rPr>
          <w:sz w:val="15"/>
          <w:szCs w:val="15"/>
          <w:color w:val="231F20"/>
          <w:spacing w:val="-12"/>
        </w:rPr>
        <w:t>1，25（4</w:t>
      </w:r>
      <w:r>
        <w:rPr>
          <w:sz w:val="15"/>
          <w:szCs w:val="15"/>
          <w:color w:val="231F20"/>
          <w:spacing w:val="-24"/>
          <w:w w:val="59"/>
        </w:rPr>
        <w:t>）：</w:t>
      </w:r>
      <w:r>
        <w:rPr>
          <w:sz w:val="15"/>
          <w:szCs w:val="15"/>
          <w:color w:val="231F20"/>
          <w:spacing w:val="-12"/>
        </w:rPr>
        <w:t>64-67，72.</w:t>
      </w:r>
    </w:p>
    <w:p>
      <w:pPr>
        <w:pStyle w:val="BodyText"/>
        <w:ind w:left="240" w:right="48" w:hanging="225"/>
        <w:spacing w:before="57" w:line="231" w:lineRule="auto"/>
        <w:rPr>
          <w:sz w:val="15"/>
          <w:szCs w:val="15"/>
        </w:rPr>
      </w:pPr>
      <w:r>
        <w:rPr>
          <w:sz w:val="15"/>
          <w:szCs w:val="15"/>
          <w:color w:val="231F20"/>
          <w:spacing w:val="1"/>
        </w:rPr>
        <w:t>15</w:t>
      </w:r>
      <w:r>
        <w:rPr>
          <w:sz w:val="15"/>
          <w:szCs w:val="15"/>
          <w:color w:val="231F20"/>
          <w:spacing w:val="40"/>
          <w:w w:val="101"/>
        </w:rPr>
        <w:t xml:space="preserve"> </w:t>
      </w:r>
      <w:r>
        <w:rPr>
          <w:sz w:val="15"/>
          <w:szCs w:val="15"/>
          <w:color w:val="231F20"/>
          <w:spacing w:val="1"/>
        </w:rPr>
        <w:t>周芳怡，凌敏，成碧薇，等. 坤复康片联合阿莫西林克拉维酸钾对慢</w:t>
      </w:r>
      <w:r>
        <w:rPr>
          <w:sz w:val="15"/>
          <w:szCs w:val="15"/>
          <w:color w:val="231F20"/>
        </w:rPr>
        <w:t xml:space="preserve"> </w:t>
      </w:r>
      <w:r>
        <w:rPr>
          <w:sz w:val="15"/>
          <w:szCs w:val="15"/>
          <w:color w:val="231F20"/>
          <w:spacing w:val="2"/>
        </w:rPr>
        <w:t>性盆腔炎患者血液流变学、红细胞免疫功能和炎症</w:t>
      </w:r>
      <w:r>
        <w:rPr>
          <w:sz w:val="15"/>
          <w:szCs w:val="15"/>
          <w:color w:val="231F20"/>
          <w:spacing w:val="1"/>
        </w:rPr>
        <w:t>因子的影响［J］.</w:t>
      </w:r>
      <w:r>
        <w:rPr>
          <w:sz w:val="15"/>
          <w:szCs w:val="15"/>
          <w:color w:val="231F20"/>
        </w:rPr>
        <w:t xml:space="preserve"> </w:t>
      </w:r>
      <w:r>
        <w:rPr>
          <w:sz w:val="15"/>
          <w:szCs w:val="15"/>
          <w:color w:val="231F20"/>
          <w:spacing w:val="-8"/>
        </w:rPr>
        <w:t>现代生物医学进展，2023，23（11</w:t>
      </w:r>
      <w:r>
        <w:rPr>
          <w:sz w:val="15"/>
          <w:szCs w:val="15"/>
          <w:color w:val="231F20"/>
          <w:spacing w:val="-27"/>
          <w:w w:val="66"/>
        </w:rPr>
        <w:t>）：</w:t>
      </w:r>
      <w:r>
        <w:rPr>
          <w:sz w:val="15"/>
          <w:szCs w:val="15"/>
          <w:color w:val="231F20"/>
          <w:spacing w:val="-8"/>
        </w:rPr>
        <w:t>2188-2191.</w:t>
      </w:r>
    </w:p>
    <w:sectPr>
      <w:type w:val="continuous"/>
      <w:pgSz w:w="11905" w:h="16156"/>
      <w:pgMar w:top="1308" w:right="970" w:bottom="0" w:left="424" w:header="982" w:footer="0" w:gutter="0"/>
      <w:cols w:equalWidth="0" w:num="2">
        <w:col w:w="5620" w:space="100"/>
        <w:col w:w="479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76"/>
      <w:spacing w:before="42" w:line="169" w:lineRule="auto"/>
      <w:rPr/>
    </w:pPr>
    <w:r>
      <w:pict>
        <v:shape id="WordPictureWatermark2" style="position:absolute;margin-left:21.2pt;margin-top:777.6pt;mso-position-vertical-relative:page;mso-position-horizontal-relative:page;width:168.95pt;height:12.5pt;z-index:-251658240;" o:allowincell="f" filled="false" stroked="false" type="#_x0000_t75">
          <v:imagedata o:title="" r:id="rId1"/>
        </v:shape>
      </w:pict>
    </w:r>
    <w:r>
      <w:drawing>
        <wp:anchor distT="0" distB="0" distL="0" distR="0" simplePos="0" relativeHeight="251659264" behindDoc="0" locked="0" layoutInCell="0" allowOverlap="1">
          <wp:simplePos x="0" y="0"/>
          <wp:positionH relativeFrom="page">
            <wp:posOffset>647700</wp:posOffset>
          </wp:positionH>
          <wp:positionV relativeFrom="page">
            <wp:posOffset>799465</wp:posOffset>
          </wp:positionV>
          <wp:extent cx="6264909" cy="63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264909" cy="6350"/>
                  </a:xfrm>
                  <a:prstGeom prst="rect">
                    <a:avLst/>
                  </a:prstGeom>
                </pic:spPr>
              </pic:pic>
            </a:graphicData>
          </a:graphic>
        </wp:anchor>
      </w:drawing>
    </w:r>
    <w:r>
      <w:rPr>
        <w:color w:val="231F20"/>
        <w:spacing w:val="-3"/>
      </w:rPr>
      <w:t>天津药学</w:t>
    </w:r>
    <w:r>
      <w:rPr>
        <w:color w:val="231F20"/>
        <w:spacing w:val="10"/>
      </w:rPr>
      <w:t xml:space="preserve">   </w:t>
    </w:r>
    <w:r>
      <w:rPr>
        <w:color w:val="231F20"/>
        <w:spacing w:val="-3"/>
      </w:rPr>
      <w:t>Tianjin</w:t>
    </w:r>
    <w:r>
      <w:rPr>
        <w:color w:val="231F20"/>
        <w:spacing w:val="10"/>
      </w:rPr>
      <w:t xml:space="preserve">   </w:t>
    </w:r>
    <w:r>
      <w:rPr>
        <w:color w:val="231F20"/>
        <w:spacing w:val="-3"/>
      </w:rPr>
      <w:t>Pharmacy</w:t>
    </w:r>
    <w:r>
      <w:rPr>
        <w:color w:val="231F20"/>
        <w:spacing w:val="11"/>
      </w:rPr>
      <w:t xml:space="preserve">   </w:t>
    </w:r>
    <w:r>
      <w:rPr>
        <w:color w:val="231F20"/>
        <w:spacing w:val="-3"/>
      </w:rPr>
      <w:t>2</w:t>
    </w:r>
    <w:r>
      <w:rPr>
        <w:color w:val="231F20"/>
        <w:spacing w:val="-4"/>
      </w:rPr>
      <w:t>024 年</w:t>
    </w:r>
    <w:r>
      <w:rPr>
        <w:color w:val="231F20"/>
        <w:spacing w:val="10"/>
      </w:rPr>
      <w:t xml:space="preserve">   </w:t>
    </w:r>
    <w:r>
      <w:rPr>
        <w:color w:val="231F20"/>
        <w:spacing w:val="-4"/>
      </w:rPr>
      <w:t>第 36 卷</w:t>
    </w:r>
    <w:r>
      <w:rPr>
        <w:color w:val="231F20"/>
        <w:spacing w:val="10"/>
      </w:rPr>
      <w:t xml:space="preserve">   </w:t>
    </w:r>
    <w:r>
      <w:rPr>
        <w:color w:val="231F20"/>
        <w:spacing w:val="-4"/>
      </w:rPr>
      <w:t>第 4 期                                                </w:t>
    </w:r>
    <w:r>
      <w:rPr>
        <w:color w:val="231F20"/>
        <w:spacing w:val="-4"/>
        <w:position w:val="2"/>
      </w:rPr>
      <w:t>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6"/>
      <w:spacing w:before="42" w:line="169" w:lineRule="auto"/>
      <w:rPr/>
    </w:pPr>
    <w:r>
      <w:pict>
        <v:shape id="WordPictureWatermark4" style="position:absolute;margin-left:21.2pt;margin-top:777.6pt;mso-position-vertical-relative:page;mso-position-horizontal-relative:page;width:168.95pt;height:12.5pt;z-index:-251656192;" o:allowincell="f" filled="false" stroked="false" type="#_x0000_t75">
          <v:imagedata o:title="" r:id="rId1"/>
        </v:shape>
      </w:pict>
    </w:r>
    <w:r>
      <w:drawing>
        <wp:anchor distT="0" distB="0" distL="0" distR="0" simplePos="0" relativeHeight="251661312" behindDoc="0" locked="0" layoutInCell="0" allowOverlap="1">
          <wp:simplePos x="0" y="0"/>
          <wp:positionH relativeFrom="page">
            <wp:posOffset>647700</wp:posOffset>
          </wp:positionH>
          <wp:positionV relativeFrom="page">
            <wp:posOffset>799465</wp:posOffset>
          </wp:positionV>
          <wp:extent cx="6264909" cy="6350"/>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6264909" cy="6350"/>
                  </a:xfrm>
                  <a:prstGeom prst="rect">
                    <a:avLst/>
                  </a:prstGeom>
                </pic:spPr>
              </pic:pic>
            </a:graphicData>
          </a:graphic>
        </wp:anchor>
      </w:drawing>
    </w:r>
    <w:r>
      <w:rPr>
        <w:color w:val="231F20"/>
        <w:spacing w:val="-3"/>
        <w:position w:val="2"/>
      </w:rPr>
      <w:t>26                          </w:t>
    </w:r>
    <w:r>
      <w:rPr>
        <w:color w:val="231F20"/>
        <w:spacing w:val="-4"/>
        <w:position w:val="2"/>
      </w:rPr>
      <w:t xml:space="preserve">                          </w:t>
    </w:r>
    <w:r>
      <w:rPr>
        <w:color w:val="231F20"/>
        <w:spacing w:val="-4"/>
      </w:rPr>
      <w:t>天津药学    Tianjin    Pharmacy    2024 年    第 36 卷    第 4 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76"/>
      <w:spacing w:before="42" w:line="169" w:lineRule="auto"/>
      <w:rPr/>
    </w:pPr>
    <w:r>
      <w:drawing>
        <wp:anchor distT="0" distB="0" distL="0" distR="0" simplePos="0" relativeHeight="251662336" behindDoc="0" locked="0" layoutInCell="0" allowOverlap="1">
          <wp:simplePos x="0" y="0"/>
          <wp:positionH relativeFrom="page">
            <wp:posOffset>647700</wp:posOffset>
          </wp:positionH>
          <wp:positionV relativeFrom="page">
            <wp:posOffset>799465</wp:posOffset>
          </wp:positionV>
          <wp:extent cx="6264909" cy="6350"/>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6264909" cy="6350"/>
                  </a:xfrm>
                  <a:prstGeom prst="rect">
                    <a:avLst/>
                  </a:prstGeom>
                </pic:spPr>
              </pic:pic>
            </a:graphicData>
          </a:graphic>
        </wp:anchor>
      </w:drawing>
    </w:r>
    <w:r>
      <w:rPr>
        <w:color w:val="231F20"/>
        <w:spacing w:val="-3"/>
      </w:rPr>
      <w:t>天津药学</w:t>
    </w:r>
    <w:r>
      <w:rPr>
        <w:color w:val="231F20"/>
        <w:spacing w:val="10"/>
      </w:rPr>
      <w:t xml:space="preserve">   </w:t>
    </w:r>
    <w:r>
      <w:rPr>
        <w:color w:val="231F20"/>
        <w:spacing w:val="-3"/>
      </w:rPr>
      <w:t>Tianjin</w:t>
    </w:r>
    <w:r>
      <w:rPr>
        <w:color w:val="231F20"/>
        <w:spacing w:val="10"/>
      </w:rPr>
      <w:t xml:space="preserve">   </w:t>
    </w:r>
    <w:r>
      <w:rPr>
        <w:color w:val="231F20"/>
        <w:spacing w:val="-3"/>
      </w:rPr>
      <w:t>Pharmacy</w:t>
    </w:r>
    <w:r>
      <w:rPr>
        <w:color w:val="231F20"/>
        <w:spacing w:val="11"/>
      </w:rPr>
      <w:t xml:space="preserve">   </w:t>
    </w:r>
    <w:r>
      <w:rPr>
        <w:color w:val="231F20"/>
        <w:spacing w:val="-3"/>
      </w:rPr>
      <w:t>2</w:t>
    </w:r>
    <w:r>
      <w:rPr>
        <w:color w:val="231F20"/>
        <w:spacing w:val="-4"/>
      </w:rPr>
      <w:t>024 年</w:t>
    </w:r>
    <w:r>
      <w:rPr>
        <w:color w:val="231F20"/>
        <w:spacing w:val="10"/>
      </w:rPr>
      <w:t xml:space="preserve">   </w:t>
    </w:r>
    <w:r>
      <w:rPr>
        <w:color w:val="231F20"/>
        <w:spacing w:val="-4"/>
      </w:rPr>
      <w:t>第 36 卷</w:t>
    </w:r>
    <w:r>
      <w:rPr>
        <w:color w:val="231F20"/>
        <w:spacing w:val="10"/>
      </w:rPr>
      <w:t xml:space="preserve">   </w:t>
    </w:r>
    <w:r>
      <w:rPr>
        <w:color w:val="231F20"/>
        <w:spacing w:val="-4"/>
      </w:rPr>
      <w:t>第 4 期                                                </w:t>
    </w:r>
    <w:r>
      <w:rPr>
        <w:color w:val="231F20"/>
        <w:spacing w:val="-4"/>
        <w:position w:val="2"/>
      </w:rPr>
      <w:t>27</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6"/>
      <w:spacing w:before="42" w:line="169" w:lineRule="auto"/>
      <w:rPr/>
    </w:pPr>
    <w:r>
      <w:pict>
        <v:shape id="WordPictureWatermark12" style="position:absolute;margin-left:21.2pt;margin-top:777.6pt;mso-position-vertical-relative:page;mso-position-horizontal-relative:page;width:168.95pt;height:12.5pt;z-index:-251653120;" o:allowincell="f" filled="false" stroked="false" type="#_x0000_t75">
          <v:imagedata o:title="" r:id="rId1"/>
        </v:shape>
      </w:pict>
    </w:r>
    <w:r>
      <w:drawing>
        <wp:anchor distT="0" distB="0" distL="0" distR="0" simplePos="0" relativeHeight="251664384" behindDoc="0" locked="0" layoutInCell="0" allowOverlap="1">
          <wp:simplePos x="0" y="0"/>
          <wp:positionH relativeFrom="page">
            <wp:posOffset>647700</wp:posOffset>
          </wp:positionH>
          <wp:positionV relativeFrom="page">
            <wp:posOffset>799465</wp:posOffset>
          </wp:positionV>
          <wp:extent cx="6264909" cy="6350"/>
          <wp:effectExtent l="0" t="0" r="0" b="0"/>
          <wp:wrapNone/>
          <wp:docPr id="32" name="IM 32"/>
          <wp:cNvGraphicFramePr/>
          <a:graphic>
            <a:graphicData uri="http://schemas.openxmlformats.org/drawingml/2006/picture">
              <pic:pic>
                <pic:nvPicPr>
                  <pic:cNvPr id="32" name="IM 32"/>
                  <pic:cNvPicPr/>
                </pic:nvPicPr>
                <pic:blipFill>
                  <a:blip r:embed="rId2"/>
                  <a:stretch>
                    <a:fillRect/>
                  </a:stretch>
                </pic:blipFill>
                <pic:spPr>
                  <a:xfrm rot="0">
                    <a:off x="0" y="0"/>
                    <a:ext cx="6264909" cy="6350"/>
                  </a:xfrm>
                  <a:prstGeom prst="rect">
                    <a:avLst/>
                  </a:prstGeom>
                </pic:spPr>
              </pic:pic>
            </a:graphicData>
          </a:graphic>
        </wp:anchor>
      </w:drawing>
    </w:r>
    <w:r>
      <w:rPr>
        <w:color w:val="231F20"/>
        <w:spacing w:val="-3"/>
        <w:position w:val="2"/>
      </w:rPr>
      <w:t>28                          </w:t>
    </w:r>
    <w:r>
      <w:rPr>
        <w:color w:val="231F20"/>
        <w:spacing w:val="-4"/>
        <w:position w:val="2"/>
      </w:rPr>
      <w:t xml:space="preserve">                          </w:t>
    </w:r>
    <w:r>
      <w:rPr>
        <w:color w:val="231F20"/>
        <w:spacing w:val="-4"/>
      </w:rPr>
      <w:t>天津药学    Tianjin    Pharmacy    2024 年    第 36 卷    第 4 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1.jpeg"/><Relationship Id="rId8" Type="http://schemas.openxmlformats.org/officeDocument/2006/relationships/image" Target="media/image10.png"/><Relationship Id="rId7" Type="http://schemas.openxmlformats.org/officeDocument/2006/relationships/header" Target="header3.xml"/><Relationship Id="rId6" Type="http://schemas.openxmlformats.org/officeDocument/2006/relationships/image" Target="media/image8.jpeg"/><Relationship Id="rId5" Type="http://schemas.openxmlformats.org/officeDocument/2006/relationships/image" Target="media/image7.jpeg"/><Relationship Id="rId4" Type="http://schemas.openxmlformats.org/officeDocument/2006/relationships/header" Target="header2.xml"/><Relationship Id="rId3" Type="http://schemas.openxmlformats.org/officeDocument/2006/relationships/image" Target="media/image4.png"/><Relationship Id="rId20" Type="http://schemas.openxmlformats.org/officeDocument/2006/relationships/fontTable" Target="fontTable.xml"/><Relationship Id="rId2" Type="http://schemas.openxmlformats.org/officeDocument/2006/relationships/image" Target="media/image3.jpeg"/><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image" Target="media/image20.jpeg"/><Relationship Id="rId16" Type="http://schemas.openxmlformats.org/officeDocument/2006/relationships/header" Target="header4.xml"/><Relationship Id="rId15" Type="http://schemas.openxmlformats.org/officeDocument/2006/relationships/image" Target="media/image17.png"/><Relationship Id="rId14" Type="http://schemas.openxmlformats.org/officeDocument/2006/relationships/image" Target="media/image16.png"/><Relationship Id="rId13" Type="http://schemas.openxmlformats.org/officeDocument/2006/relationships/image" Target="media/image15.jpeg"/><Relationship Id="rId12" Type="http://schemas.openxmlformats.org/officeDocument/2006/relationships/image" Target="media/image14.png"/><Relationship Id="rId11" Type="http://schemas.openxmlformats.org/officeDocument/2006/relationships/image" Target="media/image13.jpeg"/><Relationship Id="rId10" Type="http://schemas.openxmlformats.org/officeDocument/2006/relationships/image" Target="media/image12.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_rels/header4.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2024-09-25T09:50:43Z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2025-10-28T21:30:11</vt:filetime>
  </property>
</Properties>
</file>