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358"/>
        <w:spacing w:before="255" w:line="185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066792"/>
          <w:spacing w:val="42"/>
          <w:w w:val="107"/>
        </w:rPr>
        <w:t>·</w:t>
      </w:r>
      <w:r>
        <w:rPr>
          <w:rFonts w:ascii="Microsoft YaHei" w:hAnsi="Microsoft YaHei" w:eastAsia="Microsoft YaHei" w:cs="Microsoft YaHei"/>
          <w:sz w:val="27"/>
          <w:szCs w:val="27"/>
          <w:color w:val="066792"/>
          <w:spacing w:val="18"/>
        </w:rPr>
        <w:t xml:space="preserve">  </w:t>
      </w:r>
      <w:r>
        <w:rPr>
          <w:sz w:val="27"/>
          <w:szCs w:val="27"/>
          <w:color w:val="231F20"/>
          <w:spacing w:val="42"/>
          <w:w w:val="107"/>
        </w:rPr>
        <w:t>病例报告 </w:t>
      </w:r>
      <w:r>
        <w:rPr>
          <w:rFonts w:ascii="Microsoft YaHei" w:hAnsi="Microsoft YaHei" w:eastAsia="Microsoft YaHei" w:cs="Microsoft YaHei"/>
          <w:sz w:val="27"/>
          <w:szCs w:val="27"/>
          <w:color w:val="066792"/>
          <w:spacing w:val="42"/>
          <w:w w:val="107"/>
        </w:rPr>
        <w:t>·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ind w:left="742"/>
        <w:spacing w:before="100" w:line="21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color w:val="231F20"/>
        </w:rPr>
        <w:t>气肿性肾盂肾炎一例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723"/>
        <w:spacing w:before="65" w:line="21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5"/>
        </w:rPr>
        <w:t>刘成益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徐鹏程</w:t>
      </w:r>
      <w:r>
        <w:rPr>
          <w:rFonts w:ascii="KaiTi" w:hAnsi="KaiTi" w:eastAsia="KaiTi" w:cs="KaiTi"/>
          <w:sz w:val="20"/>
          <w:szCs w:val="20"/>
          <w:color w:val="231F20"/>
          <w:spacing w:val="23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陈德钢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许全超</w:t>
      </w:r>
      <w:r>
        <w:rPr>
          <w:rFonts w:ascii="KaiTi" w:hAnsi="KaiTi" w:eastAsia="KaiTi" w:cs="KaiTi"/>
          <w:sz w:val="20"/>
          <w:szCs w:val="20"/>
          <w:color w:val="231F20"/>
          <w:spacing w:val="15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范欣欢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headerReference w:type="default" r:id="rId1"/>
          <w:pgSz w:w="11905" w:h="16156"/>
          <w:pgMar w:top="1363" w:right="1067" w:bottom="0" w:left="424" w:header="1118" w:footer="0" w:gutter="0"/>
          <w:cols w:equalWidth="0" w:num="1">
            <w:col w:w="10413" w:space="0"/>
          </w:cols>
        </w:sectPr>
        <w:rPr/>
      </w:pPr>
    </w:p>
    <w:p>
      <w:pPr>
        <w:pStyle w:val="BodyText"/>
        <w:ind w:left="715" w:right="291" w:firstLine="420"/>
        <w:spacing w:before="39" w:line="265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5"/>
        </w:rPr>
        <w:t>气肿性肾盂肾炎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5"/>
        </w:rPr>
        <w:t>（</w:t>
      </w:r>
      <w:r>
        <w:rPr>
          <w:rFonts w:ascii="Arial" w:hAnsi="Arial" w:eastAsia="Arial" w:cs="Arial"/>
          <w:color w:val="231F20"/>
          <w:spacing w:val="-5"/>
        </w:rPr>
        <w:t>emphysematous pyelonephr</w:t>
      </w:r>
      <w:r>
        <w:rPr>
          <w:rFonts w:ascii="Arial" w:hAnsi="Arial" w:eastAsia="Arial" w:cs="Arial"/>
          <w:color w:val="231F20"/>
          <w:spacing w:val="-6"/>
        </w:rPr>
        <w:t>itis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EPN</w:t>
      </w:r>
      <w:r>
        <w:rPr>
          <w:color w:val="231F20"/>
          <w:spacing w:val="-6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是一种由外来细菌病原体造成肾实质严重感染的坏死性疾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病</w:t>
      </w:r>
      <w:r>
        <w:rPr>
          <w:rFonts w:ascii="Microsoft YaHei" w:hAnsi="Microsoft YaHei" w:eastAsia="Microsoft YaHei" w:cs="Microsoft YaHei"/>
          <w:color w:val="231F20"/>
          <w:spacing w:val="-2"/>
        </w:rPr>
        <w:t>。</w:t>
      </w:r>
      <w:r>
        <w:rPr>
          <w:rFonts w:ascii="Arial" w:hAnsi="Arial" w:eastAsia="Arial" w:cs="Arial"/>
          <w:color w:val="231F20"/>
          <w:spacing w:val="-2"/>
        </w:rPr>
        <w:t>EPN </w:t>
      </w:r>
      <w:r>
        <w:rPr>
          <w:color w:val="231F20"/>
          <w:spacing w:val="-2"/>
        </w:rPr>
        <w:t>在肾实质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集合系统或者肾周组织产生气体，患者死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亡主要是因为未得到控制的感染引起了脓毒血症</w:t>
      </w:r>
      <w:r>
        <w:rPr>
          <w:rFonts w:ascii="Microsoft YaHei" w:hAnsi="Microsoft YaHei" w:eastAsia="Microsoft YaHei" w:cs="Microsoft YaHei"/>
          <w:color w:val="231F20"/>
          <w:spacing w:val="7"/>
        </w:rPr>
        <w:t>。</w:t>
      </w:r>
      <w:r>
        <w:rPr>
          <w:color w:val="231F20"/>
          <w:spacing w:val="7"/>
        </w:rPr>
        <w:t>现就安徽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医科大学附属六安医院泌尿外科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2013 </w:t>
      </w:r>
      <w:r>
        <w:rPr>
          <w:color w:val="231F20"/>
          <w:spacing w:val="5"/>
        </w:rPr>
        <w:t>年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8 </w:t>
      </w:r>
      <w:r>
        <w:rPr>
          <w:color w:val="231F20"/>
          <w:spacing w:val="5"/>
        </w:rPr>
        <w:t>月</w:t>
      </w:r>
      <w:r>
        <w:rPr>
          <w:color w:val="231F20"/>
          <w:spacing w:val="4"/>
        </w:rPr>
        <w:t>收治的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1 </w:t>
      </w:r>
      <w:r>
        <w:rPr>
          <w:color w:val="231F20"/>
          <w:spacing w:val="4"/>
        </w:rPr>
        <w:t>例典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型病例进行报道</w:t>
      </w:r>
      <w:r>
        <w:rPr>
          <w:rFonts w:ascii="Microsoft YaHei" w:hAnsi="Microsoft YaHei" w:eastAsia="Microsoft YaHei" w:cs="Microsoft YaHei"/>
          <w:color w:val="231F20"/>
          <w:spacing w:val="6"/>
        </w:rPr>
        <w:t>。</w:t>
      </w:r>
    </w:p>
    <w:p>
      <w:pPr>
        <w:pStyle w:val="BodyText"/>
        <w:ind w:left="715" w:right="261" w:firstLine="366"/>
        <w:spacing w:before="2" w:line="233" w:lineRule="auto"/>
        <w:jc w:val="both"/>
        <w:rPr/>
      </w:pPr>
      <w:r>
        <w:rPr>
          <w:rFonts w:ascii="SimHei" w:hAnsi="SimHei" w:eastAsia="SimHei" w:cs="SimHei"/>
          <w:sz w:val="16"/>
          <w:szCs w:val="16"/>
          <w:color w:val="231F20"/>
          <w:spacing w:val="-9"/>
        </w:rPr>
        <w:t>临床资料</w:t>
      </w:r>
      <w:r>
        <w:rPr>
          <w:rFonts w:ascii="SimHei" w:hAnsi="SimHei" w:eastAsia="SimHei" w:cs="SimHei"/>
          <w:sz w:val="16"/>
          <w:szCs w:val="16"/>
          <w:color w:val="231F20"/>
          <w:spacing w:val="-9"/>
        </w:rPr>
        <w:t xml:space="preserve">  </w:t>
      </w:r>
      <w:r>
        <w:rPr>
          <w:color w:val="231F20"/>
          <w:spacing w:val="-9"/>
        </w:rPr>
        <w:t>患者，女，</w:t>
      </w:r>
      <w:r>
        <w:rPr>
          <w:rFonts w:ascii="Arial" w:hAnsi="Arial" w:eastAsia="Arial" w:cs="Arial"/>
          <w:color w:val="231F20"/>
          <w:spacing w:val="-9"/>
        </w:rPr>
        <w:t>61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岁</w:t>
      </w:r>
      <w:r>
        <w:rPr>
          <w:rFonts w:ascii="Microsoft YaHei" w:hAnsi="Microsoft YaHei" w:eastAsia="Microsoft YaHei" w:cs="Microsoft YaHei"/>
          <w:color w:val="231F20"/>
          <w:spacing w:val="-9"/>
        </w:rPr>
        <w:t>。</w:t>
      </w:r>
      <w:r>
        <w:rPr>
          <w:color w:val="231F20"/>
          <w:spacing w:val="-9"/>
        </w:rPr>
        <w:t>因</w:t>
      </w:r>
      <w:r>
        <w:rPr>
          <w:rFonts w:ascii="Microsoft YaHei" w:hAnsi="Microsoft YaHei" w:eastAsia="Microsoft YaHei" w:cs="Microsoft YaHei"/>
          <w:color w:val="231F20"/>
          <w:spacing w:val="-9"/>
        </w:rPr>
        <w:t>“</w:t>
      </w:r>
      <w:r>
        <w:rPr>
          <w:color w:val="231F20"/>
          <w:spacing w:val="-9"/>
        </w:rPr>
        <w:t>维持性血液透析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3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-9"/>
        </w:rPr>
        <w:t>年，腹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痛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发热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 d</w:t>
      </w:r>
      <w:r>
        <w:rPr>
          <w:rFonts w:ascii="Microsoft YaHei" w:hAnsi="Microsoft YaHei" w:eastAsia="Microsoft YaHei" w:cs="Microsoft YaHei"/>
          <w:color w:val="231F20"/>
          <w:spacing w:val="-2"/>
        </w:rPr>
        <w:t>”</w:t>
      </w:r>
      <w:r>
        <w:rPr>
          <w:color w:val="231F20"/>
          <w:spacing w:val="-2"/>
        </w:rPr>
        <w:t>入院</w:t>
      </w:r>
      <w:r>
        <w:rPr>
          <w:rFonts w:ascii="Microsoft YaHei" w:hAnsi="Microsoft YaHei" w:eastAsia="Microsoft YaHei" w:cs="Microsoft YaHei"/>
          <w:color w:val="231F20"/>
          <w:spacing w:val="-2"/>
        </w:rPr>
        <w:t>。</w:t>
      </w:r>
      <w:r>
        <w:rPr>
          <w:color w:val="231F20"/>
          <w:spacing w:val="-2"/>
        </w:rPr>
        <w:t>糖尿病病史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15 </w:t>
      </w:r>
      <w:r>
        <w:rPr>
          <w:color w:val="231F20"/>
          <w:spacing w:val="-3"/>
        </w:rPr>
        <w:t>年，平素餐后血糖波动在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6"/>
        </w:rPr>
        <w:t>15.5~42.35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mmol/L </w:t>
      </w:r>
      <w:r>
        <w:rPr>
          <w:color w:val="231F20"/>
          <w:spacing w:val="-6"/>
        </w:rPr>
        <w:t>之间</w:t>
      </w:r>
      <w:r>
        <w:rPr>
          <w:rFonts w:ascii="Microsoft YaHei" w:hAnsi="Microsoft YaHei" w:eastAsia="Microsoft YaHei" w:cs="Microsoft YaHei"/>
          <w:color w:val="231F20"/>
          <w:spacing w:val="-6"/>
        </w:rPr>
        <w:t>。</w:t>
      </w:r>
      <w:r>
        <w:rPr>
          <w:color w:val="231F20"/>
          <w:spacing w:val="-6"/>
        </w:rPr>
        <w:t>查体：体温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39.</w:t>
      </w:r>
      <w:r>
        <w:rPr>
          <w:rFonts w:ascii="Arial" w:hAnsi="Arial" w:eastAsia="Arial" w:cs="Arial"/>
          <w:color w:val="231F20"/>
          <w:spacing w:val="-7"/>
        </w:rPr>
        <w:t>0</w:t>
      </w:r>
      <w:r>
        <w:rPr>
          <w:rFonts w:ascii="Microsoft YaHei" w:hAnsi="Microsoft YaHei" w:eastAsia="Microsoft YaHei" w:cs="Microsoft YaHei"/>
          <w:color w:val="231F20"/>
          <w:spacing w:val="-7"/>
        </w:rPr>
        <w:t>℃</w:t>
      </w:r>
      <w:r>
        <w:rPr>
          <w:color w:val="231F20"/>
          <w:spacing w:val="-7"/>
        </w:rPr>
        <w:t>,右脊肋角压痛，腹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部未见异常</w:t>
      </w:r>
      <w:r>
        <w:rPr>
          <w:rFonts w:ascii="Microsoft YaHei" w:hAnsi="Microsoft YaHei" w:eastAsia="Microsoft YaHei" w:cs="Microsoft YaHei"/>
          <w:color w:val="231F20"/>
          <w:spacing w:val="-4"/>
        </w:rPr>
        <w:t>。</w:t>
      </w:r>
      <w:r>
        <w:rPr>
          <w:color w:val="231F20"/>
          <w:spacing w:val="-4"/>
        </w:rPr>
        <w:t>辅检：血常规白细胞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12.47</w:t>
      </w:r>
      <w:r>
        <w:rPr>
          <w:rFonts w:ascii="Microsoft YaHei" w:hAnsi="Microsoft YaHei" w:eastAsia="Microsoft YaHei" w:cs="Microsoft YaHei"/>
          <w:color w:val="231F20"/>
          <w:spacing w:val="-4"/>
        </w:rPr>
        <w:t>×</w:t>
      </w:r>
      <w:r>
        <w:rPr>
          <w:rFonts w:ascii="Arial" w:hAnsi="Arial" w:eastAsia="Arial" w:cs="Arial"/>
          <w:color w:val="231F20"/>
          <w:spacing w:val="-4"/>
        </w:rPr>
        <w:t>10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6"/>
        </w:rPr>
        <w:t>9</w:t>
      </w:r>
      <w:r>
        <w:rPr>
          <w:rFonts w:ascii="Arial" w:hAnsi="Arial" w:eastAsia="Arial" w:cs="Arial"/>
          <w:color w:val="231F20"/>
          <w:spacing w:val="-5"/>
        </w:rPr>
        <w:t>/L</w:t>
      </w:r>
      <w:r>
        <w:rPr>
          <w:color w:val="231F20"/>
          <w:spacing w:val="-5"/>
        </w:rPr>
        <w:t>，中性粒细胞比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例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15"/>
        </w:rPr>
        <w:t>88.6%</w:t>
      </w:r>
      <w:r>
        <w:rPr>
          <w:color w:val="231F20"/>
          <w:spacing w:val="-15"/>
        </w:rPr>
        <w:t>；尿素氮（</w:t>
      </w:r>
      <w:r>
        <w:rPr>
          <w:rFonts w:ascii="Arial" w:hAnsi="Arial" w:eastAsia="Arial" w:cs="Arial"/>
          <w:color w:val="231F20"/>
          <w:spacing w:val="-15"/>
        </w:rPr>
        <w:t>BUN</w:t>
      </w:r>
      <w:r>
        <w:rPr>
          <w:color w:val="231F20"/>
          <w:spacing w:val="-15"/>
        </w:rPr>
        <w:t>）</w:t>
      </w:r>
      <w:r>
        <w:rPr>
          <w:rFonts w:ascii="Arial" w:hAnsi="Arial" w:eastAsia="Arial" w:cs="Arial"/>
          <w:color w:val="231F20"/>
          <w:spacing w:val="-15"/>
        </w:rPr>
        <w:t>24.48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15"/>
        </w:rPr>
        <w:t>mmol/L</w:t>
      </w:r>
      <w:r>
        <w:rPr>
          <w:color w:val="231F20"/>
          <w:spacing w:val="-15"/>
        </w:rPr>
        <w:t>，肌酐（</w:t>
      </w:r>
      <w:r>
        <w:rPr>
          <w:rFonts w:ascii="Arial" w:hAnsi="Arial" w:eastAsia="Arial" w:cs="Arial"/>
          <w:color w:val="231F20"/>
          <w:spacing w:val="-15"/>
        </w:rPr>
        <w:t>Cr</w:t>
      </w:r>
      <w:r>
        <w:rPr>
          <w:color w:val="231F20"/>
          <w:spacing w:val="-15"/>
        </w:rPr>
        <w:t>）</w:t>
      </w:r>
      <w:r>
        <w:rPr>
          <w:rFonts w:ascii="Arial" w:hAnsi="Arial" w:eastAsia="Arial" w:cs="Arial"/>
          <w:color w:val="231F20"/>
          <w:spacing w:val="-16"/>
        </w:rPr>
        <w:t>525.30 </w:t>
      </w:r>
      <w:r>
        <w:rPr>
          <w:rFonts w:ascii="Microsoft YaHei" w:hAnsi="Microsoft YaHei" w:eastAsia="Microsoft YaHei" w:cs="Microsoft YaHei"/>
          <w:color w:val="231F20"/>
          <w:spacing w:val="-16"/>
        </w:rPr>
        <w:t>μ</w:t>
      </w:r>
      <w:r>
        <w:rPr>
          <w:rFonts w:ascii="Arial" w:hAnsi="Arial" w:eastAsia="Arial" w:cs="Arial"/>
          <w:color w:val="231F20"/>
          <w:spacing w:val="-16"/>
        </w:rPr>
        <w:t>mol/L</w:t>
      </w:r>
      <w:r>
        <w:rPr>
          <w:color w:val="231F20"/>
          <w:spacing w:val="-16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尿白细胞（</w:t>
      </w:r>
      <w:r>
        <w:rPr>
          <w:rFonts w:ascii="Arial" w:hAnsi="Arial" w:eastAsia="Arial" w:cs="Arial"/>
          <w:color w:val="231F20"/>
          <w:spacing w:val="-10"/>
        </w:rPr>
        <w:t>3+</w:t>
      </w:r>
      <w:r>
        <w:rPr>
          <w:color w:val="231F20"/>
          <w:spacing w:val="-10"/>
        </w:rPr>
        <w:t>）</w:t>
      </w:r>
      <w:r>
        <w:rPr>
          <w:rFonts w:ascii="Arial" w:hAnsi="Arial" w:eastAsia="Arial" w:cs="Arial"/>
          <w:color w:val="231F20"/>
          <w:spacing w:val="-10"/>
        </w:rPr>
        <w:t>/HP</w:t>
      </w:r>
      <w:r>
        <w:rPr>
          <w:rFonts w:ascii="Microsoft YaHei" w:hAnsi="Microsoft YaHei" w:eastAsia="Microsoft YaHei" w:cs="Microsoft YaHei"/>
          <w:color w:val="231F20"/>
          <w:spacing w:val="-10"/>
        </w:rPr>
        <w:t>。</w:t>
      </w:r>
      <w:r>
        <w:rPr>
          <w:color w:val="231F20"/>
          <w:spacing w:val="-10"/>
        </w:rPr>
        <w:t>血培养：大肠埃希氏菌；尿培养：革兰阴性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杆菌及酵母样真菌；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检查示右侧肾实质破坏伴集合系统</w:t>
      </w:r>
      <w:r>
        <w:rPr>
          <w:rFonts w:ascii="Microsoft YaHei" w:hAnsi="Microsoft YaHei" w:eastAsia="Microsoft YaHei" w:cs="Microsoft YaHei"/>
          <w:color w:val="231F20"/>
          <w:spacing w:val="5"/>
        </w:rPr>
        <w:t>、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color w:val="231F20"/>
          <w:spacing w:val="1"/>
        </w:rPr>
        <w:t>皮质及肾旁间隙积气，考虑气肿型肾盂肾炎（图 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color w:val="231F20"/>
          <w:spacing w:val="1"/>
        </w:rPr>
        <w:t>）</w:t>
      </w:r>
      <w:r>
        <w:rPr>
          <w:rFonts w:ascii="Microsoft YaHei" w:hAnsi="Microsoft YaHei" w:eastAsia="Microsoft YaHei" w:cs="Microsoft YaHei"/>
          <w:color w:val="231F20"/>
          <w:spacing w:val="1"/>
        </w:rPr>
        <w:t>。</w:t>
      </w:r>
      <w:r>
        <w:rPr>
          <w:color w:val="231F20"/>
          <w:spacing w:val="1"/>
        </w:rPr>
        <w:t>诊断：</w:t>
      </w:r>
    </w:p>
    <w:p>
      <w:pPr>
        <w:pStyle w:val="BodyText"/>
        <w:ind w:left="714" w:right="261" w:hanging="56"/>
        <w:spacing w:before="5" w:line="244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1</w:t>
      </w:r>
      <w:r>
        <w:rPr>
          <w:color w:val="231F20"/>
          <w:spacing w:val="-2"/>
        </w:rPr>
        <w:t>）气肿性肾盂肾炎</w:t>
      </w:r>
      <w:r>
        <w:rPr>
          <w:color w:val="231F20"/>
          <w:spacing w:val="-34"/>
          <w:w w:val="75"/>
        </w:rPr>
        <w:t>；（</w:t>
      </w:r>
      <w:r>
        <w:rPr>
          <w:rFonts w:ascii="Arial" w:hAnsi="Arial" w:eastAsia="Arial" w:cs="Arial"/>
          <w:color w:val="231F20"/>
          <w:spacing w:val="-2"/>
        </w:rPr>
        <w:t>2</w:t>
      </w:r>
      <w:r>
        <w:rPr>
          <w:color w:val="231F20"/>
          <w:spacing w:val="-2"/>
        </w:rPr>
        <w:t>）慢性肾脏病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5</w:t>
      </w:r>
      <w:r>
        <w:rPr>
          <w:rFonts w:ascii="Arial" w:hAnsi="Arial" w:eastAsia="Arial" w:cs="Arial"/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期</w:t>
      </w:r>
      <w:r>
        <w:rPr>
          <w:color w:val="231F20"/>
          <w:spacing w:val="-34"/>
          <w:w w:val="75"/>
        </w:rPr>
        <w:t>；（</w:t>
      </w:r>
      <w:r>
        <w:rPr>
          <w:rFonts w:ascii="Arial" w:hAnsi="Arial" w:eastAsia="Arial" w:cs="Arial"/>
          <w:color w:val="231F20"/>
          <w:spacing w:val="-2"/>
        </w:rPr>
        <w:t>3</w:t>
      </w:r>
      <w:r>
        <w:rPr>
          <w:color w:val="231F20"/>
          <w:spacing w:val="-3"/>
        </w:rPr>
        <w:t>）</w:t>
      </w:r>
      <w:r>
        <w:rPr>
          <w:rFonts w:ascii="Microsoft YaHei" w:hAnsi="Microsoft YaHei" w:eastAsia="Microsoft YaHei" w:cs="Microsoft YaHei"/>
          <w:color w:val="231F20"/>
          <w:spacing w:val="-3"/>
        </w:rPr>
        <w:t>Ⅱ</w:t>
      </w:r>
      <w:r>
        <w:rPr>
          <w:color w:val="231F20"/>
          <w:spacing w:val="-3"/>
        </w:rPr>
        <w:t>型糖尿病</w:t>
      </w:r>
      <w:r>
        <w:rPr>
          <w:rFonts w:ascii="Microsoft YaHei" w:hAnsi="Microsoft YaHei" w:eastAsia="Microsoft YaHei" w:cs="Microsoft YaHei"/>
          <w:color w:val="231F20"/>
          <w:spacing w:val="-3"/>
        </w:rPr>
        <w:t>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8"/>
        </w:rPr>
        <w:t>我科在硬膜外麻醉下行右侧输尿管镜下置双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J </w:t>
      </w:r>
      <w:r>
        <w:rPr>
          <w:color w:val="231F20"/>
          <w:spacing w:val="8"/>
        </w:rPr>
        <w:t>管内引流术，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术后结合抗感染</w:t>
      </w:r>
      <w:r>
        <w:rPr>
          <w:rFonts w:ascii="Microsoft YaHei" w:hAnsi="Microsoft YaHei" w:eastAsia="Microsoft YaHei" w:cs="Microsoft YaHei"/>
          <w:color w:val="231F20"/>
          <w:spacing w:val="6"/>
        </w:rPr>
        <w:t>、</w:t>
      </w:r>
      <w:r>
        <w:rPr>
          <w:color w:val="231F20"/>
          <w:spacing w:val="6"/>
        </w:rPr>
        <w:t>降糖等内科治疗，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1 </w:t>
      </w:r>
      <w:r>
        <w:rPr>
          <w:color w:val="231F20"/>
          <w:spacing w:val="6"/>
        </w:rPr>
        <w:t>周后患者体温恢复正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常，血常规正常值范围，</w:t>
      </w:r>
      <w:r>
        <w:rPr>
          <w:rFonts w:ascii="Arial" w:hAnsi="Arial" w:eastAsia="Arial" w:cs="Arial"/>
          <w:color w:val="231F20"/>
          <w:spacing w:val="-6"/>
        </w:rPr>
        <w:t>Cr 218.28 </w:t>
      </w:r>
      <w:r>
        <w:rPr>
          <w:rFonts w:ascii="Microsoft YaHei" w:hAnsi="Microsoft YaHei" w:eastAsia="Microsoft YaHei" w:cs="Microsoft YaHei"/>
          <w:color w:val="231F20"/>
          <w:spacing w:val="-6"/>
        </w:rPr>
        <w:t>μ</w:t>
      </w:r>
      <w:r>
        <w:rPr>
          <w:rFonts w:ascii="Arial" w:hAnsi="Arial" w:eastAsia="Arial" w:cs="Arial"/>
          <w:color w:val="231F20"/>
          <w:spacing w:val="-6"/>
        </w:rPr>
        <w:t>mol/L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BUN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10.</w:t>
      </w:r>
      <w:r>
        <w:rPr>
          <w:rFonts w:ascii="Arial" w:hAnsi="Arial" w:eastAsia="Arial" w:cs="Arial"/>
          <w:color w:val="231F20"/>
          <w:spacing w:val="-7"/>
        </w:rPr>
        <w:t>13 </w:t>
      </w:r>
      <w:r>
        <w:rPr>
          <w:rFonts w:ascii="Microsoft YaHei" w:hAnsi="Microsoft YaHei" w:eastAsia="Microsoft YaHei" w:cs="Microsoft YaHei"/>
          <w:color w:val="231F20"/>
          <w:spacing w:val="-7"/>
        </w:rPr>
        <w:t>μ</w:t>
      </w:r>
      <w:r>
        <w:rPr>
          <w:rFonts w:ascii="Arial" w:hAnsi="Arial" w:eastAsia="Arial" w:cs="Arial"/>
          <w:color w:val="231F20"/>
          <w:spacing w:val="-7"/>
        </w:rPr>
        <w:t>mol/L</w:t>
      </w:r>
      <w:r>
        <w:rPr>
          <w:color w:val="231F20"/>
          <w:spacing w:val="-7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扫描右肾周积气显著减少</w:t>
      </w:r>
      <w:r>
        <w:rPr>
          <w:rFonts w:ascii="Microsoft YaHei" w:hAnsi="Microsoft YaHei" w:eastAsia="Microsoft YaHei" w:cs="Microsoft YaHei"/>
          <w:color w:val="231F20"/>
          <w:spacing w:val="6"/>
        </w:rPr>
        <w:t>。</w:t>
      </w:r>
      <w:r>
        <w:rPr>
          <w:color w:val="231F20"/>
          <w:spacing w:val="6"/>
        </w:rPr>
        <w:t>随访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6 </w:t>
      </w:r>
      <w:r>
        <w:rPr>
          <w:color w:val="231F20"/>
          <w:spacing w:val="6"/>
        </w:rPr>
        <w:t>个月未见病情反复</w:t>
      </w:r>
      <w:r>
        <w:rPr>
          <w:rFonts w:ascii="Microsoft YaHei" w:hAnsi="Microsoft YaHei" w:eastAsia="Microsoft YaHei" w:cs="Microsoft YaHei"/>
          <w:color w:val="231F20"/>
          <w:spacing w:val="6"/>
        </w:rPr>
        <w:t>。</w:t>
      </w:r>
    </w:p>
    <w:p>
      <w:pPr>
        <w:pStyle w:val="BodyText"/>
        <w:ind w:left="706" w:right="322" w:firstLine="434"/>
        <w:spacing w:before="4" w:line="251" w:lineRule="auto"/>
        <w:jc w:val="both"/>
        <w:rPr/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讨论</w:t>
      </w:r>
      <w:r>
        <w:rPr>
          <w:rFonts w:ascii="SimHei" w:hAnsi="SimHei" w:eastAsia="SimHei" w:cs="SimHei"/>
          <w:sz w:val="16"/>
          <w:szCs w:val="16"/>
          <w:color w:val="231F20"/>
          <w:spacing w:val="20"/>
        </w:rPr>
        <w:t xml:space="preserve">  </w:t>
      </w:r>
      <w:r>
        <w:rPr>
          <w:rFonts w:ascii="Arial" w:hAnsi="Arial" w:eastAsia="Arial" w:cs="Arial"/>
          <w:color w:val="231F20"/>
          <w:spacing w:val="-3"/>
        </w:rPr>
        <w:t>EPN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color w:val="231F20"/>
          <w:spacing w:val="-3"/>
        </w:rPr>
        <w:t>属于混合性感染，成分包含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CO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-1"/>
        </w:rPr>
        <w:t>2</w:t>
      </w:r>
      <w:r>
        <w:rPr>
          <w:rFonts w:ascii="Microsoft YaHei" w:hAnsi="Microsoft YaHei" w:eastAsia="Microsoft YaHei" w:cs="Microsoft YaHei"/>
          <w:color w:val="231F20"/>
          <w:spacing w:val="-3"/>
          <w:position w:val="-1"/>
        </w:rPr>
        <w:t>、</w:t>
      </w:r>
      <w:r>
        <w:rPr>
          <w:rFonts w:ascii="Arial" w:hAnsi="Arial" w:eastAsia="Arial" w:cs="Arial"/>
          <w:color w:val="231F20"/>
          <w:spacing w:val="-3"/>
        </w:rPr>
        <w:t>N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-1"/>
        </w:rPr>
        <w:t>2</w:t>
      </w:r>
      <w:r>
        <w:rPr>
          <w:rFonts w:ascii="Microsoft YaHei" w:hAnsi="Microsoft YaHei" w:eastAsia="Microsoft YaHei" w:cs="Microsoft YaHei"/>
          <w:color w:val="231F20"/>
          <w:spacing w:val="-3"/>
          <w:position w:val="-1"/>
        </w:rPr>
        <w:t>、</w:t>
      </w:r>
      <w:r>
        <w:rPr>
          <w:rFonts w:ascii="Arial" w:hAnsi="Arial" w:eastAsia="Arial" w:cs="Arial"/>
          <w:color w:val="231F20"/>
          <w:spacing w:val="-3"/>
        </w:rPr>
        <w:t>H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-2"/>
        </w:rPr>
        <w:t>2</w:t>
      </w:r>
      <w:r>
        <w:rPr>
          <w:rFonts w:ascii="Arial" w:hAnsi="Arial" w:eastAsia="Arial" w:cs="Arial"/>
          <w:sz w:val="10"/>
          <w:szCs w:val="10"/>
          <w:color w:val="231F20"/>
          <w:spacing w:val="19"/>
          <w:w w:val="101"/>
          <w:position w:val="-2"/>
        </w:rPr>
        <w:t xml:space="preserve"> </w:t>
      </w:r>
      <w:r>
        <w:rPr>
          <w:color w:val="231F20"/>
          <w:spacing w:val="-3"/>
        </w:rPr>
        <w:t>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NH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-2"/>
        </w:rPr>
        <w:t>3</w:t>
      </w:r>
      <w:r>
        <w:rPr>
          <w:rFonts w:ascii="Arial" w:hAnsi="Arial" w:eastAsia="Arial" w:cs="Arial"/>
          <w:sz w:val="10"/>
          <w:szCs w:val="10"/>
          <w:color w:val="231F20"/>
          <w:spacing w:val="25"/>
          <w:position w:val="-2"/>
        </w:rPr>
        <w:t xml:space="preserve"> </w:t>
      </w:r>
      <w:r>
        <w:rPr>
          <w:color w:val="231F20"/>
          <w:spacing w:val="7"/>
        </w:rPr>
        <w:t>等，气体大多由大肠杆菌产生，其次是克雷伯杆菌及变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形杆菌等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6"/>
        </w:rPr>
        <w:t>[1]</w:t>
      </w:r>
      <w:r>
        <w:rPr>
          <w:rFonts w:ascii="Arial" w:hAnsi="Arial" w:eastAsia="Arial" w:cs="Arial"/>
          <w:sz w:val="10"/>
          <w:szCs w:val="10"/>
          <w:color w:val="231F20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。</w:t>
      </w:r>
      <w:r>
        <w:rPr>
          <w:rFonts w:ascii="Arial" w:hAnsi="Arial" w:eastAsia="Arial" w:cs="Arial"/>
          <w:color w:val="231F20"/>
        </w:rPr>
        <w:t>EPN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常发生于糖尿病合并尿路感染的免疫力低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下患者，原因</w:t>
      </w:r>
      <w:r>
        <w:rPr>
          <w:color w:val="231F20"/>
          <w:spacing w:val="-33"/>
          <w:w w:val="72"/>
        </w:rPr>
        <w:t>：（</w:t>
      </w:r>
      <w:r>
        <w:rPr>
          <w:rFonts w:ascii="Arial" w:hAnsi="Arial" w:eastAsia="Arial" w:cs="Arial"/>
          <w:color w:val="231F20"/>
          <w:spacing w:val="-3"/>
        </w:rPr>
        <w:t>1</w:t>
      </w:r>
      <w:r>
        <w:rPr>
          <w:color w:val="231F20"/>
          <w:spacing w:val="-3"/>
        </w:rPr>
        <w:t>）胰岛素分泌不足使糖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color w:val="231F20"/>
          <w:spacing w:val="-3"/>
        </w:rPr>
        <w:t>脂肪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color w:val="231F20"/>
          <w:spacing w:val="-3"/>
        </w:rPr>
        <w:t>蛋白</w:t>
      </w:r>
      <w:r>
        <w:rPr>
          <w:color w:val="231F20"/>
          <w:spacing w:val="-4"/>
        </w:rPr>
        <w:t>质合成下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降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分解加速，从而致尿中糖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酮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氨基酸增高，为尿液细菌繁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殖提供良好的生长环境，体内蛋白质也会消耗增加，</w:t>
      </w:r>
      <w:r>
        <w:rPr>
          <w:color w:val="231F20"/>
        </w:rPr>
        <w:t>抵抗力随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4" w:firstLine="2"/>
        <w:spacing w:before="35" w:line="282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3"/>
        </w:rPr>
        <w:t>之下降而使感染加重，形成恶性循环</w:t>
      </w:r>
      <w:r>
        <w:rPr>
          <w:color w:val="231F20"/>
          <w:spacing w:val="-33"/>
          <w:w w:val="72"/>
        </w:rPr>
        <w:t>；（</w:t>
      </w:r>
      <w:r>
        <w:rPr>
          <w:rFonts w:ascii="Arial" w:hAnsi="Arial" w:eastAsia="Arial" w:cs="Arial"/>
          <w:color w:val="231F20"/>
          <w:spacing w:val="3"/>
        </w:rPr>
        <w:t>2</w:t>
      </w:r>
      <w:r>
        <w:rPr>
          <w:color w:val="231F20"/>
          <w:spacing w:val="3"/>
        </w:rPr>
        <w:t>）局部组织高糖</w:t>
      </w:r>
      <w:r>
        <w:rPr>
          <w:color w:val="231F20"/>
          <w:spacing w:val="2"/>
        </w:rPr>
        <w:t>水平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为产气菌生长提供了良好的微环境，其快速分解代谢与</w:t>
      </w:r>
      <w:r>
        <w:rPr>
          <w:color w:val="231F20"/>
          <w:spacing w:val="6"/>
        </w:rPr>
        <w:t>酵解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会产生大量的乳酸和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</w:rPr>
        <w:t>CO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-2"/>
        </w:rPr>
        <w:t>2</w:t>
      </w:r>
      <w:r>
        <w:rPr>
          <w:color w:val="231F20"/>
          <w:spacing w:val="6"/>
        </w:rPr>
        <w:t>，造成肾实质内外组织大量坏死及</w:t>
      </w:r>
      <w:r>
        <w:rPr>
          <w:color w:val="231F20"/>
        </w:rPr>
        <w:t xml:space="preserve"> </w:t>
      </w:r>
      <w:r>
        <w:rPr>
          <w:color w:val="231F20"/>
        </w:rPr>
        <w:t>积气，然后，坏死病灶逐渐融合形成脓气腔，炎症沿肾周筋膜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蔓延</w:t>
      </w:r>
      <w:r>
        <w:rPr>
          <w:rFonts w:ascii="Microsoft YaHei" w:hAnsi="Microsoft YaHei" w:eastAsia="Microsoft YaHei" w:cs="Microsoft YaHei"/>
          <w:color w:val="231F20"/>
          <w:spacing w:val="3"/>
        </w:rPr>
        <w:t>。</w:t>
      </w:r>
      <w:r>
        <w:rPr>
          <w:color w:val="231F20"/>
          <w:spacing w:val="3"/>
        </w:rPr>
        <w:t>超声检查可见局部强回声；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color w:val="231F20"/>
          <w:spacing w:val="3"/>
        </w:rPr>
        <w:t>检查可见患肾实质</w:t>
      </w:r>
      <w:r>
        <w:rPr>
          <w:color w:val="231F20"/>
          <w:spacing w:val="2"/>
        </w:rPr>
        <w:t>内有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多数低密度区坏死灶及多数气泡影，可确定肾内及肾周</w:t>
      </w:r>
      <w:r>
        <w:rPr>
          <w:color w:val="231F20"/>
          <w:spacing w:val="6"/>
        </w:rPr>
        <w:t>气肿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脓肿大小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范围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肾损害程度及梗阻位置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6"/>
        </w:rPr>
        <w:t>[2]</w:t>
      </w:r>
      <w:r>
        <w:rPr>
          <w:rFonts w:ascii="Microsoft YaHei" w:hAnsi="Microsoft YaHei" w:eastAsia="Microsoft YaHei" w:cs="Microsoft YaHei"/>
          <w:color w:val="231F20"/>
          <w:spacing w:val="-2"/>
        </w:rPr>
        <w:t>。</w:t>
      </w:r>
    </w:p>
    <w:p>
      <w:pPr>
        <w:pStyle w:val="BodyText"/>
        <w:ind w:firstLine="371"/>
        <w:spacing w:before="9" w:line="257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6"/>
        </w:rPr>
        <w:t>患者症状主要类似肾盂肾炎表现，如排尿困难</w:t>
      </w:r>
      <w:r>
        <w:rPr>
          <w:rFonts w:ascii="Microsoft YaHei" w:hAnsi="Microsoft YaHei" w:eastAsia="Microsoft YaHei" w:cs="Microsoft YaHei"/>
          <w:color w:val="231F20"/>
          <w:spacing w:val="6"/>
        </w:rPr>
        <w:t>、</w:t>
      </w:r>
      <w:r>
        <w:rPr>
          <w:color w:val="231F20"/>
          <w:spacing w:val="6"/>
        </w:rPr>
        <w:t>寒战高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7"/>
        </w:rPr>
        <w:t>热</w:t>
      </w:r>
      <w:r>
        <w:rPr>
          <w:rFonts w:ascii="Microsoft YaHei" w:hAnsi="Microsoft YaHei" w:eastAsia="Microsoft YaHei" w:cs="Microsoft YaHei"/>
          <w:color w:val="231F20"/>
          <w:spacing w:val="7"/>
        </w:rPr>
        <w:t>、</w:t>
      </w:r>
      <w:r>
        <w:rPr>
          <w:color w:val="231F20"/>
          <w:spacing w:val="7"/>
        </w:rPr>
        <w:t>恶心呕吐和腹痛等，疾病进展的临床表现是急性肾</w:t>
      </w:r>
      <w:r>
        <w:rPr>
          <w:color w:val="231F20"/>
          <w:spacing w:val="6"/>
        </w:rPr>
        <w:t>功能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障碍，血液系统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酸碱平衡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血糖水平失衡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意识紊乱，严重的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"/>
        </w:rPr>
        <w:t>患者可以快速进展至休克状态</w:t>
      </w:r>
      <w:r>
        <w:rPr>
          <w:rFonts w:ascii="Microsoft YaHei" w:hAnsi="Microsoft YaHei" w:eastAsia="Microsoft YaHei" w:cs="Microsoft YaHei"/>
          <w:color w:val="231F20"/>
          <w:spacing w:val="1"/>
        </w:rPr>
        <w:t>。</w:t>
      </w:r>
      <w:r>
        <w:rPr>
          <w:rFonts w:ascii="Arial" w:hAnsi="Arial" w:eastAsia="Arial" w:cs="Arial"/>
          <w:color w:val="231F20"/>
        </w:rPr>
        <w:t>Grayson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等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6"/>
        </w:rPr>
        <w:t>[3]</w:t>
      </w:r>
      <w:r>
        <w:rPr>
          <w:rFonts w:ascii="Arial" w:hAnsi="Arial" w:eastAsia="Arial" w:cs="Arial"/>
          <w:sz w:val="10"/>
          <w:szCs w:val="10"/>
          <w:color w:val="231F20"/>
          <w:spacing w:val="8"/>
          <w:w w:val="101"/>
          <w:position w:val="6"/>
        </w:rPr>
        <w:t xml:space="preserve"> </w:t>
      </w:r>
      <w:r>
        <w:rPr>
          <w:color w:val="231F20"/>
          <w:spacing w:val="1"/>
        </w:rPr>
        <w:t>比较了不同时期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单纯内科治疗和结合外科干预的病死率，前者在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1898~19</w:t>
      </w:r>
      <w:r>
        <w:rPr>
          <w:rFonts w:ascii="Arial" w:hAnsi="Arial" w:eastAsia="Arial" w:cs="Arial"/>
          <w:color w:val="231F20"/>
          <w:spacing w:val="-4"/>
        </w:rPr>
        <w:t>70 </w:t>
      </w:r>
      <w:r>
        <w:rPr>
          <w:color w:val="231F20"/>
          <w:spacing w:val="-4"/>
        </w:rPr>
        <w:t>年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为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78%</w:t>
      </w:r>
      <w:r>
        <w:rPr>
          <w:color w:val="231F20"/>
          <w:spacing w:val="-7"/>
        </w:rPr>
        <w:t>，</w:t>
      </w:r>
      <w:r>
        <w:rPr>
          <w:rFonts w:ascii="Arial" w:hAnsi="Arial" w:eastAsia="Arial" w:cs="Arial"/>
          <w:color w:val="231F20"/>
          <w:spacing w:val="-7"/>
        </w:rPr>
        <w:t>1970~1982 </w:t>
      </w:r>
      <w:r>
        <w:rPr>
          <w:color w:val="231F20"/>
          <w:spacing w:val="-7"/>
        </w:rPr>
        <w:t>年为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75%</w:t>
      </w:r>
      <w:r>
        <w:rPr>
          <w:color w:val="231F20"/>
          <w:spacing w:val="-7"/>
        </w:rPr>
        <w:t>；后者分别为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42%</w:t>
      </w:r>
      <w:r>
        <w:rPr>
          <w:color w:val="231F20"/>
          <w:spacing w:val="-8"/>
        </w:rPr>
        <w:t>和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11%</w:t>
      </w:r>
      <w:r>
        <w:rPr>
          <w:rFonts w:ascii="Microsoft YaHei" w:hAnsi="Microsoft YaHei" w:eastAsia="Microsoft YaHei" w:cs="Microsoft YaHei"/>
          <w:color w:val="231F20"/>
          <w:spacing w:val="-8"/>
        </w:rPr>
        <w:t>。</w:t>
      </w:r>
      <w:r>
        <w:rPr>
          <w:rFonts w:ascii="Arial" w:hAnsi="Arial" w:eastAsia="Arial" w:cs="Arial"/>
          <w:color w:val="231F20"/>
          <w:spacing w:val="-8"/>
        </w:rPr>
        <w:t>Goel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-1"/>
        </w:rPr>
        <w:t>等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6"/>
        </w:rPr>
        <w:t>[4]</w:t>
      </w:r>
      <w:r>
        <w:rPr>
          <w:color w:val="231F20"/>
          <w:spacing w:val="-1"/>
        </w:rPr>
        <w:t>报道引流治愈率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66%</w:t>
      </w:r>
      <w:r>
        <w:rPr>
          <w:color w:val="231F20"/>
          <w:spacing w:val="-1"/>
        </w:rPr>
        <w:t>，肾切除治愈率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90%</w:t>
      </w:r>
      <w:r>
        <w:rPr>
          <w:color w:val="231F20"/>
          <w:spacing w:val="-1"/>
        </w:rPr>
        <w:t>以上</w:t>
      </w:r>
      <w:r>
        <w:rPr>
          <w:rFonts w:ascii="Microsoft YaHei" w:hAnsi="Microsoft YaHei" w:eastAsia="Microsoft YaHei" w:cs="Microsoft YaHei"/>
          <w:color w:val="231F20"/>
          <w:spacing w:val="-1"/>
        </w:rPr>
        <w:t>。</w:t>
      </w:r>
      <w:r>
        <w:rPr>
          <w:color w:val="231F20"/>
          <w:spacing w:val="-1"/>
        </w:rPr>
        <w:t>积极的抗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感染保守治疗，疗效欠佳，死亡率仍高达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60%~80%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6"/>
        </w:rPr>
        <w:t>[5]</w:t>
      </w:r>
      <w:r>
        <w:rPr>
          <w:rFonts w:ascii="Microsoft YaHei" w:hAnsi="Microsoft YaHei" w:eastAsia="Microsoft YaHei" w:cs="Microsoft YaHei"/>
          <w:color w:val="231F20"/>
          <w:spacing w:val="-3"/>
        </w:rPr>
        <w:t>。</w:t>
      </w:r>
      <w:r>
        <w:rPr>
          <w:color w:val="231F20"/>
          <w:spacing w:val="-3"/>
        </w:rPr>
        <w:t>本例患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者右肾肾实质破坏较严重，但合并有慢性肾功能衰竭，</w:t>
      </w:r>
      <w:r>
        <w:rPr>
          <w:color w:val="231F20"/>
          <w:spacing w:val="6"/>
        </w:rPr>
        <w:t>故不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考虑肾脏切除，而采用输尿管内支架引流术，术后疗</w:t>
      </w:r>
      <w:r>
        <w:rPr>
          <w:color w:val="231F20"/>
          <w:spacing w:val="2"/>
        </w:rPr>
        <w:t>效较好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7"/>
        </w:rPr>
        <w:t>临床中应根据不同病情，采用不同的手术疗法</w:t>
      </w:r>
      <w:r>
        <w:rPr>
          <w:rFonts w:ascii="Microsoft YaHei" w:hAnsi="Microsoft YaHei" w:eastAsia="Microsoft YaHei" w:cs="Microsoft YaHei"/>
          <w:color w:val="231F20"/>
          <w:spacing w:val="7"/>
        </w:rPr>
        <w:t>。</w:t>
      </w:r>
      <w:r>
        <w:rPr>
          <w:color w:val="231F20"/>
          <w:spacing w:val="7"/>
        </w:rPr>
        <w:t>肾周气肿局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限者，超声或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CT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color w:val="231F20"/>
          <w:spacing w:val="-6"/>
        </w:rPr>
        <w:t>引导下行经皮肾穿刺气（脓）肿引流术；肾内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积脓</w:t>
      </w:r>
      <w:r>
        <w:rPr>
          <w:rFonts w:ascii="Microsoft YaHei" w:hAnsi="Microsoft YaHei" w:eastAsia="Microsoft YaHei" w:cs="Microsoft YaHei"/>
          <w:color w:val="231F20"/>
          <w:spacing w:val="8"/>
        </w:rPr>
        <w:t>、</w:t>
      </w:r>
      <w:r>
        <w:rPr>
          <w:color w:val="231F20"/>
          <w:spacing w:val="8"/>
        </w:rPr>
        <w:t>积气较多且伴输尿管梗阻，肾脏破坏较轻者可行双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J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7"/>
        </w:rPr>
        <w:t>管内引流术或经皮肾造瘘术；肾周脓气肿较多并且大</w:t>
      </w:r>
      <w:r>
        <w:rPr>
          <w:color w:val="231F20"/>
          <w:spacing w:val="6"/>
        </w:rPr>
        <w:t>而散在</w:t>
      </w:r>
      <w:r>
        <w:rPr>
          <w:color w:val="231F20"/>
        </w:rPr>
        <w:t xml:space="preserve">  </w:t>
      </w:r>
      <w:r>
        <w:rPr>
          <w:color w:val="231F20"/>
        </w:rPr>
        <w:t>者，可行肾周切开引流术，术中清除坏死组织并引流脓腔；若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肾脏严重受损而对侧肾功能可代偿者，行肾切除术，否</w:t>
      </w:r>
      <w:r>
        <w:rPr>
          <w:color w:val="231F20"/>
          <w:spacing w:val="6"/>
        </w:rPr>
        <w:t>则先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行肾周引流术；对严重气肿性肾盂肾炎，有人主张早期</w:t>
      </w:r>
      <w:r>
        <w:rPr>
          <w:color w:val="231F20"/>
          <w:spacing w:val="6"/>
        </w:rPr>
        <w:t>行患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肾部分切除术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5"/>
        </w:rPr>
        <w:t>[6]</w:t>
      </w:r>
      <w:r>
        <w:rPr>
          <w:rFonts w:ascii="Microsoft YaHei" w:hAnsi="Microsoft YaHei" w:eastAsia="Microsoft YaHei" w:cs="Microsoft YaHei"/>
          <w:color w:val="231F20"/>
          <w:spacing w:val="4"/>
        </w:rPr>
        <w:t>。</w:t>
      </w:r>
    </w:p>
    <w:p>
      <w:pPr>
        <w:spacing w:line="257" w:lineRule="auto"/>
        <w:sectPr>
          <w:type w:val="continuous"/>
          <w:pgSz w:w="11905" w:h="16156"/>
          <w:pgMar w:top="1363" w:right="1067" w:bottom="0" w:left="424" w:header="1118" w:footer="0" w:gutter="0"/>
          <w:cols w:equalWidth="0" w:num="2">
            <w:col w:w="5644" w:space="100"/>
            <w:col w:w="4669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2674"/>
        <w:spacing w:before="59" w:line="209" w:lineRule="auto"/>
        <w:rPr>
          <w:rFonts w:ascii="Arial" w:hAnsi="Arial" w:eastAsia="Arial" w:cs="Arial"/>
          <w:sz w:val="20"/>
          <w:szCs w:val="20"/>
        </w:rPr>
      </w:pPr>
      <w:r>
        <w:pict>
          <v:group id="_x0000_s4" style="position:absolute;margin-left:130.112pt;margin-top:0.922211pt;mso-position-vertical-relative:text;mso-position-horizontal-relative:text;width:374.1pt;height:13.7pt;z-index:-251657216;" filled="false" stroked="false" coordsize="7482,273" coordorigin="0,0">
            <v:shape id="_x0000_s6" style="position:absolute;left:7255;top:17;width:208;height:208;" fillcolor="#231F20" filled="true" stroked="false" coordsize="208,208" coordorigin="0,0" path="m208,104c208,162,162,208,104,208c45,208,0,162,0,104c0,46,45,0,104,0c162,0,208,46,208,104c208,104,208,104,208,104e"/>
            <v:shape id="_x0000_s8" style="position:absolute;left:7238;top:0;width:243;height:243;" filled="false" strokecolor="#FFFFFF" strokeweight="0.78pt" coordsize="243,243" coordorigin="0,0" path="m235,121c235,183,183,235,121,235c59,235,7,183,7,121c7,57,59,7,121,7c183,7,235,57,235,121c235,121,235,121,235,121l235,121xe">
              <v:stroke joinstyle="miter" miterlimit="10"/>
            </v:shape>
            <v:shape id="_x0000_s10" style="position:absolute;left:4949;top:27;width:207;height:211;" fillcolor="#231F20" filled="true" stroked="false" coordsize="207,211" coordorigin="0,0" path="m207,106c207,162,162,210,104,210c46,210,0,162,0,106c0,48,46,0,104,0c162,0,207,48,207,106c207,106,207,106,207,106e"/>
            <v:shape id="_x0000_s12" style="position:absolute;left:4931;top:11;width:243;height:242;" filled="false" strokecolor="#FFFFFF" strokeweight="0.78pt" coordsize="243,242" coordorigin="0,0" path="m235,121c235,183,183,233,121,233c59,233,7,183,7,121c7,57,59,7,121,7c183,7,235,57,235,121c235,121,235,121,235,121e">
              <v:stroke joinstyle="miter" miterlimit="10"/>
            </v:shape>
            <v:shape id="_x0000_s14" style="position:absolute;left:15;top:47;width:207;height:208;" fillcolor="#231F20" filled="true" stroked="false" coordsize="207,208" coordorigin="0,0" path="m207,104c207,162,161,208,103,208c47,208,0,162,0,104c0,46,47,0,103,0c161,0,207,46,207,104c207,104,207,104,207,104e"/>
            <v:shape id="_x0000_s16" style="position:absolute;left:0;top:31;width:242;height:242;" filled="false" strokecolor="#FFFFFF" strokeweight="0.78pt" coordsize="242,242" coordorigin="0,0" path="m233,119c233,183,183,233,119,233c57,233,7,183,7,119c7,57,57,7,119,7c183,7,233,57,233,119c233,119,233,119,233,119e">
              <v:stroke joinstyle="miter" miterlimit="10"/>
            </v:shape>
          </v:group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450143</wp:posOffset>
            </wp:positionH>
            <wp:positionV relativeFrom="paragraph">
              <wp:posOffset>-1401779</wp:posOffset>
            </wp:positionV>
            <wp:extent cx="6120383" cy="173084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383" cy="1730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FFFFFF"/>
          <w:spacing w:val="-1"/>
          <w:position w:val="-2"/>
        </w:rPr>
        <w:t>a                              </w:t>
      </w:r>
      <w:r>
        <w:rPr>
          <w:rFonts w:ascii="Arial" w:hAnsi="Arial" w:eastAsia="Arial" w:cs="Arial"/>
          <w:sz w:val="20"/>
          <w:szCs w:val="20"/>
          <w:color w:val="FFFFFF"/>
          <w:spacing w:val="-2"/>
          <w:position w:val="-2"/>
        </w:rPr>
        <w:t xml:space="preserve">           </w:t>
      </w:r>
      <w:r>
        <w:rPr>
          <w:shd w:val="clear" w:fill="231F20"/>
          <w:rFonts w:ascii="Arial" w:hAnsi="Arial" w:eastAsia="Arial" w:cs="Arial"/>
          <w:sz w:val="20"/>
          <w:szCs w:val="20"/>
          <w:color w:val="FFFFFF"/>
          <w:spacing w:val="13"/>
          <w:w w:val="101"/>
          <w:position w:val="-2"/>
        </w:rPr>
        <w:t xml:space="preserve"> </w:t>
      </w:r>
      <w:r>
        <w:rPr>
          <w:shd w:val="clear" w:fill="231F20"/>
          <w:rFonts w:ascii="Arial" w:hAnsi="Arial" w:eastAsia="Arial" w:cs="Arial"/>
          <w:sz w:val="20"/>
          <w:szCs w:val="20"/>
          <w:color w:val="FFFFFF"/>
          <w:spacing w:val="-2"/>
        </w:rPr>
        <w:t>b </w:t>
      </w:r>
      <w:r>
        <w:rPr>
          <w:rFonts w:ascii="Arial" w:hAnsi="Arial" w:eastAsia="Arial" w:cs="Arial"/>
          <w:sz w:val="20"/>
          <w:szCs w:val="20"/>
          <w:color w:val="FFFFFF"/>
          <w:spacing w:val="1"/>
        </w:rPr>
        <w:t xml:space="preserve">                                 </w:t>
      </w:r>
      <w:r>
        <w:rPr>
          <w:rFonts w:ascii="Arial" w:hAnsi="Arial" w:eastAsia="Arial" w:cs="Arial"/>
          <w:sz w:val="20"/>
          <w:szCs w:val="20"/>
          <w:color w:val="FFFFFF"/>
        </w:rPr>
        <w:t xml:space="preserve">         </w:t>
      </w:r>
      <w:r>
        <w:rPr>
          <w:rFonts w:ascii="Arial" w:hAnsi="Arial" w:eastAsia="Arial" w:cs="Arial"/>
          <w:sz w:val="20"/>
          <w:szCs w:val="20"/>
          <w:color w:val="FFFFFF"/>
          <w:spacing w:val="-2"/>
        </w:rPr>
        <w:t>c</w:t>
      </w:r>
      <w:r>
        <w:rPr>
          <w:rFonts w:ascii="Arial" w:hAnsi="Arial" w:eastAsia="Arial" w:cs="Arial"/>
          <w:sz w:val="20"/>
          <w:szCs w:val="20"/>
          <w:color w:val="FFFFFF"/>
          <w:spacing w:val="1"/>
        </w:rPr>
        <w:t xml:space="preserve">                                       </w:t>
      </w:r>
      <w:r>
        <w:rPr>
          <w:rFonts w:ascii="Arial" w:hAnsi="Arial" w:eastAsia="Arial" w:cs="Arial"/>
          <w:sz w:val="20"/>
          <w:szCs w:val="20"/>
          <w:color w:val="FFFFFF"/>
          <w:spacing w:val="-2"/>
        </w:rPr>
        <w:t>d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983"/>
        <w:spacing w:before="73" w:line="188" w:lineRule="auto"/>
        <w:outlineLvl w:val="0"/>
        <w:rPr/>
      </w:pPr>
      <w:r>
        <w:rPr>
          <w:rFonts w:ascii="SimHei" w:hAnsi="SimHei" w:eastAsia="SimHei" w:cs="SimHei"/>
          <w:sz w:val="16"/>
          <w:szCs w:val="16"/>
          <w:color w:val="231F20"/>
          <w:spacing w:val="3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1   </w:t>
      </w:r>
      <w:r>
        <w:rPr>
          <w:color w:val="231F20"/>
          <w:spacing w:val="3"/>
        </w:rPr>
        <w:t>右侧气肿性肾盂肾炎患者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图像</w:t>
      </w:r>
    </w:p>
    <w:p>
      <w:pPr>
        <w:spacing w:line="295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160986</wp:posOffset>
            </wp:positionV>
            <wp:extent cx="89916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16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30"/>
        <w:spacing w:before="50" w:line="19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4"/>
        </w:rPr>
        <w:t>DOI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10.3877/cma.j.issn.1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674-3253.2016.03.016</w:t>
      </w:r>
    </w:p>
    <w:p>
      <w:pPr>
        <w:pStyle w:val="BodyText"/>
        <w:ind w:left="1134"/>
        <w:spacing w:before="84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作者单位：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237005 </w:t>
      </w:r>
      <w:r>
        <w:rPr>
          <w:sz w:val="15"/>
          <w:szCs w:val="15"/>
          <w:color w:val="231F20"/>
          <w:spacing w:val="1"/>
        </w:rPr>
        <w:t>六安，安徽医科大学附属六安医</w:t>
      </w:r>
      <w:r>
        <w:rPr>
          <w:sz w:val="15"/>
          <w:szCs w:val="15"/>
          <w:color w:val="231F20"/>
        </w:rPr>
        <w:t>院泌尿外科</w:t>
      </w:r>
    </w:p>
    <w:p>
      <w:pPr>
        <w:pStyle w:val="BodyText"/>
        <w:ind w:left="1134"/>
        <w:spacing w:before="69" w:line="20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通讯作者：徐鹏程，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Email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1191960781@qq.com</w:t>
      </w:r>
    </w:p>
    <w:p>
      <w:pPr>
        <w:spacing w:line="206" w:lineRule="auto"/>
        <w:sectPr>
          <w:type w:val="continuous"/>
          <w:pgSz w:w="11905" w:h="16156"/>
          <w:pgMar w:top="1363" w:right="1067" w:bottom="0" w:left="424" w:header="1118" w:footer="0" w:gutter="0"/>
          <w:cols w:equalWidth="0" w:num="1">
            <w:col w:w="10413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4"/>
          <w:pgSz w:w="11905" w:h="16156"/>
          <w:pgMar w:top="1363" w:right="1097" w:bottom="0" w:left="424" w:header="1118" w:footer="0" w:gutter="0"/>
          <w:cols w:equalWidth="0" w:num="1">
            <w:col w:w="10383" w:space="0"/>
          </w:cols>
        </w:sectPr>
        <w:rPr/>
      </w:pPr>
    </w:p>
    <w:p>
      <w:pPr>
        <w:ind w:left="2493"/>
        <w:spacing w:before="188" w:line="21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参</w:t>
      </w:r>
      <w:r>
        <w:rPr>
          <w:rFonts w:ascii="SimHei" w:hAnsi="SimHei" w:eastAsia="SimHei" w:cs="SimHei"/>
          <w:sz w:val="16"/>
          <w:szCs w:val="16"/>
          <w:color w:val="231F20"/>
          <w:spacing w:val="57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考</w:t>
      </w:r>
      <w:r>
        <w:rPr>
          <w:rFonts w:ascii="SimHei" w:hAnsi="SimHei" w:eastAsia="SimHei" w:cs="SimHei"/>
          <w:sz w:val="16"/>
          <w:szCs w:val="16"/>
          <w:color w:val="231F20"/>
          <w:spacing w:val="58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文</w:t>
      </w:r>
      <w:r>
        <w:rPr>
          <w:rFonts w:ascii="SimHei" w:hAnsi="SimHei" w:eastAsia="SimHei" w:cs="SimHei"/>
          <w:sz w:val="16"/>
          <w:szCs w:val="16"/>
          <w:color w:val="231F20"/>
          <w:spacing w:val="56"/>
          <w:w w:val="10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献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095" w:right="317" w:hanging="374"/>
        <w:spacing w:before="43" w:line="3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"/>
        </w:rPr>
        <w:t>[1]    Van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Der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Vliet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HJ,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Nies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sen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HW,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Perenboom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RM.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Myocardial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air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collections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as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result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of infection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gas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roducing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strain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Escherichia coli[J]. J Clin Pathol, 2004, 57(6): 660-661.</w:t>
      </w:r>
    </w:p>
    <w:p>
      <w:pPr>
        <w:ind w:left="1091" w:right="334" w:hanging="370"/>
        <w:spacing w:before="119" w:line="3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[2]     Huang     JJ,     Tseng     CC.      Emphyse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matous     pyelonephritis: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clinicoradiological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class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ification,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management,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prognosis,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pathogenesis[J]. Arch Intern Med, 2000,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160(6): 797-805.</w:t>
      </w:r>
    </w:p>
    <w:p>
      <w:pPr>
        <w:ind w:left="1094" w:right="331" w:hanging="373"/>
        <w:spacing w:before="119" w:line="3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2"/>
        </w:rPr>
        <w:t>[3]    Grayson   DE,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Abbott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RM,   Levy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AD,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Emphysematous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infections  of  the  abdomen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pelvis: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pictorial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[J].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Radiographics, 2002, 22(3): 543-561.</w:t>
      </w:r>
    </w:p>
    <w:p>
      <w:pPr>
        <w:ind w:left="721"/>
        <w:spacing w:before="119" w:line="2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[4]     Goel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T,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Reddy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S,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Thomas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J.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Emphysematous pyelonephritis with</w:t>
      </w:r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74" w:right="36" w:firstLine="2"/>
        <w:spacing w:before="29" w:line="36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3"/>
        </w:rPr>
        <w:t>calculus: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strat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egies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[J].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Indian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Urol,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2007,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23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(3):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250-252.</w:t>
      </w:r>
    </w:p>
    <w:p>
      <w:pPr>
        <w:ind w:left="375" w:right="34" w:hanging="376"/>
        <w:spacing w:line="3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2"/>
        </w:rPr>
        <w:t>[5]    Abdul-Halim    H,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Kehinde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EO,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 Abdeen    S,    et    al.    Severe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emphysematous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pyelonephritis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diabetic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patients: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aspects of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surgical management[J]. Urol Int, 2005, 75(2):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123-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128.</w:t>
      </w:r>
    </w:p>
    <w:p>
      <w:pPr>
        <w:ind w:left="375" w:right="16" w:hanging="376"/>
        <w:spacing w:before="118" w:line="32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2"/>
        </w:rPr>
        <w:t>[6]     Soo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Park B,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Lee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SJ,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Wha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Kim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Y,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Outcome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nephrectomy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and    kidney-preserving    procedures     for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 xml:space="preserve">    the     treatment    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emphysematous pyelonephritis[J]. Scand J Urol Nephrol, 2006, 40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(4): 332-338.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spacing w:before="49" w:line="24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（收稿日期：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2014-10-23</w:t>
      </w:r>
      <w:r>
        <w:rPr>
          <w:sz w:val="15"/>
          <w:szCs w:val="15"/>
          <w:color w:val="231F20"/>
          <w:spacing w:val="-8"/>
        </w:rPr>
        <w:t>）</w:t>
      </w:r>
    </w:p>
    <w:p>
      <w:pPr>
        <w:pStyle w:val="BodyText"/>
        <w:spacing w:before="68" w:line="216" w:lineRule="auto"/>
        <w:jc w:val="right"/>
        <w:rPr/>
      </w:pPr>
      <w:r>
        <w:rPr>
          <w:color w:val="231F20"/>
          <w:spacing w:val="-7"/>
        </w:rPr>
        <w:t>（本文编辑：阮星星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李文标）</w:t>
      </w:r>
    </w:p>
    <w:p>
      <w:pPr>
        <w:spacing w:line="216" w:lineRule="auto"/>
        <w:sectPr>
          <w:type w:val="continuous"/>
          <w:pgSz w:w="11905" w:h="16156"/>
          <w:pgMar w:top="1363" w:right="1097" w:bottom="0" w:left="424" w:header="1118" w:footer="0" w:gutter="0"/>
          <w:cols w:equalWidth="0" w:num="2">
            <w:col w:w="5651" w:space="100"/>
            <w:col w:w="4633" w:space="0"/>
          </w:cols>
        </w:sectPr>
        <w:rPr/>
      </w:pPr>
    </w:p>
    <w:p>
      <w:pPr>
        <w:ind w:left="1076"/>
        <w:spacing w:before="227" w:line="202" w:lineRule="auto"/>
        <w:rPr>
          <w:rFonts w:ascii="Arial" w:hAnsi="Arial" w:eastAsia="Arial" w:cs="Arial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1"/>
        </w:rPr>
        <w:t>刘成益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, 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>徐鹏程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>陈德钢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, 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>等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.</w:t>
      </w:r>
      <w:r>
        <w:rPr>
          <w:rFonts w:ascii="Arial" w:hAnsi="Arial" w:eastAsia="Arial" w:cs="Arial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>气肿性肾盂肾炎一例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[J/</w:t>
      </w:r>
      <w:r>
        <w:rPr>
          <w:rFonts w:ascii="Arial" w:hAnsi="Arial" w:eastAsia="Arial" w:cs="Arial"/>
          <w:sz w:val="17"/>
          <w:szCs w:val="17"/>
          <w:color w:val="231F20"/>
        </w:rPr>
        <w:t>CD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].</w:t>
      </w:r>
      <w:r>
        <w:rPr>
          <w:rFonts w:ascii="Arial" w:hAnsi="Arial" w:eastAsia="Arial" w:cs="Arial"/>
          <w:sz w:val="17"/>
          <w:szCs w:val="17"/>
          <w:color w:val="231F20"/>
          <w:spacing w:val="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>中华腔镜泌尿外科杂志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:</w:t>
      </w:r>
      <w:r>
        <w:rPr>
          <w:rFonts w:ascii="Arial" w:hAnsi="Arial" w:eastAsia="Arial" w:cs="Arial"/>
          <w:sz w:val="17"/>
          <w:szCs w:val="17"/>
          <w:color w:val="231F20"/>
          <w:spacing w:val="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>电子版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, 2016,</w:t>
      </w:r>
      <w:r>
        <w:rPr>
          <w:rFonts w:ascii="Arial" w:hAnsi="Arial" w:eastAsia="Arial" w:cs="Arial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10(3): 209-210.</w:t>
      </w:r>
    </w:p>
    <w:sectPr>
      <w:type w:val="continuous"/>
      <w:pgSz w:w="11905" w:h="16156"/>
      <w:pgMar w:top="1363" w:right="1097" w:bottom="0" w:left="424" w:header="1118" w:footer="0" w:gutter="0"/>
      <w:cols w:equalWidth="0" w:num="1">
        <w:col w:w="1038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8"/>
      <w:spacing w:before="40" w:line="194" w:lineRule="auto"/>
      <w:rPr>
        <w:rFonts w:ascii="Arial" w:hAnsi="Arial" w:eastAsia="Arial" w:cs="Arial"/>
        <w:sz w:val="14"/>
        <w:szCs w:val="14"/>
      </w:rPr>
    </w:pPr>
    <w:r>
      <w:pict>
        <v:shape id="WordPictureWatermark2" style="position:absolute;margin-left:21.2pt;margin-top:777.6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4"/>
        <w:szCs w:val="14"/>
        <w:color w:val="066792"/>
        <w:spacing w:val="-3"/>
      </w:rPr>
      <w:t>·</w:t>
    </w:r>
    <w:r>
      <w:rPr>
        <w:rFonts w:ascii="Microsoft YaHei" w:hAnsi="Microsoft YaHei" w:eastAsia="Microsoft YaHei" w:cs="Microsoft YaHei"/>
        <w:sz w:val="14"/>
        <w:szCs w:val="14"/>
        <w:color w:val="066792"/>
        <w:spacing w:val="14"/>
        <w:w w:val="10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3"/>
      </w:rPr>
      <w:t>209</w:t>
    </w:r>
    <w:r>
      <w:rPr>
        <w:rFonts w:ascii="Arial" w:hAnsi="Arial" w:eastAsia="Arial" w:cs="Arial"/>
        <w:sz w:val="15"/>
        <w:szCs w:val="15"/>
        <w:color w:val="231F20"/>
        <w:spacing w:val="1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color w:val="066792"/>
        <w:spacing w:val="-3"/>
      </w:rPr>
      <w:t>·                                          </w:t>
    </w:r>
    <w:r>
      <w:rPr>
        <w:sz w:val="14"/>
        <w:szCs w:val="14"/>
        <w:u w:val="single" w:color="auto"/>
        <w:color w:val="231F20"/>
        <w:spacing w:val="-57"/>
      </w:rPr>
      <w:t xml:space="preserve"> </w:t>
    </w:r>
    <w:r>
      <w:rPr>
        <w:sz w:val="14"/>
        <w:szCs w:val="14"/>
        <w:u w:val="single" w:color="auto"/>
        <w:color w:val="231F20"/>
        <w:spacing w:val="-3"/>
      </w:rPr>
      <w:t>中华腔镜泌尿外科杂志（电子版）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3"/>
      </w:rPr>
      <w:t>2016 </w:t>
    </w:r>
    <w:r>
      <w:rPr>
        <w:sz w:val="14"/>
        <w:szCs w:val="14"/>
        <w:u w:val="single" w:color="auto"/>
        <w:color w:val="231F20"/>
        <w:spacing w:val="-3"/>
      </w:rPr>
      <w:t>年</w:t>
    </w:r>
    <w:r>
      <w:rPr>
        <w:sz w:val="14"/>
        <w:szCs w:val="14"/>
        <w:u w:val="single" w:color="auto"/>
        <w:color w:val="231F20"/>
        <w:spacing w:val="-27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3"/>
      </w:rPr>
      <w:t>6 </w:t>
    </w:r>
    <w:r>
      <w:rPr>
        <w:sz w:val="14"/>
        <w:szCs w:val="14"/>
        <w:u w:val="single" w:color="auto"/>
        <w:color w:val="231F20"/>
        <w:spacing w:val="-3"/>
      </w:rPr>
      <w:t>月第</w:t>
    </w:r>
    <w:r>
      <w:rPr>
        <w:sz w:val="14"/>
        <w:szCs w:val="14"/>
        <w:u w:val="single" w:color="auto"/>
        <w:color w:val="231F20"/>
        <w:spacing w:val="-18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3"/>
      </w:rPr>
      <w:t>10 </w:t>
    </w:r>
    <w:r>
      <w:rPr>
        <w:sz w:val="14"/>
        <w:szCs w:val="14"/>
        <w:u w:val="single" w:color="auto"/>
        <w:color w:val="231F20"/>
        <w:spacing w:val="-3"/>
      </w:rPr>
      <w:t>卷第</w:t>
    </w:r>
    <w:r>
      <w:rPr>
        <w:sz w:val="14"/>
        <w:szCs w:val="14"/>
        <w:u w:val="single" w:color="auto"/>
        <w:color w:val="231F20"/>
        <w:spacing w:val="-27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3"/>
      </w:rPr>
      <w:t>3 </w:t>
    </w:r>
    <w:r>
      <w:rPr>
        <w:sz w:val="14"/>
        <w:szCs w:val="14"/>
        <w:u w:val="single" w:color="auto"/>
        <w:color w:val="231F20"/>
        <w:spacing w:val="-3"/>
      </w:rPr>
      <w:t>期</w:t>
    </w:r>
    <w:r>
      <w:rPr>
        <w:sz w:val="14"/>
        <w:szCs w:val="14"/>
        <w:u w:val="single" w:color="auto"/>
        <w:color w:val="231F20"/>
        <w:spacing w:val="40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3"/>
      </w:rPr>
      <w:t>Chin J Endourol (Electronic Edition), June  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4"/>
      </w:rPr>
      <w:t>2016, Vol.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11"/>
        <w:w w:val="102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4"/>
      </w:rPr>
      <w:t>10, No. 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7"/>
      <w:spacing w:before="40" w:line="194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18" style="position:absolute;margin-left:21.2pt;margin-top:777.6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sz w:val="14"/>
        <w:szCs w:val="14"/>
        <w:u w:val="single" w:color="auto"/>
        <w:color w:val="231F20"/>
        <w:spacing w:val="-3"/>
      </w:rPr>
      <w:t>中华腔镜泌尿外科杂志（电子版）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3"/>
      </w:rPr>
      <w:t>2016 </w:t>
    </w:r>
    <w:r>
      <w:rPr>
        <w:sz w:val="14"/>
        <w:szCs w:val="14"/>
        <w:u w:val="single" w:color="auto"/>
        <w:color w:val="231F20"/>
        <w:spacing w:val="-3"/>
      </w:rPr>
      <w:t>年</w:t>
    </w:r>
    <w:r>
      <w:rPr>
        <w:sz w:val="14"/>
        <w:szCs w:val="14"/>
        <w:u w:val="single" w:color="auto"/>
        <w:color w:val="231F20"/>
        <w:spacing w:val="-27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3"/>
      </w:rPr>
      <w:t>6 </w:t>
    </w:r>
    <w:r>
      <w:rPr>
        <w:sz w:val="14"/>
        <w:szCs w:val="14"/>
        <w:u w:val="single" w:color="auto"/>
        <w:color w:val="231F20"/>
        <w:spacing w:val="-3"/>
      </w:rPr>
      <w:t>月第</w:t>
    </w:r>
    <w:r>
      <w:rPr>
        <w:sz w:val="14"/>
        <w:szCs w:val="14"/>
        <w:u w:val="single" w:color="auto"/>
        <w:color w:val="231F20"/>
        <w:spacing w:val="-18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3"/>
      </w:rPr>
      <w:t>10 </w:t>
    </w:r>
    <w:r>
      <w:rPr>
        <w:sz w:val="14"/>
        <w:szCs w:val="14"/>
        <w:u w:val="single" w:color="auto"/>
        <w:color w:val="231F20"/>
        <w:spacing w:val="-3"/>
      </w:rPr>
      <w:t>卷第</w:t>
    </w:r>
    <w:r>
      <w:rPr>
        <w:sz w:val="14"/>
        <w:szCs w:val="14"/>
        <w:u w:val="single" w:color="auto"/>
        <w:color w:val="231F20"/>
        <w:spacing w:val="-27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3"/>
      </w:rPr>
      <w:t>3 </w:t>
    </w:r>
    <w:r>
      <w:rPr>
        <w:sz w:val="14"/>
        <w:szCs w:val="14"/>
        <w:u w:val="single" w:color="auto"/>
        <w:color w:val="231F20"/>
        <w:spacing w:val="-3"/>
      </w:rPr>
      <w:t>期</w:t>
    </w:r>
    <w:r>
      <w:rPr>
        <w:sz w:val="14"/>
        <w:szCs w:val="14"/>
        <w:u w:val="single" w:color="auto"/>
        <w:color w:val="231F20"/>
        <w:spacing w:val="40"/>
        <w:w w:val="10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3"/>
      </w:rPr>
      <w:t>Chin J Endourol (Electronic Edition), June  2016, Vol.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11"/>
        <w:w w:val="10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color w:val="231F20"/>
        <w:spacing w:val="-3"/>
      </w:rPr>
      <w:t>10, No. 3</w:t>
    </w:r>
    <w:r>
      <w:rPr>
        <w:rFonts w:ascii="Arial" w:hAnsi="Arial" w:eastAsia="Arial" w:cs="Arial"/>
        <w:sz w:val="14"/>
        <w:szCs w:val="14"/>
        <w:color w:val="231F20"/>
        <w:spacing w:val="-3"/>
      </w:rPr>
      <w:t xml:space="preserve">                        </w:t>
    </w:r>
    <w:r>
      <w:rPr>
        <w:rFonts w:ascii="Arial" w:hAnsi="Arial" w:eastAsia="Arial" w:cs="Arial"/>
        <w:sz w:val="14"/>
        <w:szCs w:val="14"/>
        <w:color w:val="231F20"/>
        <w:spacing w:val="-4"/>
      </w:rPr>
      <w:t xml:space="preserve">                     </w:t>
    </w:r>
    <w:r>
      <w:rPr>
        <w:rFonts w:ascii="Microsoft YaHei" w:hAnsi="Microsoft YaHei" w:eastAsia="Microsoft YaHei" w:cs="Microsoft YaHei"/>
        <w:sz w:val="14"/>
        <w:szCs w:val="14"/>
        <w:color w:val="066792"/>
        <w:spacing w:val="-4"/>
      </w:rPr>
      <w:t>·</w:t>
    </w:r>
    <w:r>
      <w:rPr>
        <w:rFonts w:ascii="Microsoft YaHei" w:hAnsi="Microsoft YaHei" w:eastAsia="Microsoft YaHei" w:cs="Microsoft YaHei"/>
        <w:sz w:val="14"/>
        <w:szCs w:val="14"/>
        <w:color w:val="066792"/>
        <w:spacing w:val="14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4"/>
      </w:rPr>
      <w:t>210</w:t>
    </w:r>
    <w:r>
      <w:rPr>
        <w:rFonts w:ascii="Arial" w:hAnsi="Arial" w:eastAsia="Arial" w:cs="Arial"/>
        <w:sz w:val="15"/>
        <w:szCs w:val="15"/>
        <w:color w:val="231F20"/>
        <w:spacing w:val="11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color w:val="066792"/>
        <w:spacing w:val="-4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2025-03-17T23:08:10Z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2025-10-28T21:30:44</vt:filetime>
  </property>
</Properties>
</file>