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71" w:lineRule="auto"/>
        <w:rPr>
          <w:rFonts w:ascii="Arial"/>
          <w:sz w:val="21"/>
        </w:rPr>
      </w:pPr>
      <w:r/>
    </w:p>
    <w:p>
      <w:pPr>
        <w:ind w:left="1994"/>
        <w:spacing w:before="120" w:line="205" w:lineRule="auto"/>
        <w:outlineLvl w:val="0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color w:val="2E3092"/>
          <w:spacing w:val="-1"/>
        </w:rPr>
        <w:t>优质护理对急性肠胃炎患者心理状态及护理满意度的影响</w:t>
      </w:r>
    </w:p>
    <w:p>
      <w:pPr>
        <w:ind w:left="4773"/>
        <w:spacing w:before="28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郑娜 孙明慧 李亮</w:t>
      </w:r>
    </w:p>
    <w:p>
      <w:pPr>
        <w:pStyle w:val="BodyText"/>
        <w:ind w:left="3950"/>
        <w:spacing w:before="97" w:line="241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3"/>
          <w:position w:val="1"/>
        </w:rPr>
        <w:t>（日照港口医院，山东</w:t>
      </w:r>
      <w:r>
        <w:rPr>
          <w:rFonts w:ascii="SimSun" w:hAnsi="SimSun" w:eastAsia="SimSun" w:cs="SimSun"/>
          <w:sz w:val="18"/>
          <w:szCs w:val="18"/>
          <w:color w:val="231F20"/>
          <w:spacing w:val="66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  <w:position w:val="1"/>
        </w:rPr>
        <w:t>日照 </w:t>
      </w:r>
      <w:r>
        <w:rPr>
          <w:sz w:val="18"/>
          <w:szCs w:val="18"/>
          <w:color w:val="231F20"/>
          <w:spacing w:val="-3"/>
          <w:position w:val="1"/>
        </w:rPr>
        <w:t>276800</w:t>
      </w:r>
      <w:r>
        <w:rPr>
          <w:sz w:val="18"/>
          <w:szCs w:val="18"/>
          <w:color w:val="231F20"/>
          <w:spacing w:val="-22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  <w:position w:val="1"/>
        </w:rPr>
        <w:t>）</w:t>
      </w:r>
    </w:p>
    <w:p>
      <w:pPr>
        <w:pStyle w:val="BodyText"/>
        <w:ind w:left="617" w:right="17" w:firstLine="409"/>
        <w:spacing w:before="177" w:line="242" w:lineRule="auto"/>
        <w:jc w:val="both"/>
        <w:rPr>
          <w:rFonts w:ascii="KaiTi" w:hAnsi="KaiTi" w:eastAsia="KaiTi" w:cs="KaiTi"/>
        </w:rPr>
      </w:pPr>
      <w:r>
        <w:rPr>
          <w:rFonts w:ascii="Microsoft YaHei" w:hAnsi="Microsoft YaHei" w:eastAsia="Microsoft YaHei" w:cs="Microsoft YaHei"/>
          <w:color w:val="2E3092"/>
          <w:spacing w:val="3"/>
        </w:rPr>
        <w:t>[ 摘要 ] 目的</w:t>
      </w:r>
      <w:r>
        <w:rPr>
          <w:rFonts w:ascii="Microsoft YaHei" w:hAnsi="Microsoft YaHei" w:eastAsia="Microsoft YaHei" w:cs="Microsoft YaHei"/>
          <w:color w:val="2E3092"/>
          <w:spacing w:val="24"/>
        </w:rPr>
        <w:t xml:space="preserve"> </w:t>
      </w:r>
      <w:r>
        <w:rPr>
          <w:rFonts w:ascii="KaiTi" w:hAnsi="KaiTi" w:eastAsia="KaiTi" w:cs="KaiTi"/>
          <w:color w:val="231F20"/>
          <w:spacing w:val="3"/>
        </w:rPr>
        <w:t>对优质护理在改善急性肠胃</w:t>
      </w:r>
      <w:r>
        <w:rPr>
          <w:rFonts w:ascii="KaiTi" w:hAnsi="KaiTi" w:eastAsia="KaiTi" w:cs="KaiTi"/>
          <w:color w:val="231F20"/>
          <w:spacing w:val="2"/>
        </w:rPr>
        <w:t>炎患者心理状态、提升护理满意度中的临床运用效果进行观察与研究。</w:t>
      </w:r>
      <w:r>
        <w:rPr>
          <w:rFonts w:ascii="Microsoft YaHei" w:hAnsi="Microsoft YaHei" w:eastAsia="Microsoft YaHei" w:cs="Microsoft YaHei"/>
          <w:color w:val="2E3092"/>
          <w:spacing w:val="2"/>
        </w:rPr>
        <w:t>方法</w:t>
      </w:r>
      <w:r>
        <w:rPr>
          <w:rFonts w:ascii="Microsoft YaHei" w:hAnsi="Microsoft YaHei" w:eastAsia="Microsoft YaHei" w:cs="Microsoft YaHei"/>
          <w:color w:val="2E3092"/>
          <w:spacing w:val="26"/>
          <w:w w:val="101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按随机数字表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法，将本院</w:t>
      </w:r>
      <w:r>
        <w:rPr>
          <w:color w:val="231F20"/>
          <w:spacing w:val="2"/>
        </w:rPr>
        <w:t>2020</w:t>
      </w:r>
      <w:r>
        <w:rPr>
          <w:rFonts w:ascii="KaiTi" w:hAnsi="KaiTi" w:eastAsia="KaiTi" w:cs="KaiTi"/>
          <w:color w:val="231F20"/>
          <w:spacing w:val="2"/>
        </w:rPr>
        <w:t>年</w:t>
      </w:r>
      <w:r>
        <w:rPr>
          <w:color w:val="231F20"/>
          <w:spacing w:val="2"/>
        </w:rPr>
        <w:t>4</w:t>
      </w:r>
      <w:r>
        <w:rPr>
          <w:rFonts w:ascii="KaiTi" w:hAnsi="KaiTi" w:eastAsia="KaiTi" w:cs="KaiTi"/>
          <w:color w:val="231F20"/>
          <w:spacing w:val="2"/>
        </w:rPr>
        <w:t>月～</w:t>
      </w:r>
      <w:r>
        <w:rPr>
          <w:color w:val="231F20"/>
          <w:spacing w:val="2"/>
        </w:rPr>
        <w:t>2021</w:t>
      </w:r>
      <w:r>
        <w:rPr>
          <w:rFonts w:ascii="KaiTi" w:hAnsi="KaiTi" w:eastAsia="KaiTi" w:cs="KaiTi"/>
          <w:color w:val="231F20"/>
          <w:spacing w:val="2"/>
        </w:rPr>
        <w:t>年</w:t>
      </w:r>
      <w:r>
        <w:rPr>
          <w:color w:val="231F20"/>
          <w:spacing w:val="2"/>
        </w:rPr>
        <w:t>3</w:t>
      </w:r>
      <w:r>
        <w:rPr>
          <w:rFonts w:ascii="KaiTi" w:hAnsi="KaiTi" w:eastAsia="KaiTi" w:cs="KaiTi"/>
          <w:color w:val="231F20"/>
          <w:spacing w:val="2"/>
        </w:rPr>
        <w:t>月收治的</w:t>
      </w:r>
      <w:r>
        <w:rPr>
          <w:color w:val="231F20"/>
          <w:spacing w:val="2"/>
        </w:rPr>
        <w:t>98</w:t>
      </w:r>
      <w:r>
        <w:rPr>
          <w:rFonts w:ascii="KaiTi" w:hAnsi="KaiTi" w:eastAsia="KaiTi" w:cs="KaiTi"/>
          <w:color w:val="231F20"/>
          <w:spacing w:val="2"/>
        </w:rPr>
        <w:t>例急性肠胃炎患者分作甲组与乙组，每组各有</w:t>
      </w:r>
      <w:r>
        <w:rPr>
          <w:color w:val="231F20"/>
          <w:spacing w:val="2"/>
        </w:rPr>
        <w:t>49</w:t>
      </w:r>
      <w:r>
        <w:rPr>
          <w:rFonts w:ascii="KaiTi" w:hAnsi="KaiTi" w:eastAsia="KaiTi" w:cs="KaiTi"/>
          <w:color w:val="231F20"/>
          <w:spacing w:val="2"/>
        </w:rPr>
        <w:t>例患者，甲组采取常规护理措施，乙组采取优</w:t>
      </w:r>
      <w:r>
        <w:rPr>
          <w:rFonts w:ascii="KaiTi" w:hAnsi="KaiTi" w:eastAsia="KaiTi" w:cs="KaiTi"/>
          <w:color w:val="231F20"/>
          <w:spacing w:val="9"/>
        </w:rPr>
        <w:t xml:space="preserve"> </w:t>
      </w:r>
      <w:r>
        <w:rPr>
          <w:rFonts w:ascii="KaiTi" w:hAnsi="KaiTi" w:eastAsia="KaiTi" w:cs="KaiTi"/>
          <w:color w:val="231F20"/>
          <w:spacing w:val="1"/>
        </w:rPr>
        <w:t>质护理措施；对以上两组患者的心理状态、护理满意度等情况进行观察和比较。</w:t>
      </w:r>
      <w:r>
        <w:rPr>
          <w:rFonts w:ascii="Microsoft YaHei" w:hAnsi="Microsoft YaHei" w:eastAsia="Microsoft YaHei" w:cs="Microsoft YaHei"/>
          <w:color w:val="2E3092"/>
          <w:spacing w:val="1"/>
        </w:rPr>
        <w:t>结果</w:t>
      </w:r>
      <w:r>
        <w:rPr>
          <w:rFonts w:ascii="Microsoft YaHei" w:hAnsi="Microsoft YaHei" w:eastAsia="Microsoft YaHei" w:cs="Microsoft YaHei"/>
          <w:color w:val="2E3092"/>
          <w:spacing w:val="38"/>
          <w:w w:val="101"/>
        </w:rPr>
        <w:t xml:space="preserve"> </w:t>
      </w:r>
      <w:r>
        <w:rPr>
          <w:rFonts w:ascii="KaiTi" w:hAnsi="KaiTi" w:eastAsia="KaiTi" w:cs="KaiTi"/>
          <w:color w:val="231F20"/>
          <w:spacing w:val="1"/>
        </w:rPr>
        <w:t>经过护理干预后分析，乙组患者护理后的抑郁自评量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表（</w:t>
      </w:r>
      <w:r>
        <w:rPr>
          <w:color w:val="231F20"/>
        </w:rPr>
        <w:t>SDS</w:t>
      </w:r>
      <w:r>
        <w:rPr>
          <w:rFonts w:ascii="KaiTi" w:hAnsi="KaiTi" w:eastAsia="KaiTi" w:cs="KaiTi"/>
          <w:color w:val="231F20"/>
          <w:spacing w:val="2"/>
        </w:rPr>
        <w:t>）、焦虑自评量表（</w:t>
      </w:r>
      <w:r>
        <w:rPr>
          <w:color w:val="231F20"/>
        </w:rPr>
        <w:t>SAS</w:t>
      </w:r>
      <w:r>
        <w:rPr>
          <w:rFonts w:ascii="KaiTi" w:hAnsi="KaiTi" w:eastAsia="KaiTi" w:cs="KaiTi"/>
          <w:color w:val="231F20"/>
          <w:spacing w:val="2"/>
        </w:rPr>
        <w:t>）评分均低于本组护理前以及甲组患者护理后，存在显著性的差异，具有统计学意义（</w:t>
      </w:r>
      <w:r>
        <w:rPr>
          <w:i/>
          <w:iCs/>
          <w:color w:val="231F20"/>
          <w:spacing w:val="2"/>
        </w:rPr>
        <w:t>P</w:t>
      </w:r>
      <w:r>
        <w:rPr>
          <w:i/>
          <w:iCs/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＜</w:t>
      </w:r>
      <w:r>
        <w:rPr>
          <w:color w:val="231F20"/>
          <w:spacing w:val="2"/>
        </w:rPr>
        <w:t>0.05</w:t>
      </w:r>
      <w:r>
        <w:rPr>
          <w:rFonts w:ascii="KaiTi" w:hAnsi="KaiTi" w:eastAsia="KaiTi" w:cs="KaiTi"/>
          <w:color w:val="231F20"/>
        </w:rPr>
        <w:t>）；</w:t>
      </w:r>
      <w:r>
        <w:rPr>
          <w:rFonts w:ascii="KaiTi" w:hAnsi="KaiTi" w:eastAsia="KaiTi" w:cs="KaiTi"/>
          <w:color w:val="231F20"/>
          <w:spacing w:val="2"/>
        </w:rPr>
        <w:t>乙组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"/>
        </w:rPr>
        <w:t>患者护理后的腹痛消失时间、高热消失时间以及恶心呕吐消失时间等均比甲组患者短，差异具有统计学意义（</w:t>
      </w:r>
      <w:r>
        <w:rPr>
          <w:i/>
          <w:iCs/>
          <w:color w:val="231F20"/>
          <w:spacing w:val="1"/>
        </w:rPr>
        <w:t>P</w:t>
      </w:r>
      <w:r>
        <w:rPr>
          <w:i/>
          <w:iCs/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＜</w:t>
      </w:r>
      <w:r>
        <w:rPr>
          <w:color w:val="231F20"/>
          <w:spacing w:val="1"/>
        </w:rPr>
        <w:t>0.05</w:t>
      </w:r>
      <w:r>
        <w:rPr>
          <w:rFonts w:ascii="KaiTi" w:hAnsi="KaiTi" w:eastAsia="KaiTi" w:cs="KaiTi"/>
          <w:color w:val="231F20"/>
        </w:rPr>
        <w:t>）；</w:t>
      </w:r>
      <w:r>
        <w:rPr>
          <w:rFonts w:ascii="KaiTi" w:hAnsi="KaiTi" w:eastAsia="KaiTi" w:cs="KaiTi"/>
          <w:color w:val="231F20"/>
          <w:spacing w:val="1"/>
        </w:rPr>
        <w:t>乙组患者的护理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满意度（</w:t>
      </w:r>
      <w:r>
        <w:rPr>
          <w:color w:val="231F20"/>
          <w:spacing w:val="-1"/>
        </w:rPr>
        <w:t>95.92%</w:t>
      </w:r>
      <w:r>
        <w:rPr>
          <w:rFonts w:ascii="KaiTi" w:hAnsi="KaiTi" w:eastAsia="KaiTi" w:cs="KaiTi"/>
          <w:color w:val="231F20"/>
          <w:spacing w:val="-1"/>
        </w:rPr>
        <w:t>）明显高于甲组（</w:t>
      </w:r>
      <w:r>
        <w:rPr>
          <w:color w:val="231F20"/>
          <w:spacing w:val="-1"/>
        </w:rPr>
        <w:t>81.63%</w:t>
      </w:r>
      <w:r>
        <w:rPr>
          <w:rFonts w:ascii="KaiTi" w:hAnsi="KaiTi" w:eastAsia="KaiTi" w:cs="KaiTi"/>
          <w:color w:val="231F20"/>
          <w:spacing w:val="6"/>
        </w:rPr>
        <w:t>），</w:t>
      </w:r>
      <w:r>
        <w:rPr>
          <w:rFonts w:ascii="KaiTi" w:hAnsi="KaiTi" w:eastAsia="KaiTi" w:cs="KaiTi"/>
          <w:color w:val="231F20"/>
          <w:spacing w:val="-1"/>
        </w:rPr>
        <w:t>差异具备统计学意义（</w:t>
      </w:r>
      <w:r>
        <w:rPr>
          <w:i/>
          <w:iCs/>
          <w:color w:val="231F20"/>
          <w:spacing w:val="-1"/>
        </w:rPr>
        <w:t>x</w:t>
      </w:r>
      <w:r>
        <w:rPr>
          <w:sz w:val="9"/>
          <w:szCs w:val="9"/>
          <w:color w:val="231F20"/>
          <w:spacing w:val="-1"/>
          <w:position w:val="7"/>
        </w:rPr>
        <w:t>2 </w:t>
      </w:r>
      <w:r>
        <w:rPr>
          <w:rFonts w:ascii="KaiTi" w:hAnsi="KaiTi" w:eastAsia="KaiTi" w:cs="KaiTi"/>
          <w:color w:val="231F20"/>
          <w:spacing w:val="-1"/>
        </w:rPr>
        <w:t>＝</w:t>
      </w:r>
      <w:r>
        <w:rPr>
          <w:color w:val="231F20"/>
          <w:spacing w:val="-1"/>
        </w:rPr>
        <w:t>5.018</w:t>
      </w:r>
      <w:r>
        <w:rPr>
          <w:color w:val="231F20"/>
          <w:spacing w:val="-19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，</w:t>
      </w:r>
      <w:r>
        <w:rPr>
          <w:i/>
          <w:iCs/>
          <w:color w:val="231F20"/>
          <w:spacing w:val="-1"/>
        </w:rPr>
        <w:t>P</w:t>
      </w:r>
      <w:r>
        <w:rPr>
          <w:i/>
          <w:iCs/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＜</w:t>
      </w:r>
      <w:r>
        <w:rPr>
          <w:color w:val="231F20"/>
          <w:spacing w:val="-1"/>
        </w:rPr>
        <w:t>0.05</w:t>
      </w:r>
      <w:r>
        <w:rPr>
          <w:rFonts w:ascii="KaiTi" w:hAnsi="KaiTi" w:eastAsia="KaiTi" w:cs="KaiTi"/>
          <w:color w:val="231F20"/>
          <w:spacing w:val="-1"/>
        </w:rPr>
        <w:t>）。</w:t>
      </w:r>
      <w:r>
        <w:rPr>
          <w:rFonts w:ascii="Microsoft YaHei" w:hAnsi="Microsoft YaHei" w:eastAsia="Microsoft YaHei" w:cs="Microsoft YaHei"/>
          <w:color w:val="2E3092"/>
          <w:spacing w:val="-1"/>
        </w:rPr>
        <w:t>结论</w:t>
      </w:r>
      <w:r>
        <w:rPr>
          <w:rFonts w:ascii="Microsoft YaHei" w:hAnsi="Microsoft YaHei" w:eastAsia="Microsoft YaHei" w:cs="Microsoft YaHei"/>
          <w:color w:val="2E3092"/>
          <w:spacing w:val="18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对急性肠胃炎患者采取优质护理，效果甚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佳，能够更好地改善患者的不良情绪，还能够提升护理满意度，具备一定的临床推广与应用价值。</w:t>
      </w:r>
    </w:p>
    <w:p>
      <w:pPr>
        <w:ind w:left="1027"/>
        <w:spacing w:before="9" w:line="193" w:lineRule="auto"/>
        <w:rPr>
          <w:rFonts w:ascii="KaiTi" w:hAnsi="KaiTi" w:eastAsia="KaiTi" w:cs="KaiT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E3092"/>
          <w:spacing w:val="-1"/>
        </w:rPr>
        <w:t>[ 关键词 ]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急性肠胃炎；优质护理；心理状态；护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理满意度</w:t>
      </w:r>
    </w:p>
    <w:p>
      <w:pPr>
        <w:pStyle w:val="BodyText"/>
        <w:ind w:left="1027"/>
        <w:spacing w:before="1" w:line="217" w:lineRule="auto"/>
        <w:rPr/>
      </w:pPr>
      <w:r>
        <w:rPr>
          <w:rFonts w:ascii="Microsoft YaHei" w:hAnsi="Microsoft YaHei" w:eastAsia="Microsoft YaHei" w:cs="Microsoft YaHei"/>
          <w:color w:val="2E3092"/>
          <w:spacing w:val="1"/>
        </w:rPr>
        <w:t>[ 中图分类号 ] R473.5    [ 文献标</w:t>
      </w:r>
      <w:r>
        <w:rPr>
          <w:rFonts w:ascii="Microsoft YaHei" w:hAnsi="Microsoft YaHei" w:eastAsia="Microsoft YaHei" w:cs="Microsoft YaHei"/>
          <w:color w:val="2E3092"/>
        </w:rPr>
        <w:t>识码 ] A    </w:t>
      </w:r>
      <w:r>
        <w:rPr>
          <w:color w:val="231F20"/>
        </w:rPr>
        <w:t>doi: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10.19738/j.cnki.psy.2021.18.089</w:t>
      </w:r>
    </w:p>
    <w:p>
      <w:pPr>
        <w:pStyle w:val="BodyText"/>
        <w:ind w:left="1192"/>
        <w:spacing w:before="282" w:line="189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</w:rPr>
        <w:t>The effect of high-quality </w:t>
      </w:r>
      <w:r>
        <w:rPr>
          <w:sz w:val="28"/>
          <w:szCs w:val="28"/>
          <w:b/>
          <w:bCs/>
          <w:color w:val="231F20"/>
          <w:spacing w:val="-1"/>
        </w:rPr>
        <w:t>nursing on the psychological state</w:t>
      </w:r>
      <w:r>
        <w:rPr>
          <w:sz w:val="28"/>
          <w:szCs w:val="28"/>
          <w:b/>
          <w:bCs/>
          <w:color w:val="231F20"/>
          <w:spacing w:val="12"/>
        </w:rPr>
        <w:t xml:space="preserve"> </w:t>
      </w:r>
      <w:r>
        <w:rPr>
          <w:sz w:val="28"/>
          <w:szCs w:val="28"/>
          <w:b/>
          <w:bCs/>
          <w:color w:val="231F20"/>
          <w:spacing w:val="-1"/>
        </w:rPr>
        <w:t>and nursing</w:t>
      </w:r>
    </w:p>
    <w:p>
      <w:pPr>
        <w:pStyle w:val="BodyText"/>
        <w:ind w:left="2612"/>
        <w:spacing w:before="46" w:line="189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</w:rPr>
        <w:t>satisfaction of</w:t>
      </w:r>
      <w:r>
        <w:rPr>
          <w:sz w:val="28"/>
          <w:szCs w:val="28"/>
          <w:b/>
          <w:bCs/>
          <w:color w:val="231F20"/>
          <w:spacing w:val="-15"/>
        </w:rPr>
        <w:t xml:space="preserve"> </w:t>
      </w:r>
      <w:r>
        <w:rPr>
          <w:sz w:val="28"/>
          <w:szCs w:val="28"/>
          <w:b/>
          <w:bCs/>
          <w:color w:val="231F20"/>
        </w:rPr>
        <w:t>patients with acute gastroenterit</w:t>
      </w:r>
      <w:r>
        <w:rPr>
          <w:sz w:val="28"/>
          <w:szCs w:val="28"/>
          <w:b/>
          <w:bCs/>
          <w:color w:val="231F20"/>
          <w:spacing w:val="-1"/>
        </w:rPr>
        <w:t>is</w:t>
      </w:r>
    </w:p>
    <w:p>
      <w:pPr>
        <w:pStyle w:val="BodyText"/>
        <w:ind w:left="4306"/>
        <w:spacing w:before="86" w:line="190" w:lineRule="auto"/>
        <w:rPr/>
      </w:pPr>
      <w:r>
        <w:rPr>
          <w:color w:val="231F20"/>
          <w:spacing w:val="3"/>
        </w:rPr>
        <w:t>Zheng Na,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Sun Ming-hui,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2"/>
        </w:rPr>
        <w:t>Li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Liang</w:t>
      </w:r>
    </w:p>
    <w:p>
      <w:pPr>
        <w:pStyle w:val="BodyText"/>
        <w:ind w:left="3992"/>
        <w:spacing w:before="94" w:line="190" w:lineRule="auto"/>
        <w:rPr/>
      </w:pPr>
      <w:r>
        <w:rPr>
          <w:color w:val="231F20"/>
        </w:rPr>
        <w:t>(Rizhao Port Hospital, Rizhao  276800,</w:t>
      </w:r>
      <w:r>
        <w:rPr>
          <w:color w:val="231F20"/>
          <w:spacing w:val="-1"/>
        </w:rPr>
        <w:t xml:space="preserve"> China)</w:t>
      </w:r>
    </w:p>
    <w:p>
      <w:pPr>
        <w:pStyle w:val="BodyText"/>
        <w:ind w:left="612" w:firstLine="393"/>
        <w:spacing w:before="102" w:line="268" w:lineRule="auto"/>
        <w:jc w:val="both"/>
        <w:rPr/>
      </w:pPr>
      <w:r>
        <w:rPr>
          <w:color w:val="2E3092"/>
          <w:spacing w:val="-1"/>
        </w:rPr>
        <w:t>[</w:t>
      </w:r>
      <w:r>
        <w:rPr>
          <w:color w:val="2E3092"/>
          <w:spacing w:val="-19"/>
        </w:rPr>
        <w:t xml:space="preserve"> </w:t>
      </w:r>
      <w:r>
        <w:rPr>
          <w:color w:val="2E3092"/>
          <w:spacing w:val="-1"/>
        </w:rPr>
        <w:t>Abstract</w:t>
      </w:r>
      <w:r>
        <w:rPr>
          <w:color w:val="2E3092"/>
          <w:spacing w:val="-14"/>
        </w:rPr>
        <w:t xml:space="preserve"> </w:t>
      </w:r>
      <w:r>
        <w:rPr>
          <w:color w:val="2E3092"/>
          <w:spacing w:val="-1"/>
        </w:rPr>
        <w:t>]</w:t>
      </w:r>
      <w:r>
        <w:rPr>
          <w:color w:val="2E3092"/>
          <w:spacing w:val="-14"/>
        </w:rPr>
        <w:t xml:space="preserve"> </w:t>
      </w:r>
      <w:r>
        <w:rPr>
          <w:color w:val="2E3092"/>
          <w:spacing w:val="-1"/>
        </w:rPr>
        <w:t>Obje</w:t>
      </w:r>
      <w:r>
        <w:rPr>
          <w:color w:val="2E3092"/>
        </w:rPr>
        <w:t>ctive</w:t>
      </w:r>
      <w:r>
        <w:rPr>
          <w:color w:val="2E3092"/>
          <w:spacing w:val="14"/>
          <w:w w:val="102"/>
        </w:rPr>
        <w:t xml:space="preserve"> </w:t>
      </w:r>
      <w:r>
        <w:rPr>
          <w:color w:val="231F20"/>
        </w:rPr>
        <w:t>Observation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research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eff</w:t>
      </w:r>
      <w:r>
        <w:rPr>
          <w:color w:val="231F20"/>
          <w:spacing w:val="-1"/>
        </w:rPr>
        <w:t>ects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of high-quality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nursing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improving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the psychological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state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13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gastroenteritis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enhancing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nursing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satisfaction.</w:t>
      </w:r>
      <w:r>
        <w:rPr>
          <w:color w:val="231F20"/>
          <w:spacing w:val="19"/>
        </w:rPr>
        <w:t xml:space="preserve"> </w:t>
      </w:r>
      <w:r>
        <w:rPr>
          <w:color w:val="2E3092"/>
        </w:rPr>
        <w:t>Methods</w:t>
      </w:r>
      <w:r>
        <w:rPr>
          <w:color w:val="2E3092"/>
          <w:spacing w:val="16"/>
        </w:rPr>
        <w:t xml:space="preserve"> </w:t>
      </w:r>
      <w:r>
        <w:rPr>
          <w:color w:val="231F20"/>
        </w:rPr>
        <w:t>According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random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number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method,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98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with  </w:t>
      </w:r>
      <w:r>
        <w:rPr>
          <w:color w:val="231F20"/>
        </w:rPr>
        <w:t>acute gastroenteritis admitted in our hospital from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April 2020 to March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2021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divided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into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A 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B.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Each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group has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49 patients.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 takes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routine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nur</w:t>
      </w:r>
      <w:r>
        <w:rPr>
          <w:color w:val="231F20"/>
        </w:rPr>
        <w:t>sing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measures.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B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takes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high-quality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nursing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measures;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observes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compares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mental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state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nursing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satisfaction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16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above two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groups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patients. </w:t>
      </w:r>
      <w:r>
        <w:rPr>
          <w:color w:val="2E3092"/>
        </w:rPr>
        <w:t>Results</w:t>
      </w:r>
      <w:r>
        <w:rPr>
          <w:color w:val="2E3092"/>
          <w:spacing w:val="-1"/>
        </w:rPr>
        <w:t xml:space="preserve"> </w:t>
      </w:r>
      <w:r>
        <w:rPr>
          <w:color w:val="231F20"/>
          <w:spacing w:val="-1"/>
        </w:rPr>
        <w:t>After nursing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intervention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analysis,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self-rating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depression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scale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(SDS)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self-rating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anxiety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scale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(SAS)</w:t>
      </w:r>
      <w:r>
        <w:rPr>
          <w:color w:val="231F20"/>
        </w:rPr>
        <w:t xml:space="preserve"> </w:t>
      </w:r>
      <w:r>
        <w:rPr>
          <w:color w:val="231F20"/>
        </w:rPr>
        <w:t>scores 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patients in group B after nursing were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lower than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those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before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nursing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group A. Ther</w:t>
      </w:r>
      <w:r>
        <w:rPr>
          <w:color w:val="231F20"/>
          <w:spacing w:val="-1"/>
        </w:rPr>
        <w:t>e was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signiﬁcant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difference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statistically</w:t>
      </w:r>
      <w:r>
        <w:rPr>
          <w:color w:val="231F20"/>
        </w:rPr>
        <w:t xml:space="preserve"> </w:t>
      </w:r>
      <w:r>
        <w:rPr>
          <w:color w:val="231F20"/>
        </w:rPr>
        <w:t>signiﬁcant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(</w:t>
      </w:r>
      <w:r>
        <w:rPr>
          <w:i/>
          <w:iCs/>
          <w:color w:val="231F20"/>
        </w:rPr>
        <w:t>P</w:t>
      </w:r>
      <w:r>
        <w:rPr>
          <w:rFonts w:ascii="SimSun" w:hAnsi="SimSun" w:eastAsia="SimSun" w:cs="SimSun"/>
          <w:color w:val="231F20"/>
        </w:rPr>
        <w:t>＜</w:t>
      </w:r>
      <w:r>
        <w:rPr>
          <w:color w:val="231F20"/>
        </w:rPr>
        <w:t>0.05);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nursing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of group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B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disappearance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ti</w:t>
      </w:r>
      <w:r>
        <w:rPr>
          <w:color w:val="231F20"/>
          <w:spacing w:val="-1"/>
        </w:rPr>
        <w:t>me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of abdominal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pain,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high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fever,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nausea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vomiting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shorter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those</w:t>
      </w:r>
      <w:r>
        <w:rPr>
          <w:color w:val="231F20"/>
        </w:rPr>
        <w:t xml:space="preserve"> </w:t>
      </w:r>
      <w:r>
        <w:rPr>
          <w:color w:val="231F20"/>
        </w:rPr>
        <w:t>of group A patients,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statistically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signiﬁcant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(</w:t>
      </w:r>
      <w:r>
        <w:rPr>
          <w:i/>
          <w:iCs/>
          <w:color w:val="231F20"/>
        </w:rPr>
        <w:t>P</w:t>
      </w:r>
      <w:r>
        <w:rPr>
          <w:rFonts w:ascii="SimSun" w:hAnsi="SimSun" w:eastAsia="SimSun" w:cs="SimSun"/>
          <w:color w:val="231F20"/>
        </w:rPr>
        <w:t>＜</w:t>
      </w:r>
      <w:r>
        <w:rPr>
          <w:color w:val="231F20"/>
        </w:rPr>
        <w:t>0.</w:t>
      </w:r>
      <w:r>
        <w:rPr>
          <w:color w:val="231F20"/>
          <w:spacing w:val="-1"/>
        </w:rPr>
        <w:t>05);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nursing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satisfaction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of group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B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(95.92%)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signiﬁcantly</w:t>
      </w:r>
      <w:r>
        <w:rPr>
          <w:color w:val="231F20"/>
        </w:rPr>
        <w:t xml:space="preserve">  </w:t>
      </w:r>
      <w:r>
        <w:rPr>
          <w:color w:val="231F20"/>
        </w:rPr>
        <w:t>higher than that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 group A (8</w:t>
      </w:r>
      <w:r>
        <w:rPr>
          <w:color w:val="231F20"/>
          <w:spacing w:val="-1"/>
        </w:rPr>
        <w:t>1.63%), 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difference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statistically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signiﬁcant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(</w:t>
      </w:r>
      <w:r>
        <w:rPr>
          <w:i/>
          <w:iCs/>
          <w:color w:val="231F20"/>
          <w:spacing w:val="-1"/>
        </w:rPr>
        <w:t>x</w:t>
      </w:r>
      <w:r>
        <w:rPr>
          <w:sz w:val="9"/>
          <w:szCs w:val="9"/>
          <w:color w:val="231F20"/>
          <w:spacing w:val="-1"/>
          <w:position w:val="7"/>
        </w:rPr>
        <w:t>2 </w:t>
      </w:r>
      <w:r>
        <w:rPr>
          <w:rFonts w:ascii="Microsoft YaHei" w:hAnsi="Microsoft YaHei" w:eastAsia="Microsoft YaHei" w:cs="Microsoft YaHei"/>
          <w:color w:val="231F20"/>
          <w:spacing w:val="-1"/>
        </w:rPr>
        <w:t>＝</w:t>
      </w:r>
      <w:r>
        <w:rPr>
          <w:color w:val="231F20"/>
          <w:spacing w:val="-1"/>
        </w:rPr>
        <w:t>5.018, </w:t>
      </w:r>
      <w:r>
        <w:rPr>
          <w:i/>
          <w:iCs/>
          <w:color w:val="231F20"/>
          <w:spacing w:val="-1"/>
        </w:rPr>
        <w:t>P</w:t>
      </w:r>
      <w:r>
        <w:rPr>
          <w:rFonts w:ascii="SimSun" w:hAnsi="SimSun" w:eastAsia="SimSun" w:cs="SimSun"/>
          <w:color w:val="231F20"/>
          <w:spacing w:val="-1"/>
        </w:rPr>
        <w:t>＜</w:t>
      </w:r>
      <w:r>
        <w:rPr>
          <w:color w:val="231F20"/>
          <w:spacing w:val="-1"/>
        </w:rPr>
        <w:t>0.05).</w:t>
      </w:r>
      <w:r>
        <w:rPr>
          <w:color w:val="231F20"/>
          <w:spacing w:val="13"/>
        </w:rPr>
        <w:t xml:space="preserve"> </w:t>
      </w:r>
      <w:r>
        <w:rPr>
          <w:color w:val="2E3092"/>
          <w:spacing w:val="-1"/>
        </w:rPr>
        <w:t>Conclusion</w:t>
      </w:r>
      <w:r>
        <w:rPr>
          <w:color w:val="2E3092"/>
          <w:spacing w:val="11"/>
          <w:w w:val="102"/>
        </w:rPr>
        <w:t xml:space="preserve"> </w:t>
      </w:r>
      <w:r>
        <w:rPr>
          <w:color w:val="231F20"/>
          <w:spacing w:val="-1"/>
        </w:rPr>
        <w:t>Taking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high-quality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nursing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care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gastroenteritis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very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good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results,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can better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improve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 patients' bad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mood,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improve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their nursing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satisfaction.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It</w:t>
      </w:r>
      <w:r>
        <w:rPr>
          <w:color w:val="231F20"/>
        </w:rPr>
        <w:t xml:space="preserve"> </w:t>
      </w:r>
      <w:r>
        <w:rPr>
          <w:color w:val="231F20"/>
        </w:rPr>
        <w:t>has certain clinical promotion and application value.</w:t>
      </w:r>
    </w:p>
    <w:p>
      <w:pPr>
        <w:pStyle w:val="BodyText"/>
        <w:ind w:left="1005"/>
        <w:spacing w:before="9" w:line="210" w:lineRule="exact"/>
        <w:rPr/>
      </w:pPr>
      <w:r>
        <w:rPr>
          <w:color w:val="2E3092"/>
          <w:position w:val="2"/>
        </w:rPr>
        <w:t>[</w:t>
      </w:r>
      <w:r>
        <w:rPr>
          <w:color w:val="2E3092"/>
          <w:spacing w:val="-18"/>
          <w:position w:val="2"/>
        </w:rPr>
        <w:t xml:space="preserve"> </w:t>
      </w:r>
      <w:r>
        <w:rPr>
          <w:color w:val="2E3092"/>
          <w:position w:val="2"/>
        </w:rPr>
        <w:t>Key words</w:t>
      </w:r>
      <w:r>
        <w:rPr>
          <w:color w:val="2E3092"/>
          <w:spacing w:val="-14"/>
          <w:position w:val="2"/>
        </w:rPr>
        <w:t xml:space="preserve"> </w:t>
      </w:r>
      <w:r>
        <w:rPr>
          <w:color w:val="2E3092"/>
          <w:position w:val="2"/>
        </w:rPr>
        <w:t>]</w:t>
      </w:r>
      <w:r>
        <w:rPr>
          <w:color w:val="2E3092"/>
          <w:spacing w:val="-14"/>
          <w:position w:val="2"/>
        </w:rPr>
        <w:t xml:space="preserve"> </w:t>
      </w:r>
      <w:r>
        <w:rPr>
          <w:color w:val="231F20"/>
          <w:position w:val="2"/>
        </w:rPr>
        <w:t>acute gastroenteritis; high-quality nursing; psychological </w:t>
      </w:r>
      <w:r>
        <w:rPr>
          <w:color w:val="231F20"/>
          <w:spacing w:val="-1"/>
          <w:position w:val="2"/>
        </w:rPr>
        <w:t>state; nursing satisfaction</w:t>
      </w:r>
    </w:p>
    <w:p>
      <w:pPr>
        <w:spacing w:line="151" w:lineRule="exact"/>
        <w:rPr/>
      </w:pPr>
      <w:r/>
    </w:p>
    <w:p>
      <w:pPr>
        <w:spacing w:line="151" w:lineRule="exact"/>
        <w:sectPr>
          <w:headerReference w:type="default" r:id="rId1"/>
          <w:pgSz w:w="11906" w:h="16158"/>
          <w:pgMar w:top="1240" w:right="1114" w:bottom="0" w:left="407" w:header="993" w:footer="0" w:gutter="0"/>
          <w:cols w:equalWidth="0" w:num="1">
            <w:col w:w="10383" w:space="0"/>
          </w:cols>
        </w:sectPr>
        <w:rPr/>
      </w:pPr>
    </w:p>
    <w:p>
      <w:pPr>
        <w:pStyle w:val="BodyText"/>
        <w:ind w:left="614" w:right="186" w:firstLine="364"/>
        <w:spacing w:before="86" w:line="17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急性胃肠炎是临床上一种发病率比较高的急性病症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，此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病通常是因饮食不节、暴饮暴食等所致；  一旦患病，将出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现腹痛、腹泻、恶心呕吐等症状，继而对患者的生存质量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及身体健康造成极大影响</w:t>
      </w:r>
      <w:r>
        <w:rPr>
          <w:sz w:val="10"/>
          <w:szCs w:val="10"/>
          <w:color w:val="231F20"/>
          <w:spacing w:val="3"/>
          <w:position w:val="8"/>
        </w:rPr>
        <w:t>[1]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。对于此病的治疗，通常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是采取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药物、手术等方式加以治疗，除此之外，还应采取相应的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护理措施与之相配合，以便能缓解患者的不良情绪，保证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"/>
        <w:spacing w:before="44" w:line="180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各项治疗措施的顺利进行</w:t>
      </w:r>
      <w:r>
        <w:rPr>
          <w:sz w:val="10"/>
          <w:szCs w:val="10"/>
          <w:color w:val="231F20"/>
          <w:spacing w:val="3"/>
          <w:position w:val="8"/>
        </w:rPr>
        <w:t>[2]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。现本次研究将对本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院于</w:t>
      </w:r>
      <w:r>
        <w:rPr>
          <w:sz w:val="18"/>
          <w:szCs w:val="18"/>
          <w:color w:val="231F20"/>
          <w:spacing w:val="2"/>
        </w:rPr>
        <w:t>2020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年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4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月</w:t>
      </w:r>
      <w:r>
        <w:rPr>
          <w:rFonts w:ascii="SimSun" w:hAnsi="SimSun" w:eastAsia="SimSun" w:cs="SimSun"/>
          <w:sz w:val="18"/>
          <w:szCs w:val="18"/>
          <w:color w:val="231F20"/>
        </w:rPr>
        <w:t>～</w:t>
      </w:r>
      <w:r>
        <w:rPr>
          <w:sz w:val="18"/>
          <w:szCs w:val="18"/>
          <w:color w:val="231F20"/>
        </w:rPr>
        <w:t>2021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年</w:t>
      </w:r>
      <w:r>
        <w:rPr>
          <w:sz w:val="18"/>
          <w:szCs w:val="18"/>
          <w:color w:val="231F20"/>
        </w:rPr>
        <w:t>3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月收治的</w:t>
      </w:r>
      <w:r>
        <w:rPr>
          <w:sz w:val="18"/>
          <w:szCs w:val="18"/>
          <w:color w:val="231F20"/>
        </w:rPr>
        <w:t>49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例急性肠胃炎患者实施优质护理，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以探析该种护理措施的临床运用价值。现将具体的研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究情况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报道如下。</w:t>
      </w:r>
    </w:p>
    <w:p>
      <w:pPr>
        <w:ind w:left="2"/>
        <w:spacing w:before="1" w:line="16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E3092"/>
          <w:spacing w:val="-4"/>
        </w:rPr>
        <w:t>1  资料与方法</w:t>
      </w:r>
    </w:p>
    <w:p>
      <w:pPr>
        <w:ind w:left="1"/>
        <w:spacing w:line="171" w:lineRule="auto"/>
        <w:outlineLvl w:val="1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4" style="position:absolute;margin-left:50.2963pt;margin-top:12.6072pt;mso-position-vertical-relative:text;mso-position-horizontal-relative:text;width:4pt;height:0.45pt;z-index:-251658240;" filled="false" strokecolor="#2E3092" strokeweight="0.43pt" coordsize="80,8" coordorigin="0,0" path="m0,4l79,4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1.1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一般资料</w:t>
      </w:r>
    </w:p>
    <w:p>
      <w:pPr>
        <w:spacing w:line="171" w:lineRule="auto"/>
        <w:sectPr>
          <w:type w:val="continuous"/>
          <w:pgSz w:w="11906" w:h="16158"/>
          <w:pgMar w:top="1240" w:right="1114" w:bottom="0" w:left="407" w:header="993" w:footer="0" w:gutter="0"/>
          <w:cols w:equalWidth="0" w:num="2">
            <w:col w:w="5533" w:space="100"/>
            <w:col w:w="4751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ind w:left="3835"/>
        <w:spacing w:before="1" w:line="18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-3"/>
        </w:rPr>
        <w:t>表1  两组患者临床资料相比较（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6"/>
        </w:rPr>
        <w:t xml:space="preserve"> </w:t>
      </w:r>
      <w:r>
        <w:rPr>
          <w:sz w:val="18"/>
          <w:szCs w:val="18"/>
          <w:i/>
          <w:iCs/>
          <w:color w:val="2E3092"/>
          <w:spacing w:val="-3"/>
        </w:rPr>
        <w:t>n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-3"/>
        </w:rPr>
        <w:t>，</w:t>
      </w:r>
      <w:r>
        <w:rPr>
          <w:sz w:val="18"/>
          <w:szCs w:val="18"/>
          <w:i/>
          <w:iCs/>
          <w:color w:val="2E3092"/>
          <w:spacing w:val="-3"/>
        </w:rPr>
        <w:t>x</w:t>
      </w:r>
      <w:r>
        <w:rPr>
          <w:sz w:val="18"/>
          <w:szCs w:val="18"/>
          <w:i/>
          <w:iCs/>
          <w:color w:val="2E3092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-3"/>
        </w:rPr>
        <w:t>±</w:t>
      </w:r>
      <w:r>
        <w:rPr>
          <w:sz w:val="18"/>
          <w:szCs w:val="18"/>
          <w:i/>
          <w:iCs/>
          <w:color w:val="2E3092"/>
          <w:spacing w:val="-3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-3"/>
        </w:rPr>
        <w:t>）</w:t>
      </w:r>
    </w:p>
    <w:tbl>
      <w:tblPr>
        <w:tblStyle w:val="TableNormal"/>
        <w:tblW w:w="9757" w:type="dxa"/>
        <w:tblInd w:w="60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9"/>
        <w:gridCol w:w="1817"/>
        <w:gridCol w:w="1302"/>
        <w:gridCol w:w="616"/>
        <w:gridCol w:w="2125"/>
        <w:gridCol w:w="2888"/>
      </w:tblGrid>
      <w:tr>
        <w:trPr>
          <w:trHeight w:val="214" w:hRule="atLeast"/>
        </w:trPr>
        <w:tc>
          <w:tcPr>
            <w:tcW w:w="1009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9"/>
              <w:spacing w:before="28" w:line="17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  <w:position w:val="-1"/>
              </w:rPr>
              <w:t>组别</w:t>
            </w:r>
          </w:p>
        </w:tc>
        <w:tc>
          <w:tcPr>
            <w:tcW w:w="1817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694"/>
              <w:spacing w:before="27" w:line="17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  <w:position w:val="-1"/>
              </w:rPr>
              <w:t>例数</w:t>
            </w:r>
          </w:p>
        </w:tc>
        <w:tc>
          <w:tcPr>
            <w:tcW w:w="1302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92"/>
              <w:spacing w:before="27" w:line="17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  <w:w w:val="98"/>
                <w:position w:val="1"/>
              </w:rPr>
              <w:t>男女比例</w:t>
            </w:r>
          </w:p>
        </w:tc>
        <w:tc>
          <w:tcPr>
            <w:tcW w:w="2741" w:type="dxa"/>
            <w:vAlign w:val="top"/>
            <w:gridSpan w:val="2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971"/>
              <w:spacing w:before="24" w:line="15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3"/>
              </w:rPr>
              <w:t>年龄（岁）</w:t>
            </w:r>
          </w:p>
        </w:tc>
        <w:tc>
          <w:tcPr>
            <w:tcW w:w="2888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989"/>
              <w:spacing w:before="1" w:line="17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2"/>
              </w:rPr>
              <w:t>发病时间（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2"/>
              </w:rPr>
              <w:t>h</w:t>
            </w:r>
            <w:r>
              <w:rPr>
                <w:sz w:val="16"/>
                <w:szCs w:val="16"/>
                <w:color w:val="231F20"/>
                <w:spacing w:val="-12"/>
              </w:rPr>
              <w:t>）</w:t>
            </w:r>
          </w:p>
        </w:tc>
      </w:tr>
      <w:tr>
        <w:trPr>
          <w:trHeight w:val="211" w:hRule="atLeast"/>
        </w:trPr>
        <w:tc>
          <w:tcPr>
            <w:tcW w:w="100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"/>
              <w:spacing w:before="30" w:line="17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9"/>
              </w:rPr>
              <w:t>甲组</w:t>
            </w:r>
          </w:p>
        </w:tc>
        <w:tc>
          <w:tcPr>
            <w:tcW w:w="1817" w:type="dxa"/>
            <w:vAlign w:val="top"/>
            <w:tcBorders>
              <w:top w:val="single" w:color="231F20" w:sz="2" w:space="0"/>
            </w:tcBorders>
          </w:tcPr>
          <w:p>
            <w:pPr>
              <w:ind w:left="773"/>
              <w:spacing w:before="5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49</w:t>
            </w:r>
          </w:p>
        </w:tc>
        <w:tc>
          <w:tcPr>
            <w:tcW w:w="13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2"/>
              <w:spacing w:before="22" w:line="179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4"/>
              </w:rPr>
              <w:t>27 </w:t>
            </w:r>
            <w:r>
              <w:rPr>
                <w:sz w:val="16"/>
                <w:szCs w:val="16"/>
                <w:color w:val="231F20"/>
                <w:spacing w:val="-14"/>
              </w:rPr>
              <w:t>∶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4"/>
              </w:rPr>
              <w:t>22</w:t>
            </w:r>
          </w:p>
        </w:tc>
        <w:tc>
          <w:tcPr>
            <w:tcW w:w="2741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620"/>
              <w:spacing w:before="22" w:line="179" w:lineRule="exac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0"/>
                <w:position w:val="1"/>
              </w:rPr>
              <w:t>22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10"/>
                <w:position w:val="1"/>
              </w:rPr>
              <w:t>～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0"/>
                <w:position w:val="1"/>
              </w:rPr>
              <w:t>69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0"/>
                <w:position w:val="1"/>
              </w:rPr>
              <w:t>40.36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10"/>
                <w:position w:val="1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0"/>
                <w:position w:val="1"/>
              </w:rPr>
              <w:t>3.19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>）</w:t>
            </w:r>
          </w:p>
        </w:tc>
        <w:tc>
          <w:tcPr>
            <w:tcW w:w="28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93"/>
              <w:spacing w:before="22" w:line="179" w:lineRule="exac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  <w:position w:val="1"/>
              </w:rPr>
              <w:t>3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11"/>
                <w:position w:val="1"/>
              </w:rPr>
              <w:t>～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  <w:position w:val="1"/>
              </w:rPr>
              <w:t>20</w:t>
            </w:r>
            <w:r>
              <w:rPr>
                <w:sz w:val="16"/>
                <w:szCs w:val="16"/>
                <w:color w:val="231F20"/>
                <w:spacing w:val="-11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  <w:position w:val="1"/>
              </w:rPr>
              <w:t>10.26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11"/>
                <w:position w:val="1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  <w:position w:val="1"/>
              </w:rPr>
              <w:t>0.37</w:t>
            </w:r>
            <w:r>
              <w:rPr>
                <w:sz w:val="16"/>
                <w:szCs w:val="16"/>
                <w:color w:val="231F20"/>
                <w:spacing w:val="-11"/>
                <w:position w:val="1"/>
              </w:rPr>
              <w:t>）</w:t>
            </w:r>
          </w:p>
        </w:tc>
      </w:tr>
      <w:tr>
        <w:trPr>
          <w:trHeight w:val="213" w:hRule="atLeast"/>
        </w:trPr>
        <w:tc>
          <w:tcPr>
            <w:tcW w:w="1009" w:type="dxa"/>
            <w:vAlign w:val="top"/>
          </w:tcPr>
          <w:p>
            <w:pPr>
              <w:pStyle w:val="TableText"/>
              <w:ind w:left="18"/>
              <w:spacing w:before="38" w:line="16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  <w:position w:val="-2"/>
              </w:rPr>
              <w:t>乙组</w:t>
            </w:r>
          </w:p>
        </w:tc>
        <w:tc>
          <w:tcPr>
            <w:tcW w:w="1817" w:type="dxa"/>
            <w:vAlign w:val="top"/>
          </w:tcPr>
          <w:p>
            <w:pPr>
              <w:ind w:left="773"/>
              <w:spacing w:before="58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49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190"/>
              <w:spacing w:before="28" w:line="174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5"/>
              </w:rPr>
              <w:t>26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5"/>
              </w:rPr>
              <w:t>∶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5"/>
              </w:rPr>
              <w:t>23</w:t>
            </w:r>
          </w:p>
        </w:tc>
        <w:tc>
          <w:tcPr>
            <w:tcW w:w="2741" w:type="dxa"/>
            <w:vAlign w:val="top"/>
            <w:gridSpan w:val="2"/>
          </w:tcPr>
          <w:p>
            <w:pPr>
              <w:pStyle w:val="TableText"/>
              <w:ind w:left="620"/>
              <w:spacing w:before="28" w:line="174" w:lineRule="exac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0"/>
                <w:position w:val="1"/>
              </w:rPr>
              <w:t>21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10"/>
                <w:position w:val="1"/>
              </w:rPr>
              <w:t>～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0"/>
                <w:position w:val="1"/>
              </w:rPr>
              <w:t>70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0"/>
                <w:position w:val="1"/>
              </w:rPr>
              <w:t>40.54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10"/>
                <w:position w:val="1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0"/>
                <w:position w:val="1"/>
              </w:rPr>
              <w:t>2.65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>）</w:t>
            </w:r>
          </w:p>
        </w:tc>
        <w:tc>
          <w:tcPr>
            <w:tcW w:w="2888" w:type="dxa"/>
            <w:vAlign w:val="top"/>
          </w:tcPr>
          <w:p>
            <w:pPr>
              <w:pStyle w:val="TableText"/>
              <w:ind w:left="791"/>
              <w:spacing w:before="28" w:line="174" w:lineRule="exac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  <w:position w:val="1"/>
              </w:rPr>
              <w:t>2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11"/>
                <w:position w:val="1"/>
              </w:rPr>
              <w:t>～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  <w:position w:val="1"/>
              </w:rPr>
              <w:t>23</w:t>
            </w:r>
            <w:r>
              <w:rPr>
                <w:sz w:val="16"/>
                <w:szCs w:val="16"/>
                <w:color w:val="231F20"/>
                <w:spacing w:val="-11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  <w:position w:val="1"/>
              </w:rPr>
              <w:t>10.15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11"/>
                <w:position w:val="1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  <w:position w:val="1"/>
              </w:rPr>
              <w:t>0.42</w:t>
            </w:r>
            <w:r>
              <w:rPr>
                <w:sz w:val="16"/>
                <w:szCs w:val="16"/>
                <w:color w:val="231F20"/>
                <w:spacing w:val="-11"/>
                <w:position w:val="1"/>
              </w:rPr>
              <w:t>）</w:t>
            </w:r>
          </w:p>
        </w:tc>
      </w:tr>
      <w:tr>
        <w:trPr>
          <w:trHeight w:val="224" w:hRule="atLeast"/>
        </w:trPr>
        <w:tc>
          <w:tcPr>
            <w:tcW w:w="1009" w:type="dxa"/>
            <w:vAlign w:val="top"/>
          </w:tcPr>
          <w:p>
            <w:pPr>
              <w:spacing w:before="8" w:line="205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1"/>
              </w:rPr>
              <w:t>x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"/>
                <w:position w:val="7"/>
              </w:rPr>
              <w:t>2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"/>
              </w:rPr>
              <w:t>/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1"/>
              </w:rPr>
              <w:t>t</w:t>
            </w:r>
          </w:p>
        </w:tc>
        <w:tc>
          <w:tcPr>
            <w:tcW w:w="1817" w:type="dxa"/>
            <w:vAlign w:val="top"/>
          </w:tcPr>
          <w:p>
            <w:pPr>
              <w:spacing w:line="213" w:lineRule="exact"/>
              <w:rPr>
                <w:rFonts w:ascii="Arial"/>
                <w:sz w:val="18"/>
              </w:rPr>
            </w:pPr>
            <w:r/>
          </w:p>
        </w:tc>
        <w:tc>
          <w:tcPr>
            <w:tcW w:w="1302" w:type="dxa"/>
            <w:vAlign w:val="top"/>
          </w:tcPr>
          <w:p>
            <w:pPr>
              <w:ind w:left="224"/>
              <w:spacing w:before="61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0.041</w:t>
            </w:r>
          </w:p>
        </w:tc>
        <w:tc>
          <w:tcPr>
            <w:tcW w:w="2741" w:type="dxa"/>
            <w:vAlign w:val="top"/>
            <w:gridSpan w:val="2"/>
          </w:tcPr>
          <w:p>
            <w:pPr>
              <w:ind w:left="1156"/>
              <w:spacing w:before="61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5"/>
              </w:rPr>
              <w:t>0.304</w:t>
            </w:r>
          </w:p>
        </w:tc>
        <w:tc>
          <w:tcPr>
            <w:tcW w:w="2888" w:type="dxa"/>
            <w:vAlign w:val="top"/>
          </w:tcPr>
          <w:p>
            <w:pPr>
              <w:ind w:left="1314"/>
              <w:spacing w:before="61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</w:rPr>
              <w:t>1.376</w:t>
            </w:r>
          </w:p>
        </w:tc>
      </w:tr>
      <w:tr>
        <w:trPr>
          <w:trHeight w:val="213" w:hRule="atLeast"/>
        </w:trPr>
        <w:tc>
          <w:tcPr>
            <w:tcW w:w="1009" w:type="dxa"/>
            <w:vAlign w:val="top"/>
            <w:tcBorders>
              <w:bottom w:val="single" w:color="231F20" w:sz="4" w:space="0"/>
            </w:tcBorders>
          </w:tcPr>
          <w:p>
            <w:pPr>
              <w:ind w:left="2"/>
              <w:spacing w:before="52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1817" w:type="dxa"/>
            <w:vAlign w:val="top"/>
            <w:tcBorders>
              <w:bottom w:val="single" w:color="231F20" w:sz="4" w:space="0"/>
            </w:tcBorders>
          </w:tcPr>
          <w:p>
            <w:pPr>
              <w:spacing w:line="202" w:lineRule="exact"/>
              <w:rPr>
                <w:rFonts w:ascii="Arial"/>
                <w:sz w:val="17"/>
              </w:rPr>
            </w:pPr>
            <w:r/>
          </w:p>
        </w:tc>
        <w:tc>
          <w:tcPr>
            <w:tcW w:w="1302" w:type="dxa"/>
            <w:vAlign w:val="top"/>
            <w:tcBorders>
              <w:bottom w:val="single" w:color="231F20" w:sz="4" w:space="0"/>
            </w:tcBorders>
          </w:tcPr>
          <w:p>
            <w:pPr>
              <w:ind w:left="226"/>
              <w:spacing w:before="5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4"/>
              </w:rPr>
              <w:t>0.839</w:t>
            </w:r>
          </w:p>
        </w:tc>
        <w:tc>
          <w:tcPr>
            <w:tcW w:w="2741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ind w:left="1162"/>
              <w:spacing w:before="5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6"/>
              </w:rPr>
              <w:t>0.762</w:t>
            </w:r>
          </w:p>
        </w:tc>
        <w:tc>
          <w:tcPr>
            <w:tcW w:w="2888" w:type="dxa"/>
            <w:vAlign w:val="top"/>
            <w:tcBorders>
              <w:bottom w:val="single" w:color="231F20" w:sz="4" w:space="0"/>
            </w:tcBorders>
          </w:tcPr>
          <w:p>
            <w:pPr>
              <w:ind w:left="1296"/>
              <w:spacing w:before="5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7"/>
              </w:rPr>
              <w:t>0.172</w:t>
            </w:r>
          </w:p>
        </w:tc>
      </w:tr>
      <w:tr>
        <w:trPr>
          <w:trHeight w:val="2848" w:hRule="atLeast"/>
        </w:trPr>
        <w:tc>
          <w:tcPr>
            <w:tcW w:w="4744" w:type="dxa"/>
            <w:vAlign w:val="top"/>
            <w:gridSpan w:val="4"/>
            <w:tcBorders>
              <w:top w:val="single" w:color="231F20" w:sz="4" w:space="0"/>
            </w:tcBorders>
          </w:tcPr>
          <w:p>
            <w:pPr>
              <w:pStyle w:val="TableText"/>
              <w:ind w:left="8" w:right="3" w:firstLine="360"/>
              <w:spacing w:before="111" w:line="176" w:lineRule="auto"/>
              <w:jc w:val="both"/>
              <w:rPr/>
            </w:pPr>
            <w:r>
              <w:rPr>
                <w:color w:val="231F20"/>
                <w:spacing w:val="14"/>
              </w:rPr>
              <w:t>本次研究共有观察对象</w:t>
            </w:r>
            <w:r>
              <w:rPr>
                <w:rFonts w:ascii="Times New Roman" w:hAnsi="Times New Roman" w:eastAsia="Times New Roman" w:cs="Times New Roman"/>
                <w:color w:val="231F20"/>
                <w:spacing w:val="14"/>
              </w:rPr>
              <w:t>98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14"/>
              </w:rPr>
              <w:t>例，均抽选自本院</w:t>
            </w:r>
            <w:r>
              <w:rPr>
                <w:rFonts w:ascii="Times New Roman" w:hAnsi="Times New Roman" w:eastAsia="Times New Roman" w:cs="Times New Roman"/>
                <w:color w:val="231F20"/>
                <w:spacing w:val="14"/>
              </w:rPr>
              <w:t>2020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14"/>
              </w:rPr>
              <w:t>年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4</w:t>
            </w:r>
            <w:r>
              <w:rPr>
                <w:color w:val="231F20"/>
                <w:spacing w:val="2"/>
              </w:rPr>
              <w:t>月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～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2021</w:t>
            </w:r>
            <w:r>
              <w:rPr>
                <w:color w:val="231F20"/>
                <w:spacing w:val="2"/>
              </w:rPr>
              <w:t>年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3</w:t>
            </w:r>
            <w:r>
              <w:rPr>
                <w:color w:val="231F20"/>
                <w:spacing w:val="2"/>
              </w:rPr>
              <w:t>月所收治的急性肠胃炎患者，</w:t>
            </w:r>
            <w:r>
              <w:rPr>
                <w:color w:val="231F20"/>
                <w:spacing w:val="1"/>
              </w:rPr>
              <w:t>将所有患者均分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为甲组与乙组，每组各有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>49</w:t>
            </w:r>
            <w:r>
              <w:rPr>
                <w:color w:val="231F20"/>
                <w:spacing w:val="9"/>
              </w:rPr>
              <w:t>例患者，甲组采取常</w:t>
            </w:r>
            <w:r>
              <w:rPr>
                <w:color w:val="231F20"/>
                <w:spacing w:val="8"/>
              </w:rPr>
              <w:t>规护理措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施，乙组采取优质护理措施。所有患者通过临床检查与诊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断，确诊为急性肠胃炎；排除精神异常者、沟通障碍者</w:t>
            </w:r>
            <w:r>
              <w:rPr>
                <w:color w:val="231F20"/>
                <w:spacing w:val="1"/>
              </w:rPr>
              <w:t>、合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并其他消化疾病者；妊娠期或哺乳期女性等。按随机数</w:t>
            </w:r>
            <w:r>
              <w:rPr>
                <w:color w:val="231F20"/>
                <w:spacing w:val="1"/>
              </w:rPr>
              <w:t>字表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法，将上述观察对象分作两个小组，即甲组与乙组。两</w:t>
            </w:r>
            <w:r>
              <w:rPr>
                <w:color w:val="231F20"/>
                <w:spacing w:val="1"/>
              </w:rPr>
              <w:t>组患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者临床资料相比较，具体详情见表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1</w:t>
            </w:r>
            <w:r>
              <w:rPr>
                <w:color w:val="231F20"/>
                <w:spacing w:val="5"/>
              </w:rPr>
              <w:t>所示，差异无统计学意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5"/>
              </w:rPr>
              <w:t>义，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5"/>
              </w:rPr>
              <w:t>P</w:t>
            </w:r>
            <w:r>
              <w:rPr>
                <w:rFonts w:ascii="SimSun" w:hAnsi="SimSun" w:eastAsia="SimSun" w:cs="SimSun"/>
                <w:color w:val="231F20"/>
                <w:spacing w:val="5"/>
              </w:rPr>
              <w:t>＞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0.05</w:t>
            </w:r>
            <w:r>
              <w:rPr>
                <w:color w:val="231F20"/>
                <w:spacing w:val="5"/>
              </w:rPr>
              <w:t>，存在可比性。此项研究已经征得医院伦理委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员会的认可。患者及其家属对此项研究知情，且同意参与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研究。</w:t>
            </w:r>
          </w:p>
        </w:tc>
        <w:tc>
          <w:tcPr>
            <w:tcW w:w="5013" w:type="dxa"/>
            <w:vAlign w:val="top"/>
            <w:gridSpan w:val="2"/>
            <w:tcBorders>
              <w:top w:val="single" w:color="231F20" w:sz="4" w:space="0"/>
            </w:tcBorders>
          </w:tcPr>
          <w:p>
            <w:pPr>
              <w:pStyle w:val="TableText"/>
              <w:ind w:left="284"/>
              <w:spacing w:before="104" w:line="177" w:lineRule="auto"/>
              <w:rPr/>
            </w:pPr>
            <w:r>
              <w:rPr>
                <w:color w:val="231F20"/>
              </w:rPr>
              <w:t>1.2</w:t>
            </w:r>
            <w:r>
              <w:rPr>
                <w:color w:val="231F20"/>
                <w:spacing w:val="54"/>
              </w:rPr>
              <w:t xml:space="preserve"> </w:t>
            </w:r>
            <w:r>
              <w:rPr>
                <w:color w:val="231F20"/>
              </w:rPr>
              <w:t>方法</w:t>
            </w:r>
          </w:p>
          <w:p>
            <w:pPr>
              <w:pStyle w:val="TableText"/>
              <w:ind w:left="281" w:firstLine="382"/>
              <w:spacing w:before="3" w:line="174" w:lineRule="auto"/>
              <w:rPr/>
            </w:pPr>
            <w:r>
              <w:rPr>
                <w:color w:val="231F20"/>
                <w:spacing w:val="1"/>
              </w:rPr>
              <w:t>甲组：对该组患者予以常规护理措施，如对患者的体征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"/>
              </w:rPr>
              <w:t>及症状进行严密观察，若发现异常症状，需要第一时间</w:t>
            </w:r>
            <w:r>
              <w:rPr>
                <w:color w:val="231F20"/>
                <w:spacing w:val="1"/>
              </w:rPr>
              <w:t>告知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主治医师，以便做出及时应对，以防患者病情</w:t>
            </w:r>
            <w:r>
              <w:rPr>
                <w:color w:val="231F20"/>
              </w:rPr>
              <w:t>进一步恶化； </w:t>
            </w:r>
            <w:r>
              <w:rPr>
                <w:color w:val="231F20"/>
                <w:spacing w:val="2"/>
              </w:rPr>
              <w:t>对患者及其家属进行简单的宣教，告知其在疾病治疗期</w:t>
            </w:r>
            <w:r>
              <w:rPr>
                <w:color w:val="231F20"/>
                <w:spacing w:val="1"/>
              </w:rPr>
              <w:t>间需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注意的事项，同时叮嘱其应严格遵医嘱服用药</w:t>
            </w:r>
            <w:r>
              <w:rPr>
                <w:color w:val="231F20"/>
                <w:spacing w:val="-2"/>
              </w:rPr>
              <w:t>物。</w:t>
            </w:r>
          </w:p>
          <w:p>
            <w:pPr>
              <w:pStyle w:val="TableText"/>
              <w:ind w:left="281" w:firstLine="372"/>
              <w:spacing w:before="4" w:line="177" w:lineRule="auto"/>
              <w:rPr/>
            </w:pPr>
            <w:r>
              <w:rPr>
                <w:color w:val="231F20"/>
              </w:rPr>
              <w:t>乙组：对该组患者采取优质护理措施，具体措施如下。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2"/>
              </w:rPr>
              <w:t>①心理干预。患者由于疾病所引起的不适症状，往往会</w:t>
            </w:r>
            <w:r>
              <w:rPr>
                <w:color w:val="231F20"/>
                <w:spacing w:val="1"/>
              </w:rPr>
              <w:t>产生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一些不良情绪，如紧张、焦虑等；对此，护理人员应在</w:t>
            </w:r>
            <w:r>
              <w:rPr>
                <w:color w:val="231F20"/>
                <w:spacing w:val="1"/>
              </w:rPr>
              <w:t>日常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护理过程中多与患者交流，以了解其心理状况，若发现</w:t>
            </w:r>
            <w:r>
              <w:rPr>
                <w:color w:val="231F20"/>
                <w:spacing w:val="1"/>
              </w:rPr>
              <w:t>患者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存在不良情绪，应了解其原因，并对其进行针对性的心</w:t>
            </w:r>
            <w:r>
              <w:rPr>
                <w:color w:val="231F20"/>
                <w:spacing w:val="1"/>
              </w:rPr>
              <w:t>理疏</w:t>
            </w:r>
          </w:p>
        </w:tc>
      </w:tr>
    </w:tbl>
    <w:p>
      <w:pPr>
        <w:pStyle w:val="BodyText"/>
        <w:ind w:left="614"/>
        <w:spacing w:before="135" w:line="17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作者简介：郑娜（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1"/>
        </w:rPr>
        <w:t>1983.02-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），女，本科，主管护师，研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究方向：内科护理</w:t>
      </w:r>
    </w:p>
    <w:p>
      <w:pPr>
        <w:spacing w:line="179" w:lineRule="auto"/>
        <w:sectPr>
          <w:type w:val="continuous"/>
          <w:pgSz w:w="11906" w:h="16158"/>
          <w:pgMar w:top="1240" w:right="1114" w:bottom="0" w:left="407" w:header="993" w:footer="0" w:gutter="0"/>
          <w:cols w:equalWidth="0" w:num="1">
            <w:col w:w="10383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before="177"/>
        <w:rPr/>
      </w:pPr>
      <w:r/>
    </w:p>
    <w:p>
      <w:pPr>
        <w:sectPr>
          <w:headerReference w:type="default" r:id="rId2"/>
          <w:pgSz w:w="11906" w:h="16158"/>
          <w:pgMar w:top="1240" w:right="1019" w:bottom="0" w:left="407" w:header="993" w:footer="0" w:gutter="0"/>
          <w:cols w:equalWidth="0" w:num="1">
            <w:col w:w="10478" w:space="0"/>
          </w:cols>
        </w:sectPr>
        <w:rPr/>
      </w:pPr>
    </w:p>
    <w:p>
      <w:pPr>
        <w:pStyle w:val="BodyText"/>
        <w:ind w:left="728" w:right="175" w:firstLine="3"/>
        <w:spacing w:before="31" w:line="17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导</w:t>
      </w:r>
      <w:r>
        <w:rPr>
          <w:sz w:val="10"/>
          <w:szCs w:val="10"/>
          <w:color w:val="231F20"/>
          <w:spacing w:val="2"/>
          <w:position w:val="8"/>
        </w:rPr>
        <w:t>[3]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。此外，护理人员还可通过其他方式来缓解患者的不良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情绪，如在病房内播放患者喜欢的音乐，可引导患者观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看视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频、书籍等，以转移其注意力；又或者是向患者介绍一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些成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功治愈的案例，以提高患者疾病治疗的信心，从而更主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动地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配合医护人员的工作</w:t>
      </w:r>
      <w:r>
        <w:rPr>
          <w:sz w:val="10"/>
          <w:szCs w:val="10"/>
          <w:color w:val="231F20"/>
          <w:spacing w:val="6"/>
          <w:position w:val="7"/>
        </w:rPr>
        <w:t>[4-7]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。此外，护理人员还应叮嘱患者家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属多陪伴、多关心患者，使其切实感受到来自亲人的温暖。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②饮食干预。患者患病后其消化功能势必会受到一定的影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响，对此，护理人员应对患者进行饮食指导，告知其在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疾病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治疗期间不应进食辛辣、刺激、坚硬以及生冷的食物；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平时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应多食用米汤、白粥等食物，若其症状基本消退，则可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开始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进食一些半流质的食物，但是依然不可进食含有丰富蛋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白质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与脂肪的食物</w:t>
      </w:r>
      <w:r>
        <w:rPr>
          <w:sz w:val="10"/>
          <w:szCs w:val="10"/>
          <w:color w:val="231F20"/>
          <w:spacing w:val="3"/>
          <w:position w:val="8"/>
        </w:rPr>
        <w:t>[8]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。日常进食应坚持少量多餐，多食用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含有食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物纤维、维生素</w:t>
      </w:r>
      <w:r>
        <w:rPr>
          <w:sz w:val="18"/>
          <w:szCs w:val="18"/>
          <w:color w:val="231F20"/>
          <w:spacing w:val="4"/>
        </w:rPr>
        <w:t>B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以及多种微量元素等的食物；待其大便恢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复至正常状态之后，方可正常进食。此外，在患者进食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过程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中，应叮嘱其缓慢进食，以防发生呛咳事故。③疼痛干预。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护理人员可采取各种手段以减轻患者的疼痛症状，如热敷、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按摩等，若存在剧烈疼痛且难以忍受，可在医生的指导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下为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其予以止痛药。④用药干预。护理人员应严格遵医嘱对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患者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进行用药指导，向患者及其家属详细说明每一种药物的作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用、服用剂量、服用时间、注意事项以及可能出现的不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良反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应等，以确保其能按时、按量服用药物；此外，针对存在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发热症状的患者，可对其予以降温药物，且叮嘱其应多喝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水</w:t>
      </w:r>
      <w:r>
        <w:rPr>
          <w:sz w:val="10"/>
          <w:szCs w:val="10"/>
          <w:color w:val="231F20"/>
          <w:spacing w:val="2"/>
          <w:position w:val="8"/>
        </w:rPr>
        <w:t>[9]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。⑤出院后护理。患者出院前，护理人员应向患者说明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出院后应注意的事项；应通过各种方式如电话、微信等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进行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回访，以便及时掌握患者的病情变化，询问其出院后的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饮食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情况，对不良饮食习惯应予以纠正。最后，叮嘱患者定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期回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院复诊。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"/>
        <w:spacing w:before="72" w:line="16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1.3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观察指标</w:t>
      </w:r>
    </w:p>
    <w:p>
      <w:pPr>
        <w:pStyle w:val="BodyText"/>
        <w:ind w:firstLine="371"/>
        <w:spacing w:before="6" w:line="17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①采取抑郁自评量表（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rating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depression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scale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SDS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）对两组患者护理前后的抑郁情况进行评估，该评分的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分界值为</w:t>
      </w:r>
      <w:r>
        <w:rPr>
          <w:sz w:val="18"/>
          <w:szCs w:val="18"/>
          <w:color w:val="231F20"/>
          <w:spacing w:val="9"/>
        </w:rPr>
        <w:t>53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分，得分</w:t>
      </w:r>
      <w:r>
        <w:rPr>
          <w:rFonts w:ascii="SimSun" w:hAnsi="SimSun" w:eastAsia="SimSun" w:cs="SimSun"/>
          <w:sz w:val="18"/>
          <w:szCs w:val="18"/>
          <w:color w:val="231F20"/>
          <w:spacing w:val="9"/>
        </w:rPr>
        <w:t>＞</w:t>
      </w:r>
      <w:r>
        <w:rPr>
          <w:sz w:val="18"/>
          <w:szCs w:val="18"/>
          <w:color w:val="231F20"/>
          <w:spacing w:val="9"/>
        </w:rPr>
        <w:t>53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分表明患者存在抑郁症状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，且得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分越高，表明患者的抑郁症状越严重。采取焦虑自评量表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（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rating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anxiety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scale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，</w:t>
      </w:r>
      <w:r>
        <w:rPr>
          <w:sz w:val="18"/>
          <w:szCs w:val="18"/>
          <w:color w:val="231F20"/>
        </w:rPr>
        <w:t>SAS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）对两组患者护理前后的焦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虑状况加以判定，此项评分的分界值为</w:t>
      </w:r>
      <w:r>
        <w:rPr>
          <w:sz w:val="18"/>
          <w:szCs w:val="18"/>
          <w:color w:val="231F20"/>
          <w:spacing w:val="2"/>
        </w:rPr>
        <w:t>50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分，得分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＞</w:t>
      </w:r>
      <w:r>
        <w:rPr>
          <w:sz w:val="18"/>
          <w:szCs w:val="18"/>
          <w:color w:val="231F20"/>
          <w:spacing w:val="2"/>
        </w:rPr>
        <w:t>50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分，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意味着患者存在焦虑症状，且得分越高，则意味着患者的焦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虑症状越严重</w:t>
      </w:r>
      <w:r>
        <w:rPr>
          <w:sz w:val="10"/>
          <w:szCs w:val="10"/>
          <w:color w:val="231F20"/>
          <w:spacing w:val="1"/>
          <w:position w:val="8"/>
        </w:rPr>
        <w:t>[10]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。②对两组患者腹痛消失时间、高热消失时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间以及恶心呕吐消失时间等情况进行观察。③自拟护理满意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度问卷调查表，对患者的护理满意度情况进行评估。该调查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表的分值为</w:t>
      </w:r>
      <w:r>
        <w:rPr>
          <w:sz w:val="18"/>
          <w:szCs w:val="18"/>
          <w:color w:val="231F20"/>
          <w:spacing w:val="2"/>
        </w:rPr>
        <w:t>0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～</w:t>
      </w:r>
      <w:r>
        <w:rPr>
          <w:sz w:val="18"/>
          <w:szCs w:val="18"/>
          <w:color w:val="231F20"/>
          <w:spacing w:val="2"/>
        </w:rPr>
        <w:t>100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分，其中分数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≥</w:t>
      </w:r>
      <w:r>
        <w:rPr>
          <w:sz w:val="18"/>
          <w:szCs w:val="18"/>
          <w:color w:val="231F20"/>
          <w:spacing w:val="2"/>
        </w:rPr>
        <w:t>80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分为十分满意；分数在 </w:t>
      </w:r>
      <w:r>
        <w:rPr>
          <w:sz w:val="18"/>
          <w:szCs w:val="18"/>
          <w:color w:val="231F20"/>
          <w:spacing w:val="2"/>
        </w:rPr>
        <w:t>65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～</w:t>
      </w:r>
      <w:r>
        <w:rPr>
          <w:sz w:val="18"/>
          <w:szCs w:val="18"/>
          <w:color w:val="231F20"/>
          <w:spacing w:val="2"/>
        </w:rPr>
        <w:t>79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分，为较为满意；分数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≤</w:t>
      </w:r>
      <w:r>
        <w:rPr>
          <w:sz w:val="18"/>
          <w:szCs w:val="18"/>
          <w:color w:val="231F20"/>
          <w:spacing w:val="2"/>
        </w:rPr>
        <w:t>64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分为不满意。护理满意度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position w:val="-1"/>
        </w:rPr>
        <w:t>等于前两项发生率之和</w:t>
      </w:r>
      <w:r>
        <w:rPr>
          <w:sz w:val="10"/>
          <w:szCs w:val="10"/>
          <w:color w:val="231F20"/>
          <w:position w:val="6"/>
        </w:rPr>
        <w:t>[11]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position w:val="-1"/>
        </w:rPr>
        <w:t>。</w:t>
      </w:r>
    </w:p>
    <w:p>
      <w:pPr>
        <w:ind w:left="12"/>
        <w:spacing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1.4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统计学方法</w:t>
      </w:r>
    </w:p>
    <w:p>
      <w:pPr>
        <w:pStyle w:val="BodyText"/>
        <w:ind w:left="11" w:firstLine="359"/>
        <w:spacing w:before="1" w:line="17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本次研究采取统计学软件</w:t>
      </w:r>
      <w:r>
        <w:rPr>
          <w:sz w:val="18"/>
          <w:szCs w:val="18"/>
          <w:color w:val="231F20"/>
        </w:rPr>
        <w:t>SPSS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22.0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对所有数据展开分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析，其中，计数资料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color w:val="231F20"/>
          <w:spacing w:val="2"/>
        </w:rPr>
        <w:t>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百分比（</w:t>
      </w:r>
      <w:r>
        <w:rPr>
          <w:sz w:val="18"/>
          <w:szCs w:val="18"/>
          <w:color w:val="231F20"/>
          <w:spacing w:val="2"/>
        </w:rPr>
        <w:t>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）表示，</w:t>
      </w:r>
      <w:r>
        <w:rPr>
          <w:sz w:val="18"/>
          <w:szCs w:val="18"/>
          <w:i/>
          <w:iCs/>
          <w:color w:val="231F20"/>
          <w:spacing w:val="2"/>
        </w:rPr>
        <w:t>x</w:t>
      </w:r>
      <w:r>
        <w:rPr>
          <w:sz w:val="10"/>
          <w:szCs w:val="10"/>
          <w:color w:val="231F20"/>
          <w:spacing w:val="2"/>
          <w:position w:val="8"/>
        </w:rPr>
        <w:t>2</w:t>
      </w:r>
      <w:r>
        <w:rPr>
          <w:sz w:val="10"/>
          <w:szCs w:val="10"/>
          <w:color w:val="231F20"/>
          <w:spacing w:val="12"/>
          <w:w w:val="103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检验；计量资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料以均数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±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标准差（</w:t>
      </w:r>
      <w:r>
        <w:rPr>
          <w:sz w:val="18"/>
          <w:szCs w:val="18"/>
          <w:i/>
          <w:iCs/>
          <w:color w:val="231F20"/>
          <w:spacing w:val="2"/>
        </w:rPr>
        <w:t>x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±</w:t>
      </w:r>
      <w:r>
        <w:rPr>
          <w:sz w:val="18"/>
          <w:szCs w:val="18"/>
          <w:i/>
          <w:iCs/>
          <w:color w:val="231F20"/>
          <w:spacing w:val="2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）表示，</w:t>
      </w:r>
      <w:r>
        <w:rPr>
          <w:sz w:val="18"/>
          <w:szCs w:val="18"/>
          <w:i/>
          <w:iCs/>
          <w:color w:val="231F20"/>
          <w:spacing w:val="2"/>
        </w:rPr>
        <w:t>t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检验。</w:t>
      </w:r>
      <w:r>
        <w:rPr>
          <w:sz w:val="18"/>
          <w:szCs w:val="18"/>
          <w:i/>
          <w:iCs/>
          <w:color w:val="231F20"/>
          <w:spacing w:val="2"/>
        </w:rPr>
        <w:t>P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＜</w:t>
      </w:r>
      <w:r>
        <w:rPr>
          <w:sz w:val="18"/>
          <w:szCs w:val="18"/>
          <w:color w:val="231F20"/>
          <w:spacing w:val="2"/>
        </w:rPr>
        <w:t>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，则表示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差异存在统计学意义。</w:t>
      </w:r>
    </w:p>
    <w:p>
      <w:pPr>
        <w:ind w:left="14"/>
        <w:spacing w:before="1" w:line="16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E309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E3092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E3092"/>
        </w:rPr>
        <w:t>结果</w:t>
      </w:r>
    </w:p>
    <w:p>
      <w:pPr>
        <w:ind w:left="14"/>
        <w:spacing w:before="1" w:line="176" w:lineRule="auto"/>
        <w:outlineLvl w:val="1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2.1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护理前后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SDS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SAS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评分变化分析</w:t>
      </w:r>
    </w:p>
    <w:p>
      <w:pPr>
        <w:pStyle w:val="BodyText"/>
        <w:ind w:left="11" w:firstLine="361"/>
        <w:spacing w:before="5" w:line="17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8" style="position:absolute;margin-left:77.6032pt;margin-top:72.2081pt;mso-position-vertical-relative:text;mso-position-horizontal-relative:text;width:4pt;height:0.45pt;z-index:-251657216;" filled="false" strokecolor="#2E3092" strokeweight="0.43pt" coordsize="80,8" coordorigin="0,0" path="m0,4l79,4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经过护理干预后分析，两组患者护理前的</w:t>
      </w:r>
      <w:r>
        <w:rPr>
          <w:sz w:val="18"/>
          <w:szCs w:val="18"/>
          <w:color w:val="231F20"/>
        </w:rPr>
        <w:t>SDS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、</w:t>
      </w:r>
      <w:r>
        <w:rPr>
          <w:sz w:val="18"/>
          <w:szCs w:val="18"/>
          <w:color w:val="231F20"/>
        </w:rPr>
        <w:t>SAS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分相比较，不存在明显差异，无统计学意义（</w:t>
      </w:r>
      <w:r>
        <w:rPr>
          <w:sz w:val="18"/>
          <w:szCs w:val="18"/>
          <w:i/>
          <w:iCs/>
          <w:color w:val="231F20"/>
          <w:spacing w:val="5"/>
        </w:rPr>
        <w:t>P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＞</w:t>
      </w:r>
      <w:r>
        <w:rPr>
          <w:sz w:val="18"/>
          <w:szCs w:val="18"/>
          <w:color w:val="231F20"/>
          <w:spacing w:val="5"/>
        </w:rPr>
        <w:t>0.05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）；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两组患者护理后的</w:t>
      </w:r>
      <w:r>
        <w:rPr>
          <w:sz w:val="18"/>
          <w:szCs w:val="18"/>
          <w:color w:val="231F20"/>
        </w:rPr>
        <w:t>SDS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、</w:t>
      </w:r>
      <w:r>
        <w:rPr>
          <w:sz w:val="18"/>
          <w:szCs w:val="18"/>
          <w:color w:val="231F20"/>
        </w:rPr>
        <w:t>SAS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评分与本组护理前相比较，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差异显著，具备统计学意义（ </w:t>
      </w:r>
      <w:r>
        <w:rPr>
          <w:sz w:val="18"/>
          <w:szCs w:val="18"/>
          <w:i/>
          <w:iCs/>
          <w:color w:val="231F20"/>
          <w:spacing w:val="2"/>
        </w:rPr>
        <w:t>P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＜</w:t>
      </w:r>
      <w:r>
        <w:rPr>
          <w:sz w:val="18"/>
          <w:szCs w:val="18"/>
          <w:color w:val="231F20"/>
          <w:spacing w:val="2"/>
        </w:rPr>
        <w:t>0.05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）；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乙组患者护理后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SDS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、</w:t>
      </w:r>
      <w:r>
        <w:rPr>
          <w:sz w:val="18"/>
          <w:szCs w:val="18"/>
          <w:color w:val="231F20"/>
        </w:rPr>
        <w:t>SAS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评分与甲组护理后相对比，差异明显，具有统计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学意义（</w:t>
      </w:r>
      <w:r>
        <w:rPr>
          <w:sz w:val="18"/>
          <w:szCs w:val="18"/>
          <w:i/>
          <w:iCs/>
          <w:color w:val="231F20"/>
          <w:spacing w:val="-1"/>
        </w:rPr>
        <w:t>P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＜</w:t>
      </w:r>
      <w:r>
        <w:rPr>
          <w:sz w:val="18"/>
          <w:szCs w:val="18"/>
          <w:color w:val="231F20"/>
          <w:spacing w:val="-1"/>
        </w:rPr>
        <w:t>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）。见表</w:t>
      </w:r>
      <w:r>
        <w:rPr>
          <w:sz w:val="18"/>
          <w:szCs w:val="18"/>
          <w:color w:val="231F20"/>
          <w:spacing w:val="-1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、表</w:t>
      </w:r>
      <w:r>
        <w:rPr>
          <w:sz w:val="18"/>
          <w:szCs w:val="18"/>
          <w:color w:val="231F20"/>
          <w:spacing w:val="-1"/>
        </w:rPr>
        <w:t>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。</w:t>
      </w:r>
    </w:p>
    <w:p>
      <w:pPr>
        <w:spacing w:line="175" w:lineRule="auto"/>
        <w:sectPr>
          <w:type w:val="continuous"/>
          <w:pgSz w:w="11906" w:h="16158"/>
          <w:pgMar w:top="1240" w:right="1019" w:bottom="0" w:left="407" w:header="993" w:footer="0" w:gutter="0"/>
          <w:cols w:equalWidth="0" w:num="2">
            <w:col w:w="5636" w:space="100"/>
            <w:col w:w="4743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ind w:left="3414"/>
        <w:spacing w:before="49" w:line="18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1"/>
        </w:rPr>
        <w:t>表2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6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1"/>
        </w:rPr>
        <w:t>两组患者护理前后</w:t>
      </w:r>
      <w:r>
        <w:rPr>
          <w:rFonts w:ascii="Microsoft YaHei" w:hAnsi="Microsoft YaHei" w:eastAsia="Microsoft YaHei" w:cs="Microsoft YaHei"/>
          <w:sz w:val="18"/>
          <w:szCs w:val="18"/>
          <w:color w:val="2E3092"/>
        </w:rPr>
        <w:t>SDS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1"/>
        </w:rPr>
        <w:t>评分变化情况对照（ </w:t>
      </w:r>
      <w:r>
        <w:rPr>
          <w:sz w:val="18"/>
          <w:szCs w:val="18"/>
          <w:i/>
          <w:iCs/>
          <w:color w:val="2E3092"/>
          <w:spacing w:val="1"/>
        </w:rPr>
        <w:t>x</w:t>
      </w:r>
      <w:r>
        <w:rPr>
          <w:sz w:val="18"/>
          <w:szCs w:val="18"/>
          <w:i/>
          <w:iCs/>
          <w:color w:val="2E309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1"/>
        </w:rPr>
        <w:t>±</w:t>
      </w:r>
      <w:r>
        <w:rPr>
          <w:sz w:val="18"/>
          <w:szCs w:val="18"/>
          <w:i/>
          <w:iCs/>
          <w:color w:val="2E3092"/>
          <w:spacing w:val="1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1"/>
        </w:rPr>
        <w:t>）</w:t>
      </w:r>
    </w:p>
    <w:tbl>
      <w:tblPr>
        <w:tblStyle w:val="TableNormal"/>
        <w:tblW w:w="9754" w:type="dxa"/>
        <w:tblInd w:w="7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4"/>
        <w:gridCol w:w="1600"/>
        <w:gridCol w:w="1941"/>
        <w:gridCol w:w="1985"/>
        <w:gridCol w:w="1597"/>
        <w:gridCol w:w="1537"/>
      </w:tblGrid>
      <w:tr>
        <w:trPr>
          <w:trHeight w:val="212" w:hRule="atLeast"/>
        </w:trPr>
        <w:tc>
          <w:tcPr>
            <w:tcW w:w="109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28" w:line="17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  <w:position w:val="-1"/>
              </w:rPr>
              <w:t>组别</w:t>
            </w:r>
          </w:p>
        </w:tc>
        <w:tc>
          <w:tcPr>
            <w:tcW w:w="160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81"/>
              <w:spacing w:before="27" w:line="17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  <w:position w:val="-1"/>
              </w:rPr>
              <w:t>例数</w:t>
            </w:r>
          </w:p>
        </w:tc>
        <w:tc>
          <w:tcPr>
            <w:tcW w:w="194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79"/>
              <w:spacing w:before="29" w:line="17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  <w:position w:val="-1"/>
              </w:rPr>
              <w:t>护理前</w:t>
            </w:r>
          </w:p>
        </w:tc>
        <w:tc>
          <w:tcPr>
            <w:tcW w:w="198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70"/>
              <w:spacing w:before="30" w:line="17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  <w:w w:val="98"/>
                <w:position w:val="-1"/>
              </w:rPr>
              <w:t>护理后</w:t>
            </w:r>
          </w:p>
        </w:tc>
        <w:tc>
          <w:tcPr>
            <w:tcW w:w="159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794"/>
              <w:spacing w:before="67" w:line="16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</w:rPr>
              <w:t>t</w:t>
            </w:r>
          </w:p>
        </w:tc>
        <w:tc>
          <w:tcPr>
            <w:tcW w:w="153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710"/>
              <w:spacing w:before="52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</w:tr>
      <w:tr>
        <w:trPr>
          <w:trHeight w:val="210" w:hRule="atLeast"/>
        </w:trPr>
        <w:tc>
          <w:tcPr>
            <w:tcW w:w="10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"/>
              <w:spacing w:before="32" w:line="16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9"/>
              </w:rPr>
              <w:t>甲组</w:t>
            </w:r>
          </w:p>
        </w:tc>
        <w:tc>
          <w:tcPr>
            <w:tcW w:w="1600" w:type="dxa"/>
            <w:vAlign w:val="top"/>
            <w:tcBorders>
              <w:top w:val="single" w:color="231F20" w:sz="2" w:space="0"/>
            </w:tcBorders>
          </w:tcPr>
          <w:p>
            <w:pPr>
              <w:ind w:left="860"/>
              <w:spacing w:before="5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49</w:t>
            </w:r>
          </w:p>
        </w:tc>
        <w:tc>
          <w:tcPr>
            <w:tcW w:w="1941" w:type="dxa"/>
            <w:vAlign w:val="top"/>
            <w:tcBorders>
              <w:top w:val="single" w:color="231F20" w:sz="2" w:space="0"/>
            </w:tcBorders>
          </w:tcPr>
          <w:p>
            <w:pPr>
              <w:ind w:left="550"/>
              <w:spacing w:before="24" w:line="20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8"/>
              </w:rPr>
              <w:t>73.25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8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8"/>
              </w:rPr>
              <w:t>9.34</w:t>
            </w:r>
          </w:p>
        </w:tc>
        <w:tc>
          <w:tcPr>
            <w:tcW w:w="1985" w:type="dxa"/>
            <w:vAlign w:val="top"/>
            <w:tcBorders>
              <w:top w:val="single" w:color="231F20" w:sz="2" w:space="0"/>
            </w:tcBorders>
          </w:tcPr>
          <w:p>
            <w:pPr>
              <w:ind w:left="651"/>
              <w:spacing w:before="24" w:line="20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9"/>
              </w:rPr>
              <w:t>65.33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9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9"/>
              </w:rPr>
              <w:t>6.37</w:t>
            </w:r>
          </w:p>
        </w:tc>
        <w:tc>
          <w:tcPr>
            <w:tcW w:w="1597" w:type="dxa"/>
            <w:vAlign w:val="top"/>
            <w:tcBorders>
              <w:top w:val="single" w:color="231F20" w:sz="2" w:space="0"/>
            </w:tcBorders>
          </w:tcPr>
          <w:p>
            <w:pPr>
              <w:ind w:left="637"/>
              <w:spacing w:before="5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3"/>
              </w:rPr>
              <w:t>4.904</w:t>
            </w:r>
          </w:p>
        </w:tc>
        <w:tc>
          <w:tcPr>
            <w:tcW w:w="1537" w:type="dxa"/>
            <w:vAlign w:val="top"/>
            <w:tcBorders>
              <w:top w:val="single" w:color="231F20" w:sz="2" w:space="0"/>
            </w:tcBorders>
          </w:tcPr>
          <w:p>
            <w:pPr>
              <w:ind w:left="588"/>
              <w:spacing w:before="5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0.000</w:t>
            </w:r>
          </w:p>
        </w:tc>
      </w:tr>
      <w:tr>
        <w:trPr>
          <w:trHeight w:val="224" w:hRule="atLeast"/>
        </w:trPr>
        <w:tc>
          <w:tcPr>
            <w:tcW w:w="1094" w:type="dxa"/>
            <w:vAlign w:val="top"/>
          </w:tcPr>
          <w:p>
            <w:pPr>
              <w:pStyle w:val="TableText"/>
              <w:ind w:left="16"/>
              <w:spacing w:before="41" w:line="17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  <w:position w:val="-2"/>
              </w:rPr>
              <w:t>乙组</w:t>
            </w:r>
          </w:p>
        </w:tc>
        <w:tc>
          <w:tcPr>
            <w:tcW w:w="1600" w:type="dxa"/>
            <w:vAlign w:val="top"/>
          </w:tcPr>
          <w:p>
            <w:pPr>
              <w:ind w:left="860"/>
              <w:spacing w:before="61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49</w:t>
            </w:r>
          </w:p>
        </w:tc>
        <w:tc>
          <w:tcPr>
            <w:tcW w:w="1941" w:type="dxa"/>
            <w:vAlign w:val="top"/>
          </w:tcPr>
          <w:p>
            <w:pPr>
              <w:ind w:left="511"/>
              <w:spacing w:before="32" w:line="21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8"/>
              </w:rPr>
              <w:t>73.19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8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8"/>
              </w:rPr>
              <w:t>10.08</w:t>
            </w:r>
          </w:p>
        </w:tc>
        <w:tc>
          <w:tcPr>
            <w:tcW w:w="1985" w:type="dxa"/>
            <w:vAlign w:val="top"/>
          </w:tcPr>
          <w:p>
            <w:pPr>
              <w:ind w:left="641"/>
              <w:spacing w:before="32" w:line="21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7"/>
              </w:rPr>
              <w:t>55.29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7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7"/>
              </w:rPr>
              <w:t>6.49</w:t>
            </w:r>
          </w:p>
        </w:tc>
        <w:tc>
          <w:tcPr>
            <w:tcW w:w="1597" w:type="dxa"/>
            <w:vAlign w:val="top"/>
          </w:tcPr>
          <w:p>
            <w:pPr>
              <w:ind w:left="622"/>
              <w:spacing w:before="60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7"/>
              </w:rPr>
              <w:t>10.452</w:t>
            </w:r>
          </w:p>
        </w:tc>
        <w:tc>
          <w:tcPr>
            <w:tcW w:w="1537" w:type="dxa"/>
            <w:vAlign w:val="top"/>
          </w:tcPr>
          <w:p>
            <w:pPr>
              <w:ind w:left="588"/>
              <w:spacing w:before="60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0.000</w:t>
            </w:r>
          </w:p>
        </w:tc>
      </w:tr>
      <w:tr>
        <w:trPr>
          <w:trHeight w:val="208" w:hRule="atLeast"/>
        </w:trPr>
        <w:tc>
          <w:tcPr>
            <w:tcW w:w="1094" w:type="dxa"/>
            <w:vAlign w:val="top"/>
          </w:tcPr>
          <w:p>
            <w:pPr>
              <w:ind w:left="10"/>
              <w:spacing w:before="67" w:line="16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</w:rPr>
              <w:t>t</w:t>
            </w:r>
          </w:p>
        </w:tc>
        <w:tc>
          <w:tcPr>
            <w:tcW w:w="1600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1941" w:type="dxa"/>
            <w:vAlign w:val="top"/>
          </w:tcPr>
          <w:p>
            <w:pPr>
              <w:ind w:left="742"/>
              <w:spacing w:before="53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3"/>
              </w:rPr>
              <w:t>0.031</w:t>
            </w:r>
          </w:p>
        </w:tc>
        <w:tc>
          <w:tcPr>
            <w:tcW w:w="1985" w:type="dxa"/>
            <w:vAlign w:val="top"/>
          </w:tcPr>
          <w:p>
            <w:pPr>
              <w:ind w:left="845"/>
              <w:spacing w:before="53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8"/>
              </w:rPr>
              <w:t>7.728</w:t>
            </w:r>
          </w:p>
        </w:tc>
        <w:tc>
          <w:tcPr>
            <w:tcW w:w="1597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1537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8" w:hRule="atLeast"/>
        </w:trPr>
        <w:tc>
          <w:tcPr>
            <w:tcW w:w="1094" w:type="dxa"/>
            <w:vAlign w:val="top"/>
            <w:tcBorders>
              <w:bottom w:val="single" w:color="231F20" w:sz="4" w:space="0"/>
            </w:tcBorders>
          </w:tcPr>
          <w:p>
            <w:pPr>
              <w:spacing w:before="60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1600" w:type="dxa"/>
            <w:vAlign w:val="top"/>
            <w:tcBorders>
              <w:bottom w:val="single" w:color="231F20" w:sz="4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1941" w:type="dxa"/>
            <w:vAlign w:val="top"/>
            <w:tcBorders>
              <w:bottom w:val="single" w:color="231F20" w:sz="4" w:space="0"/>
            </w:tcBorders>
          </w:tcPr>
          <w:p>
            <w:pPr>
              <w:ind w:left="742"/>
              <w:spacing w:before="6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4"/>
              </w:rPr>
              <w:t>0.976</w:t>
            </w:r>
          </w:p>
        </w:tc>
        <w:tc>
          <w:tcPr>
            <w:tcW w:w="1985" w:type="dxa"/>
            <w:vAlign w:val="top"/>
            <w:tcBorders>
              <w:bottom w:val="single" w:color="231F20" w:sz="4" w:space="0"/>
            </w:tcBorders>
          </w:tcPr>
          <w:p>
            <w:pPr>
              <w:ind w:left="828"/>
              <w:spacing w:before="6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0.000</w:t>
            </w:r>
          </w:p>
        </w:tc>
        <w:tc>
          <w:tcPr>
            <w:tcW w:w="1597" w:type="dxa"/>
            <w:vAlign w:val="top"/>
            <w:tcBorders>
              <w:bottom w:val="single" w:color="231F20" w:sz="4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1537" w:type="dxa"/>
            <w:vAlign w:val="top"/>
            <w:tcBorders>
              <w:bottom w:val="single" w:color="231F20" w:sz="4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</w:tr>
    </w:tbl>
    <w:p>
      <w:pPr>
        <w:pStyle w:val="BodyText"/>
        <w:ind w:left="732"/>
        <w:spacing w:before="58" w:line="18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注：</w:t>
      </w:r>
      <w:r>
        <w:rPr>
          <w:color w:val="231F20"/>
          <w:spacing w:val="-1"/>
        </w:rPr>
        <w:t>SDS</w:t>
      </w:r>
      <w:r>
        <w:rPr>
          <w:rFonts w:ascii="Microsoft YaHei" w:hAnsi="Microsoft YaHei" w:eastAsia="Microsoft YaHei" w:cs="Microsoft YaHei"/>
          <w:color w:val="231F20"/>
          <w:spacing w:val="-1"/>
        </w:rPr>
        <w:t>为抑郁自评量表</w:t>
      </w:r>
    </w:p>
    <w:p>
      <w:pPr>
        <w:pStyle w:val="BodyText"/>
        <w:ind w:left="3416"/>
        <w:spacing w:before="42" w:line="18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10" style="position:absolute;margin-left:364.234pt;margin-top:3.71654pt;mso-position-vertical-relative:text;mso-position-horizontal-relative:text;width:4pt;height:0.45pt;z-index:-251656192;" filled="false" strokecolor="#2E3092" strokeweight="0.43pt" coordsize="80,8" coordorigin="0,0" path="m0,4l79,4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1"/>
        </w:rPr>
        <w:t>表3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6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1"/>
        </w:rPr>
        <w:t>两组患者护理前后</w:t>
      </w:r>
      <w:r>
        <w:rPr>
          <w:rFonts w:ascii="Microsoft YaHei" w:hAnsi="Microsoft YaHei" w:eastAsia="Microsoft YaHei" w:cs="Microsoft YaHei"/>
          <w:sz w:val="18"/>
          <w:szCs w:val="18"/>
          <w:color w:val="2E3092"/>
        </w:rPr>
        <w:t>SAS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1"/>
        </w:rPr>
        <w:t>评分变化情况对照（ </w:t>
      </w:r>
      <w:r>
        <w:rPr>
          <w:sz w:val="18"/>
          <w:szCs w:val="18"/>
          <w:i/>
          <w:iCs/>
          <w:color w:val="2E3092"/>
          <w:spacing w:val="1"/>
        </w:rPr>
        <w:t>x</w:t>
      </w:r>
      <w:r>
        <w:rPr>
          <w:sz w:val="18"/>
          <w:szCs w:val="18"/>
          <w:i/>
          <w:iCs/>
          <w:color w:val="2E3092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1"/>
        </w:rPr>
        <w:t>±</w:t>
      </w:r>
      <w:r>
        <w:rPr>
          <w:sz w:val="18"/>
          <w:szCs w:val="18"/>
          <w:i/>
          <w:iCs/>
          <w:color w:val="2E3092"/>
          <w:spacing w:val="1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1"/>
        </w:rPr>
        <w:t>）</w:t>
      </w:r>
    </w:p>
    <w:tbl>
      <w:tblPr>
        <w:tblStyle w:val="TableNormal"/>
        <w:tblW w:w="9754" w:type="dxa"/>
        <w:tblInd w:w="7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9"/>
        <w:gridCol w:w="1596"/>
        <w:gridCol w:w="1950"/>
        <w:gridCol w:w="1989"/>
        <w:gridCol w:w="1600"/>
        <w:gridCol w:w="1530"/>
      </w:tblGrid>
      <w:tr>
        <w:trPr>
          <w:trHeight w:val="212" w:hRule="atLeast"/>
        </w:trPr>
        <w:tc>
          <w:tcPr>
            <w:tcW w:w="108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28" w:line="17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  <w:position w:val="-1"/>
              </w:rPr>
              <w:t>组别</w:t>
            </w:r>
          </w:p>
        </w:tc>
        <w:tc>
          <w:tcPr>
            <w:tcW w:w="159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76"/>
              <w:spacing w:before="27" w:line="17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  <w:position w:val="-1"/>
              </w:rPr>
              <w:t>例数</w:t>
            </w:r>
          </w:p>
        </w:tc>
        <w:tc>
          <w:tcPr>
            <w:tcW w:w="195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84"/>
              <w:spacing w:before="29" w:line="17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  <w:position w:val="-1"/>
              </w:rPr>
              <w:t>护理前</w:t>
            </w:r>
          </w:p>
        </w:tc>
        <w:tc>
          <w:tcPr>
            <w:tcW w:w="198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76"/>
              <w:spacing w:before="30" w:line="17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  <w:w w:val="98"/>
                <w:position w:val="-1"/>
              </w:rPr>
              <w:t>护理后</w:t>
            </w:r>
          </w:p>
        </w:tc>
        <w:tc>
          <w:tcPr>
            <w:tcW w:w="160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797"/>
              <w:spacing w:before="67" w:line="16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</w:rPr>
              <w:t>t</w:t>
            </w:r>
          </w:p>
        </w:tc>
        <w:tc>
          <w:tcPr>
            <w:tcW w:w="153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705"/>
              <w:spacing w:before="52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</w:tr>
      <w:tr>
        <w:trPr>
          <w:trHeight w:val="210" w:hRule="atLeast"/>
        </w:trPr>
        <w:tc>
          <w:tcPr>
            <w:tcW w:w="10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"/>
              <w:spacing w:before="32" w:line="16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9"/>
              </w:rPr>
              <w:t>甲组</w:t>
            </w:r>
          </w:p>
        </w:tc>
        <w:tc>
          <w:tcPr>
            <w:tcW w:w="1596" w:type="dxa"/>
            <w:vAlign w:val="top"/>
            <w:tcBorders>
              <w:top w:val="single" w:color="231F20" w:sz="2" w:space="0"/>
            </w:tcBorders>
          </w:tcPr>
          <w:p>
            <w:pPr>
              <w:ind w:left="855"/>
              <w:spacing w:before="5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49</w:t>
            </w:r>
          </w:p>
        </w:tc>
        <w:tc>
          <w:tcPr>
            <w:tcW w:w="1950" w:type="dxa"/>
            <w:vAlign w:val="top"/>
            <w:tcBorders>
              <w:top w:val="single" w:color="231F20" w:sz="2" w:space="0"/>
            </w:tcBorders>
          </w:tcPr>
          <w:p>
            <w:pPr>
              <w:ind w:left="555"/>
              <w:spacing w:before="24" w:line="20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8"/>
              </w:rPr>
              <w:t>67.36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8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8"/>
              </w:rPr>
              <w:t>9.67</w:t>
            </w:r>
          </w:p>
        </w:tc>
        <w:tc>
          <w:tcPr>
            <w:tcW w:w="1989" w:type="dxa"/>
            <w:vAlign w:val="top"/>
            <w:tcBorders>
              <w:top w:val="single" w:color="231F20" w:sz="2" w:space="0"/>
            </w:tcBorders>
          </w:tcPr>
          <w:p>
            <w:pPr>
              <w:ind w:left="648"/>
              <w:spacing w:before="24" w:line="20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8"/>
              </w:rPr>
              <w:t>58.43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8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8"/>
              </w:rPr>
              <w:t>4.97</w:t>
            </w:r>
          </w:p>
        </w:tc>
        <w:tc>
          <w:tcPr>
            <w:tcW w:w="1600" w:type="dxa"/>
            <w:vAlign w:val="top"/>
            <w:tcBorders>
              <w:top w:val="single" w:color="231F20" w:sz="2" w:space="0"/>
            </w:tcBorders>
          </w:tcPr>
          <w:p>
            <w:pPr>
              <w:ind w:left="658"/>
              <w:spacing w:before="5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8"/>
              </w:rPr>
              <w:t>5.749</w:t>
            </w:r>
          </w:p>
        </w:tc>
        <w:tc>
          <w:tcPr>
            <w:tcW w:w="1530" w:type="dxa"/>
            <w:vAlign w:val="top"/>
            <w:tcBorders>
              <w:top w:val="single" w:color="231F20" w:sz="2" w:space="0"/>
            </w:tcBorders>
          </w:tcPr>
          <w:p>
            <w:pPr>
              <w:ind w:left="584"/>
              <w:spacing w:before="5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0.000</w:t>
            </w:r>
          </w:p>
        </w:tc>
      </w:tr>
      <w:tr>
        <w:trPr>
          <w:trHeight w:val="224" w:hRule="atLeast"/>
        </w:trPr>
        <w:tc>
          <w:tcPr>
            <w:tcW w:w="1089" w:type="dxa"/>
            <w:vAlign w:val="top"/>
          </w:tcPr>
          <w:p>
            <w:pPr>
              <w:pStyle w:val="TableText"/>
              <w:ind w:left="16"/>
              <w:spacing w:before="41" w:line="17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  <w:position w:val="-2"/>
              </w:rPr>
              <w:t>乙组</w:t>
            </w:r>
          </w:p>
        </w:tc>
        <w:tc>
          <w:tcPr>
            <w:tcW w:w="1596" w:type="dxa"/>
            <w:vAlign w:val="top"/>
          </w:tcPr>
          <w:p>
            <w:pPr>
              <w:ind w:left="855"/>
              <w:spacing w:before="61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49</w:t>
            </w:r>
          </w:p>
        </w:tc>
        <w:tc>
          <w:tcPr>
            <w:tcW w:w="1950" w:type="dxa"/>
            <w:vAlign w:val="top"/>
          </w:tcPr>
          <w:p>
            <w:pPr>
              <w:ind w:left="512"/>
              <w:spacing w:before="32" w:line="21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7"/>
              </w:rPr>
              <w:t>68.03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7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7"/>
              </w:rPr>
              <w:t>10.48</w:t>
            </w:r>
          </w:p>
        </w:tc>
        <w:tc>
          <w:tcPr>
            <w:tcW w:w="1989" w:type="dxa"/>
            <w:vAlign w:val="top"/>
          </w:tcPr>
          <w:p>
            <w:pPr>
              <w:ind w:left="640"/>
              <w:spacing w:before="32" w:line="21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6"/>
              </w:rPr>
              <w:t>43.69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6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6"/>
              </w:rPr>
              <w:t>7.05</w:t>
            </w:r>
          </w:p>
        </w:tc>
        <w:tc>
          <w:tcPr>
            <w:tcW w:w="1600" w:type="dxa"/>
            <w:vAlign w:val="top"/>
          </w:tcPr>
          <w:p>
            <w:pPr>
              <w:ind w:left="623"/>
              <w:spacing w:before="61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6"/>
              </w:rPr>
              <w:t>13.489</w:t>
            </w:r>
          </w:p>
        </w:tc>
        <w:tc>
          <w:tcPr>
            <w:tcW w:w="1530" w:type="dxa"/>
            <w:vAlign w:val="top"/>
          </w:tcPr>
          <w:p>
            <w:pPr>
              <w:ind w:left="584"/>
              <w:spacing w:before="60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0.000</w:t>
            </w:r>
          </w:p>
        </w:tc>
      </w:tr>
      <w:tr>
        <w:trPr>
          <w:trHeight w:val="208" w:hRule="atLeast"/>
        </w:trPr>
        <w:tc>
          <w:tcPr>
            <w:tcW w:w="1089" w:type="dxa"/>
            <w:vAlign w:val="top"/>
          </w:tcPr>
          <w:p>
            <w:pPr>
              <w:ind w:left="10"/>
              <w:spacing w:before="67" w:line="16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</w:rPr>
              <w:t>t</w:t>
            </w:r>
          </w:p>
        </w:tc>
        <w:tc>
          <w:tcPr>
            <w:tcW w:w="1596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1950" w:type="dxa"/>
            <w:vAlign w:val="top"/>
          </w:tcPr>
          <w:p>
            <w:pPr>
              <w:ind w:left="752"/>
              <w:spacing w:before="53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6"/>
              </w:rPr>
              <w:t>0.329</w:t>
            </w:r>
          </w:p>
        </w:tc>
        <w:tc>
          <w:tcPr>
            <w:tcW w:w="1989" w:type="dxa"/>
            <w:vAlign w:val="top"/>
          </w:tcPr>
          <w:p>
            <w:pPr>
              <w:ind w:left="828"/>
              <w:spacing w:before="53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0"/>
              </w:rPr>
              <w:t>11.962</w:t>
            </w:r>
          </w:p>
        </w:tc>
        <w:tc>
          <w:tcPr>
            <w:tcW w:w="1600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1530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8" w:hRule="atLeast"/>
        </w:trPr>
        <w:tc>
          <w:tcPr>
            <w:tcW w:w="1089" w:type="dxa"/>
            <w:vAlign w:val="top"/>
            <w:tcBorders>
              <w:bottom w:val="single" w:color="231F20" w:sz="4" w:space="0"/>
            </w:tcBorders>
          </w:tcPr>
          <w:p>
            <w:pPr>
              <w:spacing w:before="60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1596" w:type="dxa"/>
            <w:vAlign w:val="top"/>
            <w:tcBorders>
              <w:bottom w:val="single" w:color="231F20" w:sz="4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1950" w:type="dxa"/>
            <w:vAlign w:val="top"/>
            <w:tcBorders>
              <w:bottom w:val="single" w:color="231F20" w:sz="4" w:space="0"/>
            </w:tcBorders>
          </w:tcPr>
          <w:p>
            <w:pPr>
              <w:ind w:left="755"/>
              <w:spacing w:before="6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7"/>
              </w:rPr>
              <w:t>0.743</w:t>
            </w:r>
          </w:p>
        </w:tc>
        <w:tc>
          <w:tcPr>
            <w:tcW w:w="1989" w:type="dxa"/>
            <w:vAlign w:val="top"/>
            <w:tcBorders>
              <w:bottom w:val="single" w:color="231F20" w:sz="4" w:space="0"/>
            </w:tcBorders>
          </w:tcPr>
          <w:p>
            <w:pPr>
              <w:ind w:left="833"/>
              <w:spacing w:before="6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0.000</w:t>
            </w:r>
          </w:p>
        </w:tc>
        <w:tc>
          <w:tcPr>
            <w:tcW w:w="1600" w:type="dxa"/>
            <w:vAlign w:val="top"/>
            <w:tcBorders>
              <w:bottom w:val="single" w:color="231F20" w:sz="4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1530" w:type="dxa"/>
            <w:vAlign w:val="top"/>
            <w:tcBorders>
              <w:bottom w:val="single" w:color="231F20" w:sz="4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</w:tr>
    </w:tbl>
    <w:p>
      <w:pPr>
        <w:spacing w:line="15" w:lineRule="exact"/>
        <w:rPr>
          <w:rFonts w:ascii="Arial"/>
          <w:sz w:val="2"/>
        </w:rPr>
      </w:pPr>
      <w:r/>
    </w:p>
    <w:p>
      <w:pPr>
        <w:spacing w:line="15" w:lineRule="exact"/>
        <w:sectPr>
          <w:type w:val="continuous"/>
          <w:pgSz w:w="11906" w:h="16158"/>
          <w:pgMar w:top="1240" w:right="1019" w:bottom="0" w:left="407" w:header="993" w:footer="0" w:gutter="0"/>
          <w:cols w:equalWidth="0" w:num="1">
            <w:col w:w="1047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733"/>
        <w:spacing w:before="41" w:line="20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注：</w:t>
      </w:r>
      <w:r>
        <w:rPr>
          <w:color w:val="231F20"/>
          <w:spacing w:val="-1"/>
        </w:rPr>
        <w:t>SAS</w:t>
      </w:r>
      <w:r>
        <w:rPr>
          <w:rFonts w:ascii="Microsoft YaHei" w:hAnsi="Microsoft YaHei" w:eastAsia="Microsoft YaHei" w:cs="Microsoft YaHei"/>
          <w:color w:val="231F20"/>
          <w:spacing w:val="-1"/>
        </w:rPr>
        <w:t>为焦虑自评量表</w:t>
      </w:r>
    </w:p>
    <w:p>
      <w:pPr>
        <w:ind w:left="732"/>
        <w:spacing w:before="15" w:line="180" w:lineRule="auto"/>
        <w:outlineLvl w:val="1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2.2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两组各症状改善情况分析</w:t>
      </w:r>
    </w:p>
    <w:p>
      <w:pPr>
        <w:ind w:left="1091"/>
        <w:spacing w:before="1" w:line="16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经过护理干预后分析，乙组患者护理后的腹痛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消失时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 w:firstLine="11"/>
        <w:spacing w:before="296" w:line="17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12" style="position:absolute;margin-left:53.0838pt;margin-top:41.3775pt;mso-position-vertical-relative:text;mso-position-horizontal-relative:text;width:4pt;height:0.45pt;z-index:-251655168;" filled="false" strokecolor="#2E3092" strokeweight="0.43pt" coordsize="80,8" coordorigin="0,0" path="m0,4l79,4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间、高热消失时间以及恶心呕吐消失时间等均比甲组患者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短，差异明显，具有统计学意义（</w:t>
      </w:r>
      <w:r>
        <w:rPr>
          <w:sz w:val="18"/>
          <w:szCs w:val="18"/>
          <w:i/>
          <w:iCs/>
          <w:color w:val="231F20"/>
        </w:rPr>
        <w:t>P</w:t>
      </w:r>
      <w:r>
        <w:rPr>
          <w:rFonts w:ascii="SimSun" w:hAnsi="SimSun" w:eastAsia="SimSun" w:cs="SimSun"/>
          <w:sz w:val="18"/>
          <w:szCs w:val="18"/>
          <w:color w:val="231F20"/>
        </w:rPr>
        <w:t>＜</w:t>
      </w:r>
      <w:r>
        <w:rPr>
          <w:sz w:val="18"/>
          <w:szCs w:val="18"/>
          <w:color w:val="231F20"/>
        </w:rPr>
        <w:t>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）。见表</w:t>
      </w:r>
      <w:r>
        <w:rPr>
          <w:sz w:val="18"/>
          <w:szCs w:val="18"/>
          <w:color w:val="231F20"/>
          <w:spacing w:val="-1"/>
        </w:rPr>
        <w:t>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。</w:t>
      </w:r>
    </w:p>
    <w:p>
      <w:pPr>
        <w:spacing w:line="172" w:lineRule="auto"/>
        <w:sectPr>
          <w:type w:val="continuous"/>
          <w:pgSz w:w="11906" w:h="16158"/>
          <w:pgMar w:top="1240" w:right="1019" w:bottom="0" w:left="407" w:header="993" w:footer="0" w:gutter="0"/>
          <w:cols w:equalWidth="0" w:num="2">
            <w:col w:w="5649" w:space="100"/>
            <w:col w:w="4730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ind w:left="3891"/>
        <w:spacing w:before="58" w:line="18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-1"/>
        </w:rPr>
        <w:t>表4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-1"/>
        </w:rPr>
        <w:t>两组患者各症状改善情况对照（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-19"/>
        </w:rPr>
        <w:t xml:space="preserve"> </w:t>
      </w:r>
      <w:r>
        <w:rPr>
          <w:sz w:val="18"/>
          <w:szCs w:val="18"/>
          <w:i/>
          <w:iCs/>
          <w:color w:val="2E3092"/>
          <w:spacing w:val="-1"/>
        </w:rPr>
        <w:t>x</w:t>
      </w:r>
      <w:r>
        <w:rPr>
          <w:sz w:val="18"/>
          <w:szCs w:val="18"/>
          <w:i/>
          <w:iCs/>
          <w:color w:val="2E3092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-1"/>
        </w:rPr>
        <w:t>±</w:t>
      </w:r>
      <w:r>
        <w:rPr>
          <w:sz w:val="18"/>
          <w:szCs w:val="18"/>
          <w:i/>
          <w:iCs/>
          <w:color w:val="2E3092"/>
          <w:spacing w:val="-1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-1"/>
        </w:rPr>
        <w:t>）</w:t>
      </w:r>
    </w:p>
    <w:tbl>
      <w:tblPr>
        <w:tblStyle w:val="TableNormal"/>
        <w:tblW w:w="9754" w:type="dxa"/>
        <w:tblInd w:w="7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4"/>
        <w:gridCol w:w="1606"/>
        <w:gridCol w:w="2278"/>
        <w:gridCol w:w="2297"/>
        <w:gridCol w:w="2479"/>
      </w:tblGrid>
      <w:tr>
        <w:trPr>
          <w:trHeight w:val="212" w:hRule="atLeast"/>
        </w:trPr>
        <w:tc>
          <w:tcPr>
            <w:tcW w:w="109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28" w:line="17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  <w:position w:val="-1"/>
              </w:rPr>
              <w:t>组别</w:t>
            </w:r>
          </w:p>
        </w:tc>
        <w:tc>
          <w:tcPr>
            <w:tcW w:w="160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82"/>
              <w:spacing w:before="27" w:line="17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  <w:position w:val="-1"/>
              </w:rPr>
              <w:t>例数</w:t>
            </w:r>
          </w:p>
        </w:tc>
        <w:tc>
          <w:tcPr>
            <w:tcW w:w="227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17"/>
              <w:spacing w:before="1" w:line="17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9"/>
                <w:w w:val="97"/>
              </w:rPr>
              <w:t>腹痛消失时间（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9"/>
                <w:w w:val="97"/>
              </w:rPr>
              <w:t>d</w:t>
            </w:r>
            <w:r>
              <w:rPr>
                <w:sz w:val="16"/>
                <w:szCs w:val="16"/>
                <w:color w:val="231F20"/>
                <w:spacing w:val="-9"/>
                <w:w w:val="97"/>
              </w:rPr>
              <w:t>）</w:t>
            </w:r>
          </w:p>
        </w:tc>
        <w:tc>
          <w:tcPr>
            <w:tcW w:w="229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10"/>
              <w:spacing w:before="1" w:line="17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9"/>
                <w:w w:val="97"/>
              </w:rPr>
              <w:t>高热消失时间（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9"/>
                <w:w w:val="97"/>
              </w:rPr>
              <w:t>d</w:t>
            </w:r>
            <w:r>
              <w:rPr>
                <w:sz w:val="16"/>
                <w:szCs w:val="16"/>
                <w:color w:val="231F20"/>
                <w:spacing w:val="-9"/>
                <w:w w:val="97"/>
              </w:rPr>
              <w:t>）</w:t>
            </w:r>
          </w:p>
        </w:tc>
        <w:tc>
          <w:tcPr>
            <w:tcW w:w="247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33"/>
              <w:spacing w:before="1" w:line="17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9"/>
                <w:w w:val="98"/>
              </w:rPr>
              <w:t>恶心呕吐消失时间（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9"/>
                <w:w w:val="98"/>
              </w:rPr>
              <w:t>d</w:t>
            </w:r>
            <w:r>
              <w:rPr>
                <w:sz w:val="16"/>
                <w:szCs w:val="16"/>
                <w:color w:val="231F20"/>
                <w:spacing w:val="-9"/>
                <w:w w:val="98"/>
              </w:rPr>
              <w:t>）</w:t>
            </w:r>
          </w:p>
        </w:tc>
      </w:tr>
      <w:tr>
        <w:trPr>
          <w:trHeight w:val="210" w:hRule="atLeast"/>
        </w:trPr>
        <w:tc>
          <w:tcPr>
            <w:tcW w:w="10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"/>
              <w:spacing w:before="32" w:line="16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9"/>
              </w:rPr>
              <w:t>甲组</w:t>
            </w:r>
          </w:p>
        </w:tc>
        <w:tc>
          <w:tcPr>
            <w:tcW w:w="1606" w:type="dxa"/>
            <w:vAlign w:val="top"/>
            <w:tcBorders>
              <w:top w:val="single" w:color="231F20" w:sz="2" w:space="0"/>
            </w:tcBorders>
          </w:tcPr>
          <w:p>
            <w:pPr>
              <w:ind w:left="861"/>
              <w:spacing w:before="5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49</w:t>
            </w:r>
          </w:p>
        </w:tc>
        <w:tc>
          <w:tcPr>
            <w:tcW w:w="2278" w:type="dxa"/>
            <w:vAlign w:val="top"/>
            <w:tcBorders>
              <w:top w:val="single" w:color="231F20" w:sz="2" w:space="0"/>
            </w:tcBorders>
          </w:tcPr>
          <w:p>
            <w:pPr>
              <w:ind w:left="805"/>
              <w:spacing w:before="24" w:line="20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7"/>
              </w:rPr>
              <w:t>3.47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7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7"/>
              </w:rPr>
              <w:t>0.36</w:t>
            </w:r>
          </w:p>
        </w:tc>
        <w:tc>
          <w:tcPr>
            <w:tcW w:w="2297" w:type="dxa"/>
            <w:vAlign w:val="top"/>
            <w:tcBorders>
              <w:top w:val="single" w:color="231F20" w:sz="2" w:space="0"/>
            </w:tcBorders>
          </w:tcPr>
          <w:p>
            <w:pPr>
              <w:ind w:left="918"/>
              <w:spacing w:before="24" w:line="20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0"/>
              </w:rPr>
              <w:t>1.79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10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0"/>
              </w:rPr>
              <w:t>0.12</w:t>
            </w:r>
          </w:p>
        </w:tc>
        <w:tc>
          <w:tcPr>
            <w:tcW w:w="2479" w:type="dxa"/>
            <w:vAlign w:val="top"/>
            <w:tcBorders>
              <w:top w:val="single" w:color="231F20" w:sz="2" w:space="0"/>
            </w:tcBorders>
          </w:tcPr>
          <w:p>
            <w:pPr>
              <w:ind w:left="984"/>
              <w:spacing w:before="24" w:line="20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9"/>
              </w:rPr>
              <w:t>1.34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9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9"/>
              </w:rPr>
              <w:t>0.08</w:t>
            </w:r>
          </w:p>
        </w:tc>
      </w:tr>
      <w:tr>
        <w:trPr>
          <w:trHeight w:val="224" w:hRule="atLeast"/>
        </w:trPr>
        <w:tc>
          <w:tcPr>
            <w:tcW w:w="1094" w:type="dxa"/>
            <w:vAlign w:val="top"/>
          </w:tcPr>
          <w:p>
            <w:pPr>
              <w:pStyle w:val="TableText"/>
              <w:ind w:left="16"/>
              <w:spacing w:before="41" w:line="17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  <w:position w:val="-2"/>
              </w:rPr>
              <w:t>乙组</w:t>
            </w:r>
          </w:p>
        </w:tc>
        <w:tc>
          <w:tcPr>
            <w:tcW w:w="1606" w:type="dxa"/>
            <w:vAlign w:val="top"/>
          </w:tcPr>
          <w:p>
            <w:pPr>
              <w:ind w:left="861"/>
              <w:spacing w:before="61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49</w:t>
            </w:r>
          </w:p>
        </w:tc>
        <w:tc>
          <w:tcPr>
            <w:tcW w:w="2278" w:type="dxa"/>
            <w:vAlign w:val="top"/>
          </w:tcPr>
          <w:p>
            <w:pPr>
              <w:ind w:left="828"/>
              <w:spacing w:before="31" w:line="21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</w:rPr>
              <w:t>1.76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11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</w:rPr>
              <w:t>0.27</w:t>
            </w:r>
          </w:p>
        </w:tc>
        <w:tc>
          <w:tcPr>
            <w:tcW w:w="2297" w:type="dxa"/>
            <w:vAlign w:val="top"/>
          </w:tcPr>
          <w:p>
            <w:pPr>
              <w:ind w:left="914"/>
              <w:spacing w:before="31" w:line="21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0"/>
              </w:rPr>
              <w:t>1.21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10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0"/>
              </w:rPr>
              <w:t>0.09</w:t>
            </w:r>
          </w:p>
        </w:tc>
        <w:tc>
          <w:tcPr>
            <w:tcW w:w="2479" w:type="dxa"/>
            <w:vAlign w:val="top"/>
          </w:tcPr>
          <w:p>
            <w:pPr>
              <w:ind w:left="978"/>
              <w:spacing w:before="31" w:line="21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8"/>
              </w:rPr>
              <w:t>1.07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8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8"/>
              </w:rPr>
              <w:t>0.05</w:t>
            </w:r>
          </w:p>
        </w:tc>
      </w:tr>
      <w:tr>
        <w:trPr>
          <w:trHeight w:val="208" w:hRule="atLeast"/>
        </w:trPr>
        <w:tc>
          <w:tcPr>
            <w:tcW w:w="1094" w:type="dxa"/>
            <w:vAlign w:val="top"/>
          </w:tcPr>
          <w:p>
            <w:pPr>
              <w:ind w:left="10"/>
              <w:spacing w:before="66" w:line="16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</w:rPr>
              <w:t>t</w:t>
            </w:r>
          </w:p>
        </w:tc>
        <w:tc>
          <w:tcPr>
            <w:tcW w:w="1606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78" w:type="dxa"/>
            <w:vAlign w:val="top"/>
          </w:tcPr>
          <w:p>
            <w:pPr>
              <w:ind w:left="915"/>
              <w:spacing w:before="53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26.600</w:t>
            </w:r>
          </w:p>
        </w:tc>
        <w:tc>
          <w:tcPr>
            <w:tcW w:w="2297" w:type="dxa"/>
            <w:vAlign w:val="top"/>
          </w:tcPr>
          <w:p>
            <w:pPr>
              <w:ind w:left="1017"/>
              <w:spacing w:before="53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4"/>
              </w:rPr>
              <w:t>27.067</w:t>
            </w:r>
          </w:p>
        </w:tc>
        <w:tc>
          <w:tcPr>
            <w:tcW w:w="2479" w:type="dxa"/>
            <w:vAlign w:val="top"/>
          </w:tcPr>
          <w:p>
            <w:pPr>
              <w:ind w:left="1084"/>
              <w:spacing w:before="53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3"/>
              </w:rPr>
              <w:t>20.034</w:t>
            </w:r>
          </w:p>
        </w:tc>
      </w:tr>
      <w:tr>
        <w:trPr>
          <w:trHeight w:val="218" w:hRule="atLeast"/>
        </w:trPr>
        <w:tc>
          <w:tcPr>
            <w:tcW w:w="1094" w:type="dxa"/>
            <w:vAlign w:val="top"/>
            <w:tcBorders>
              <w:bottom w:val="single" w:color="231F20" w:sz="4" w:space="0"/>
            </w:tcBorders>
          </w:tcPr>
          <w:p>
            <w:pPr>
              <w:spacing w:before="60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1606" w:type="dxa"/>
            <w:vAlign w:val="top"/>
            <w:tcBorders>
              <w:bottom w:val="single" w:color="231F20" w:sz="4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78" w:type="dxa"/>
            <w:vAlign w:val="top"/>
            <w:tcBorders>
              <w:bottom w:val="single" w:color="231F20" w:sz="4" w:space="0"/>
            </w:tcBorders>
          </w:tcPr>
          <w:p>
            <w:pPr>
              <w:ind w:left="954"/>
              <w:spacing w:before="6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0.000</w:t>
            </w:r>
          </w:p>
        </w:tc>
        <w:tc>
          <w:tcPr>
            <w:tcW w:w="2297" w:type="dxa"/>
            <w:vAlign w:val="top"/>
            <w:tcBorders>
              <w:bottom w:val="single" w:color="231F20" w:sz="4" w:space="0"/>
            </w:tcBorders>
          </w:tcPr>
          <w:p>
            <w:pPr>
              <w:ind w:left="1047"/>
              <w:spacing w:before="6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0.000</w:t>
            </w:r>
          </w:p>
        </w:tc>
        <w:tc>
          <w:tcPr>
            <w:tcW w:w="2479" w:type="dxa"/>
            <w:vAlign w:val="top"/>
            <w:tcBorders>
              <w:bottom w:val="single" w:color="231F20" w:sz="4" w:space="0"/>
            </w:tcBorders>
          </w:tcPr>
          <w:p>
            <w:pPr>
              <w:ind w:left="1120"/>
              <w:spacing w:before="6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0.000</w:t>
            </w:r>
          </w:p>
        </w:tc>
      </w:tr>
    </w:tbl>
    <w:p>
      <w:pPr>
        <w:spacing w:line="79" w:lineRule="auto"/>
        <w:rPr>
          <w:rFonts w:ascii="Arial"/>
          <w:sz w:val="2"/>
        </w:rPr>
      </w:pPr>
      <w:r/>
    </w:p>
    <w:p>
      <w:pPr>
        <w:spacing w:line="79" w:lineRule="auto"/>
        <w:sectPr>
          <w:type w:val="continuous"/>
          <w:pgSz w:w="11906" w:h="16158"/>
          <w:pgMar w:top="1240" w:right="1019" w:bottom="0" w:left="407" w:header="993" w:footer="0" w:gutter="0"/>
          <w:cols w:equalWidth="0" w:num="1">
            <w:col w:w="1047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732"/>
        <w:spacing w:before="42" w:line="179" w:lineRule="auto"/>
        <w:outlineLvl w:val="1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2.3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护理满意度情况分析</w:t>
      </w:r>
    </w:p>
    <w:p>
      <w:pPr>
        <w:ind w:left="1091"/>
        <w:spacing w:line="17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经过护理干预后分析，甲、乙组患者的护理满意度分别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" w:firstLine="3"/>
        <w:spacing w:before="51" w:line="17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为</w:t>
      </w:r>
      <w:r>
        <w:rPr>
          <w:sz w:val="18"/>
          <w:szCs w:val="18"/>
          <w:color w:val="231F20"/>
          <w:spacing w:val="-1"/>
        </w:rPr>
        <w:t>81.63%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、</w:t>
      </w:r>
      <w:r>
        <w:rPr>
          <w:sz w:val="18"/>
          <w:szCs w:val="18"/>
          <w:color w:val="231F20"/>
          <w:spacing w:val="-1"/>
        </w:rPr>
        <w:t>95.92%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，两组数据相比较，存在明显差异，具有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统计学意义（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i/>
          <w:iCs/>
          <w:color w:val="231F20"/>
          <w:spacing w:val="-2"/>
        </w:rPr>
        <w:t>x</w:t>
      </w:r>
      <w:r>
        <w:rPr>
          <w:sz w:val="10"/>
          <w:szCs w:val="10"/>
          <w:color w:val="231F20"/>
          <w:spacing w:val="-2"/>
          <w:position w:val="8"/>
        </w:rPr>
        <w:t>2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＝</w:t>
      </w:r>
      <w:r>
        <w:rPr>
          <w:sz w:val="18"/>
          <w:szCs w:val="18"/>
          <w:color w:val="231F20"/>
          <w:spacing w:val="-2"/>
        </w:rPr>
        <w:t>5.018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，</w:t>
      </w:r>
      <w:r>
        <w:rPr>
          <w:sz w:val="18"/>
          <w:szCs w:val="18"/>
          <w:i/>
          <w:iCs/>
          <w:color w:val="231F20"/>
          <w:spacing w:val="-2"/>
        </w:rPr>
        <w:t>P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＜</w:t>
      </w:r>
      <w:r>
        <w:rPr>
          <w:sz w:val="18"/>
          <w:szCs w:val="18"/>
          <w:color w:val="231F20"/>
          <w:spacing w:val="-2"/>
        </w:rPr>
        <w:t>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）。见表</w:t>
      </w:r>
      <w:r>
        <w:rPr>
          <w:sz w:val="18"/>
          <w:szCs w:val="18"/>
          <w:color w:val="231F20"/>
          <w:spacing w:val="-2"/>
        </w:rPr>
        <w:t>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。</w:t>
      </w:r>
    </w:p>
    <w:p>
      <w:pPr>
        <w:spacing w:line="173" w:lineRule="auto"/>
        <w:sectPr>
          <w:type w:val="continuous"/>
          <w:pgSz w:w="11906" w:h="16158"/>
          <w:pgMar w:top="1240" w:right="1019" w:bottom="0" w:left="407" w:header="993" w:footer="0" w:gutter="0"/>
          <w:cols w:equalWidth="0" w:num="2">
            <w:col w:w="5649" w:space="100"/>
            <w:col w:w="4730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ind w:left="3860"/>
        <w:spacing w:before="50" w:line="189" w:lineRule="auto"/>
        <w:outlineLvl w:val="0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E3092"/>
        </w:rPr>
        <w:t>表5</w:t>
      </w: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6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E3092"/>
        </w:rPr>
        <w:t>两组患者护理满意度情况对照[</w:t>
      </w:r>
      <w:r>
        <w:rPr>
          <w:sz w:val="18"/>
          <w:szCs w:val="18"/>
          <w:i/>
          <w:iCs/>
          <w:color w:val="2E3092"/>
        </w:rPr>
        <w:t>n</w:t>
      </w:r>
      <w:r>
        <w:rPr>
          <w:rFonts w:ascii="Microsoft YaHei" w:hAnsi="Microsoft YaHei" w:eastAsia="Microsoft YaHei" w:cs="Microsoft YaHei"/>
          <w:sz w:val="18"/>
          <w:szCs w:val="18"/>
          <w:color w:val="2E3092"/>
        </w:rPr>
        <w:t>（%）]</w:t>
      </w:r>
    </w:p>
    <w:tbl>
      <w:tblPr>
        <w:tblStyle w:val="TableNormal"/>
        <w:tblW w:w="9756" w:type="dxa"/>
        <w:tblInd w:w="7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1"/>
        <w:gridCol w:w="1576"/>
        <w:gridCol w:w="1761"/>
        <w:gridCol w:w="1796"/>
        <w:gridCol w:w="1722"/>
        <w:gridCol w:w="1840"/>
      </w:tblGrid>
      <w:tr>
        <w:trPr>
          <w:trHeight w:val="211" w:hRule="atLeast"/>
        </w:trPr>
        <w:tc>
          <w:tcPr>
            <w:tcW w:w="106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"/>
              <w:spacing w:before="28" w:line="17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  <w:position w:val="-1"/>
              </w:rPr>
              <w:t>组别</w:t>
            </w:r>
          </w:p>
        </w:tc>
        <w:tc>
          <w:tcPr>
            <w:tcW w:w="157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46"/>
              <w:spacing w:before="27" w:line="17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  <w:position w:val="-1"/>
              </w:rPr>
              <w:t>例数</w:t>
            </w:r>
          </w:p>
        </w:tc>
        <w:tc>
          <w:tcPr>
            <w:tcW w:w="176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84"/>
              <w:spacing w:before="28" w:line="17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  <w:w w:val="98"/>
                <w:position w:val="-1"/>
              </w:rPr>
              <w:t>十分满意</w:t>
            </w:r>
          </w:p>
        </w:tc>
        <w:tc>
          <w:tcPr>
            <w:tcW w:w="179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97"/>
              <w:spacing w:before="28" w:line="17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4"/>
              </w:rPr>
              <w:t>较为满意</w:t>
            </w:r>
          </w:p>
        </w:tc>
        <w:tc>
          <w:tcPr>
            <w:tcW w:w="172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9"/>
              <w:spacing w:before="28" w:line="17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  <w:w w:val="99"/>
                <w:position w:val="-1"/>
              </w:rPr>
              <w:t>不满意</w:t>
            </w:r>
          </w:p>
        </w:tc>
        <w:tc>
          <w:tcPr>
            <w:tcW w:w="184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19"/>
              <w:spacing w:before="28" w:line="17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  <w:w w:val="99"/>
                <w:position w:val="-1"/>
              </w:rPr>
              <w:t>满意度</w:t>
            </w:r>
          </w:p>
        </w:tc>
      </w:tr>
      <w:tr>
        <w:trPr>
          <w:trHeight w:val="209" w:hRule="atLeast"/>
        </w:trPr>
        <w:tc>
          <w:tcPr>
            <w:tcW w:w="10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"/>
              <w:spacing w:before="33" w:line="16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9"/>
              </w:rPr>
              <w:t>甲组</w:t>
            </w:r>
          </w:p>
        </w:tc>
        <w:tc>
          <w:tcPr>
            <w:tcW w:w="1576" w:type="dxa"/>
            <w:vAlign w:val="top"/>
            <w:tcBorders>
              <w:top w:val="single" w:color="231F20" w:sz="2" w:space="0"/>
            </w:tcBorders>
          </w:tcPr>
          <w:p>
            <w:pPr>
              <w:ind w:left="824"/>
              <w:spacing w:before="5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49</w:t>
            </w:r>
          </w:p>
        </w:tc>
        <w:tc>
          <w:tcPr>
            <w:tcW w:w="17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2"/>
              <w:spacing w:before="25" w:line="173" w:lineRule="exac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0"/>
                <w:position w:val="1"/>
              </w:rPr>
              <w:t>22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0"/>
                <w:position w:val="1"/>
              </w:rPr>
              <w:t>44.90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>）</w:t>
            </w:r>
          </w:p>
        </w:tc>
        <w:tc>
          <w:tcPr>
            <w:tcW w:w="17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1"/>
              <w:spacing w:before="25" w:line="173" w:lineRule="exac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4"/>
                <w:position w:val="1"/>
              </w:rPr>
              <w:t>18</w:t>
            </w:r>
            <w:r>
              <w:rPr>
                <w:sz w:val="16"/>
                <w:szCs w:val="16"/>
                <w:color w:val="231F20"/>
                <w:spacing w:val="-14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4"/>
                <w:position w:val="1"/>
              </w:rPr>
              <w:t>36.73</w:t>
            </w:r>
            <w:r>
              <w:rPr>
                <w:sz w:val="16"/>
                <w:szCs w:val="16"/>
                <w:color w:val="231F20"/>
                <w:spacing w:val="-14"/>
                <w:position w:val="1"/>
              </w:rPr>
              <w:t>）</w:t>
            </w:r>
          </w:p>
        </w:tc>
        <w:tc>
          <w:tcPr>
            <w:tcW w:w="17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3"/>
              <w:spacing w:before="25" w:line="173" w:lineRule="exac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4"/>
                <w:position w:val="1"/>
              </w:rPr>
              <w:t>9</w:t>
            </w:r>
            <w:r>
              <w:rPr>
                <w:sz w:val="16"/>
                <w:szCs w:val="16"/>
                <w:color w:val="231F20"/>
                <w:spacing w:val="-14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4"/>
                <w:position w:val="1"/>
              </w:rPr>
              <w:t>18.37</w:t>
            </w:r>
            <w:r>
              <w:rPr>
                <w:sz w:val="16"/>
                <w:szCs w:val="16"/>
                <w:color w:val="231F20"/>
                <w:spacing w:val="-14"/>
                <w:position w:val="1"/>
              </w:rPr>
              <w:t>）</w:t>
            </w:r>
          </w:p>
        </w:tc>
        <w:tc>
          <w:tcPr>
            <w:tcW w:w="18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5"/>
              <w:spacing w:before="25" w:line="173" w:lineRule="exac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  <w:position w:val="1"/>
              </w:rPr>
              <w:t>40</w:t>
            </w:r>
            <w:r>
              <w:rPr>
                <w:sz w:val="16"/>
                <w:szCs w:val="16"/>
                <w:color w:val="231F20"/>
                <w:spacing w:val="-11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  <w:position w:val="1"/>
              </w:rPr>
              <w:t>81.63</w:t>
            </w:r>
            <w:r>
              <w:rPr>
                <w:sz w:val="16"/>
                <w:szCs w:val="16"/>
                <w:color w:val="231F20"/>
                <w:spacing w:val="-11"/>
                <w:position w:val="1"/>
              </w:rPr>
              <w:t>）</w:t>
            </w:r>
          </w:p>
        </w:tc>
      </w:tr>
      <w:tr>
        <w:trPr>
          <w:trHeight w:val="211" w:hRule="atLeast"/>
        </w:trPr>
        <w:tc>
          <w:tcPr>
            <w:tcW w:w="1061" w:type="dxa"/>
            <w:vAlign w:val="top"/>
          </w:tcPr>
          <w:p>
            <w:pPr>
              <w:pStyle w:val="TableText"/>
              <w:ind w:left="17"/>
              <w:spacing w:before="42" w:line="15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  <w:position w:val="-2"/>
              </w:rPr>
              <w:t>乙组</w:t>
            </w:r>
          </w:p>
        </w:tc>
        <w:tc>
          <w:tcPr>
            <w:tcW w:w="1576" w:type="dxa"/>
            <w:vAlign w:val="top"/>
          </w:tcPr>
          <w:p>
            <w:pPr>
              <w:ind w:left="824"/>
              <w:spacing w:before="62" w:line="18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49</w:t>
            </w:r>
          </w:p>
        </w:tc>
        <w:tc>
          <w:tcPr>
            <w:tcW w:w="1761" w:type="dxa"/>
            <w:vAlign w:val="top"/>
          </w:tcPr>
          <w:p>
            <w:pPr>
              <w:pStyle w:val="TableText"/>
              <w:ind w:left="540"/>
              <w:spacing w:before="32" w:line="169" w:lineRule="exac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3"/>
              </w:rPr>
              <w:t>28</w:t>
            </w:r>
            <w:r>
              <w:rPr>
                <w:sz w:val="16"/>
                <w:szCs w:val="16"/>
                <w:color w:val="231F20"/>
                <w:spacing w:val="-13"/>
              </w:rPr>
              <w:t>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3"/>
              </w:rPr>
              <w:t>57.14</w:t>
            </w:r>
            <w:r>
              <w:rPr>
                <w:sz w:val="16"/>
                <w:szCs w:val="16"/>
                <w:color w:val="231F20"/>
                <w:spacing w:val="-13"/>
              </w:rPr>
              <w:t>）</w:t>
            </w:r>
          </w:p>
        </w:tc>
        <w:tc>
          <w:tcPr>
            <w:tcW w:w="1796" w:type="dxa"/>
            <w:vAlign w:val="top"/>
          </w:tcPr>
          <w:p>
            <w:pPr>
              <w:pStyle w:val="TableText"/>
              <w:ind w:left="571"/>
              <w:spacing w:before="32" w:line="169" w:lineRule="exac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4"/>
              </w:rPr>
              <w:t>19</w:t>
            </w:r>
            <w:r>
              <w:rPr>
                <w:sz w:val="16"/>
                <w:szCs w:val="16"/>
                <w:color w:val="231F20"/>
                <w:spacing w:val="-14"/>
              </w:rPr>
              <w:t>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4"/>
              </w:rPr>
              <w:t>38.78</w:t>
            </w:r>
            <w:r>
              <w:rPr>
                <w:sz w:val="16"/>
                <w:szCs w:val="16"/>
                <w:color w:val="231F20"/>
                <w:spacing w:val="-14"/>
              </w:rPr>
              <w:t>）</w:t>
            </w:r>
          </w:p>
        </w:tc>
        <w:tc>
          <w:tcPr>
            <w:tcW w:w="1722" w:type="dxa"/>
            <w:vAlign w:val="top"/>
          </w:tcPr>
          <w:p>
            <w:pPr>
              <w:pStyle w:val="TableText"/>
              <w:ind w:left="605"/>
              <w:spacing w:before="32" w:line="169" w:lineRule="exac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</w:rPr>
              <w:t>2</w:t>
            </w:r>
            <w:r>
              <w:rPr>
                <w:sz w:val="16"/>
                <w:szCs w:val="16"/>
                <w:color w:val="231F20"/>
                <w:spacing w:val="-11"/>
              </w:rPr>
              <w:t>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</w:rPr>
              <w:t>4.08</w:t>
            </w:r>
            <w:r>
              <w:rPr>
                <w:sz w:val="16"/>
                <w:szCs w:val="16"/>
                <w:color w:val="231F20"/>
                <w:spacing w:val="-11"/>
              </w:rPr>
              <w:t>）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591"/>
              <w:spacing w:before="32" w:line="169" w:lineRule="exac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</w:rPr>
              <w:t>47</w:t>
            </w:r>
            <w:r>
              <w:rPr>
                <w:sz w:val="16"/>
                <w:szCs w:val="16"/>
                <w:color w:val="231F20"/>
                <w:spacing w:val="-11"/>
              </w:rPr>
              <w:t>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</w:rPr>
              <w:t>95.92</w:t>
            </w:r>
            <w:r>
              <w:rPr>
                <w:sz w:val="16"/>
                <w:szCs w:val="16"/>
                <w:color w:val="231F20"/>
                <w:spacing w:val="-11"/>
              </w:rPr>
              <w:t>）</w:t>
            </w:r>
          </w:p>
        </w:tc>
      </w:tr>
      <w:tr>
        <w:trPr>
          <w:trHeight w:val="222" w:hRule="atLeast"/>
        </w:trPr>
        <w:tc>
          <w:tcPr>
            <w:tcW w:w="1061" w:type="dxa"/>
            <w:vAlign w:val="top"/>
          </w:tcPr>
          <w:p>
            <w:pPr>
              <w:ind w:right="939" w:firstLine="76"/>
              <w:spacing w:before="35" w:line="14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-1"/>
              </w:rPr>
              <w:t>2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x</w:t>
            </w:r>
          </w:p>
        </w:tc>
        <w:tc>
          <w:tcPr>
            <w:tcW w:w="1576" w:type="dxa"/>
            <w:vAlign w:val="top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1761" w:type="dxa"/>
            <w:vAlign w:val="top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1796" w:type="dxa"/>
            <w:vAlign w:val="top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1722" w:type="dxa"/>
            <w:vAlign w:val="top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1840" w:type="dxa"/>
            <w:vAlign w:val="top"/>
          </w:tcPr>
          <w:p>
            <w:pPr>
              <w:ind w:left="791"/>
              <w:spacing w:before="68" w:line="18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5"/>
              </w:rPr>
              <w:t>5.018</w:t>
            </w:r>
          </w:p>
        </w:tc>
      </w:tr>
      <w:tr>
        <w:trPr>
          <w:trHeight w:val="218" w:hRule="atLeast"/>
        </w:trPr>
        <w:tc>
          <w:tcPr>
            <w:tcW w:w="1061" w:type="dxa"/>
            <w:vAlign w:val="top"/>
            <w:tcBorders>
              <w:bottom w:val="single" w:color="231F20" w:sz="4" w:space="0"/>
            </w:tcBorders>
          </w:tcPr>
          <w:p>
            <w:pPr>
              <w:ind w:left="1"/>
              <w:spacing w:before="60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1576" w:type="dxa"/>
            <w:vAlign w:val="top"/>
            <w:tcBorders>
              <w:bottom w:val="single" w:color="231F20" w:sz="4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1761" w:type="dxa"/>
            <w:vAlign w:val="top"/>
            <w:tcBorders>
              <w:bottom w:val="single" w:color="231F20" w:sz="4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1796" w:type="dxa"/>
            <w:vAlign w:val="top"/>
            <w:tcBorders>
              <w:bottom w:val="single" w:color="231F20" w:sz="4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1722" w:type="dxa"/>
            <w:vAlign w:val="top"/>
            <w:tcBorders>
              <w:bottom w:val="single" w:color="231F20" w:sz="4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1840" w:type="dxa"/>
            <w:vAlign w:val="top"/>
            <w:tcBorders>
              <w:bottom w:val="single" w:color="231F20" w:sz="4" w:space="0"/>
            </w:tcBorders>
          </w:tcPr>
          <w:p>
            <w:pPr>
              <w:ind w:left="779"/>
              <w:spacing w:before="62" w:line="18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3"/>
              </w:rPr>
              <w:t>0.025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158"/>
          <w:pgMar w:top="1240" w:right="1019" w:bottom="0" w:left="407" w:header="993" w:footer="0" w:gutter="0"/>
          <w:cols w:equalWidth="0" w:num="1">
            <w:col w:w="1047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204"/>
        <w:rPr/>
      </w:pPr>
      <w:r/>
    </w:p>
    <w:p>
      <w:pPr>
        <w:sectPr>
          <w:headerReference w:type="default" r:id="rId3"/>
          <w:pgSz w:w="11906" w:h="16158"/>
          <w:pgMar w:top="1240" w:right="1118" w:bottom="0" w:left="407" w:header="993" w:footer="0" w:gutter="0"/>
          <w:cols w:equalWidth="0" w:num="1">
            <w:col w:w="10379" w:space="0"/>
          </w:cols>
        </w:sectPr>
        <w:rPr/>
      </w:pPr>
    </w:p>
    <w:p>
      <w:pPr>
        <w:ind w:left="620"/>
        <w:spacing w:before="47" w:line="16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E3092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E3092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E3092"/>
        </w:rPr>
        <w:t>讨论</w:t>
      </w:r>
    </w:p>
    <w:p>
      <w:pPr>
        <w:pStyle w:val="BodyText"/>
        <w:ind w:left="613" w:right="185" w:firstLine="365"/>
        <w:spacing w:before="15" w:line="17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急性肠胃炎疾病的发病机制比较复发，现今临床上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对于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此病依然为给出明确的定论，大部分学者认为急性肠胃炎的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发生，与患者饮食不合理有密切关系，具体表现为食用大量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刺激性食物、饮食不健康以及暴饮暴食等</w:t>
      </w:r>
      <w:r>
        <w:rPr>
          <w:sz w:val="10"/>
          <w:szCs w:val="10"/>
          <w:color w:val="231F20"/>
          <w:spacing w:val="1"/>
          <w:position w:val="7"/>
        </w:rPr>
        <w:t>[12]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。一旦患有急性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肠胃炎，将出现严重腹痛、腹泻以及恶心呕吐等症状，而由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此所引起的不适症状，还将导致患者出现一些不良情绪，继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而致使患者无法以平和的心态面对治疗，最终影响疾病的治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疗效果。因此，在对患者进行治疗期间还应采取相应的护理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措施，而优质护理就是一种较为有效的护理措施。相较于常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规护理，优质护理更能从患者的角度出发，针对患者在疾病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治疗过程中可能存在的问题，如心理、饮食、用药等，对此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提供更为细致、更为周全的护理服务，以此消除患者的不良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情绪，确保其各项护理工作的顺利展开，从而为疾病的治疗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  <w:position w:val="-1"/>
        </w:rPr>
        <w:t>提供强有力的助力</w:t>
      </w:r>
      <w:r>
        <w:rPr>
          <w:sz w:val="10"/>
          <w:szCs w:val="10"/>
          <w:color w:val="231F20"/>
          <w:spacing w:val="2"/>
          <w:position w:val="7"/>
        </w:rPr>
        <w:t>[13-14]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  <w:position w:val="-1"/>
        </w:rPr>
        <w:t>。优质护理在实施过程中，坚持以患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者为中心，考虑到急性肠胃炎的发生对患者所带来的身体不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适及心理影响，且依据每位患者的真实情况，对其予以个性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化的心理疏导。与此同时，还能充分结合疾病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治疗的需要，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对患者开展其他方面的护理，如用药指导，从而确保患者的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症状得到最大限度的缓解，减轻患者身体及心理的不适，避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免焦虑、抑郁等不良情绪对人体以及疾病治疗所带来的负面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影响</w:t>
      </w:r>
      <w:r>
        <w:rPr>
          <w:sz w:val="10"/>
          <w:szCs w:val="10"/>
          <w:color w:val="231F20"/>
          <w:spacing w:val="1"/>
          <w:position w:val="7"/>
        </w:rPr>
        <w:t>[15]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。除此之外，优质护理在实施过程中还考虑到了饮食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和疾病两者间的关系，并为患者提供合理的饮食指导，以保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4"/>
        <w:spacing w:before="52" w:line="175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证患者进食的科学性与合理性，确保其营养所需，且以此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促进其症状的好转</w:t>
      </w:r>
      <w:r>
        <w:rPr>
          <w:sz w:val="10"/>
          <w:szCs w:val="10"/>
          <w:color w:val="231F20"/>
          <w:spacing w:val="1"/>
          <w:position w:val="7"/>
        </w:rPr>
        <w:t>[16]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。再者，对急性肠胃炎患者予以疼痛干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预，有效缓解其疼痛症状，能在一定程度缓解其因疼痛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而产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生的不良情绪，从而使其以更加平和的态度面对疾病、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面对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治疗，最终达到更好的治疗效果，促进身体的早日康复。</w:t>
      </w:r>
    </w:p>
    <w:p>
      <w:pPr>
        <w:pStyle w:val="BodyText"/>
        <w:ind w:right="12" w:firstLine="361"/>
        <w:spacing w:before="9" w:line="17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在此次研究中，采取优质护理的乙组患者，其护理后的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SDS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、</w:t>
      </w:r>
      <w:r>
        <w:rPr>
          <w:sz w:val="18"/>
          <w:szCs w:val="18"/>
          <w:color w:val="231F20"/>
        </w:rPr>
        <w:t>SAS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评分不但低于本组护理前，且显著低于甲组患者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护理后，有明显的差异；这表明对急性肠胃炎患者实施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乙组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所用护理措施，对缓解患者的焦虑、抑郁情况，促使其以积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极乐观的态度面对疾病，十分有利。在各症状消失时间上，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乙组明显比甲组短，以腹痛消失时间为例，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</w:rPr>
        <w:t>1.76</w:t>
      </w:r>
      <w:r>
        <w:rPr>
          <w:rFonts w:ascii="SimSun" w:hAnsi="SimSun" w:eastAsia="SimSun" w:cs="SimSun"/>
          <w:sz w:val="18"/>
          <w:szCs w:val="18"/>
          <w:color w:val="231F20"/>
        </w:rPr>
        <w:t>±</w:t>
      </w:r>
      <w:r>
        <w:rPr>
          <w:sz w:val="18"/>
          <w:szCs w:val="18"/>
          <w:color w:val="231F20"/>
        </w:rPr>
        <w:t>0.27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vs </w:t>
      </w:r>
      <w:r>
        <w:rPr>
          <w:sz w:val="18"/>
          <w:szCs w:val="18"/>
          <w:color w:val="231F20"/>
          <w:spacing w:val="-1"/>
        </w:rPr>
        <w:t>3.47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±</w:t>
      </w:r>
      <w:r>
        <w:rPr>
          <w:sz w:val="18"/>
          <w:szCs w:val="18"/>
          <w:color w:val="231F20"/>
          <w:spacing w:val="-1"/>
        </w:rPr>
        <w:t>0.36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，差异显著；这意味着采取优质护理措施，有助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于改善患者的症状。除此之外，在护理满意度方面，乙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组明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显高于甲组，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即</w:t>
      </w:r>
      <w:r>
        <w:rPr>
          <w:sz w:val="18"/>
          <w:szCs w:val="18"/>
          <w:color w:val="231F20"/>
        </w:rPr>
        <w:t>95.92%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81.63%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，存在显著性差异；由此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表明对急性肠胃炎患者予以乙组所用护理措施，可在一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定程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度提升患者的护理满意度，从而确保各项护理措施的顺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利进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行，最终促进患者身体的早日康复。</w:t>
      </w:r>
    </w:p>
    <w:p>
      <w:pPr>
        <w:ind w:left="1" w:right="14" w:firstLine="365"/>
        <w:spacing w:before="3" w:line="17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总而言之，对急性肠胃炎患者采取优质护理措施，能够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取得令人满意的护理效果，不但可以在一定程度上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缓解患者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的不良情绪，还能够提升其护理满意度，是一种值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得推广的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护理措施。</w:t>
      </w:r>
    </w:p>
    <w:p>
      <w:pPr>
        <w:pStyle w:val="BodyText"/>
        <w:ind w:left="158"/>
        <w:spacing w:before="25" w:line="20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（收稿日期：</w:t>
      </w:r>
      <w:r>
        <w:rPr>
          <w:sz w:val="15"/>
          <w:szCs w:val="15"/>
          <w:color w:val="231F20"/>
        </w:rPr>
        <w:t>2021-06-12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；修回日期：</w:t>
      </w:r>
      <w:r>
        <w:rPr>
          <w:sz w:val="15"/>
          <w:szCs w:val="15"/>
          <w:color w:val="231F20"/>
        </w:rPr>
        <w:t>2021-0</w:t>
      </w:r>
      <w:r>
        <w:rPr>
          <w:sz w:val="15"/>
          <w:szCs w:val="15"/>
          <w:color w:val="231F20"/>
          <w:spacing w:val="-1"/>
        </w:rPr>
        <w:t>6-25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；编辑：谭雯雯）</w:t>
      </w:r>
    </w:p>
    <w:p>
      <w:pPr>
        <w:spacing w:line="201" w:lineRule="auto"/>
        <w:sectPr>
          <w:type w:val="continuous"/>
          <w:pgSz w:w="11906" w:h="16158"/>
          <w:pgMar w:top="1240" w:right="1118" w:bottom="0" w:left="407" w:header="993" w:footer="0" w:gutter="0"/>
          <w:cols w:equalWidth="0" w:num="2">
            <w:col w:w="5532" w:space="100"/>
            <w:col w:w="4747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ind w:left="616"/>
        <w:spacing w:before="199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-1"/>
        </w:rPr>
        <w:t>参考文献</w:t>
      </w:r>
    </w:p>
    <w:p>
      <w:pPr>
        <w:pStyle w:val="BodyText"/>
        <w:ind w:left="625"/>
        <w:spacing w:before="22" w:line="210" w:lineRule="exact"/>
        <w:rPr/>
      </w:pPr>
      <w:r>
        <w:rPr>
          <w:color w:val="231F20"/>
          <w:spacing w:val="-1"/>
          <w:position w:val="1"/>
        </w:rPr>
        <w:t>[</w:t>
      </w:r>
      <w:r>
        <w:rPr>
          <w:color w:val="231F20"/>
          <w:spacing w:val="-21"/>
          <w:position w:val="1"/>
        </w:rPr>
        <w:t xml:space="preserve"> </w:t>
      </w:r>
      <w:r>
        <w:rPr>
          <w:color w:val="231F20"/>
          <w:spacing w:val="-1"/>
          <w:position w:val="1"/>
        </w:rPr>
        <w:t>1]     </w:t>
      </w:r>
      <w:r>
        <w:rPr>
          <w:rFonts w:ascii="KaiTi" w:hAnsi="KaiTi" w:eastAsia="KaiTi" w:cs="KaiTi"/>
          <w:color w:val="231F20"/>
          <w:spacing w:val="-1"/>
          <w:position w:val="1"/>
        </w:rPr>
        <w:t>冷淑杰</w:t>
      </w:r>
      <w:r>
        <w:rPr>
          <w:color w:val="231F20"/>
          <w:spacing w:val="-1"/>
          <w:position w:val="1"/>
        </w:rPr>
        <w:t>.</w:t>
      </w:r>
      <w:r>
        <w:rPr>
          <w:rFonts w:ascii="KaiTi" w:hAnsi="KaiTi" w:eastAsia="KaiTi" w:cs="KaiTi"/>
          <w:color w:val="231F20"/>
          <w:spacing w:val="-1"/>
          <w:position w:val="1"/>
        </w:rPr>
        <w:t>优质护理对急性肠胃炎患者的临床效果分析</w:t>
      </w:r>
      <w:r>
        <w:rPr>
          <w:color w:val="231F20"/>
          <w:spacing w:val="-1"/>
          <w:position w:val="1"/>
        </w:rPr>
        <w:t>[J].</w:t>
      </w:r>
      <w:r>
        <w:rPr>
          <w:rFonts w:ascii="KaiTi" w:hAnsi="KaiTi" w:eastAsia="KaiTi" w:cs="KaiTi"/>
          <w:color w:val="231F20"/>
          <w:spacing w:val="-1"/>
          <w:position w:val="1"/>
        </w:rPr>
        <w:t>科学养生</w:t>
      </w:r>
      <w:r>
        <w:rPr>
          <w:color w:val="231F20"/>
          <w:spacing w:val="-1"/>
          <w:position w:val="1"/>
        </w:rPr>
        <w:t>,2021,</w:t>
      </w:r>
      <w:r>
        <w:rPr>
          <w:color w:val="231F20"/>
          <w:spacing w:val="-2"/>
          <w:position w:val="1"/>
        </w:rPr>
        <w:t>24(2):</w:t>
      </w:r>
      <w:r>
        <w:rPr>
          <w:color w:val="231F20"/>
          <w:spacing w:val="-22"/>
          <w:position w:val="1"/>
        </w:rPr>
        <w:t xml:space="preserve"> </w:t>
      </w:r>
      <w:r>
        <w:rPr>
          <w:color w:val="231F20"/>
          <w:spacing w:val="-2"/>
          <w:position w:val="1"/>
        </w:rPr>
        <w:t>124.</w:t>
      </w:r>
    </w:p>
    <w:p>
      <w:pPr>
        <w:pStyle w:val="BodyText"/>
        <w:ind w:left="625"/>
        <w:spacing w:before="9" w:line="211" w:lineRule="exact"/>
        <w:rPr/>
      </w:pPr>
      <w:r>
        <w:rPr>
          <w:color w:val="231F20"/>
          <w:spacing w:val="-1"/>
          <w:position w:val="1"/>
        </w:rPr>
        <w:t>[2]     </w:t>
      </w:r>
      <w:r>
        <w:rPr>
          <w:rFonts w:ascii="KaiTi" w:hAnsi="KaiTi" w:eastAsia="KaiTi" w:cs="KaiTi"/>
          <w:color w:val="231F20"/>
          <w:spacing w:val="-1"/>
          <w:position w:val="1"/>
        </w:rPr>
        <w:t>张花</w:t>
      </w:r>
      <w:r>
        <w:rPr>
          <w:color w:val="231F20"/>
          <w:spacing w:val="-1"/>
          <w:position w:val="1"/>
        </w:rPr>
        <w:t>.</w:t>
      </w:r>
      <w:r>
        <w:rPr>
          <w:rFonts w:ascii="KaiTi" w:hAnsi="KaiTi" w:eastAsia="KaiTi" w:cs="KaiTi"/>
          <w:color w:val="231F20"/>
          <w:spacing w:val="-1"/>
          <w:position w:val="1"/>
        </w:rPr>
        <w:t>优质护理在急性肠胃炎患者中的效果</w:t>
      </w:r>
      <w:r>
        <w:rPr>
          <w:color w:val="231F20"/>
          <w:spacing w:val="-1"/>
          <w:position w:val="1"/>
        </w:rPr>
        <w:t>[J].</w:t>
      </w:r>
      <w:r>
        <w:rPr>
          <w:rFonts w:ascii="KaiTi" w:hAnsi="KaiTi" w:eastAsia="KaiTi" w:cs="KaiTi"/>
          <w:color w:val="231F20"/>
          <w:spacing w:val="-1"/>
          <w:position w:val="1"/>
        </w:rPr>
        <w:t>临床医药文献电子杂志</w:t>
      </w:r>
      <w:r>
        <w:rPr>
          <w:color w:val="231F20"/>
          <w:spacing w:val="-1"/>
          <w:position w:val="1"/>
        </w:rPr>
        <w:t>,2020,7(98):</w:t>
      </w:r>
      <w:r>
        <w:rPr>
          <w:color w:val="231F20"/>
          <w:spacing w:val="-17"/>
          <w:position w:val="1"/>
        </w:rPr>
        <w:t xml:space="preserve"> </w:t>
      </w:r>
      <w:r>
        <w:rPr>
          <w:color w:val="231F20"/>
          <w:spacing w:val="-1"/>
          <w:position w:val="1"/>
        </w:rPr>
        <w:t>115.</w:t>
      </w:r>
    </w:p>
    <w:p>
      <w:pPr>
        <w:pStyle w:val="BodyText"/>
        <w:ind w:left="625"/>
        <w:spacing w:before="9" w:line="211" w:lineRule="exact"/>
        <w:rPr/>
      </w:pPr>
      <w:r>
        <w:rPr>
          <w:color w:val="231F20"/>
          <w:position w:val="1"/>
        </w:rPr>
        <w:t>[3]     </w:t>
      </w:r>
      <w:r>
        <w:rPr>
          <w:rFonts w:ascii="KaiTi" w:hAnsi="KaiTi" w:eastAsia="KaiTi" w:cs="KaiTi"/>
          <w:color w:val="231F20"/>
          <w:position w:val="1"/>
        </w:rPr>
        <w:t>郭庆英</w:t>
      </w:r>
      <w:r>
        <w:rPr>
          <w:color w:val="231F20"/>
          <w:position w:val="1"/>
        </w:rPr>
        <w:t>.</w:t>
      </w:r>
      <w:r>
        <w:rPr>
          <w:rFonts w:ascii="KaiTi" w:hAnsi="KaiTi" w:eastAsia="KaiTi" w:cs="KaiTi"/>
          <w:color w:val="231F20"/>
          <w:position w:val="1"/>
        </w:rPr>
        <w:t>优质护理对急性</w:t>
      </w:r>
      <w:r>
        <w:rPr>
          <w:rFonts w:ascii="KaiTi" w:hAnsi="KaiTi" w:eastAsia="KaiTi" w:cs="KaiTi"/>
          <w:color w:val="231F20"/>
          <w:spacing w:val="-1"/>
          <w:position w:val="1"/>
        </w:rPr>
        <w:t>肠胃炎患者的临床效果及满意度和住院时间分析</w:t>
      </w:r>
      <w:r>
        <w:rPr>
          <w:color w:val="231F20"/>
          <w:spacing w:val="-1"/>
          <w:position w:val="1"/>
        </w:rPr>
        <w:t>[J].</w:t>
      </w:r>
      <w:r>
        <w:rPr>
          <w:rFonts w:ascii="KaiTi" w:hAnsi="KaiTi" w:eastAsia="KaiTi" w:cs="KaiTi"/>
          <w:color w:val="231F20"/>
          <w:spacing w:val="-1"/>
          <w:position w:val="1"/>
        </w:rPr>
        <w:t>健康大视野</w:t>
      </w:r>
      <w:r>
        <w:rPr>
          <w:color w:val="231F20"/>
          <w:spacing w:val="-1"/>
          <w:position w:val="1"/>
        </w:rPr>
        <w:t>,2018,26(9):</w:t>
      </w:r>
      <w:r>
        <w:rPr>
          <w:color w:val="231F20"/>
          <w:spacing w:val="-22"/>
          <w:position w:val="1"/>
        </w:rPr>
        <w:t xml:space="preserve"> </w:t>
      </w:r>
      <w:r>
        <w:rPr>
          <w:color w:val="231F20"/>
          <w:spacing w:val="-1"/>
          <w:position w:val="1"/>
        </w:rPr>
        <w:t>141.</w:t>
      </w:r>
    </w:p>
    <w:p>
      <w:pPr>
        <w:pStyle w:val="BodyText"/>
        <w:ind w:left="625"/>
        <w:spacing w:before="9" w:line="211" w:lineRule="exact"/>
        <w:rPr/>
      </w:pPr>
      <w:r>
        <w:rPr>
          <w:color w:val="231F20"/>
          <w:position w:val="1"/>
        </w:rPr>
        <w:t>[4]     </w:t>
      </w:r>
      <w:r>
        <w:rPr>
          <w:rFonts w:ascii="KaiTi" w:hAnsi="KaiTi" w:eastAsia="KaiTi" w:cs="KaiTi"/>
          <w:color w:val="231F20"/>
          <w:position w:val="1"/>
        </w:rPr>
        <w:t>王超</w:t>
      </w:r>
      <w:r>
        <w:rPr>
          <w:color w:val="231F20"/>
          <w:position w:val="1"/>
        </w:rPr>
        <w:t>,</w:t>
      </w:r>
      <w:r>
        <w:rPr>
          <w:rFonts w:ascii="KaiTi" w:hAnsi="KaiTi" w:eastAsia="KaiTi" w:cs="KaiTi"/>
          <w:color w:val="231F20"/>
          <w:position w:val="1"/>
        </w:rPr>
        <w:t>郭政锋</w:t>
      </w:r>
      <w:r>
        <w:rPr>
          <w:color w:val="231F20"/>
          <w:position w:val="1"/>
        </w:rPr>
        <w:t>,</w:t>
      </w:r>
      <w:r>
        <w:rPr>
          <w:rFonts w:ascii="KaiTi" w:hAnsi="KaiTi" w:eastAsia="KaiTi" w:cs="KaiTi"/>
          <w:color w:val="231F20"/>
          <w:position w:val="1"/>
        </w:rPr>
        <w:t>刘光优</w:t>
      </w:r>
      <w:r>
        <w:rPr>
          <w:color w:val="231F20"/>
          <w:position w:val="1"/>
        </w:rPr>
        <w:t>.</w:t>
      </w:r>
      <w:r>
        <w:rPr>
          <w:rFonts w:ascii="KaiTi" w:hAnsi="KaiTi" w:eastAsia="KaiTi" w:cs="KaiTi"/>
          <w:color w:val="231F20"/>
          <w:position w:val="1"/>
        </w:rPr>
        <w:t>优质护理对于急性肠胃炎患者的护理的临床效果</w:t>
      </w:r>
      <w:r>
        <w:rPr>
          <w:color w:val="231F20"/>
          <w:position w:val="1"/>
        </w:rPr>
        <w:t>[J].</w:t>
      </w:r>
      <w:r>
        <w:rPr>
          <w:rFonts w:ascii="KaiTi" w:hAnsi="KaiTi" w:eastAsia="KaiTi" w:cs="KaiTi"/>
          <w:color w:val="231F20"/>
          <w:spacing w:val="-1"/>
          <w:position w:val="1"/>
        </w:rPr>
        <w:t>结直肠肛门外科</w:t>
      </w:r>
      <w:r>
        <w:rPr>
          <w:color w:val="231F20"/>
          <w:spacing w:val="-1"/>
          <w:position w:val="1"/>
        </w:rPr>
        <w:t>,2018,24(S2):206-207.</w:t>
      </w:r>
    </w:p>
    <w:p>
      <w:pPr>
        <w:pStyle w:val="BodyText"/>
        <w:ind w:left="624"/>
        <w:spacing w:before="9" w:line="211" w:lineRule="exact"/>
        <w:rPr/>
      </w:pPr>
      <w:r>
        <w:rPr>
          <w:color w:val="231F20"/>
          <w:spacing w:val="-1"/>
          <w:position w:val="1"/>
        </w:rPr>
        <w:t>[5]     </w:t>
      </w:r>
      <w:r>
        <w:rPr>
          <w:rFonts w:ascii="KaiTi" w:hAnsi="KaiTi" w:eastAsia="KaiTi" w:cs="KaiTi"/>
          <w:color w:val="231F20"/>
          <w:spacing w:val="-1"/>
          <w:position w:val="1"/>
        </w:rPr>
        <w:t>谢冬梅</w:t>
      </w:r>
      <w:r>
        <w:rPr>
          <w:color w:val="231F20"/>
          <w:spacing w:val="-1"/>
          <w:position w:val="1"/>
        </w:rPr>
        <w:t>,</w:t>
      </w:r>
      <w:r>
        <w:rPr>
          <w:rFonts w:ascii="KaiTi" w:hAnsi="KaiTi" w:eastAsia="KaiTi" w:cs="KaiTi"/>
          <w:color w:val="231F20"/>
          <w:spacing w:val="-1"/>
          <w:position w:val="1"/>
        </w:rPr>
        <w:t>许秋平</w:t>
      </w:r>
      <w:r>
        <w:rPr>
          <w:color w:val="231F20"/>
          <w:spacing w:val="-1"/>
          <w:position w:val="1"/>
        </w:rPr>
        <w:t>,</w:t>
      </w:r>
      <w:r>
        <w:rPr>
          <w:rFonts w:ascii="KaiTi" w:hAnsi="KaiTi" w:eastAsia="KaiTi" w:cs="KaiTi"/>
          <w:color w:val="231F20"/>
          <w:spacing w:val="-1"/>
          <w:position w:val="1"/>
        </w:rPr>
        <w:t>刘飞燕</w:t>
      </w:r>
      <w:r>
        <w:rPr>
          <w:color w:val="231F20"/>
          <w:spacing w:val="-1"/>
          <w:position w:val="1"/>
        </w:rPr>
        <w:t>.</w:t>
      </w:r>
      <w:r>
        <w:rPr>
          <w:rFonts w:ascii="KaiTi" w:hAnsi="KaiTi" w:eastAsia="KaiTi" w:cs="KaiTi"/>
          <w:color w:val="231F20"/>
          <w:spacing w:val="-1"/>
          <w:position w:val="1"/>
        </w:rPr>
        <w:t>优质护理在急性肠胃炎患者中的应用效果</w:t>
      </w:r>
      <w:r>
        <w:rPr>
          <w:color w:val="231F20"/>
          <w:spacing w:val="-1"/>
          <w:position w:val="1"/>
        </w:rPr>
        <w:t>[J].</w:t>
      </w:r>
      <w:r>
        <w:rPr>
          <w:rFonts w:ascii="KaiTi" w:hAnsi="KaiTi" w:eastAsia="KaiTi" w:cs="KaiTi"/>
          <w:color w:val="231F20"/>
          <w:spacing w:val="-1"/>
          <w:position w:val="1"/>
        </w:rPr>
        <w:t>医疗装备</w:t>
      </w:r>
      <w:r>
        <w:rPr>
          <w:color w:val="231F20"/>
          <w:spacing w:val="-1"/>
          <w:position w:val="1"/>
        </w:rPr>
        <w:t>,2018,31(9):</w:t>
      </w:r>
      <w:r>
        <w:rPr>
          <w:color w:val="231F20"/>
          <w:spacing w:val="-20"/>
          <w:position w:val="1"/>
        </w:rPr>
        <w:t xml:space="preserve"> </w:t>
      </w:r>
      <w:r>
        <w:rPr>
          <w:color w:val="231F20"/>
          <w:spacing w:val="-1"/>
          <w:position w:val="1"/>
        </w:rPr>
        <w:t>172-</w:t>
      </w:r>
      <w:r>
        <w:rPr>
          <w:color w:val="231F20"/>
          <w:spacing w:val="-22"/>
          <w:position w:val="1"/>
        </w:rPr>
        <w:t xml:space="preserve"> </w:t>
      </w:r>
      <w:r>
        <w:rPr>
          <w:color w:val="231F20"/>
          <w:spacing w:val="-1"/>
          <w:position w:val="1"/>
        </w:rPr>
        <w:t>174.</w:t>
      </w:r>
    </w:p>
    <w:p>
      <w:pPr>
        <w:pStyle w:val="BodyText"/>
        <w:ind w:left="624"/>
        <w:spacing w:before="9" w:line="211" w:lineRule="exact"/>
        <w:rPr/>
      </w:pPr>
      <w:r>
        <w:rPr>
          <w:color w:val="231F20"/>
          <w:position w:val="1"/>
        </w:rPr>
        <w:t>[6]     </w:t>
      </w:r>
      <w:r>
        <w:rPr>
          <w:rFonts w:ascii="KaiTi" w:hAnsi="KaiTi" w:eastAsia="KaiTi" w:cs="KaiTi"/>
          <w:color w:val="231F20"/>
          <w:position w:val="1"/>
        </w:rPr>
        <w:t>彭忠利</w:t>
      </w:r>
      <w:r>
        <w:rPr>
          <w:color w:val="231F20"/>
          <w:position w:val="1"/>
        </w:rPr>
        <w:t>,</w:t>
      </w:r>
      <w:r>
        <w:rPr>
          <w:rFonts w:ascii="KaiTi" w:hAnsi="KaiTi" w:eastAsia="KaiTi" w:cs="KaiTi"/>
          <w:color w:val="231F20"/>
          <w:position w:val="1"/>
        </w:rPr>
        <w:t>桑粉玲</w:t>
      </w:r>
      <w:r>
        <w:rPr>
          <w:color w:val="231F20"/>
          <w:position w:val="1"/>
        </w:rPr>
        <w:t>,</w:t>
      </w:r>
      <w:r>
        <w:rPr>
          <w:rFonts w:ascii="KaiTi" w:hAnsi="KaiTi" w:eastAsia="KaiTi" w:cs="KaiTi"/>
          <w:color w:val="231F20"/>
          <w:position w:val="1"/>
        </w:rPr>
        <w:t>毕丽红</w:t>
      </w:r>
      <w:r>
        <w:rPr>
          <w:color w:val="231F20"/>
          <w:position w:val="1"/>
        </w:rPr>
        <w:t>.</w:t>
      </w:r>
      <w:r>
        <w:rPr>
          <w:rFonts w:ascii="KaiTi" w:hAnsi="KaiTi" w:eastAsia="KaiTi" w:cs="KaiTi"/>
          <w:color w:val="231F20"/>
          <w:position w:val="1"/>
        </w:rPr>
        <w:t>优质护</w:t>
      </w:r>
      <w:r>
        <w:rPr>
          <w:rFonts w:ascii="KaiTi" w:hAnsi="KaiTi" w:eastAsia="KaiTi" w:cs="KaiTi"/>
          <w:color w:val="231F20"/>
          <w:spacing w:val="-1"/>
          <w:position w:val="1"/>
        </w:rPr>
        <w:t>理干预在急性肠胃炎患者中的应用效果观察</w:t>
      </w:r>
      <w:r>
        <w:rPr>
          <w:color w:val="231F20"/>
          <w:spacing w:val="-1"/>
          <w:position w:val="1"/>
        </w:rPr>
        <w:t>[J].</w:t>
      </w:r>
      <w:r>
        <w:rPr>
          <w:rFonts w:ascii="KaiTi" w:hAnsi="KaiTi" w:eastAsia="KaiTi" w:cs="KaiTi"/>
          <w:color w:val="231F20"/>
          <w:spacing w:val="-1"/>
          <w:position w:val="1"/>
        </w:rPr>
        <w:t>医学美学美容</w:t>
      </w:r>
      <w:r>
        <w:rPr>
          <w:color w:val="231F20"/>
          <w:spacing w:val="-1"/>
          <w:position w:val="1"/>
        </w:rPr>
        <w:t>,2019,28(17):</w:t>
      </w:r>
      <w:r>
        <w:rPr>
          <w:color w:val="231F20"/>
          <w:spacing w:val="-22"/>
          <w:position w:val="1"/>
        </w:rPr>
        <w:t xml:space="preserve"> </w:t>
      </w:r>
      <w:r>
        <w:rPr>
          <w:color w:val="231F20"/>
          <w:spacing w:val="-1"/>
          <w:position w:val="1"/>
        </w:rPr>
        <w:t>109.</w:t>
      </w:r>
    </w:p>
    <w:p>
      <w:pPr>
        <w:pStyle w:val="BodyText"/>
        <w:ind w:left="624"/>
        <w:spacing w:before="9" w:line="211" w:lineRule="exact"/>
        <w:rPr/>
      </w:pPr>
      <w:r>
        <w:rPr>
          <w:color w:val="231F20"/>
          <w:position w:val="1"/>
        </w:rPr>
        <w:t>[7]     </w:t>
      </w:r>
      <w:r>
        <w:rPr>
          <w:rFonts w:ascii="KaiTi" w:hAnsi="KaiTi" w:eastAsia="KaiTi" w:cs="KaiTi"/>
          <w:color w:val="231F20"/>
          <w:position w:val="1"/>
        </w:rPr>
        <w:t>华媚</w:t>
      </w:r>
      <w:r>
        <w:rPr>
          <w:color w:val="231F20"/>
          <w:position w:val="1"/>
        </w:rPr>
        <w:t>,</w:t>
      </w:r>
      <w:r>
        <w:rPr>
          <w:rFonts w:ascii="KaiTi" w:hAnsi="KaiTi" w:eastAsia="KaiTi" w:cs="KaiTi"/>
          <w:color w:val="231F20"/>
          <w:position w:val="1"/>
        </w:rPr>
        <w:t>邓伍秀</w:t>
      </w:r>
      <w:r>
        <w:rPr>
          <w:color w:val="231F20"/>
          <w:position w:val="1"/>
        </w:rPr>
        <w:t>,</w:t>
      </w:r>
      <w:r>
        <w:rPr>
          <w:rFonts w:ascii="KaiTi" w:hAnsi="KaiTi" w:eastAsia="KaiTi" w:cs="KaiTi"/>
          <w:color w:val="231F20"/>
          <w:position w:val="1"/>
        </w:rPr>
        <w:t>王春梅</w:t>
      </w:r>
      <w:r>
        <w:rPr>
          <w:color w:val="231F20"/>
          <w:position w:val="1"/>
        </w:rPr>
        <w:t>.</w:t>
      </w:r>
      <w:r>
        <w:rPr>
          <w:rFonts w:ascii="KaiTi" w:hAnsi="KaiTi" w:eastAsia="KaiTi" w:cs="KaiTi"/>
          <w:color w:val="231F20"/>
          <w:position w:val="1"/>
        </w:rPr>
        <w:t>优质护理对乳腺癌化疗患者心理状态及满意度的影响分析</w:t>
      </w:r>
      <w:r>
        <w:rPr>
          <w:color w:val="231F20"/>
          <w:position w:val="1"/>
        </w:rPr>
        <w:t>[J].</w:t>
      </w:r>
      <w:r>
        <w:rPr>
          <w:rFonts w:ascii="KaiTi" w:hAnsi="KaiTi" w:eastAsia="KaiTi" w:cs="KaiTi"/>
          <w:color w:val="231F20"/>
          <w:position w:val="1"/>
        </w:rPr>
        <w:t>现代</w:t>
      </w:r>
      <w:r>
        <w:rPr>
          <w:rFonts w:ascii="KaiTi" w:hAnsi="KaiTi" w:eastAsia="KaiTi" w:cs="KaiTi"/>
          <w:color w:val="231F20"/>
          <w:spacing w:val="-1"/>
          <w:position w:val="1"/>
        </w:rPr>
        <w:t>诊断与治疗</w:t>
      </w:r>
      <w:r>
        <w:rPr>
          <w:color w:val="231F20"/>
          <w:spacing w:val="-1"/>
          <w:position w:val="1"/>
        </w:rPr>
        <w:t>,2015,26(24):5734-5735.</w:t>
      </w:r>
    </w:p>
    <w:p>
      <w:pPr>
        <w:pStyle w:val="BodyText"/>
        <w:ind w:left="624"/>
        <w:spacing w:before="9" w:line="211" w:lineRule="exact"/>
        <w:rPr/>
      </w:pPr>
      <w:r>
        <w:rPr>
          <w:color w:val="231F20"/>
          <w:position w:val="1"/>
        </w:rPr>
        <w:t>[8]     </w:t>
      </w:r>
      <w:r>
        <w:rPr>
          <w:rFonts w:ascii="KaiTi" w:hAnsi="KaiTi" w:eastAsia="KaiTi" w:cs="KaiTi"/>
          <w:color w:val="231F20"/>
          <w:position w:val="1"/>
        </w:rPr>
        <w:t>刘爱军</w:t>
      </w:r>
      <w:r>
        <w:rPr>
          <w:color w:val="231F20"/>
          <w:position w:val="1"/>
        </w:rPr>
        <w:t>,</w:t>
      </w:r>
      <w:r>
        <w:rPr>
          <w:rFonts w:ascii="KaiTi" w:hAnsi="KaiTi" w:eastAsia="KaiTi" w:cs="KaiTi"/>
          <w:color w:val="231F20"/>
          <w:position w:val="1"/>
        </w:rPr>
        <w:t>张兵</w:t>
      </w:r>
      <w:r>
        <w:rPr>
          <w:color w:val="231F20"/>
          <w:position w:val="1"/>
        </w:rPr>
        <w:t>,</w:t>
      </w:r>
      <w:r>
        <w:rPr>
          <w:rFonts w:ascii="KaiTi" w:hAnsi="KaiTi" w:eastAsia="KaiTi" w:cs="KaiTi"/>
          <w:color w:val="231F20"/>
          <w:position w:val="1"/>
        </w:rPr>
        <w:t>刘颖</w:t>
      </w:r>
      <w:r>
        <w:rPr>
          <w:color w:val="231F20"/>
          <w:position w:val="1"/>
        </w:rPr>
        <w:t>,</w:t>
      </w:r>
      <w:r>
        <w:rPr>
          <w:rFonts w:ascii="KaiTi" w:hAnsi="KaiTi" w:eastAsia="KaiTi" w:cs="KaiTi"/>
          <w:color w:val="231F20"/>
          <w:position w:val="1"/>
        </w:rPr>
        <w:t>等</w:t>
      </w:r>
      <w:r>
        <w:rPr>
          <w:color w:val="231F20"/>
          <w:position w:val="1"/>
        </w:rPr>
        <w:t>.</w:t>
      </w:r>
      <w:r>
        <w:rPr>
          <w:rFonts w:ascii="KaiTi" w:hAnsi="KaiTi" w:eastAsia="KaiTi" w:cs="KaiTi"/>
          <w:color w:val="231F20"/>
          <w:position w:val="1"/>
        </w:rPr>
        <w:t>优质护理对脑梗</w:t>
      </w:r>
      <w:r>
        <w:rPr>
          <w:rFonts w:ascii="KaiTi" w:hAnsi="KaiTi" w:eastAsia="KaiTi" w:cs="KaiTi"/>
          <w:color w:val="231F20"/>
          <w:spacing w:val="-1"/>
          <w:position w:val="1"/>
        </w:rPr>
        <w:t>死患者心理状态及护理满意度的影响</w:t>
      </w:r>
      <w:r>
        <w:rPr>
          <w:color w:val="231F20"/>
          <w:spacing w:val="-1"/>
          <w:position w:val="1"/>
        </w:rPr>
        <w:t>[J].</w:t>
      </w:r>
      <w:r>
        <w:rPr>
          <w:rFonts w:ascii="KaiTi" w:hAnsi="KaiTi" w:eastAsia="KaiTi" w:cs="KaiTi"/>
          <w:color w:val="231F20"/>
          <w:spacing w:val="-1"/>
          <w:position w:val="1"/>
        </w:rPr>
        <w:t>中国医药指南</w:t>
      </w:r>
      <w:r>
        <w:rPr>
          <w:color w:val="231F20"/>
          <w:spacing w:val="-1"/>
          <w:position w:val="1"/>
        </w:rPr>
        <w:t>,2019,</w:t>
      </w:r>
      <w:r>
        <w:rPr>
          <w:color w:val="231F20"/>
          <w:spacing w:val="-22"/>
          <w:position w:val="1"/>
        </w:rPr>
        <w:t xml:space="preserve"> </w:t>
      </w:r>
      <w:r>
        <w:rPr>
          <w:color w:val="231F20"/>
          <w:spacing w:val="-1"/>
          <w:position w:val="1"/>
        </w:rPr>
        <w:t>17(3):232-233.</w:t>
      </w:r>
    </w:p>
    <w:p>
      <w:pPr>
        <w:pStyle w:val="BodyText"/>
        <w:ind w:left="624"/>
        <w:spacing w:before="9" w:line="211" w:lineRule="exact"/>
        <w:rPr/>
      </w:pPr>
      <w:r>
        <w:rPr>
          <w:color w:val="231F20"/>
          <w:spacing w:val="-1"/>
          <w:position w:val="1"/>
        </w:rPr>
        <w:t>[9]     </w:t>
      </w:r>
      <w:r>
        <w:rPr>
          <w:rFonts w:ascii="KaiTi" w:hAnsi="KaiTi" w:eastAsia="KaiTi" w:cs="KaiTi"/>
          <w:color w:val="231F20"/>
          <w:spacing w:val="-1"/>
          <w:position w:val="1"/>
        </w:rPr>
        <w:t>农秋葵</w:t>
      </w:r>
      <w:r>
        <w:rPr>
          <w:color w:val="231F20"/>
          <w:spacing w:val="-1"/>
          <w:position w:val="1"/>
        </w:rPr>
        <w:t>,</w:t>
      </w:r>
      <w:r>
        <w:rPr>
          <w:rFonts w:ascii="KaiTi" w:hAnsi="KaiTi" w:eastAsia="KaiTi" w:cs="KaiTi"/>
          <w:color w:val="231F20"/>
          <w:spacing w:val="-1"/>
          <w:position w:val="1"/>
        </w:rPr>
        <w:t>李思珏</w:t>
      </w:r>
      <w:r>
        <w:rPr>
          <w:color w:val="231F20"/>
          <w:spacing w:val="-1"/>
          <w:position w:val="1"/>
        </w:rPr>
        <w:t>.</w:t>
      </w:r>
      <w:r>
        <w:rPr>
          <w:rFonts w:ascii="KaiTi" w:hAnsi="KaiTi" w:eastAsia="KaiTi" w:cs="KaiTi"/>
          <w:color w:val="231F20"/>
          <w:spacing w:val="-1"/>
          <w:position w:val="1"/>
        </w:rPr>
        <w:t>基于中医辨证的优质护理对癫病患者心理状态和护理满意度的影响</w:t>
      </w:r>
      <w:r>
        <w:rPr>
          <w:color w:val="231F20"/>
          <w:spacing w:val="-1"/>
          <w:position w:val="1"/>
        </w:rPr>
        <w:t>[J].</w:t>
      </w:r>
      <w:r>
        <w:rPr>
          <w:rFonts w:ascii="KaiTi" w:hAnsi="KaiTi" w:eastAsia="KaiTi" w:cs="KaiTi"/>
          <w:color w:val="231F20"/>
          <w:spacing w:val="-1"/>
          <w:position w:val="1"/>
        </w:rPr>
        <w:t>护理实践与研究</w:t>
      </w:r>
      <w:r>
        <w:rPr>
          <w:color w:val="231F20"/>
          <w:spacing w:val="-1"/>
          <w:position w:val="1"/>
        </w:rPr>
        <w:t>,2017,</w:t>
      </w:r>
      <w:r>
        <w:rPr>
          <w:color w:val="231F20"/>
          <w:spacing w:val="-21"/>
          <w:position w:val="1"/>
        </w:rPr>
        <w:t xml:space="preserve"> </w:t>
      </w:r>
      <w:r>
        <w:rPr>
          <w:color w:val="231F20"/>
          <w:spacing w:val="-1"/>
          <w:position w:val="1"/>
        </w:rPr>
        <w:t>14(13):</w:t>
      </w:r>
      <w:r>
        <w:rPr>
          <w:color w:val="231F20"/>
          <w:spacing w:val="-21"/>
          <w:position w:val="1"/>
        </w:rPr>
        <w:t xml:space="preserve"> </w:t>
      </w:r>
      <w:r>
        <w:rPr>
          <w:color w:val="231F20"/>
          <w:spacing w:val="-1"/>
          <w:position w:val="1"/>
        </w:rPr>
        <w:t>1</w:t>
      </w:r>
      <w:r>
        <w:rPr>
          <w:color w:val="231F20"/>
          <w:spacing w:val="-2"/>
          <w:position w:val="1"/>
        </w:rPr>
        <w:t>54-</w:t>
      </w:r>
      <w:r>
        <w:rPr>
          <w:color w:val="231F20"/>
          <w:spacing w:val="-22"/>
          <w:position w:val="1"/>
        </w:rPr>
        <w:t xml:space="preserve"> </w:t>
      </w:r>
      <w:r>
        <w:rPr>
          <w:color w:val="231F20"/>
          <w:spacing w:val="-2"/>
          <w:position w:val="1"/>
        </w:rPr>
        <w:t>156.</w:t>
      </w:r>
    </w:p>
    <w:p>
      <w:pPr>
        <w:pStyle w:val="BodyText"/>
        <w:ind w:left="624"/>
        <w:spacing w:before="9" w:line="211" w:lineRule="exact"/>
        <w:rPr/>
      </w:pPr>
      <w:r>
        <w:rPr>
          <w:color w:val="231F20"/>
          <w:position w:val="1"/>
        </w:rPr>
        <w:t>[</w:t>
      </w:r>
      <w:r>
        <w:rPr>
          <w:color w:val="231F20"/>
          <w:spacing w:val="-22"/>
          <w:position w:val="1"/>
        </w:rPr>
        <w:t xml:space="preserve"> </w:t>
      </w:r>
      <w:r>
        <w:rPr>
          <w:color w:val="231F20"/>
          <w:position w:val="1"/>
        </w:rPr>
        <w:t>10]   </w:t>
      </w:r>
      <w:r>
        <w:rPr>
          <w:rFonts w:ascii="KaiTi" w:hAnsi="KaiTi" w:eastAsia="KaiTi" w:cs="KaiTi"/>
          <w:color w:val="231F20"/>
          <w:position w:val="1"/>
        </w:rPr>
        <w:t>王凤利</w:t>
      </w:r>
      <w:r>
        <w:rPr>
          <w:color w:val="231F20"/>
          <w:position w:val="1"/>
        </w:rPr>
        <w:t>.</w:t>
      </w:r>
      <w:r>
        <w:rPr>
          <w:rFonts w:ascii="KaiTi" w:hAnsi="KaiTi" w:eastAsia="KaiTi" w:cs="KaiTi"/>
          <w:color w:val="231F20"/>
          <w:position w:val="1"/>
        </w:rPr>
        <w:t>优质护理对胸腰椎压缩性骨折手术患者心</w:t>
      </w:r>
      <w:r>
        <w:rPr>
          <w:rFonts w:ascii="KaiTi" w:hAnsi="KaiTi" w:eastAsia="KaiTi" w:cs="KaiTi"/>
          <w:color w:val="231F20"/>
          <w:spacing w:val="-1"/>
          <w:position w:val="1"/>
        </w:rPr>
        <w:t>理状态及护理满意度的影响</w:t>
      </w:r>
      <w:r>
        <w:rPr>
          <w:color w:val="231F20"/>
          <w:spacing w:val="-1"/>
          <w:position w:val="1"/>
        </w:rPr>
        <w:t>[J].</w:t>
      </w:r>
      <w:r>
        <w:rPr>
          <w:rFonts w:ascii="KaiTi" w:hAnsi="KaiTi" w:eastAsia="KaiTi" w:cs="KaiTi"/>
          <w:color w:val="231F20"/>
          <w:spacing w:val="-1"/>
          <w:position w:val="1"/>
        </w:rPr>
        <w:t>现代诊断与治疗</w:t>
      </w:r>
      <w:r>
        <w:rPr>
          <w:color w:val="231F20"/>
          <w:spacing w:val="-1"/>
          <w:position w:val="1"/>
        </w:rPr>
        <w:t>,2017,28(14):2729-2730.</w:t>
      </w:r>
    </w:p>
    <w:p>
      <w:pPr>
        <w:pStyle w:val="BodyText"/>
        <w:ind w:left="623"/>
        <w:spacing w:before="9" w:line="211" w:lineRule="exact"/>
        <w:rPr/>
      </w:pPr>
      <w:r>
        <w:rPr>
          <w:color w:val="231F20"/>
          <w:position w:val="1"/>
        </w:rPr>
        <w:t>[</w:t>
      </w:r>
      <w:r>
        <w:rPr>
          <w:color w:val="231F20"/>
          <w:spacing w:val="-22"/>
          <w:position w:val="1"/>
        </w:rPr>
        <w:t xml:space="preserve"> </w:t>
      </w:r>
      <w:r>
        <w:rPr>
          <w:color w:val="231F20"/>
          <w:position w:val="1"/>
        </w:rPr>
        <w:t>11]   </w:t>
      </w:r>
      <w:r>
        <w:rPr>
          <w:rFonts w:ascii="KaiTi" w:hAnsi="KaiTi" w:eastAsia="KaiTi" w:cs="KaiTi"/>
          <w:color w:val="231F20"/>
          <w:position w:val="1"/>
        </w:rPr>
        <w:t>黄慧</w:t>
      </w:r>
      <w:r>
        <w:rPr>
          <w:color w:val="231F20"/>
          <w:position w:val="1"/>
        </w:rPr>
        <w:t>.</w:t>
      </w:r>
      <w:r>
        <w:rPr>
          <w:rFonts w:ascii="KaiTi" w:hAnsi="KaiTi" w:eastAsia="KaiTi" w:cs="KaiTi"/>
          <w:color w:val="231F20"/>
          <w:position w:val="1"/>
        </w:rPr>
        <w:t>急性肠胃炎患者中实施优质护理干预</w:t>
      </w:r>
      <w:r>
        <w:rPr>
          <w:rFonts w:ascii="KaiTi" w:hAnsi="KaiTi" w:eastAsia="KaiTi" w:cs="KaiTi"/>
          <w:color w:val="231F20"/>
          <w:spacing w:val="-1"/>
          <w:position w:val="1"/>
        </w:rPr>
        <w:t>对提高护理满意度的价值探讨</w:t>
      </w:r>
      <w:r>
        <w:rPr>
          <w:color w:val="231F20"/>
          <w:spacing w:val="-1"/>
          <w:position w:val="1"/>
        </w:rPr>
        <w:t>[J].</w:t>
      </w:r>
      <w:r>
        <w:rPr>
          <w:rFonts w:ascii="KaiTi" w:hAnsi="KaiTi" w:eastAsia="KaiTi" w:cs="KaiTi"/>
          <w:color w:val="231F20"/>
          <w:spacing w:val="-1"/>
          <w:position w:val="1"/>
        </w:rPr>
        <w:t>基层医学论坛</w:t>
      </w:r>
      <w:r>
        <w:rPr>
          <w:color w:val="231F20"/>
          <w:spacing w:val="-1"/>
          <w:position w:val="1"/>
        </w:rPr>
        <w:t>,2020,24(32):4715-4716.</w:t>
      </w:r>
    </w:p>
    <w:p>
      <w:pPr>
        <w:pStyle w:val="BodyText"/>
        <w:ind w:left="623"/>
        <w:spacing w:before="9" w:line="211" w:lineRule="exact"/>
        <w:rPr/>
      </w:pPr>
      <w:r>
        <w:rPr>
          <w:color w:val="231F20"/>
          <w:spacing w:val="-1"/>
          <w:position w:val="1"/>
        </w:rPr>
        <w:t>[</w:t>
      </w:r>
      <w:r>
        <w:rPr>
          <w:color w:val="231F20"/>
          <w:spacing w:val="-21"/>
          <w:position w:val="1"/>
        </w:rPr>
        <w:t xml:space="preserve"> </w:t>
      </w:r>
      <w:r>
        <w:rPr>
          <w:color w:val="231F20"/>
          <w:spacing w:val="-1"/>
          <w:position w:val="1"/>
        </w:rPr>
        <w:t>12]   </w:t>
      </w:r>
      <w:r>
        <w:rPr>
          <w:rFonts w:ascii="KaiTi" w:hAnsi="KaiTi" w:eastAsia="KaiTi" w:cs="KaiTi"/>
          <w:color w:val="231F20"/>
          <w:spacing w:val="-1"/>
          <w:position w:val="1"/>
        </w:rPr>
        <w:t>褚亚琼</w:t>
      </w:r>
      <w:r>
        <w:rPr>
          <w:color w:val="231F20"/>
          <w:spacing w:val="-1"/>
          <w:position w:val="1"/>
        </w:rPr>
        <w:t>.</w:t>
      </w:r>
      <w:r>
        <w:rPr>
          <w:rFonts w:ascii="KaiTi" w:hAnsi="KaiTi" w:eastAsia="KaiTi" w:cs="KaiTi"/>
          <w:color w:val="231F20"/>
          <w:spacing w:val="-1"/>
          <w:position w:val="1"/>
        </w:rPr>
        <w:t>优质护理对急性肠胃炎患者心理状态及护理满意度的影响</w:t>
      </w:r>
      <w:r>
        <w:rPr>
          <w:color w:val="231F20"/>
          <w:spacing w:val="-1"/>
          <w:position w:val="1"/>
        </w:rPr>
        <w:t>[J].</w:t>
      </w:r>
      <w:r>
        <w:rPr>
          <w:rFonts w:ascii="KaiTi" w:hAnsi="KaiTi" w:eastAsia="KaiTi" w:cs="KaiTi"/>
          <w:color w:val="231F20"/>
          <w:spacing w:val="-1"/>
          <w:position w:val="1"/>
        </w:rPr>
        <w:t>西藏医药</w:t>
      </w:r>
      <w:r>
        <w:rPr>
          <w:color w:val="231F20"/>
          <w:spacing w:val="-2"/>
          <w:position w:val="1"/>
        </w:rPr>
        <w:t>,2020,41(3):</w:t>
      </w:r>
      <w:r>
        <w:rPr>
          <w:color w:val="231F20"/>
          <w:spacing w:val="-21"/>
          <w:position w:val="1"/>
        </w:rPr>
        <w:t xml:space="preserve"> </w:t>
      </w:r>
      <w:r>
        <w:rPr>
          <w:color w:val="231F20"/>
          <w:spacing w:val="-2"/>
          <w:position w:val="1"/>
        </w:rPr>
        <w:t>127-</w:t>
      </w:r>
      <w:r>
        <w:rPr>
          <w:color w:val="231F20"/>
          <w:spacing w:val="-22"/>
          <w:position w:val="1"/>
        </w:rPr>
        <w:t xml:space="preserve"> </w:t>
      </w:r>
      <w:r>
        <w:rPr>
          <w:color w:val="231F20"/>
          <w:spacing w:val="-2"/>
          <w:position w:val="1"/>
        </w:rPr>
        <w:t>128.</w:t>
      </w:r>
    </w:p>
    <w:p>
      <w:pPr>
        <w:pStyle w:val="BodyText"/>
        <w:ind w:left="623"/>
        <w:spacing w:before="9" w:line="211" w:lineRule="exact"/>
        <w:rPr/>
      </w:pPr>
      <w:r>
        <w:rPr>
          <w:color w:val="231F20"/>
          <w:spacing w:val="-2"/>
          <w:position w:val="1"/>
        </w:rPr>
        <w:t>[</w:t>
      </w:r>
      <w:r>
        <w:rPr>
          <w:color w:val="231F20"/>
          <w:spacing w:val="-6"/>
          <w:position w:val="1"/>
        </w:rPr>
        <w:t xml:space="preserve"> </w:t>
      </w:r>
      <w:r>
        <w:rPr>
          <w:color w:val="231F20"/>
          <w:spacing w:val="-2"/>
          <w:position w:val="1"/>
        </w:rPr>
        <w:t>13]    </w:t>
      </w:r>
      <w:r>
        <w:rPr>
          <w:rFonts w:ascii="KaiTi" w:hAnsi="KaiTi" w:eastAsia="KaiTi" w:cs="KaiTi"/>
          <w:color w:val="231F20"/>
          <w:spacing w:val="-2"/>
          <w:position w:val="1"/>
        </w:rPr>
        <w:t>曾连</w:t>
      </w:r>
      <w:r>
        <w:rPr>
          <w:color w:val="231F20"/>
          <w:spacing w:val="-2"/>
          <w:position w:val="1"/>
        </w:rPr>
        <w:t>.</w:t>
      </w:r>
      <w:r>
        <w:rPr>
          <w:rFonts w:ascii="KaiTi" w:hAnsi="KaiTi" w:eastAsia="KaiTi" w:cs="KaiTi"/>
          <w:color w:val="231F20"/>
          <w:spacing w:val="-2"/>
          <w:position w:val="1"/>
        </w:rPr>
        <w:t>优质护理在急性肠胃炎患者中的价值及满意度观察</w:t>
      </w:r>
      <w:r>
        <w:rPr>
          <w:color w:val="231F20"/>
          <w:spacing w:val="-2"/>
          <w:position w:val="1"/>
        </w:rPr>
        <w:t>[J].</w:t>
      </w:r>
      <w:r>
        <w:rPr>
          <w:rFonts w:ascii="KaiTi" w:hAnsi="KaiTi" w:eastAsia="KaiTi" w:cs="KaiTi"/>
          <w:color w:val="231F20"/>
          <w:spacing w:val="-2"/>
          <w:position w:val="1"/>
        </w:rPr>
        <w:t>临床医药文献电子杂志</w:t>
      </w:r>
      <w:r>
        <w:rPr>
          <w:color w:val="231F20"/>
          <w:spacing w:val="-2"/>
          <w:position w:val="1"/>
        </w:rPr>
        <w:t>,2019,6(71):</w:t>
      </w:r>
      <w:r>
        <w:rPr>
          <w:color w:val="231F20"/>
          <w:spacing w:val="-22"/>
          <w:position w:val="1"/>
        </w:rPr>
        <w:t xml:space="preserve"> </w:t>
      </w:r>
      <w:r>
        <w:rPr>
          <w:color w:val="231F20"/>
          <w:spacing w:val="-2"/>
          <w:position w:val="1"/>
        </w:rPr>
        <w:t>113.</w:t>
      </w:r>
    </w:p>
    <w:p>
      <w:pPr>
        <w:pStyle w:val="BodyText"/>
        <w:ind w:left="623"/>
        <w:spacing w:before="9" w:line="211" w:lineRule="exact"/>
        <w:rPr/>
      </w:pPr>
      <w:r>
        <w:rPr>
          <w:color w:val="231F20"/>
          <w:position w:val="1"/>
        </w:rPr>
        <w:t>[</w:t>
      </w:r>
      <w:r>
        <w:rPr>
          <w:color w:val="231F20"/>
          <w:spacing w:val="-22"/>
          <w:position w:val="1"/>
        </w:rPr>
        <w:t xml:space="preserve"> </w:t>
      </w:r>
      <w:r>
        <w:rPr>
          <w:color w:val="231F20"/>
          <w:position w:val="1"/>
        </w:rPr>
        <w:t>14]   </w:t>
      </w:r>
      <w:r>
        <w:rPr>
          <w:rFonts w:ascii="KaiTi" w:hAnsi="KaiTi" w:eastAsia="KaiTi" w:cs="KaiTi"/>
          <w:color w:val="231F20"/>
          <w:position w:val="1"/>
        </w:rPr>
        <w:t>符洁兰</w:t>
      </w:r>
      <w:r>
        <w:rPr>
          <w:color w:val="231F20"/>
          <w:position w:val="1"/>
        </w:rPr>
        <w:t>,</w:t>
      </w:r>
      <w:r>
        <w:rPr>
          <w:rFonts w:ascii="KaiTi" w:hAnsi="KaiTi" w:eastAsia="KaiTi" w:cs="KaiTi"/>
          <w:color w:val="231F20"/>
          <w:position w:val="1"/>
        </w:rPr>
        <w:t>吉雪芳</w:t>
      </w:r>
      <w:r>
        <w:rPr>
          <w:color w:val="231F20"/>
          <w:position w:val="1"/>
        </w:rPr>
        <w:t>.</w:t>
      </w:r>
      <w:r>
        <w:rPr>
          <w:rFonts w:ascii="KaiTi" w:hAnsi="KaiTi" w:eastAsia="KaiTi" w:cs="KaiTi"/>
          <w:color w:val="231F20"/>
          <w:position w:val="1"/>
        </w:rPr>
        <w:t>分析系统护理干预对反流性胃炎患者疗</w:t>
      </w:r>
      <w:r>
        <w:rPr>
          <w:rFonts w:ascii="KaiTi" w:hAnsi="KaiTi" w:eastAsia="KaiTi" w:cs="KaiTi"/>
          <w:color w:val="231F20"/>
          <w:spacing w:val="-1"/>
          <w:position w:val="1"/>
        </w:rPr>
        <w:t>效负性情绪及生活质量的影响</w:t>
      </w:r>
      <w:r>
        <w:rPr>
          <w:color w:val="231F20"/>
          <w:spacing w:val="-1"/>
          <w:position w:val="1"/>
        </w:rPr>
        <w:t>[J].</w:t>
      </w:r>
      <w:r>
        <w:rPr>
          <w:rFonts w:ascii="KaiTi" w:hAnsi="KaiTi" w:eastAsia="KaiTi" w:cs="KaiTi"/>
          <w:color w:val="231F20"/>
          <w:spacing w:val="-1"/>
          <w:position w:val="1"/>
        </w:rPr>
        <w:t>山西医药杂志</w:t>
      </w:r>
      <w:r>
        <w:rPr>
          <w:color w:val="231F20"/>
          <w:spacing w:val="-1"/>
          <w:position w:val="1"/>
        </w:rPr>
        <w:t>,2017,46(17):2137-2139.</w:t>
      </w:r>
    </w:p>
    <w:p>
      <w:pPr>
        <w:pStyle w:val="BodyText"/>
        <w:ind w:left="623"/>
        <w:spacing w:before="9" w:line="211" w:lineRule="exact"/>
        <w:rPr/>
      </w:pPr>
      <w:r>
        <w:rPr>
          <w:color w:val="231F20"/>
          <w:spacing w:val="-1"/>
          <w:position w:val="1"/>
        </w:rPr>
        <w:t>[</w:t>
      </w:r>
      <w:r>
        <w:rPr>
          <w:color w:val="231F20"/>
          <w:spacing w:val="-21"/>
          <w:position w:val="1"/>
        </w:rPr>
        <w:t xml:space="preserve"> </w:t>
      </w:r>
      <w:r>
        <w:rPr>
          <w:color w:val="231F20"/>
          <w:spacing w:val="-1"/>
          <w:position w:val="1"/>
        </w:rPr>
        <w:t>15]   </w:t>
      </w:r>
      <w:r>
        <w:rPr>
          <w:rFonts w:ascii="KaiTi" w:hAnsi="KaiTi" w:eastAsia="KaiTi" w:cs="KaiTi"/>
          <w:color w:val="231F20"/>
          <w:spacing w:val="-1"/>
          <w:position w:val="1"/>
        </w:rPr>
        <w:t>王娟</w:t>
      </w:r>
      <w:r>
        <w:rPr>
          <w:color w:val="231F20"/>
          <w:spacing w:val="-1"/>
          <w:position w:val="1"/>
        </w:rPr>
        <w:t>.</w:t>
      </w:r>
      <w:r>
        <w:rPr>
          <w:rFonts w:ascii="KaiTi" w:hAnsi="KaiTi" w:eastAsia="KaiTi" w:cs="KaiTi"/>
          <w:color w:val="231F20"/>
          <w:spacing w:val="-1"/>
          <w:position w:val="1"/>
        </w:rPr>
        <w:t>优质护理在急性肠胃炎患者中的应用效果分析</w:t>
      </w:r>
      <w:r>
        <w:rPr>
          <w:color w:val="231F20"/>
          <w:spacing w:val="-1"/>
          <w:position w:val="1"/>
        </w:rPr>
        <w:t>[J].</w:t>
      </w:r>
      <w:r>
        <w:rPr>
          <w:rFonts w:ascii="KaiTi" w:hAnsi="KaiTi" w:eastAsia="KaiTi" w:cs="KaiTi"/>
          <w:color w:val="231F20"/>
          <w:spacing w:val="-1"/>
          <w:position w:val="1"/>
        </w:rPr>
        <w:t>临床医学研究与实践</w:t>
      </w:r>
      <w:r>
        <w:rPr>
          <w:color w:val="231F20"/>
          <w:spacing w:val="-1"/>
          <w:position w:val="1"/>
        </w:rPr>
        <w:t>,2016,</w:t>
      </w:r>
      <w:r>
        <w:rPr>
          <w:color w:val="231F20"/>
          <w:spacing w:val="-21"/>
          <w:position w:val="1"/>
        </w:rPr>
        <w:t xml:space="preserve"> </w:t>
      </w:r>
      <w:r>
        <w:rPr>
          <w:color w:val="231F20"/>
          <w:spacing w:val="-1"/>
          <w:position w:val="1"/>
        </w:rPr>
        <w:t>1(17</w:t>
      </w:r>
      <w:r>
        <w:rPr>
          <w:color w:val="231F20"/>
          <w:spacing w:val="-2"/>
          <w:position w:val="1"/>
        </w:rPr>
        <w:t>):</w:t>
      </w:r>
      <w:r>
        <w:rPr>
          <w:color w:val="231F20"/>
          <w:spacing w:val="-21"/>
          <w:position w:val="1"/>
        </w:rPr>
        <w:t xml:space="preserve"> </w:t>
      </w:r>
      <w:r>
        <w:rPr>
          <w:color w:val="231F20"/>
          <w:spacing w:val="-2"/>
          <w:position w:val="1"/>
        </w:rPr>
        <w:t>168+170.</w:t>
      </w:r>
    </w:p>
    <w:p>
      <w:pPr>
        <w:pStyle w:val="BodyText"/>
        <w:ind w:left="623"/>
        <w:spacing w:before="9" w:line="211" w:lineRule="exact"/>
        <w:rPr/>
      </w:pPr>
      <w:r>
        <w:rPr>
          <w:color w:val="231F20"/>
          <w:spacing w:val="-1"/>
          <w:position w:val="1"/>
        </w:rPr>
        <w:t>[</w:t>
      </w:r>
      <w:r>
        <w:rPr>
          <w:color w:val="231F20"/>
          <w:spacing w:val="-21"/>
          <w:position w:val="1"/>
        </w:rPr>
        <w:t xml:space="preserve"> </w:t>
      </w:r>
      <w:r>
        <w:rPr>
          <w:color w:val="231F20"/>
          <w:spacing w:val="-1"/>
          <w:position w:val="1"/>
        </w:rPr>
        <w:t>16]   </w:t>
      </w:r>
      <w:r>
        <w:rPr>
          <w:rFonts w:ascii="KaiTi" w:hAnsi="KaiTi" w:eastAsia="KaiTi" w:cs="KaiTi"/>
          <w:color w:val="231F20"/>
          <w:spacing w:val="-1"/>
          <w:position w:val="1"/>
        </w:rPr>
        <w:t>张妮</w:t>
      </w:r>
      <w:r>
        <w:rPr>
          <w:color w:val="231F20"/>
          <w:spacing w:val="-1"/>
          <w:position w:val="1"/>
        </w:rPr>
        <w:t>,</w:t>
      </w:r>
      <w:r>
        <w:rPr>
          <w:rFonts w:ascii="KaiTi" w:hAnsi="KaiTi" w:eastAsia="KaiTi" w:cs="KaiTi"/>
          <w:color w:val="231F20"/>
          <w:spacing w:val="-1"/>
          <w:position w:val="1"/>
        </w:rPr>
        <w:t>胡敏</w:t>
      </w:r>
      <w:r>
        <w:rPr>
          <w:color w:val="231F20"/>
          <w:spacing w:val="-1"/>
          <w:position w:val="1"/>
        </w:rPr>
        <w:t>,</w:t>
      </w:r>
      <w:r>
        <w:rPr>
          <w:rFonts w:ascii="KaiTi" w:hAnsi="KaiTi" w:eastAsia="KaiTi" w:cs="KaiTi"/>
          <w:color w:val="231F20"/>
          <w:spacing w:val="-1"/>
          <w:position w:val="1"/>
        </w:rPr>
        <w:t>王颖</w:t>
      </w:r>
      <w:r>
        <w:rPr>
          <w:color w:val="231F20"/>
          <w:spacing w:val="-1"/>
          <w:position w:val="1"/>
        </w:rPr>
        <w:t>.</w:t>
      </w:r>
      <w:r>
        <w:rPr>
          <w:rFonts w:ascii="KaiTi" w:hAnsi="KaiTi" w:eastAsia="KaiTi" w:cs="KaiTi"/>
          <w:color w:val="231F20"/>
          <w:spacing w:val="-1"/>
          <w:position w:val="1"/>
        </w:rPr>
        <w:t>手术室优质护理对胃肠道手术患者切口愈合及预后的影响</w:t>
      </w:r>
      <w:r>
        <w:rPr>
          <w:color w:val="231F20"/>
          <w:spacing w:val="-1"/>
          <w:position w:val="1"/>
        </w:rPr>
        <w:t>[J].</w:t>
      </w:r>
      <w:r>
        <w:rPr>
          <w:rFonts w:ascii="KaiTi" w:hAnsi="KaiTi" w:eastAsia="KaiTi" w:cs="KaiTi"/>
          <w:color w:val="231F20"/>
          <w:spacing w:val="-1"/>
          <w:position w:val="1"/>
        </w:rPr>
        <w:t>实用临床医</w:t>
      </w:r>
      <w:r>
        <w:rPr>
          <w:rFonts w:ascii="KaiTi" w:hAnsi="KaiTi" w:eastAsia="KaiTi" w:cs="KaiTi"/>
          <w:color w:val="231F20"/>
          <w:spacing w:val="-2"/>
          <w:position w:val="1"/>
        </w:rPr>
        <w:t>药杂志</w:t>
      </w:r>
      <w:r>
        <w:rPr>
          <w:color w:val="231F20"/>
          <w:spacing w:val="-2"/>
          <w:position w:val="1"/>
        </w:rPr>
        <w:t>,2017,21(6):</w:t>
      </w:r>
      <w:r>
        <w:rPr>
          <w:color w:val="231F20"/>
          <w:spacing w:val="-21"/>
          <w:position w:val="1"/>
        </w:rPr>
        <w:t xml:space="preserve"> </w:t>
      </w:r>
      <w:r>
        <w:rPr>
          <w:color w:val="231F20"/>
          <w:spacing w:val="-2"/>
          <w:position w:val="1"/>
        </w:rPr>
        <w:t>114-</w:t>
      </w:r>
      <w:r>
        <w:rPr>
          <w:color w:val="231F20"/>
          <w:spacing w:val="-22"/>
          <w:position w:val="1"/>
        </w:rPr>
        <w:t xml:space="preserve"> </w:t>
      </w:r>
      <w:r>
        <w:rPr>
          <w:color w:val="231F20"/>
          <w:spacing w:val="-2"/>
          <w:position w:val="1"/>
        </w:rPr>
        <w:t>117.</w:t>
      </w:r>
    </w:p>
    <w:p>
      <w:pPr>
        <w:spacing w:line="443" w:lineRule="auto"/>
        <w:rPr>
          <w:rFonts w:ascii="Arial"/>
          <w:sz w:val="21"/>
        </w:rPr>
      </w:pPr>
      <w:r>
        <w:pict>
          <v:shape id="_x0000_s16" style="position:absolute;margin-left:31.1196pt;margin-top:20.8134pt;mso-position-vertical-relative:text;mso-position-horizontal-relative:text;width:488.3pt;height:1pt;z-index:251662336;" filled="false" strokecolor="#2E3092" strokeweight="0.99pt" coordsize="9765,20" coordorigin="0,0" path="m0,9l9765,9e">
            <v:stroke joinstyle="miter" miterlimit="10"/>
          </v:shape>
        </w:pict>
      </w:r>
      <w:r/>
    </w:p>
    <w:p>
      <w:pPr>
        <w:ind w:left="618"/>
        <w:spacing w:before="77" w:line="20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上接第（172）页</w:t>
      </w:r>
    </w:p>
    <w:p>
      <w:pPr>
        <w:spacing w:line="38" w:lineRule="exact"/>
        <w:rPr/>
      </w:pPr>
      <w:r/>
    </w:p>
    <w:p>
      <w:pPr>
        <w:spacing w:line="38" w:lineRule="exact"/>
        <w:sectPr>
          <w:type w:val="continuous"/>
          <w:pgSz w:w="11906" w:h="16158"/>
          <w:pgMar w:top="1240" w:right="1118" w:bottom="0" w:left="407" w:header="993" w:footer="0" w:gutter="0"/>
          <w:cols w:equalWidth="0" w:num="1">
            <w:col w:w="10379" w:space="0"/>
          </w:cols>
        </w:sectPr>
        <w:rPr/>
      </w:pPr>
    </w:p>
    <w:p>
      <w:pPr>
        <w:ind w:left="616" w:right="186"/>
        <w:spacing w:before="39" w:line="17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非是理想的。在本次的研究中，在护理工作模式的安排上，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正是结合心理干预和舒适护理的方法，从生理与心理的多个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角度为患者提供护理服务，力求患者在医院的治疗中可以保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持积极的态度，提高患者的治疗效果。结合对本次研究结果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的分析可以看出，在基础护理组中，由于缺乏对患者心理的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引导，绝大多数患者对于介入手术都表现出了恐惧的心理，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而且患者在护理前后的精神状态并未有明显的改善，这些因</w:t>
      </w:r>
    </w:p>
    <w:p>
      <w:pPr>
        <w:spacing w:line="2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2"/>
        <w:spacing w:before="48" w:line="17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素在一定程度上影响到了手术治疗的效果。而在联合护理组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中，患者在护理后的精神状态有了显著的改善，介入手术也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取得了良好的效果。因此，通过此次研究可以得出：通过心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理干预联合舒适护理工作模式在肿瘤患者介入手术中的应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用，可以有效改善患者的精神状态和提高手术的效果，对于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提升医院护理工作的质量有着重要的意义。</w:t>
      </w:r>
    </w:p>
    <w:p>
      <w:pPr>
        <w:pStyle w:val="BodyText"/>
        <w:ind w:left="160"/>
        <w:spacing w:before="25" w:line="20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（收稿日期：</w:t>
      </w:r>
      <w:r>
        <w:rPr>
          <w:sz w:val="15"/>
          <w:szCs w:val="15"/>
          <w:color w:val="231F20"/>
        </w:rPr>
        <w:t>2021-04-16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；修回日期：</w:t>
      </w:r>
      <w:r>
        <w:rPr>
          <w:sz w:val="15"/>
          <w:szCs w:val="15"/>
          <w:color w:val="231F20"/>
        </w:rPr>
        <w:t>2021-0</w:t>
      </w:r>
      <w:r>
        <w:rPr>
          <w:sz w:val="15"/>
          <w:szCs w:val="15"/>
          <w:color w:val="231F20"/>
          <w:spacing w:val="-1"/>
        </w:rPr>
        <w:t>6-25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；编辑：王爱爱）</w:t>
      </w:r>
    </w:p>
    <w:p>
      <w:pPr>
        <w:spacing w:line="201" w:lineRule="auto"/>
        <w:sectPr>
          <w:type w:val="continuous"/>
          <w:pgSz w:w="11906" w:h="16158"/>
          <w:pgMar w:top="1240" w:right="1118" w:bottom="0" w:left="407" w:header="993" w:footer="0" w:gutter="0"/>
          <w:cols w:equalWidth="0" w:num="2">
            <w:col w:w="5541" w:space="100"/>
            <w:col w:w="4738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ind w:left="616"/>
        <w:spacing w:before="205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E3092"/>
          <w:spacing w:val="-1"/>
        </w:rPr>
        <w:t>参考文献</w:t>
      </w:r>
    </w:p>
    <w:p>
      <w:pPr>
        <w:pStyle w:val="BodyText"/>
        <w:ind w:left="625"/>
        <w:spacing w:before="23" w:line="210" w:lineRule="exact"/>
        <w:rPr/>
      </w:pPr>
      <w:r>
        <w:rPr>
          <w:color w:val="231F20"/>
          <w:spacing w:val="-1"/>
          <w:position w:val="2"/>
        </w:rPr>
        <w:t>[</w:t>
      </w:r>
      <w:r>
        <w:rPr>
          <w:color w:val="231F20"/>
          <w:spacing w:val="-22"/>
          <w:position w:val="2"/>
        </w:rPr>
        <w:t xml:space="preserve"> </w:t>
      </w:r>
      <w:r>
        <w:rPr>
          <w:color w:val="231F20"/>
          <w:spacing w:val="-1"/>
          <w:position w:val="2"/>
        </w:rPr>
        <w:t>1]     </w:t>
      </w:r>
      <w:r>
        <w:rPr>
          <w:rFonts w:ascii="KaiTi" w:hAnsi="KaiTi" w:eastAsia="KaiTi" w:cs="KaiTi"/>
          <w:color w:val="231F20"/>
          <w:spacing w:val="-1"/>
          <w:position w:val="2"/>
        </w:rPr>
        <w:t>赵娟</w:t>
      </w:r>
      <w:r>
        <w:rPr>
          <w:color w:val="231F20"/>
          <w:spacing w:val="-1"/>
          <w:position w:val="2"/>
        </w:rPr>
        <w:t>,</w:t>
      </w:r>
      <w:r>
        <w:rPr>
          <w:color w:val="231F20"/>
          <w:spacing w:val="-14"/>
          <w:position w:val="2"/>
        </w:rPr>
        <w:t xml:space="preserve"> </w:t>
      </w:r>
      <w:r>
        <w:rPr>
          <w:rFonts w:ascii="KaiTi" w:hAnsi="KaiTi" w:eastAsia="KaiTi" w:cs="KaiTi"/>
          <w:color w:val="231F20"/>
          <w:spacing w:val="-1"/>
          <w:position w:val="2"/>
        </w:rPr>
        <w:t>田旭宏</w:t>
      </w:r>
      <w:r>
        <w:rPr>
          <w:color w:val="231F20"/>
          <w:spacing w:val="-1"/>
          <w:position w:val="2"/>
        </w:rPr>
        <w:t>.</w:t>
      </w:r>
      <w:r>
        <w:rPr>
          <w:rFonts w:ascii="KaiTi" w:hAnsi="KaiTi" w:eastAsia="KaiTi" w:cs="KaiTi"/>
          <w:color w:val="231F20"/>
          <w:spacing w:val="-1"/>
          <w:position w:val="2"/>
        </w:rPr>
        <w:t>心理护理联合舒适护理在血液透析护理中的临床应用研究</w:t>
      </w:r>
      <w:r>
        <w:rPr>
          <w:color w:val="231F20"/>
          <w:spacing w:val="-1"/>
          <w:position w:val="2"/>
        </w:rPr>
        <w:t>[J].</w:t>
      </w:r>
      <w:r>
        <w:rPr>
          <w:rFonts w:ascii="KaiTi" w:hAnsi="KaiTi" w:eastAsia="KaiTi" w:cs="KaiTi"/>
          <w:color w:val="231F20"/>
          <w:spacing w:val="-1"/>
          <w:position w:val="2"/>
        </w:rPr>
        <w:t>中西医结合心血管病电子杂志</w:t>
      </w:r>
      <w:r>
        <w:rPr>
          <w:color w:val="231F20"/>
          <w:spacing w:val="-1"/>
          <w:position w:val="2"/>
        </w:rPr>
        <w:t>,2020,8(15):</w:t>
      </w:r>
      <w:r>
        <w:rPr>
          <w:color w:val="231F20"/>
          <w:spacing w:val="-21"/>
          <w:position w:val="2"/>
        </w:rPr>
        <w:t xml:space="preserve"> </w:t>
      </w:r>
      <w:r>
        <w:rPr>
          <w:color w:val="231F20"/>
          <w:spacing w:val="-1"/>
          <w:position w:val="2"/>
        </w:rPr>
        <w:t>134+14</w:t>
      </w:r>
      <w:r>
        <w:rPr>
          <w:color w:val="231F20"/>
          <w:spacing w:val="-2"/>
          <w:position w:val="2"/>
        </w:rPr>
        <w:t>1.</w:t>
      </w:r>
    </w:p>
    <w:p>
      <w:pPr>
        <w:pStyle w:val="BodyText"/>
        <w:ind w:left="625"/>
        <w:spacing w:before="10" w:line="210" w:lineRule="exact"/>
        <w:rPr/>
      </w:pPr>
      <w:r>
        <w:rPr>
          <w:color w:val="231F20"/>
          <w:spacing w:val="-1"/>
          <w:position w:val="1"/>
        </w:rPr>
        <w:t>[2]     </w:t>
      </w:r>
      <w:r>
        <w:rPr>
          <w:rFonts w:ascii="KaiTi" w:hAnsi="KaiTi" w:eastAsia="KaiTi" w:cs="KaiTi"/>
          <w:color w:val="231F20"/>
          <w:spacing w:val="-1"/>
          <w:position w:val="1"/>
        </w:rPr>
        <w:t>张锦军</w:t>
      </w:r>
      <w:r>
        <w:rPr>
          <w:color w:val="231F20"/>
          <w:spacing w:val="-1"/>
          <w:position w:val="1"/>
        </w:rPr>
        <w:t>.</w:t>
      </w:r>
      <w:r>
        <w:rPr>
          <w:rFonts w:ascii="KaiTi" w:hAnsi="KaiTi" w:eastAsia="KaiTi" w:cs="KaiTi"/>
          <w:color w:val="231F20"/>
          <w:spacing w:val="-1"/>
          <w:position w:val="1"/>
        </w:rPr>
        <w:t>心理护理联合舒适护理对血液透析患者心理状况影响的价值研究</w:t>
      </w:r>
      <w:r>
        <w:rPr>
          <w:color w:val="231F20"/>
          <w:spacing w:val="-1"/>
          <w:position w:val="1"/>
        </w:rPr>
        <w:t>[J].</w:t>
      </w:r>
      <w:r>
        <w:rPr>
          <w:rFonts w:ascii="KaiTi" w:hAnsi="KaiTi" w:eastAsia="KaiTi" w:cs="KaiTi"/>
          <w:color w:val="231F20"/>
          <w:spacing w:val="-1"/>
          <w:position w:val="1"/>
        </w:rPr>
        <w:t>系统医学</w:t>
      </w:r>
      <w:r>
        <w:rPr>
          <w:color w:val="231F20"/>
          <w:spacing w:val="-1"/>
          <w:position w:val="1"/>
        </w:rPr>
        <w:t>,2020,5(5):</w:t>
      </w:r>
      <w:r>
        <w:rPr>
          <w:color w:val="231F20"/>
          <w:spacing w:val="-19"/>
          <w:position w:val="1"/>
        </w:rPr>
        <w:t xml:space="preserve"> </w:t>
      </w:r>
      <w:r>
        <w:rPr>
          <w:color w:val="231F20"/>
          <w:spacing w:val="-1"/>
          <w:position w:val="1"/>
        </w:rPr>
        <w:t>142-</w:t>
      </w:r>
      <w:r>
        <w:rPr>
          <w:color w:val="231F20"/>
          <w:spacing w:val="-22"/>
          <w:position w:val="1"/>
        </w:rPr>
        <w:t xml:space="preserve"> </w:t>
      </w:r>
      <w:r>
        <w:rPr>
          <w:color w:val="231F20"/>
          <w:spacing w:val="-1"/>
          <w:position w:val="1"/>
        </w:rPr>
        <w:t>144.</w:t>
      </w:r>
    </w:p>
    <w:p>
      <w:pPr>
        <w:pStyle w:val="BodyText"/>
        <w:ind w:left="625"/>
        <w:spacing w:before="10" w:line="210" w:lineRule="exact"/>
        <w:rPr/>
      </w:pPr>
      <w:r>
        <w:rPr>
          <w:color w:val="231F20"/>
          <w:spacing w:val="-1"/>
          <w:position w:val="1"/>
        </w:rPr>
        <w:t>[3]      </w:t>
      </w:r>
      <w:r>
        <w:rPr>
          <w:rFonts w:ascii="KaiTi" w:hAnsi="KaiTi" w:eastAsia="KaiTi" w:cs="KaiTi"/>
          <w:color w:val="231F20"/>
          <w:spacing w:val="-1"/>
          <w:position w:val="1"/>
        </w:rPr>
        <w:t>申晓银</w:t>
      </w:r>
      <w:r>
        <w:rPr>
          <w:color w:val="231F20"/>
          <w:spacing w:val="-1"/>
          <w:position w:val="1"/>
        </w:rPr>
        <w:t>,</w:t>
      </w:r>
      <w:r>
        <w:rPr>
          <w:rFonts w:ascii="KaiTi" w:hAnsi="KaiTi" w:eastAsia="KaiTi" w:cs="KaiTi"/>
          <w:color w:val="231F20"/>
          <w:spacing w:val="-1"/>
          <w:position w:val="1"/>
        </w:rPr>
        <w:t>修文静</w:t>
      </w:r>
      <w:r>
        <w:rPr>
          <w:color w:val="231F20"/>
          <w:spacing w:val="-1"/>
          <w:position w:val="1"/>
        </w:rPr>
        <w:t>,</w:t>
      </w:r>
      <w:r>
        <w:rPr>
          <w:rFonts w:ascii="KaiTi" w:hAnsi="KaiTi" w:eastAsia="KaiTi" w:cs="KaiTi"/>
          <w:color w:val="231F20"/>
          <w:spacing w:val="-1"/>
          <w:position w:val="1"/>
        </w:rPr>
        <w:t>哈拉木吉</w:t>
      </w:r>
      <w:r>
        <w:rPr>
          <w:color w:val="231F20"/>
          <w:spacing w:val="-1"/>
          <w:position w:val="1"/>
        </w:rPr>
        <w:t>.</w:t>
      </w:r>
      <w:r>
        <w:rPr>
          <w:rFonts w:ascii="KaiTi" w:hAnsi="KaiTi" w:eastAsia="KaiTi" w:cs="KaiTi"/>
          <w:color w:val="231F20"/>
          <w:spacing w:val="-1"/>
          <w:position w:val="1"/>
        </w:rPr>
        <w:t>舒适护理联合心理护理对急诊内科患者的影响</w:t>
      </w:r>
      <w:r>
        <w:rPr>
          <w:color w:val="231F20"/>
          <w:spacing w:val="-1"/>
          <w:position w:val="1"/>
        </w:rPr>
        <w:t>[J].</w:t>
      </w:r>
      <w:r>
        <w:rPr>
          <w:rFonts w:ascii="KaiTi" w:hAnsi="KaiTi" w:eastAsia="KaiTi" w:cs="KaiTi"/>
          <w:color w:val="231F20"/>
          <w:spacing w:val="-2"/>
          <w:position w:val="1"/>
        </w:rPr>
        <w:t>饮食保健</w:t>
      </w:r>
      <w:r>
        <w:rPr>
          <w:color w:val="231F20"/>
          <w:spacing w:val="-2"/>
          <w:position w:val="1"/>
        </w:rPr>
        <w:t>, 2020,7(8):</w:t>
      </w:r>
      <w:r>
        <w:rPr>
          <w:color w:val="231F20"/>
          <w:spacing w:val="-22"/>
          <w:position w:val="1"/>
        </w:rPr>
        <w:t xml:space="preserve"> </w:t>
      </w:r>
      <w:r>
        <w:rPr>
          <w:color w:val="231F20"/>
          <w:spacing w:val="-2"/>
          <w:position w:val="1"/>
        </w:rPr>
        <w:t>173.</w:t>
      </w:r>
    </w:p>
    <w:p>
      <w:pPr>
        <w:pStyle w:val="BodyText"/>
        <w:ind w:left="625"/>
        <w:spacing w:before="10" w:line="210" w:lineRule="exact"/>
        <w:rPr/>
      </w:pPr>
      <w:r>
        <w:rPr>
          <w:color w:val="231F20"/>
          <w:spacing w:val="-1"/>
          <w:position w:val="1"/>
        </w:rPr>
        <w:t>[4]     </w:t>
      </w:r>
      <w:r>
        <w:rPr>
          <w:rFonts w:ascii="KaiTi" w:hAnsi="KaiTi" w:eastAsia="KaiTi" w:cs="KaiTi"/>
          <w:color w:val="231F20"/>
          <w:spacing w:val="-1"/>
          <w:position w:val="1"/>
        </w:rPr>
        <w:t>魏景莉</w:t>
      </w:r>
      <w:r>
        <w:rPr>
          <w:color w:val="231F20"/>
          <w:spacing w:val="-1"/>
          <w:position w:val="1"/>
        </w:rPr>
        <w:t>.</w:t>
      </w:r>
      <w:r>
        <w:rPr>
          <w:rFonts w:ascii="KaiTi" w:hAnsi="KaiTi" w:eastAsia="KaiTi" w:cs="KaiTi"/>
          <w:color w:val="231F20"/>
          <w:spacing w:val="-1"/>
          <w:position w:val="1"/>
        </w:rPr>
        <w:t>应用心理护理及舒适护理联合在血液透析护理中的价值分析</w:t>
      </w:r>
      <w:r>
        <w:rPr>
          <w:color w:val="231F20"/>
          <w:spacing w:val="-1"/>
          <w:position w:val="1"/>
        </w:rPr>
        <w:t>[J].</w:t>
      </w:r>
      <w:r>
        <w:rPr>
          <w:rFonts w:ascii="KaiTi" w:hAnsi="KaiTi" w:eastAsia="KaiTi" w:cs="KaiTi"/>
          <w:color w:val="231F20"/>
          <w:spacing w:val="-1"/>
          <w:position w:val="1"/>
        </w:rPr>
        <w:t>心理月刊</w:t>
      </w:r>
      <w:r>
        <w:rPr>
          <w:color w:val="231F20"/>
          <w:spacing w:val="-1"/>
          <w:position w:val="1"/>
        </w:rPr>
        <w:t>,2020,</w:t>
      </w:r>
      <w:r>
        <w:rPr>
          <w:color w:val="231F20"/>
          <w:spacing w:val="-6"/>
          <w:position w:val="1"/>
        </w:rPr>
        <w:t xml:space="preserve"> </w:t>
      </w:r>
      <w:r>
        <w:rPr>
          <w:color w:val="231F20"/>
          <w:spacing w:val="-1"/>
          <w:position w:val="1"/>
        </w:rPr>
        <w:t>15(10):86.</w:t>
      </w:r>
    </w:p>
    <w:sectPr>
      <w:type w:val="continuous"/>
      <w:pgSz w:w="11906" w:h="16158"/>
      <w:pgMar w:top="1240" w:right="1118" w:bottom="0" w:left="407" w:header="993" w:footer="0" w:gutter="0"/>
      <w:cols w:equalWidth="0" w:num="1">
        <w:col w:w="1037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before="22" w:line="186" w:lineRule="auto"/>
      <w:jc w:val="right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2" style="position:absolute;margin-left:20.4pt;margin-top:780.47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1"/>
      </w:rPr>
      <w:t>186                                  </w:t>
    </w:r>
    <w:r>
      <w:rPr>
        <w:rFonts w:ascii="SimSun" w:hAnsi="SimSun" w:eastAsia="SimSun" w:cs="SimSun"/>
        <w:sz w:val="16"/>
        <w:szCs w:val="16"/>
        <w:u w:val="single" w:color="auto"/>
        <w:color w:val="231F20"/>
      </w:rPr>
      <w:t xml:space="preserve">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u w:val="single" w:color="auto"/>
        <w:color w:val="231F20"/>
        <w:position w:val="1"/>
      </w:rPr>
      <w:t>心理月刊  </w:t>
    </w:r>
    <w:r>
      <w:rPr>
        <w:rFonts w:ascii="Microsoft YaHei" w:hAnsi="Microsoft YaHei" w:eastAsia="Microsoft YaHei" w:cs="Microsoft YaHei"/>
        <w:sz w:val="14"/>
        <w:szCs w:val="14"/>
        <w:u w:val="single" w:color="auto"/>
        <w:color w:val="231F20"/>
      </w:rPr>
      <w:t>2021年  第</w:t>
    </w:r>
    <w:r>
      <w:rPr>
        <w:rFonts w:ascii="Microsoft YaHei" w:hAnsi="Microsoft YaHei" w:eastAsia="Microsoft YaHei" w:cs="Microsoft YaHei"/>
        <w:sz w:val="14"/>
        <w:szCs w:val="14"/>
        <w:u w:val="single" w:color="auto"/>
        <w:color w:val="231F20"/>
        <w:spacing w:val="-7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color w:val="231F20"/>
      </w:rPr>
      <w:t>18期  Vol.16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2" w:line="186" w:lineRule="auto"/>
      <w:jc w:val="right"/>
      <w:rPr>
        <w:rFonts w:ascii="SimSun" w:hAnsi="SimSun" w:eastAsia="SimSun" w:cs="SimSun"/>
        <w:sz w:val="16"/>
        <w:szCs w:val="16"/>
      </w:rPr>
    </w:pPr>
    <w:r>
      <w:pict>
        <v:shape id="WordPictureWatermark6" style="position:absolute;margin-left:20.4pt;margin-top:780.47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6"/>
        <w:szCs w:val="16"/>
        <w:u w:val="single" w:color="auto"/>
        <w:color w:val="231F20"/>
        <w:position w:val="1"/>
      </w:rPr>
      <w:t>心理月刊</w:t>
    </w:r>
    <w:r>
      <w:rPr>
        <w:rFonts w:ascii="Microsoft YaHei" w:hAnsi="Microsoft YaHei" w:eastAsia="Microsoft YaHei" w:cs="Microsoft YaHei"/>
        <w:sz w:val="16"/>
        <w:szCs w:val="16"/>
        <w:u w:val="single" w:color="auto"/>
        <w:color w:val="231F20"/>
        <w:spacing w:val="37"/>
        <w:w w:val="101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color w:val="231F20"/>
      </w:rPr>
      <w:t>2021</w:t>
    </w:r>
    <w:r>
      <w:rPr>
        <w:rFonts w:ascii="Microsoft YaHei" w:hAnsi="Microsoft YaHei" w:eastAsia="Microsoft YaHei" w:cs="Microsoft YaHei"/>
        <w:sz w:val="14"/>
        <w:szCs w:val="14"/>
        <w:u w:val="single" w:color="auto"/>
        <w:color w:val="231F20"/>
        <w:spacing w:val="-2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color w:val="231F20"/>
      </w:rPr>
      <w:t>年</w:t>
    </w:r>
    <w:r>
      <w:rPr>
        <w:rFonts w:ascii="Microsoft YaHei" w:hAnsi="Microsoft YaHei" w:eastAsia="Microsoft YaHei" w:cs="Microsoft YaHei"/>
        <w:sz w:val="14"/>
        <w:szCs w:val="14"/>
        <w:u w:val="single" w:color="auto"/>
        <w:color w:val="231F20"/>
        <w:spacing w:val="31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color w:val="231F20"/>
      </w:rPr>
      <w:t>第 18</w:t>
    </w:r>
    <w:r>
      <w:rPr>
        <w:rFonts w:ascii="Microsoft YaHei" w:hAnsi="Microsoft YaHei" w:eastAsia="Microsoft YaHei" w:cs="Microsoft YaHei"/>
        <w:sz w:val="14"/>
        <w:szCs w:val="14"/>
        <w:u w:val="single" w:color="auto"/>
        <w:color w:val="231F20"/>
        <w:spacing w:val="-2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color w:val="231F20"/>
      </w:rPr>
      <w:t>期</w:t>
    </w:r>
    <w:r>
      <w:rPr>
        <w:rFonts w:ascii="Microsoft YaHei" w:hAnsi="Microsoft YaHei" w:eastAsia="Microsoft YaHei" w:cs="Microsoft YaHei"/>
        <w:sz w:val="14"/>
        <w:szCs w:val="14"/>
        <w:u w:val="single" w:color="auto"/>
        <w:color w:val="231F20"/>
        <w:spacing w:val="3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color w:val="231F20"/>
      </w:rPr>
      <w:t>Vol.16                                                                    </w:t>
    </w:r>
    <w:r>
      <w:rPr>
        <w:rFonts w:ascii="Microsoft YaHei" w:hAnsi="Microsoft YaHei" w:eastAsia="Microsoft YaHei" w:cs="Microsoft YaHei"/>
        <w:sz w:val="14"/>
        <w:szCs w:val="14"/>
        <w:u w:val="single" w:color="auto"/>
        <w:color w:val="231F20"/>
        <w:spacing w:val="-1"/>
      </w:rPr>
      <w:t xml:space="preserve">                                                                                                            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"/>
      </w:rPr>
      <w:t>187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before="22" w:line="186" w:lineRule="auto"/>
      <w:jc w:val="right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14" style="position:absolute;margin-left:20.4pt;margin-top:780.47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1"/>
      </w:rPr>
      <w:t>188                                  </w:t>
    </w:r>
    <w:r>
      <w:rPr>
        <w:rFonts w:ascii="SimSun" w:hAnsi="SimSun" w:eastAsia="SimSun" w:cs="SimSun"/>
        <w:sz w:val="16"/>
        <w:szCs w:val="16"/>
        <w:u w:val="single" w:color="auto"/>
        <w:color w:val="231F20"/>
      </w:rPr>
      <w:t xml:space="preserve">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u w:val="single" w:color="auto"/>
        <w:color w:val="231F20"/>
        <w:position w:val="1"/>
      </w:rPr>
      <w:t>心理月刊  </w:t>
    </w:r>
    <w:r>
      <w:rPr>
        <w:rFonts w:ascii="Microsoft YaHei" w:hAnsi="Microsoft YaHei" w:eastAsia="Microsoft YaHei" w:cs="Microsoft YaHei"/>
        <w:sz w:val="14"/>
        <w:szCs w:val="14"/>
        <w:u w:val="single" w:color="auto"/>
        <w:color w:val="231F20"/>
      </w:rPr>
      <w:t>2021年  第</w:t>
    </w:r>
    <w:r>
      <w:rPr>
        <w:rFonts w:ascii="Microsoft YaHei" w:hAnsi="Microsoft YaHei" w:eastAsia="Microsoft YaHei" w:cs="Microsoft YaHei"/>
        <w:sz w:val="14"/>
        <w:szCs w:val="14"/>
        <w:u w:val="single" w:color="auto"/>
        <w:color w:val="231F20"/>
        <w:spacing w:val="-7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color w:val="231F20"/>
      </w:rPr>
      <w:t>18期  Vol.16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2023-04-14T23:03:37Z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2025-10-28T21:31:27</vt:filetime>
  </property>
</Properties>
</file>