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548"/>
        <w:spacing w:before="88" w:line="226" w:lineRule="auto"/>
        <w:rPr>
          <w:sz w:val="27"/>
          <w:szCs w:val="27"/>
        </w:rPr>
      </w:pPr>
      <w:r>
        <w:rPr>
          <w:sz w:val="27"/>
          <w:szCs w:val="27"/>
          <w:spacing w:val="13"/>
        </w:rPr>
        <w:t>²消化道疾病专题</w:t>
      </w:r>
    </w:p>
    <w:p>
      <w:pPr>
        <w:pStyle w:val="BodyText"/>
        <w:ind w:left="1154"/>
        <w:spacing w:before="93" w:line="219" w:lineRule="auto"/>
        <w:rPr>
          <w:sz w:val="42"/>
          <w:szCs w:val="42"/>
        </w:rPr>
      </w:pPr>
      <w:r>
        <w:rPr>
          <w:sz w:val="42"/>
          <w:szCs w:val="42"/>
          <w:spacing w:val="-1"/>
        </w:rPr>
        <w:t>奥美拉唑联合复方嗜酸乳杆菌对急性肠胃炎患者</w:t>
      </w:r>
    </w:p>
    <w:p>
      <w:pPr>
        <w:pStyle w:val="BodyText"/>
        <w:ind w:left="3253"/>
        <w:spacing w:before="100" w:line="221" w:lineRule="auto"/>
        <w:rPr>
          <w:sz w:val="42"/>
          <w:szCs w:val="42"/>
        </w:rPr>
      </w:pPr>
      <w:r>
        <w:rPr>
          <w:sz w:val="42"/>
          <w:szCs w:val="42"/>
          <w:spacing w:val="-1"/>
        </w:rPr>
        <w:t>血清炎性因子水平的影响</w:t>
      </w:r>
    </w:p>
    <w:p>
      <w:pPr>
        <w:ind w:left="5253"/>
        <w:spacing w:before="215" w:line="209" w:lineRule="auto"/>
        <w:rPr>
          <w:rFonts w:ascii="STKaiti" w:hAnsi="STKaiti" w:eastAsia="STKaiti" w:cs="STKaiti"/>
          <w:sz w:val="21"/>
          <w:szCs w:val="21"/>
        </w:rPr>
      </w:pPr>
      <w:r>
        <w:rPr>
          <w:rFonts w:ascii="STKaiti" w:hAnsi="STKaiti" w:eastAsia="STKaiti" w:cs="STKaiti"/>
          <w:sz w:val="21"/>
          <w:szCs w:val="21"/>
          <w:spacing w:val="-5"/>
        </w:rPr>
        <w:t>李得河</w:t>
      </w:r>
    </w:p>
    <w:p>
      <w:pPr>
        <w:ind w:left="3677"/>
        <w:spacing w:before="68" w:line="210" w:lineRule="auto"/>
        <w:rPr>
          <w:rFonts w:ascii="STKaiti" w:hAnsi="STKaiti" w:eastAsia="STKaiti" w:cs="STKaiti"/>
          <w:sz w:val="18"/>
          <w:szCs w:val="18"/>
        </w:rPr>
      </w:pPr>
      <w:r>
        <w:rPr>
          <w:rFonts w:ascii="STKaiti" w:hAnsi="STKaiti" w:eastAsia="STKaiti" w:cs="STKaiti"/>
          <w:sz w:val="18"/>
          <w:szCs w:val="18"/>
          <w:spacing w:val="-1"/>
        </w:rPr>
        <w:t>（民乐县妇幼保健院内科，甘肃  张掖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734500</w:t>
      </w:r>
      <w:r>
        <w:rPr>
          <w:rFonts w:ascii="STKaiti" w:hAnsi="STKaiti" w:eastAsia="STKaiti" w:cs="STKaiti"/>
          <w:sz w:val="18"/>
          <w:szCs w:val="18"/>
          <w:spacing w:val="-1"/>
        </w:rPr>
        <w:t>）</w:t>
      </w:r>
    </w:p>
    <w:p>
      <w:pPr>
        <w:ind w:left="490" w:right="137" w:firstLine="338"/>
        <w:spacing w:before="241" w:line="324" w:lineRule="auto"/>
        <w:jc w:val="both"/>
        <w:rPr>
          <w:rFonts w:ascii="STFangsong" w:hAnsi="STFangsong" w:eastAsia="STFangsong" w:cs="STFangsong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6"/>
        </w:rPr>
        <w:t>摘要</w:t>
      </w:r>
      <w:r>
        <w:rPr>
          <w:rFonts w:ascii="STFangsong" w:hAnsi="STFangsong" w:eastAsia="STFangsong" w:cs="STFangsong"/>
          <w:sz w:val="16"/>
          <w:szCs w:val="16"/>
          <w:spacing w:val="6"/>
        </w:rPr>
        <w:t>：</w:t>
      </w:r>
      <w:r>
        <w:rPr>
          <w:rFonts w:ascii="STFangsong" w:hAnsi="STFangsong" w:eastAsia="STFangsong" w:cs="STFangsong"/>
          <w:sz w:val="16"/>
          <w:szCs w:val="16"/>
          <w:spacing w:val="-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6"/>
        </w:rPr>
        <w:t>目的</w:t>
      </w:r>
      <w:r>
        <w:rPr>
          <w:rFonts w:ascii="SimHei" w:hAnsi="SimHei" w:eastAsia="SimHei" w:cs="SimHei"/>
          <w:sz w:val="16"/>
          <w:szCs w:val="16"/>
          <w:spacing w:val="6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6"/>
        </w:rPr>
        <w:t>探究奥美拉唑联合复方嗜酸乳杆菌对急性肠胃炎患者血清降钙素原（</w:t>
      </w:r>
      <w:r>
        <w:rPr>
          <w:rFonts w:ascii="Times New Roman" w:hAnsi="Times New Roman" w:eastAsia="Times New Roman" w:cs="Times New Roman"/>
          <w:sz w:val="16"/>
          <w:szCs w:val="16"/>
        </w:rPr>
        <w:t>PCT</w:t>
      </w:r>
      <w:r>
        <w:rPr>
          <w:rFonts w:ascii="STFangsong" w:hAnsi="STFangsong" w:eastAsia="STFangsong" w:cs="STFangsong"/>
          <w:sz w:val="16"/>
          <w:szCs w:val="16"/>
          <w:spacing w:val="6"/>
        </w:rPr>
        <w:t>）、</w:t>
      </w:r>
      <w:r>
        <w:rPr>
          <w:rFonts w:ascii="STFangsong" w:hAnsi="STFangsong" w:eastAsia="STFangsong" w:cs="STFangsong"/>
          <w:sz w:val="16"/>
          <w:szCs w:val="16"/>
          <w:spacing w:val="5"/>
        </w:rPr>
        <w:t>白介素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-6</w:t>
      </w:r>
      <w:r>
        <w:rPr>
          <w:rFonts w:ascii="STFangsong" w:hAnsi="STFangsong" w:eastAsia="STFangsong" w:cs="STFangsong"/>
          <w:sz w:val="16"/>
          <w:szCs w:val="16"/>
          <w:spacing w:val="5"/>
        </w:rPr>
        <w:t>（</w:t>
      </w:r>
      <w:r>
        <w:rPr>
          <w:rFonts w:ascii="Times New Roman" w:hAnsi="Times New Roman" w:eastAsia="Times New Roman" w:cs="Times New Roman"/>
          <w:sz w:val="16"/>
          <w:szCs w:val="16"/>
        </w:rPr>
        <w:t>IL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-6</w:t>
      </w:r>
      <w:r>
        <w:rPr>
          <w:rFonts w:ascii="STFangsong" w:hAnsi="STFangsong" w:eastAsia="STFangsong" w:cs="STFangsong"/>
          <w:sz w:val="16"/>
          <w:szCs w:val="16"/>
          <w:spacing w:val="5"/>
        </w:rPr>
        <w:t>）、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>C-</w:t>
      </w:r>
      <w:r>
        <w:rPr>
          <w:rFonts w:ascii="STFangsong" w:hAnsi="STFangsong" w:eastAsia="STFangsong" w:cs="STFangsong"/>
          <w:sz w:val="16"/>
          <w:szCs w:val="16"/>
          <w:spacing w:val="5"/>
        </w:rPr>
        <w:t>反应蛋白（</w:t>
      </w:r>
      <w:r>
        <w:rPr>
          <w:rFonts w:ascii="Times New Roman" w:hAnsi="Times New Roman" w:eastAsia="Times New Roman" w:cs="Times New Roman"/>
          <w:sz w:val="16"/>
          <w:szCs w:val="16"/>
        </w:rPr>
        <w:t>CRP</w:t>
      </w:r>
      <w:r>
        <w:rPr>
          <w:rFonts w:ascii="STFangsong" w:hAnsi="STFangsong" w:eastAsia="STFangsong" w:cs="STFangsong"/>
          <w:sz w:val="16"/>
          <w:szCs w:val="16"/>
          <w:spacing w:val="5"/>
        </w:rPr>
        <w:t>）水平</w:t>
      </w:r>
      <w:r>
        <w:rPr>
          <w:rFonts w:ascii="STFangsong" w:hAnsi="STFangsong" w:eastAsia="STFangsong" w:cs="STFangsong"/>
          <w:sz w:val="16"/>
          <w:szCs w:val="16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6"/>
        </w:rPr>
        <w:t>的影响。</w:t>
      </w:r>
      <w:r>
        <w:rPr>
          <w:rFonts w:ascii="STFangsong" w:hAnsi="STFangsong" w:eastAsia="STFangsong" w:cs="STFangsong"/>
          <w:sz w:val="16"/>
          <w:szCs w:val="16"/>
          <w:spacing w:val="-17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6"/>
        </w:rPr>
        <w:t>方法</w:t>
      </w:r>
      <w:r>
        <w:rPr>
          <w:rFonts w:ascii="SimHei" w:hAnsi="SimHei" w:eastAsia="SimHei" w:cs="SimHei"/>
          <w:sz w:val="16"/>
          <w:szCs w:val="16"/>
          <w:spacing w:val="42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6"/>
        </w:rPr>
        <w:t>以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2018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6"/>
        </w:rPr>
        <w:t>年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6"/>
        </w:rPr>
        <w:t>月至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2020</w:t>
      </w:r>
      <w:r>
        <w:rPr>
          <w:rFonts w:ascii="Times New Roman" w:hAnsi="Times New Roman" w:eastAsia="Times New Roman" w:cs="Times New Roman"/>
          <w:sz w:val="16"/>
          <w:szCs w:val="16"/>
          <w:spacing w:val="15"/>
          <w:w w:val="102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6"/>
        </w:rPr>
        <w:t>年</w:t>
      </w:r>
      <w:r>
        <w:rPr>
          <w:rFonts w:ascii="STFangsong" w:hAnsi="STFangsong" w:eastAsia="STFangsong" w:cs="STFangsong"/>
          <w:sz w:val="16"/>
          <w:szCs w:val="16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spacing w:val="24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6"/>
        </w:rPr>
        <w:t>月民乐县妇幼保健院收治的</w:t>
      </w:r>
      <w:r>
        <w:rPr>
          <w:rFonts w:ascii="STFangsong" w:hAnsi="STFangsong" w:eastAsia="STFangsong" w:cs="STFangsong"/>
          <w:sz w:val="16"/>
          <w:szCs w:val="16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80</w:t>
      </w:r>
      <w:r>
        <w:rPr>
          <w:rFonts w:ascii="Times New Roman" w:hAnsi="Times New Roman" w:eastAsia="Times New Roman" w:cs="Times New Roman"/>
          <w:sz w:val="16"/>
          <w:szCs w:val="16"/>
          <w:spacing w:val="19"/>
          <w:w w:val="101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6"/>
        </w:rPr>
        <w:t>例急性肠胃炎患者为研究对象，将其依据随</w:t>
      </w:r>
      <w:r>
        <w:rPr>
          <w:rFonts w:ascii="STFangsong" w:hAnsi="STFangsong" w:eastAsia="STFangsong" w:cs="STFangsong"/>
          <w:sz w:val="16"/>
          <w:szCs w:val="16"/>
          <w:spacing w:val="5"/>
        </w:rPr>
        <w:t>机数字表法分为两</w:t>
      </w:r>
      <w:r>
        <w:rPr>
          <w:rFonts w:ascii="STFangsong" w:hAnsi="STFangsong" w:eastAsia="STFangsong" w:cs="STFangsong"/>
          <w:sz w:val="16"/>
          <w:szCs w:val="16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7"/>
        </w:rPr>
        <w:t>组。给予对照组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7"/>
        </w:rPr>
        <w:t>例患者复方嗜酸乳杆菌片治疗， 给予试验组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spacing w:val="19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6"/>
        </w:rPr>
        <w:t>例患者奥美拉唑肠溶片联合复方嗜酸乳杆菌片治疗， 两组患者均治疗</w:t>
      </w:r>
      <w:r>
        <w:rPr>
          <w:rFonts w:ascii="STFangsong" w:hAnsi="STFangsong" w:eastAsia="STFangsong" w:cs="STFangsong"/>
          <w:sz w:val="16"/>
          <w:szCs w:val="16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4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8"/>
        </w:rPr>
        <w:t>周。将两组患者治疗后临床疗效， 临床症状消失时间，治疗前后血清 </w:t>
      </w:r>
      <w:r>
        <w:rPr>
          <w:rFonts w:ascii="Times New Roman" w:hAnsi="Times New Roman" w:eastAsia="Times New Roman" w:cs="Times New Roman"/>
          <w:sz w:val="16"/>
          <w:szCs w:val="16"/>
        </w:rPr>
        <w:t>PCT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8"/>
        </w:rPr>
        <w:t>、</w:t>
      </w:r>
      <w:r>
        <w:rPr>
          <w:rFonts w:ascii="Times New Roman" w:hAnsi="Times New Roman" w:eastAsia="Times New Roman" w:cs="Times New Roman"/>
          <w:sz w:val="16"/>
          <w:szCs w:val="16"/>
        </w:rPr>
        <w:t>IL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-6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8"/>
        </w:rPr>
        <w:t>、</w:t>
      </w:r>
      <w:r>
        <w:rPr>
          <w:rFonts w:ascii="Times New Roman" w:hAnsi="Times New Roman" w:eastAsia="Times New Roman" w:cs="Times New Roman"/>
          <w:sz w:val="16"/>
          <w:szCs w:val="16"/>
        </w:rPr>
        <w:t>CRP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8"/>
        </w:rPr>
        <w:t>水</w:t>
      </w:r>
      <w:r>
        <w:rPr>
          <w:rFonts w:ascii="STFangsong" w:hAnsi="STFangsong" w:eastAsia="STFangsong" w:cs="STFangsong"/>
          <w:sz w:val="16"/>
          <w:szCs w:val="16"/>
          <w:spacing w:val="7"/>
        </w:rPr>
        <w:t>平进行对比分析。</w:t>
      </w:r>
      <w:r>
        <w:rPr>
          <w:rFonts w:ascii="STFangsong" w:hAnsi="STFangsong" w:eastAsia="STFangsong" w:cs="STFangsong"/>
          <w:sz w:val="16"/>
          <w:szCs w:val="16"/>
          <w:spacing w:val="-17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7"/>
        </w:rPr>
        <w:t>结果</w:t>
      </w:r>
      <w:r>
        <w:rPr>
          <w:rFonts w:ascii="SimHei" w:hAnsi="SimHei" w:eastAsia="SimHei" w:cs="SimHei"/>
          <w:sz w:val="16"/>
          <w:szCs w:val="16"/>
          <w:spacing w:val="7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7"/>
        </w:rPr>
        <w:t>治疗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7"/>
        </w:rPr>
        <w:t>周后，试验组患</w:t>
      </w:r>
      <w:r>
        <w:rPr>
          <w:rFonts w:ascii="STFangsong" w:hAnsi="STFangsong" w:eastAsia="STFangsong" w:cs="STFangsong"/>
          <w:sz w:val="16"/>
          <w:szCs w:val="16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10"/>
        </w:rPr>
        <w:t>者的临床总有效率高于对照组；</w:t>
      </w:r>
      <w:r>
        <w:rPr>
          <w:rFonts w:ascii="STFangsong" w:hAnsi="STFangsong" w:eastAsia="STFangsong" w:cs="STFangsong"/>
          <w:sz w:val="16"/>
          <w:szCs w:val="16"/>
          <w:spacing w:val="4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10"/>
        </w:rPr>
        <w:t>试验组患者的恶心呕吐、腹痛及腹泻消失时间均较对照组缩短；</w:t>
      </w:r>
      <w:r>
        <w:rPr>
          <w:rFonts w:ascii="STFangsong" w:hAnsi="STFangsong" w:eastAsia="STFangsong" w:cs="STFangsong"/>
          <w:sz w:val="16"/>
          <w:szCs w:val="16"/>
          <w:spacing w:val="-5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10"/>
        </w:rPr>
        <w:t>治疗后两组患者血清  </w:t>
      </w:r>
      <w:r>
        <w:rPr>
          <w:rFonts w:ascii="Times New Roman" w:hAnsi="Times New Roman" w:eastAsia="Times New Roman" w:cs="Times New Roman"/>
          <w:sz w:val="16"/>
          <w:szCs w:val="16"/>
        </w:rPr>
        <w:t>PCT</w:t>
      </w:r>
      <w:r>
        <w:rPr>
          <w:rFonts w:ascii="STFangsong" w:hAnsi="STFangsong" w:eastAsia="STFangsong" w:cs="STFangsong"/>
          <w:sz w:val="16"/>
          <w:szCs w:val="16"/>
          <w:spacing w:val="10"/>
        </w:rPr>
        <w:t>、</w:t>
      </w:r>
      <w:r>
        <w:rPr>
          <w:rFonts w:ascii="Times New Roman" w:hAnsi="Times New Roman" w:eastAsia="Times New Roman" w:cs="Times New Roman"/>
          <w:sz w:val="16"/>
          <w:szCs w:val="16"/>
        </w:rPr>
        <w:t>IL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>-6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10"/>
        </w:rPr>
        <w:t>、</w:t>
      </w:r>
      <w:r>
        <w:rPr>
          <w:rFonts w:ascii="Times New Roman" w:hAnsi="Times New Roman" w:eastAsia="Times New Roman" w:cs="Times New Roman"/>
          <w:sz w:val="16"/>
          <w:szCs w:val="16"/>
        </w:rPr>
        <w:t>CRP </w:t>
      </w:r>
      <w:r>
        <w:rPr>
          <w:rFonts w:ascii="STFangsong" w:hAnsi="STFangsong" w:eastAsia="STFangsong" w:cs="STFangsong"/>
          <w:sz w:val="16"/>
          <w:szCs w:val="16"/>
          <w:spacing w:val="8"/>
        </w:rPr>
        <w:t>水平均低于治疗前，且试验组较对照组降低幅度更大（均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8"/>
        </w:rPr>
        <w:t>P</w:t>
      </w:r>
      <w:r>
        <w:rPr>
          <w:rFonts w:ascii="STFangsong" w:hAnsi="STFangsong" w:eastAsia="STFangsong" w:cs="STFangsong"/>
          <w:sz w:val="16"/>
          <w:szCs w:val="16"/>
          <w:spacing w:val="8"/>
        </w:rPr>
        <w:t>＜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0.05</w:t>
      </w:r>
      <w:r>
        <w:rPr>
          <w:rFonts w:ascii="STFangsong" w:hAnsi="STFangsong" w:eastAsia="STFangsong" w:cs="STFangsong"/>
          <w:sz w:val="16"/>
          <w:szCs w:val="16"/>
          <w:spacing w:val="8"/>
        </w:rPr>
        <w:t>）。</w:t>
      </w:r>
      <w:r>
        <w:rPr>
          <w:rFonts w:ascii="SimHei" w:hAnsi="SimHei" w:eastAsia="SimHei" w:cs="SimHei"/>
          <w:sz w:val="16"/>
          <w:szCs w:val="16"/>
          <w:spacing w:val="8"/>
        </w:rPr>
        <w:t>结论</w:t>
      </w:r>
      <w:r>
        <w:rPr>
          <w:rFonts w:ascii="SimHei" w:hAnsi="SimHei" w:eastAsia="SimHei" w:cs="SimHei"/>
          <w:sz w:val="16"/>
          <w:szCs w:val="16"/>
          <w:spacing w:val="8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8"/>
        </w:rPr>
        <w:t>奥美拉唑肠溶</w:t>
      </w:r>
      <w:r>
        <w:rPr>
          <w:rFonts w:ascii="STFangsong" w:hAnsi="STFangsong" w:eastAsia="STFangsong" w:cs="STFangsong"/>
          <w:sz w:val="16"/>
          <w:szCs w:val="16"/>
          <w:spacing w:val="7"/>
        </w:rPr>
        <w:t>片联合复方嗜酸乳杆菌片在急性肠胃炎治疗过程</w:t>
      </w:r>
      <w:r>
        <w:rPr>
          <w:rFonts w:ascii="STFangsong" w:hAnsi="STFangsong" w:eastAsia="STFangsong" w:cs="STFangsong"/>
          <w:sz w:val="16"/>
          <w:szCs w:val="16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7"/>
        </w:rPr>
        <w:t>中效果显著， 不仅能够改善患者血清炎性因子水平， 而且有</w:t>
      </w:r>
      <w:r>
        <w:rPr>
          <w:rFonts w:ascii="STFangsong" w:hAnsi="STFangsong" w:eastAsia="STFangsong" w:cs="STFangsong"/>
          <w:sz w:val="16"/>
          <w:szCs w:val="16"/>
          <w:spacing w:val="6"/>
        </w:rPr>
        <w:t>助于缩短患者临床症状消失时间。</w:t>
      </w:r>
    </w:p>
    <w:p>
      <w:pPr>
        <w:ind w:left="832"/>
        <w:spacing w:line="225" w:lineRule="auto"/>
        <w:rPr>
          <w:rFonts w:ascii="STFangsong" w:hAnsi="STFangsong" w:eastAsia="STFangsong" w:cs="STFangsong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6"/>
        </w:rPr>
        <w:t>关键词</w:t>
      </w:r>
      <w:r>
        <w:rPr>
          <w:rFonts w:ascii="STFangsong" w:hAnsi="STFangsong" w:eastAsia="STFangsong" w:cs="STFangsong"/>
          <w:sz w:val="16"/>
          <w:szCs w:val="16"/>
          <w:spacing w:val="6"/>
        </w:rPr>
        <w:t>：急性肠胃炎； 奥美拉唑肠溶片； 复方嗜酸乳杆菌片； 降钙素原；白介素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-6</w:t>
      </w:r>
      <w:r>
        <w:rPr>
          <w:rFonts w:ascii="STFangsong" w:hAnsi="STFangsong" w:eastAsia="STFangsong" w:cs="STFangsong"/>
          <w:sz w:val="16"/>
          <w:szCs w:val="16"/>
          <w:spacing w:val="6"/>
        </w:rPr>
        <w:t>；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>C-</w:t>
      </w:r>
      <w:r>
        <w:rPr>
          <w:rFonts w:ascii="STFangsong" w:hAnsi="STFangsong" w:eastAsia="STFangsong" w:cs="STFangsong"/>
          <w:sz w:val="16"/>
          <w:szCs w:val="16"/>
          <w:spacing w:val="6"/>
        </w:rPr>
        <w:t>反应蛋白</w:t>
      </w:r>
    </w:p>
    <w:p>
      <w:pPr>
        <w:ind w:left="844"/>
        <w:spacing w:before="98" w:line="2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3"/>
        </w:rPr>
        <w:t>中图分类号</w:t>
      </w:r>
      <w:r>
        <w:rPr>
          <w:rFonts w:ascii="SimHei" w:hAnsi="SimHei" w:eastAsia="SimHei" w:cs="SimHei"/>
          <w:sz w:val="16"/>
          <w:szCs w:val="16"/>
          <w:spacing w:val="-47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3"/>
        </w:rPr>
        <w:t>：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3"/>
        </w:rPr>
        <w:t>R573.3            </w:t>
      </w:r>
      <w:r>
        <w:rPr>
          <w:rFonts w:ascii="SimHei" w:hAnsi="SimHei" w:eastAsia="SimHei" w:cs="SimHei"/>
          <w:sz w:val="16"/>
          <w:szCs w:val="16"/>
          <w:spacing w:val="3"/>
        </w:rPr>
        <w:t>文献标识码</w:t>
      </w:r>
      <w:r>
        <w:rPr>
          <w:rFonts w:ascii="SimHei" w:hAnsi="SimHei" w:eastAsia="SimHei" w:cs="SimHei"/>
          <w:sz w:val="16"/>
          <w:szCs w:val="16"/>
          <w:spacing w:val="-47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3"/>
        </w:rPr>
        <w:t>：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3"/>
        </w:rPr>
        <w:t>A             </w:t>
      </w:r>
      <w:r>
        <w:rPr>
          <w:rFonts w:ascii="SimHei" w:hAnsi="SimHei" w:eastAsia="SimHei" w:cs="SimHei"/>
          <w:sz w:val="16"/>
          <w:szCs w:val="16"/>
          <w:spacing w:val="3"/>
        </w:rPr>
        <w:t>文章编号</w:t>
      </w:r>
      <w:r>
        <w:rPr>
          <w:rFonts w:ascii="SimHei" w:hAnsi="SimHei" w:eastAsia="SimHei" w:cs="SimHei"/>
          <w:sz w:val="16"/>
          <w:szCs w:val="16"/>
          <w:spacing w:val="-47"/>
        </w:rPr>
        <w:t xml:space="preserve"> </w:t>
      </w:r>
      <w:r>
        <w:rPr>
          <w:rFonts w:ascii="STFangsong" w:hAnsi="STFangsong" w:eastAsia="STFangsong" w:cs="STFangsong"/>
          <w:sz w:val="16"/>
          <w:szCs w:val="16"/>
          <w:spacing w:val="3"/>
        </w:rPr>
        <w:t>：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>2096-3718.2021.07.00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05.02</w:t>
      </w:r>
    </w:p>
    <w:p>
      <w:pPr>
        <w:spacing w:before="77"/>
        <w:rPr/>
      </w:pPr>
      <w:r/>
    </w:p>
    <w:p>
      <w:pPr>
        <w:sectPr>
          <w:headerReference w:type="default" r:id="rId1"/>
          <w:footerReference w:type="default" r:id="rId2"/>
          <w:pgSz w:w="11909" w:h="16839"/>
          <w:pgMar w:top="1450" w:right="758" w:bottom="976" w:left="407" w:header="869" w:footer="760" w:gutter="0"/>
          <w:cols w:equalWidth="0" w:num="1">
            <w:col w:w="10743" w:space="0"/>
          </w:cols>
        </w:sectPr>
        <w:rPr/>
      </w:pPr>
    </w:p>
    <w:p>
      <w:pPr>
        <w:pStyle w:val="BodyText"/>
        <w:ind w:left="449" w:right="205" w:firstLine="401"/>
        <w:spacing w:before="49" w:line="290" w:lineRule="auto"/>
        <w:jc w:val="both"/>
        <w:rPr/>
      </w:pPr>
      <w:r>
        <w:rPr>
          <w:spacing w:val="-3"/>
        </w:rPr>
        <w:t>作为临床常见的消化系统疾病之一，急性肠胃炎发病</w:t>
      </w:r>
      <w:r>
        <w:rPr>
          <w:spacing w:val="12"/>
        </w:rPr>
        <w:t xml:space="preserve"> </w:t>
      </w:r>
      <w:r>
        <w:rPr>
          <w:spacing w:val="-2"/>
        </w:rPr>
        <w:t>急、病情变化快，患者需及时接受治疗，否则</w:t>
      </w:r>
      <w:r>
        <w:rPr>
          <w:spacing w:val="-3"/>
        </w:rPr>
        <w:t>将会产生肠</w:t>
      </w:r>
      <w:r>
        <w:rPr/>
        <w:t xml:space="preserve"> </w:t>
      </w:r>
      <w:r>
        <w:rPr/>
        <w:t>穿孔、休克等情况，患者生命安全受到严重威胁</w:t>
      </w:r>
      <w:r>
        <w:rPr>
          <w:rFonts w:ascii="Times New Roman" w:hAnsi="Times New Roman" w:eastAsia="Times New Roman" w:cs="Times New Roman"/>
          <w:sz w:val="12"/>
          <w:szCs w:val="12"/>
          <w:position w:val="8"/>
        </w:rPr>
        <w:t>[1]</w:t>
      </w:r>
      <w:r>
        <w:rPr/>
        <w:t>。临床</w:t>
      </w:r>
      <w:r>
        <w:rPr>
          <w:spacing w:val="7"/>
        </w:rPr>
        <w:t xml:space="preserve"> </w:t>
      </w:r>
      <w:r>
        <w:rPr>
          <w:spacing w:val="-2"/>
        </w:rPr>
        <w:t>针对急性肠胃炎的常见治疗手段主要为药物治疗</w:t>
      </w:r>
      <w:r>
        <w:rPr>
          <w:spacing w:val="-3"/>
        </w:rPr>
        <w:t>，复方嗜</w:t>
      </w:r>
      <w:r>
        <w:rPr/>
        <w:t xml:space="preserve"> </w:t>
      </w:r>
      <w:r>
        <w:rPr>
          <w:spacing w:val="-2"/>
        </w:rPr>
        <w:t>酸乳杆菌片可以有效调节患者肠道菌群，并且</w:t>
      </w:r>
      <w:r>
        <w:rPr>
          <w:spacing w:val="-3"/>
        </w:rPr>
        <w:t>在实际应用</w:t>
      </w:r>
      <w:r>
        <w:rPr/>
        <w:t xml:space="preserve"> </w:t>
      </w:r>
      <w:r>
        <w:rPr>
          <w:spacing w:val="-2"/>
        </w:rPr>
        <w:t>过程中具有较强的附着肠黏膜作用，可进一步</w:t>
      </w:r>
      <w:r>
        <w:rPr>
          <w:spacing w:val="-3"/>
        </w:rPr>
        <w:t>提升患者肠</w:t>
      </w:r>
      <w:r>
        <w:rPr/>
        <w:t xml:space="preserve"> </w:t>
      </w:r>
      <w:r>
        <w:rPr>
          <w:spacing w:val="-2"/>
        </w:rPr>
        <w:t>道抗病与免疫功能，但使用单一药物治疗的临</w:t>
      </w:r>
      <w:r>
        <w:rPr>
          <w:spacing w:val="-3"/>
        </w:rPr>
        <w:t>床效果并不</w:t>
      </w:r>
      <w:r>
        <w:rPr/>
        <w:t xml:space="preserve"> </w:t>
      </w:r>
      <w:r>
        <w:rPr/>
        <w:t>理想</w:t>
      </w:r>
      <w:r>
        <w:rPr>
          <w:rFonts w:ascii="Times New Roman" w:hAnsi="Times New Roman" w:eastAsia="Times New Roman" w:cs="Times New Roman"/>
          <w:sz w:val="12"/>
          <w:szCs w:val="12"/>
          <w:position w:val="8"/>
        </w:rPr>
        <w:t>[2]</w:t>
      </w:r>
      <w:r>
        <w:rPr/>
        <w:t>。奥美拉唑具有抑酸、保护胃黏膜的效果，发病患</w:t>
      </w:r>
      <w:r>
        <w:rPr>
          <w:spacing w:val="5"/>
        </w:rPr>
        <w:t xml:space="preserve"> </w:t>
      </w:r>
      <w:r>
        <w:rPr>
          <w:spacing w:val="-2"/>
        </w:rPr>
        <w:t>者口服该药物能够缓解其临床症状，对于减轻</w:t>
      </w:r>
      <w:r>
        <w:rPr>
          <w:spacing w:val="-3"/>
        </w:rPr>
        <w:t>机体炎症反</w:t>
      </w:r>
      <w:r>
        <w:rPr/>
        <w:t xml:space="preserve"> </w:t>
      </w:r>
      <w:r>
        <w:rPr/>
        <w:t>应具有一定作用</w:t>
      </w:r>
      <w:r>
        <w:rPr>
          <w:rFonts w:ascii="Times New Roman" w:hAnsi="Times New Roman" w:eastAsia="Times New Roman" w:cs="Times New Roman"/>
          <w:sz w:val="12"/>
          <w:szCs w:val="12"/>
          <w:position w:val="8"/>
        </w:rPr>
        <w:t>[3]</w:t>
      </w:r>
      <w:r>
        <w:rPr/>
        <w:t>。本研究现针对奥美拉唑联合复方嗜酸</w:t>
      </w:r>
      <w:r>
        <w:rPr>
          <w:spacing w:val="5"/>
        </w:rPr>
        <w:t xml:space="preserve"> </w:t>
      </w:r>
      <w:r>
        <w:rPr>
          <w:spacing w:val="-7"/>
        </w:rPr>
        <w:t>乳杆菌对急性肠胃炎患者血清降钙素原（</w:t>
      </w:r>
      <w:r>
        <w:rPr>
          <w:rFonts w:ascii="Times New Roman" w:hAnsi="Times New Roman" w:eastAsia="Times New Roman" w:cs="Times New Roman"/>
          <w:spacing w:val="-7"/>
        </w:rPr>
        <w:t>PCT</w:t>
      </w:r>
      <w:r>
        <w:rPr>
          <w:spacing w:val="-7"/>
        </w:rPr>
        <w:t>）、白介素</w:t>
      </w:r>
      <w:r>
        <w:rPr>
          <w:rFonts w:ascii="Times New Roman" w:hAnsi="Times New Roman" w:eastAsia="Times New Roman" w:cs="Times New Roman"/>
          <w:spacing w:val="-7"/>
        </w:rPr>
        <w:t>-6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IL-6</w:t>
      </w:r>
      <w:r>
        <w:rPr>
          <w:spacing w:val="-1"/>
        </w:rPr>
        <w:t>）水平的影响进行分析，结果报道如下。</w:t>
      </w:r>
    </w:p>
    <w:p>
      <w:pPr>
        <w:ind w:left="465"/>
        <w:spacing w:before="1" w:line="233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5"/>
        </w:rPr>
        <w:t>资料与方法</w:t>
      </w:r>
    </w:p>
    <w:p>
      <w:pPr>
        <w:pStyle w:val="BodyText"/>
        <w:ind w:left="449" w:right="205" w:firstLine="16"/>
        <w:spacing w:before="62" w:line="282" w:lineRule="auto"/>
        <w:rPr/>
      </w:pPr>
      <w:r>
        <w:rPr>
          <w:rFonts w:ascii="Times New Roman" w:hAnsi="Times New Roman" w:eastAsia="Times New Roman" w:cs="Times New Roman"/>
          <w:spacing w:val="-3"/>
        </w:rPr>
        <w:t>1.1    </w:t>
      </w:r>
      <w:r>
        <w:rPr>
          <w:rFonts w:ascii="SimHei" w:hAnsi="SimHei" w:eastAsia="SimHei" w:cs="SimHei"/>
          <w:spacing w:val="-3"/>
        </w:rPr>
        <w:t>一般资料</w:t>
      </w:r>
      <w:r>
        <w:rPr>
          <w:rFonts w:ascii="SimHei" w:hAnsi="SimHei" w:eastAsia="SimHei" w:cs="SimHei"/>
          <w:spacing w:val="16"/>
        </w:rPr>
        <w:t xml:space="preserve">  </w:t>
      </w:r>
      <w:r>
        <w:rPr>
          <w:spacing w:val="-3"/>
        </w:rPr>
        <w:t>以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2018 </w:t>
      </w:r>
      <w:r>
        <w:rPr>
          <w:spacing w:val="-3"/>
        </w:rPr>
        <w:t>年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月至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2020 </w:t>
      </w:r>
      <w:r>
        <w:rPr>
          <w:spacing w:val="-4"/>
        </w:rPr>
        <w:t>年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10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4"/>
        </w:rPr>
        <w:t>月民乐县妇</w:t>
      </w:r>
      <w:r>
        <w:rPr/>
        <w:t xml:space="preserve"> </w:t>
      </w:r>
      <w:r>
        <w:rPr>
          <w:spacing w:val="-2"/>
        </w:rPr>
        <w:t>幼保健院收治的 </w:t>
      </w:r>
      <w:r>
        <w:rPr>
          <w:rFonts w:ascii="Times New Roman" w:hAnsi="Times New Roman" w:eastAsia="Times New Roman" w:cs="Times New Roman"/>
          <w:spacing w:val="-2"/>
        </w:rPr>
        <w:t>80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-2"/>
        </w:rPr>
        <w:t>例急性肠胃炎患者为研究对象，将其</w:t>
      </w:r>
      <w:r>
        <w:rPr/>
        <w:t xml:space="preserve"> </w:t>
      </w:r>
      <w:r>
        <w:rPr>
          <w:spacing w:val="1"/>
        </w:rPr>
        <w:t>依据随机数字表法分为两组。对照组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40 </w:t>
      </w:r>
      <w:r>
        <w:rPr>
          <w:spacing w:val="1"/>
        </w:rPr>
        <w:t>例患者发病时间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1~10 h</w:t>
      </w:r>
      <w:r>
        <w:rPr>
          <w:spacing w:val="-3"/>
        </w:rPr>
        <w:t>，平均（</w:t>
      </w:r>
      <w:r>
        <w:rPr>
          <w:rFonts w:ascii="Times New Roman" w:hAnsi="Times New Roman" w:eastAsia="Times New Roman" w:cs="Times New Roman"/>
          <w:spacing w:val="-3"/>
        </w:rPr>
        <w:t>5.23</w:t>
      </w:r>
      <w:r>
        <w:rPr>
          <w:spacing w:val="-3"/>
        </w:rPr>
        <w:t>±</w:t>
      </w:r>
      <w:r>
        <w:rPr>
          <w:rFonts w:ascii="Times New Roman" w:hAnsi="Times New Roman" w:eastAsia="Times New Roman" w:cs="Times New Roman"/>
          <w:spacing w:val="-3"/>
        </w:rPr>
        <w:t>1.21</w:t>
      </w:r>
      <w:r>
        <w:rPr>
          <w:spacing w:val="-3"/>
        </w:rPr>
        <w:t>）</w:t>
      </w:r>
      <w:r>
        <w:rPr>
          <w:rFonts w:ascii="Times New Roman" w:hAnsi="Times New Roman" w:eastAsia="Times New Roman" w:cs="Times New Roman"/>
          <w:spacing w:val="-3"/>
        </w:rPr>
        <w:t>h</w:t>
      </w:r>
      <w:r>
        <w:rPr>
          <w:spacing w:val="-3"/>
        </w:rPr>
        <w:t>；其中男、女患者分别为</w:t>
      </w:r>
      <w:r>
        <w:rPr>
          <w:spacing w:val="-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"/>
        </w:rPr>
        <w:t>例、</w:t>
      </w:r>
      <w:r>
        <w:rPr>
          <w:rFonts w:ascii="Times New Roman" w:hAnsi="Times New Roman" w:eastAsia="Times New Roman" w:cs="Times New Roman"/>
          <w:spacing w:val="-1"/>
        </w:rPr>
        <w:t>21</w:t>
      </w:r>
      <w:r>
        <w:rPr>
          <w:rFonts w:ascii="Times New Roman" w:hAnsi="Times New Roman" w:eastAsia="Times New Roman" w:cs="Times New Roman"/>
          <w:spacing w:val="39"/>
          <w:w w:val="101"/>
        </w:rPr>
        <w:t xml:space="preserve"> </w:t>
      </w:r>
      <w:r>
        <w:rPr>
          <w:spacing w:val="-1"/>
        </w:rPr>
        <w:t>例；年龄 </w:t>
      </w:r>
      <w:r>
        <w:rPr>
          <w:rFonts w:ascii="Times New Roman" w:hAnsi="Times New Roman" w:eastAsia="Times New Roman" w:cs="Times New Roman"/>
          <w:spacing w:val="-1"/>
        </w:rPr>
        <w:t>24~71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1"/>
        </w:rPr>
        <w:t>岁，平均（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-2"/>
        </w:rPr>
        <w:t>5.48</w:t>
      </w:r>
      <w:r>
        <w:rPr>
          <w:spacing w:val="-2"/>
        </w:rPr>
        <w:t>±</w:t>
      </w:r>
      <w:r>
        <w:rPr>
          <w:rFonts w:ascii="Times New Roman" w:hAnsi="Times New Roman" w:eastAsia="Times New Roman" w:cs="Times New Roman"/>
          <w:spacing w:val="-2"/>
        </w:rPr>
        <w:t>2.13</w:t>
      </w:r>
      <w:r>
        <w:rPr>
          <w:spacing w:val="-2"/>
        </w:rPr>
        <w:t>）岁。试</w:t>
      </w:r>
      <w:r>
        <w:rPr/>
        <w:t xml:space="preserve"> </w:t>
      </w:r>
      <w:r>
        <w:rPr>
          <w:spacing w:val="-1"/>
        </w:rPr>
        <w:t>验组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 </w:t>
      </w:r>
      <w:r>
        <w:rPr>
          <w:spacing w:val="-1"/>
        </w:rPr>
        <w:t>例患者发病时间</w:t>
      </w:r>
      <w:r>
        <w:rPr>
          <w:rFonts w:ascii="Times New Roman" w:hAnsi="Times New Roman" w:eastAsia="Times New Roman" w:cs="Times New Roman"/>
          <w:spacing w:val="-1"/>
        </w:rPr>
        <w:t>2~9 h</w:t>
      </w:r>
      <w:r>
        <w:rPr>
          <w:spacing w:val="-1"/>
        </w:rPr>
        <w:t>，平均（</w:t>
      </w:r>
      <w:r>
        <w:rPr>
          <w:rFonts w:ascii="Times New Roman" w:hAnsi="Times New Roman" w:eastAsia="Times New Roman" w:cs="Times New Roman"/>
          <w:spacing w:val="-1"/>
        </w:rPr>
        <w:t>5.18</w:t>
      </w:r>
      <w:r>
        <w:rPr>
          <w:spacing w:val="-1"/>
        </w:rPr>
        <w:t>±</w:t>
      </w:r>
      <w:r>
        <w:rPr>
          <w:rFonts w:ascii="Times New Roman" w:hAnsi="Times New Roman" w:eastAsia="Times New Roman" w:cs="Times New Roman"/>
          <w:spacing w:val="-1"/>
        </w:rPr>
        <w:t>1.19</w:t>
      </w:r>
      <w:r>
        <w:rPr>
          <w:spacing w:val="-1"/>
        </w:rPr>
        <w:t>）</w:t>
      </w:r>
      <w:r>
        <w:rPr>
          <w:rFonts w:ascii="Times New Roman" w:hAnsi="Times New Roman" w:eastAsia="Times New Roman" w:cs="Times New Roman"/>
          <w:spacing w:val="-1"/>
        </w:rPr>
        <w:t>h</w:t>
      </w:r>
      <w:r>
        <w:rPr>
          <w:spacing w:val="-1"/>
        </w:rPr>
        <w:t>；其</w:t>
      </w:r>
      <w:r>
        <w:rPr/>
        <w:t xml:space="preserve"> </w:t>
      </w:r>
      <w:r>
        <w:rPr>
          <w:spacing w:val="1"/>
        </w:rPr>
        <w:t>中男、女患者均为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20 </w:t>
      </w:r>
      <w:r>
        <w:rPr>
          <w:spacing w:val="1"/>
        </w:rPr>
        <w:t>例；年龄</w:t>
      </w:r>
      <w:r>
        <w:rPr>
          <w:rFonts w:ascii="Times New Roman" w:hAnsi="Times New Roman" w:eastAsia="Times New Roman" w:cs="Times New Roman"/>
          <w:spacing w:val="1"/>
        </w:rPr>
        <w:t>26~68 </w:t>
      </w:r>
      <w:r>
        <w:rPr>
          <w:spacing w:val="1"/>
        </w:rPr>
        <w:t>岁，平均（</w:t>
      </w:r>
      <w:r>
        <w:rPr>
          <w:rFonts w:ascii="Times New Roman" w:hAnsi="Times New Roman" w:eastAsia="Times New Roman" w:cs="Times New Roman"/>
          <w:spacing w:val="1"/>
        </w:rPr>
        <w:t>46.12</w:t>
      </w:r>
      <w:r>
        <w:rPr>
          <w:spacing w:val="1"/>
        </w:rPr>
        <w:t>±</w:t>
      </w:r>
    </w:p>
    <w:p>
      <w:pPr>
        <w:pStyle w:val="BodyText"/>
        <w:ind w:left="447" w:right="206" w:hanging="1"/>
        <w:spacing w:before="56" w:line="264" w:lineRule="auto"/>
        <w:rPr/>
      </w:pPr>
      <w:r>
        <w:pict>
          <v:shape id="_x0000_s10" style="position:absolute;margin-left:22.9pt;margin-top:73.4081pt;mso-position-vertical-relative:text;mso-position-horizontal-relative:text;width:278.35pt;height:0.5pt;z-index:251658240;" filled="false" strokecolor="#000000" strokeweight="0.50pt" coordsize="5567,10" coordorigin="0,0" path="m5,5l5561,5e">
            <v:stroke endcap="round" miterlimit="10"/>
          </v:shape>
        </w:pict>
      </w:r>
      <w:r>
        <w:rPr>
          <w:rFonts w:ascii="Times New Roman" w:hAnsi="Times New Roman" w:eastAsia="Times New Roman" w:cs="Times New Roman"/>
        </w:rPr>
        <w:t>2.29</w:t>
      </w:r>
      <w:r>
        <w:rPr/>
        <w:t>）岁。对比两组患者一般资料（发病时间、性别</w:t>
      </w:r>
      <w:r>
        <w:rPr>
          <w:spacing w:val="-1"/>
        </w:rPr>
        <w:t>、年</w:t>
      </w:r>
      <w:r>
        <w:rPr/>
        <w:t xml:space="preserve"> </w:t>
      </w:r>
      <w:r>
        <w:rPr/>
        <w:t>龄</w:t>
      </w:r>
      <w:r>
        <w:rPr>
          <w:spacing w:val="-39"/>
        </w:rPr>
        <w:t>），</w:t>
      </w:r>
      <w:r>
        <w:rPr/>
        <w:t>差异无统计学意义（</w:t>
      </w:r>
      <w:r>
        <w:rPr>
          <w:rFonts w:ascii="Times New Roman" w:hAnsi="Times New Roman" w:eastAsia="Times New Roman" w:cs="Times New Roman"/>
          <w:i/>
          <w:iCs/>
        </w:rPr>
        <w:t>P</w:t>
      </w:r>
      <w:r>
        <w:rPr/>
        <w:t>＞</w:t>
      </w:r>
      <w:r>
        <w:rPr>
          <w:rFonts w:ascii="Times New Roman" w:hAnsi="Times New Roman" w:eastAsia="Times New Roman" w:cs="Times New Roman"/>
        </w:rPr>
        <w:t>0.05</w:t>
      </w:r>
      <w:r>
        <w:rPr>
          <w:spacing w:val="-39"/>
        </w:rPr>
        <w:t>），</w:t>
      </w:r>
      <w:r>
        <w:rPr/>
        <w:t>组间具有可比性。</w:t>
      </w:r>
      <w:r>
        <w:rPr>
          <w:spacing w:val="2"/>
        </w:rPr>
        <w:t xml:space="preserve"> </w:t>
      </w:r>
      <w:r>
        <w:rPr>
          <w:spacing w:val="6"/>
        </w:rPr>
        <w:t>此项研究经民乐县妇幼保健院医学伦理委员会审核批准</w:t>
      </w:r>
      <w:r>
        <w:rPr>
          <w:spacing w:val="3"/>
        </w:rPr>
        <w:t xml:space="preserve"> </w:t>
      </w:r>
      <w:r>
        <w:rPr>
          <w:spacing w:val="-2"/>
        </w:rPr>
        <w:t>后实施，患者或家属签署知情同意书。纳入标准：</w:t>
      </w:r>
      <w:r>
        <w:rPr>
          <w:spacing w:val="-3"/>
        </w:rPr>
        <w:t>与《急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3" w:firstLine="5"/>
        <w:spacing w:before="39" w:line="291" w:lineRule="auto"/>
        <w:jc w:val="both"/>
        <w:rPr/>
      </w:pPr>
      <w:r>
        <w:rPr>
          <w:spacing w:val="-1"/>
        </w:rPr>
        <w:t>性肠胃炎的诊疗防治》</w:t>
      </w:r>
      <w:r>
        <w:rPr>
          <w:rFonts w:ascii="Times New Roman" w:hAnsi="Times New Roman" w:eastAsia="Times New Roman" w:cs="Times New Roman"/>
          <w:sz w:val="12"/>
          <w:szCs w:val="12"/>
          <w:spacing w:val="-1"/>
          <w:position w:val="8"/>
        </w:rPr>
        <w:t>[4] </w:t>
      </w:r>
      <w:r>
        <w:rPr>
          <w:spacing w:val="-1"/>
        </w:rPr>
        <w:t>中的相关诊断标准相符者；饮食</w:t>
      </w:r>
      <w:r>
        <w:rPr>
          <w:spacing w:val="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</w:t>
      </w:r>
      <w:r>
        <w:rPr>
          <w:spacing w:val="-2"/>
        </w:rPr>
        <w:t>～</w:t>
      </w:r>
      <w:r>
        <w:rPr>
          <w:rFonts w:ascii="Times New Roman" w:hAnsi="Times New Roman" w:eastAsia="Times New Roman" w:cs="Times New Roman"/>
          <w:spacing w:val="-2"/>
        </w:rPr>
        <w:t>6 h </w:t>
      </w:r>
      <w:r>
        <w:rPr>
          <w:spacing w:val="-2"/>
        </w:rPr>
        <w:t>后发病者；患者存在恶心、呕吐及腹泻等临床症状</w:t>
      </w:r>
      <w:r>
        <w:rPr>
          <w:spacing w:val="5"/>
        </w:rPr>
        <w:t xml:space="preserve"> </w:t>
      </w:r>
      <w:r>
        <w:rPr>
          <w:spacing w:val="-2"/>
        </w:rPr>
        <w:t>等。排除标准：对本研究用药过敏者；处于妊娠期或哺乳</w:t>
      </w:r>
      <w:r>
        <w:rPr/>
        <w:t xml:space="preserve"> </w:t>
      </w:r>
      <w:r>
        <w:rPr/>
        <w:t>期妇女；具有意识障碍、语言障碍及精神障碍者等。</w:t>
      </w:r>
    </w:p>
    <w:p>
      <w:pPr>
        <w:pStyle w:val="BodyText"/>
        <w:ind w:left="3" w:right="38" w:firstLine="16"/>
        <w:spacing w:before="4" w:line="282" w:lineRule="auto"/>
        <w:rPr/>
      </w:pPr>
      <w:r>
        <w:rPr>
          <w:rFonts w:ascii="Times New Roman" w:hAnsi="Times New Roman" w:eastAsia="Times New Roman" w:cs="Times New Roman"/>
          <w:spacing w:val="2"/>
        </w:rPr>
        <w:t>1.2    </w:t>
      </w:r>
      <w:r>
        <w:rPr>
          <w:rFonts w:ascii="SimHei" w:hAnsi="SimHei" w:eastAsia="SimHei" w:cs="SimHei"/>
          <w:spacing w:val="2"/>
        </w:rPr>
        <w:t>方法</w:t>
      </w:r>
      <w:r>
        <w:rPr>
          <w:rFonts w:ascii="SimHei" w:hAnsi="SimHei" w:eastAsia="SimHei" w:cs="SimHei"/>
          <w:spacing w:val="2"/>
        </w:rPr>
        <w:t xml:space="preserve">  </w:t>
      </w:r>
      <w:r>
        <w:rPr>
          <w:spacing w:val="2"/>
        </w:rPr>
        <w:t>对照组患者口服复方嗜酸乳杆菌片（通化金</w:t>
      </w:r>
      <w:r>
        <w:rPr>
          <w:spacing w:val="13"/>
        </w:rPr>
        <w:t xml:space="preserve"> </w:t>
      </w:r>
      <w:r>
        <w:rPr>
          <w:spacing w:val="-1"/>
        </w:rPr>
        <w:t>马药业集团股份有限公司，国药准字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H10940114</w:t>
      </w:r>
      <w:r>
        <w:rPr>
          <w:spacing w:val="-1"/>
        </w:rPr>
        <w:t>，规格：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0.5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g/</w:t>
      </w:r>
      <w:r>
        <w:rPr>
          <w:spacing w:val="-3"/>
        </w:rPr>
        <w:t>片</w:t>
      </w:r>
      <w:r>
        <w:rPr>
          <w:spacing w:val="-19"/>
        </w:rPr>
        <w:t>），</w:t>
      </w:r>
      <w:r>
        <w:rPr>
          <w:spacing w:val="-3"/>
        </w:rPr>
        <w:t>服用时间为餐后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30 min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0.5 </w:t>
      </w:r>
      <w:r>
        <w:rPr>
          <w:rFonts w:ascii="Times New Roman" w:hAnsi="Times New Roman" w:eastAsia="Times New Roman" w:cs="Times New Roman"/>
          <w:spacing w:val="-4"/>
        </w:rPr>
        <w:t>g/</w:t>
      </w:r>
      <w:r>
        <w:rPr>
          <w:spacing w:val="-4"/>
        </w:rPr>
        <w:t>次，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12"/>
          <w:w w:val="101"/>
        </w:rPr>
        <w:t xml:space="preserve"> </w:t>
      </w:r>
      <w:r>
        <w:rPr>
          <w:spacing w:val="-4"/>
        </w:rPr>
        <w:t>次</w:t>
      </w:r>
      <w:r>
        <w:rPr>
          <w:rFonts w:ascii="Times New Roman" w:hAnsi="Times New Roman" w:eastAsia="Times New Roman" w:cs="Times New Roman"/>
          <w:spacing w:val="-4"/>
        </w:rPr>
        <w:t>/d</w:t>
      </w:r>
      <w:r>
        <w:rPr>
          <w:spacing w:val="-4"/>
        </w:rPr>
        <w:t>。试</w:t>
      </w:r>
      <w:r>
        <w:rPr/>
        <w:t xml:space="preserve"> </w:t>
      </w:r>
      <w:r>
        <w:rPr/>
        <w:t>验组患者口服奥美拉唑肠溶片（国药集团工业有</w:t>
      </w:r>
      <w:r>
        <w:rPr>
          <w:spacing w:val="-1"/>
        </w:rPr>
        <w:t>限公司，</w:t>
      </w:r>
      <w:r>
        <w:rPr/>
        <w:t xml:space="preserve"> </w:t>
      </w:r>
      <w:r>
        <w:rPr>
          <w:spacing w:val="1"/>
        </w:rPr>
        <w:t>国药准字号</w:t>
      </w:r>
      <w:r>
        <w:rPr>
          <w:rFonts w:ascii="Times New Roman" w:hAnsi="Times New Roman" w:eastAsia="Times New Roman" w:cs="Times New Roman"/>
          <w:spacing w:val="1"/>
        </w:rPr>
        <w:t>H20094110</w:t>
      </w:r>
      <w:r>
        <w:rPr>
          <w:spacing w:val="1"/>
        </w:rPr>
        <w:t>，规格：</w:t>
      </w:r>
      <w:r>
        <w:rPr>
          <w:rFonts w:ascii="Times New Roman" w:hAnsi="Times New Roman" w:eastAsia="Times New Roman" w:cs="Times New Roman"/>
          <w:spacing w:val="1"/>
        </w:rPr>
        <w:t>20 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片）联合复方嗜酸</w:t>
      </w:r>
      <w:r>
        <w:rPr>
          <w:spacing w:val="11"/>
        </w:rPr>
        <w:t xml:space="preserve"> </w:t>
      </w:r>
      <w:r>
        <w:rPr>
          <w:spacing w:val="-5"/>
        </w:rPr>
        <w:t>乳杆菌片（用法用量同对照组</w:t>
      </w:r>
      <w:r>
        <w:rPr/>
        <w:t>），</w:t>
      </w:r>
      <w:r>
        <w:rPr>
          <w:rFonts w:ascii="Times New Roman" w:hAnsi="Times New Roman" w:eastAsia="Times New Roman" w:cs="Times New Roman"/>
          <w:spacing w:val="-5"/>
        </w:rPr>
        <w:t>20 mg/</w:t>
      </w:r>
      <w:r>
        <w:rPr>
          <w:spacing w:val="-5"/>
        </w:rPr>
        <w:t>次，</w:t>
      </w:r>
      <w:r>
        <w:rPr>
          <w:rFonts w:ascii="Times New Roman" w:hAnsi="Times New Roman" w:eastAsia="Times New Roman" w:cs="Times New Roman"/>
          <w:spacing w:val="-5"/>
        </w:rPr>
        <w:t>2</w:t>
      </w:r>
      <w:r>
        <w:rPr>
          <w:rFonts w:ascii="Times New Roman" w:hAnsi="Times New Roman" w:eastAsia="Times New Roman" w:cs="Times New Roman"/>
          <w:spacing w:val="12"/>
        </w:rPr>
        <w:t xml:space="preserve"> </w:t>
      </w:r>
      <w:r>
        <w:rPr>
          <w:spacing w:val="-5"/>
        </w:rPr>
        <w:t>次</w:t>
      </w:r>
      <w:r>
        <w:rPr>
          <w:rFonts w:ascii="Times New Roman" w:hAnsi="Times New Roman" w:eastAsia="Times New Roman" w:cs="Times New Roman"/>
          <w:spacing w:val="-5"/>
        </w:rPr>
        <w:t>/d</w:t>
      </w:r>
      <w:r>
        <w:rPr>
          <w:spacing w:val="-5"/>
        </w:rPr>
        <w:t>。所有</w:t>
      </w:r>
      <w:r>
        <w:rPr/>
        <w:t xml:space="preserve"> </w:t>
      </w:r>
      <w:r>
        <w:rPr>
          <w:spacing w:val="-1"/>
        </w:rPr>
        <w:t>患者均持续给药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 </w:t>
      </w:r>
      <w:r>
        <w:rPr>
          <w:spacing w:val="-1"/>
        </w:rPr>
        <w:t>周进行治疗。</w:t>
      </w:r>
    </w:p>
    <w:p>
      <w:pPr>
        <w:pStyle w:val="BodyText"/>
        <w:ind w:left="4" w:right="83" w:firstLine="15"/>
        <w:spacing w:before="56" w:line="281" w:lineRule="auto"/>
        <w:rPr/>
      </w:pPr>
      <w:r>
        <w:rPr>
          <w:rFonts w:ascii="Times New Roman" w:hAnsi="Times New Roman" w:eastAsia="Times New Roman" w:cs="Times New Roman"/>
          <w:spacing w:val="-4"/>
        </w:rPr>
        <w:t>1.3    </w:t>
      </w:r>
      <w:r>
        <w:rPr>
          <w:rFonts w:ascii="SimHei" w:hAnsi="SimHei" w:eastAsia="SimHei" w:cs="SimHei"/>
          <w:spacing w:val="-4"/>
        </w:rPr>
        <w:t>观察指标</w:t>
      </w:r>
      <w:r>
        <w:rPr>
          <w:rFonts w:ascii="SimHei" w:hAnsi="SimHei" w:eastAsia="SimHei" w:cs="SimHei"/>
          <w:spacing w:val="-4"/>
        </w:rPr>
        <w:t xml:space="preserve">  </w:t>
      </w:r>
      <w:r>
        <w:rPr>
          <w:spacing w:val="-4"/>
        </w:rPr>
        <w:t>①临床疗效。显效：患者经治疗后恶心呕</w:t>
      </w:r>
      <w:r>
        <w:rPr>
          <w:spacing w:val="8"/>
        </w:rPr>
        <w:t xml:space="preserve"> </w:t>
      </w:r>
      <w:r>
        <w:rPr>
          <w:spacing w:val="-2"/>
        </w:rPr>
        <w:t>吐、腹痛腹泻等临床症状完全消失，且胃镜检查结果</w:t>
      </w:r>
      <w:r>
        <w:rPr>
          <w:spacing w:val="-3"/>
        </w:rPr>
        <w:t>显示</w:t>
      </w:r>
      <w:r>
        <w:rPr/>
        <w:t xml:space="preserve"> </w:t>
      </w:r>
      <w:r>
        <w:rPr>
          <w:spacing w:val="-2"/>
        </w:rPr>
        <w:t>胃黏膜炎性反应基本消失；有效：患者经治疗后上述</w:t>
      </w:r>
      <w:r>
        <w:rPr>
          <w:spacing w:val="-3"/>
        </w:rPr>
        <w:t>临床</w:t>
      </w:r>
      <w:r>
        <w:rPr/>
        <w:t xml:space="preserve"> </w:t>
      </w:r>
      <w:r>
        <w:rPr>
          <w:spacing w:val="-2"/>
        </w:rPr>
        <w:t>症状得到明显改善，且胃镜检查结果显示胃黏膜炎性</w:t>
      </w:r>
      <w:r>
        <w:rPr>
          <w:spacing w:val="-3"/>
        </w:rPr>
        <w:t>反应</w:t>
      </w:r>
      <w:r>
        <w:rPr/>
        <w:t xml:space="preserve"> </w:t>
      </w:r>
      <w:r>
        <w:rPr>
          <w:spacing w:val="-2"/>
        </w:rPr>
        <w:t>范围减小；无效：患者经治疗后上述临床症状与胃黏</w:t>
      </w:r>
      <w:r>
        <w:rPr>
          <w:spacing w:val="-3"/>
        </w:rPr>
        <w:t>膜炎</w:t>
      </w:r>
      <w:r>
        <w:rPr/>
        <w:t xml:space="preserve"> </w:t>
      </w:r>
      <w:r>
        <w:rPr>
          <w:spacing w:val="-1"/>
        </w:rPr>
        <w:t>性反应无任何变化或加重。显效率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spacing w:val="-1"/>
        </w:rPr>
        <w:t>有效率</w:t>
      </w:r>
      <w:r>
        <w:rPr>
          <w:rFonts w:ascii="Times New Roman" w:hAnsi="Times New Roman" w:eastAsia="Times New Roman" w:cs="Times New Roman"/>
          <w:spacing w:val="-1"/>
        </w:rPr>
        <w:t>=</w:t>
      </w:r>
      <w:r>
        <w:rPr>
          <w:spacing w:val="-1"/>
        </w:rPr>
        <w:t>总有效率</w:t>
      </w:r>
      <w:r>
        <w:rPr>
          <w:rFonts w:ascii="Times New Roman" w:hAnsi="Times New Roman" w:eastAsia="Times New Roman" w:cs="Times New Roman"/>
          <w:sz w:val="12"/>
          <w:szCs w:val="12"/>
          <w:spacing w:val="-1"/>
          <w:position w:val="8"/>
        </w:rPr>
        <w:t>[4]</w:t>
      </w:r>
      <w:r>
        <w:rPr>
          <w:spacing w:val="-1"/>
        </w:rPr>
        <w:t>。</w:t>
      </w:r>
    </w:p>
    <w:p>
      <w:pPr>
        <w:pStyle w:val="BodyText"/>
        <w:spacing w:before="63" w:line="219" w:lineRule="auto"/>
        <w:jc w:val="right"/>
        <w:rPr/>
      </w:pPr>
      <w:r>
        <w:rPr>
          <w:spacing w:val="-7"/>
        </w:rPr>
        <w:t>②记录两组患者症状（恶心呕吐、腹痛及腹泻）消失时间。</w:t>
      </w:r>
    </w:p>
    <w:p>
      <w:pPr>
        <w:pStyle w:val="BodyText"/>
        <w:ind w:left="3"/>
        <w:spacing w:before="73" w:line="276" w:lineRule="auto"/>
        <w:rPr/>
      </w:pPr>
      <w:r>
        <w:rPr>
          <w:spacing w:val="-2"/>
        </w:rPr>
        <w:t>③治疗前后各采集两组患者清晨空腹状态下的肘部静脉血</w:t>
      </w:r>
      <w:r>
        <w:rPr/>
        <w:t xml:space="preserve">  </w:t>
      </w:r>
      <w:r>
        <w:rPr>
          <w:spacing w:val="-7"/>
        </w:rPr>
        <w:t>（</w:t>
      </w:r>
      <w:r>
        <w:rPr>
          <w:rFonts w:ascii="Times New Roman" w:hAnsi="Times New Roman" w:eastAsia="Times New Roman" w:cs="Times New Roman"/>
          <w:spacing w:val="-7"/>
        </w:rPr>
        <w:t>5 mL</w:t>
      </w:r>
      <w:r>
        <w:rPr>
          <w:spacing w:val="-43"/>
          <w:w w:val="82"/>
        </w:rPr>
        <w:t>），</w:t>
      </w:r>
      <w:r>
        <w:rPr>
          <w:spacing w:val="-7"/>
        </w:rPr>
        <w:t>对血液实施离心（转速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3 000 r/min</w:t>
      </w:r>
      <w:r>
        <w:rPr>
          <w:spacing w:val="-7"/>
        </w:rPr>
        <w:t>，时间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10 min</w:t>
      </w:r>
      <w:r>
        <w:rPr>
          <w:spacing w:val="-7"/>
        </w:rPr>
        <w:t>）</w:t>
      </w:r>
      <w:r>
        <w:rPr/>
        <w:t xml:space="preserve"> </w:t>
      </w:r>
      <w:r>
        <w:rPr>
          <w:spacing w:val="-2"/>
        </w:rPr>
        <w:t>操作，取上清液，用双抗体夹心免疫化学发光法检测降钙</w:t>
      </w:r>
      <w:r>
        <w:rPr/>
        <w:t xml:space="preserve">  </w:t>
      </w:r>
      <w:r>
        <w:rPr>
          <w:spacing w:val="-13"/>
        </w:rPr>
        <w:t>素原（</w:t>
      </w:r>
      <w:r>
        <w:rPr>
          <w:rFonts w:ascii="Times New Roman" w:hAnsi="Times New Roman" w:eastAsia="Times New Roman" w:cs="Times New Roman"/>
          <w:spacing w:val="-13"/>
        </w:rPr>
        <w:t>PCT</w:t>
      </w:r>
      <w:r>
        <w:rPr>
          <w:spacing w:val="-13"/>
        </w:rPr>
        <w:t>）、白介素</w:t>
      </w:r>
      <w:r>
        <w:rPr>
          <w:rFonts w:ascii="Times New Roman" w:hAnsi="Times New Roman" w:eastAsia="Times New Roman" w:cs="Times New Roman"/>
          <w:spacing w:val="-13"/>
        </w:rPr>
        <w:t>-6</w:t>
      </w:r>
      <w:r>
        <w:rPr>
          <w:spacing w:val="-13"/>
        </w:rPr>
        <w:t>（</w:t>
      </w:r>
      <w:r>
        <w:rPr>
          <w:rFonts w:ascii="Times New Roman" w:hAnsi="Times New Roman" w:eastAsia="Times New Roman" w:cs="Times New Roman"/>
          <w:spacing w:val="-13"/>
        </w:rPr>
        <w:t>IL-6</w:t>
      </w:r>
      <w:r>
        <w:rPr>
          <w:spacing w:val="-13"/>
        </w:rPr>
        <w:t>）、</w:t>
      </w:r>
      <w:r>
        <w:rPr>
          <w:rFonts w:ascii="Times New Roman" w:hAnsi="Times New Roman" w:eastAsia="Times New Roman" w:cs="Times New Roman"/>
          <w:spacing w:val="-13"/>
        </w:rPr>
        <w:t>C-</w:t>
      </w:r>
      <w:r>
        <w:rPr>
          <w:spacing w:val="-13"/>
        </w:rPr>
        <w:t>反应蛋白（</w:t>
      </w:r>
      <w:r>
        <w:rPr>
          <w:rFonts w:ascii="Times New Roman" w:hAnsi="Times New Roman" w:eastAsia="Times New Roman" w:cs="Times New Roman"/>
          <w:spacing w:val="-13"/>
        </w:rPr>
        <w:t>C</w:t>
      </w:r>
      <w:r>
        <w:rPr>
          <w:rFonts w:ascii="Times New Roman" w:hAnsi="Times New Roman" w:eastAsia="Times New Roman" w:cs="Times New Roman"/>
          <w:spacing w:val="-14"/>
        </w:rPr>
        <w:t>RP</w:t>
      </w:r>
      <w:r>
        <w:rPr>
          <w:spacing w:val="-14"/>
        </w:rPr>
        <w:t>）水平。</w:t>
      </w:r>
    </w:p>
    <w:p>
      <w:pPr>
        <w:pStyle w:val="BodyText"/>
        <w:ind w:left="6" w:right="87" w:firstLine="14"/>
        <w:spacing w:before="64" w:line="237" w:lineRule="auto"/>
        <w:rPr/>
      </w:pPr>
      <w:r>
        <w:rPr>
          <w:rFonts w:ascii="Times New Roman" w:hAnsi="Times New Roman" w:eastAsia="Times New Roman" w:cs="Times New Roman"/>
          <w:spacing w:val="-2"/>
        </w:rPr>
        <w:t>1.4    </w:t>
      </w:r>
      <w:r>
        <w:rPr>
          <w:rFonts w:ascii="SimHei" w:hAnsi="SimHei" w:eastAsia="SimHei" w:cs="SimHei"/>
          <w:spacing w:val="-2"/>
        </w:rPr>
        <w:t>统计学方法</w:t>
      </w:r>
      <w:r>
        <w:rPr>
          <w:rFonts w:ascii="SimHei" w:hAnsi="SimHei" w:eastAsia="SimHei" w:cs="SimHei"/>
          <w:spacing w:val="-2"/>
        </w:rPr>
        <w:t xml:space="preserve">  </w:t>
      </w:r>
      <w:r>
        <w:rPr>
          <w:spacing w:val="-2"/>
        </w:rPr>
        <w:t>使用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SPSS 20.0 </w:t>
      </w:r>
      <w:r>
        <w:rPr>
          <w:spacing w:val="-2"/>
        </w:rPr>
        <w:t>统计软件处理</w:t>
      </w:r>
      <w:r>
        <w:rPr>
          <w:spacing w:val="-3"/>
        </w:rPr>
        <w:t>数据，计</w:t>
      </w:r>
      <w:r>
        <w:rPr/>
        <w:t xml:space="preserve"> </w:t>
      </w:r>
      <w:r>
        <w:rPr>
          <w:spacing w:val="-4"/>
        </w:rPr>
        <w:t>数资料（临床疗效）、计量资料（临床症状消失时</w:t>
      </w:r>
      <w:r>
        <w:rPr>
          <w:spacing w:val="-5"/>
        </w:rPr>
        <w:t>间及血</w:t>
      </w:r>
    </w:p>
    <w:p>
      <w:pPr>
        <w:spacing w:line="237" w:lineRule="auto"/>
        <w:sectPr>
          <w:type w:val="continuous"/>
          <w:pgSz w:w="11909" w:h="16839"/>
          <w:pgMar w:top="1450" w:right="758" w:bottom="976" w:left="407" w:header="869" w:footer="760" w:gutter="0"/>
          <w:cols w:equalWidth="0" w:num="2">
            <w:col w:w="5604" w:space="100"/>
            <w:col w:w="5040" w:space="0"/>
          </w:cols>
        </w:sectPr>
        <w:rPr/>
      </w:pP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447"/>
        <w:spacing w:before="50" w:line="195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8"/>
        </w:rPr>
        <w:t>作者简介</w:t>
      </w:r>
      <w:r>
        <w:rPr>
          <w:sz w:val="15"/>
          <w:szCs w:val="15"/>
          <w:spacing w:val="8"/>
        </w:rPr>
        <w:t>：李得河，大学本科，主治医师，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8"/>
        </w:rPr>
        <w:t>研究方向：内科疾病</w:t>
      </w:r>
      <w:r>
        <w:rPr>
          <w:sz w:val="15"/>
          <w:szCs w:val="15"/>
          <w:spacing w:val="7"/>
        </w:rPr>
        <w:t>的诊治。</w:t>
      </w:r>
    </w:p>
    <w:p>
      <w:pPr>
        <w:spacing w:line="195" w:lineRule="auto"/>
        <w:sectPr>
          <w:type w:val="continuous"/>
          <w:pgSz w:w="11909" w:h="16839"/>
          <w:pgMar w:top="1450" w:right="758" w:bottom="976" w:left="407" w:header="869" w:footer="760" w:gutter="0"/>
          <w:cols w:equalWidth="0" w:num="1">
            <w:col w:w="10743" w:space="0"/>
          </w:cols>
        </w:sectPr>
        <w:rPr>
          <w:sz w:val="15"/>
          <w:szCs w:val="15"/>
        </w:rPr>
      </w:pP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3"/>
          <w:footerReference w:type="default" r:id="rId4"/>
          <w:pgSz w:w="11909" w:h="16839"/>
          <w:pgMar w:top="1450" w:right="789" w:bottom="976" w:left="407" w:header="865" w:footer="760" w:gutter="0"/>
          <w:cols w:equalWidth="0" w:num="1">
            <w:col w:w="10712" w:space="0"/>
          </w:cols>
        </w:sectPr>
        <w:rPr/>
      </w:pPr>
    </w:p>
    <w:p>
      <w:pPr>
        <w:pStyle w:val="BodyText"/>
        <w:ind w:left="452" w:right="151" w:hanging="3"/>
        <w:spacing w:before="42" w:line="267" w:lineRule="auto"/>
        <w:rPr/>
      </w:pPr>
      <w:r>
        <w:rPr>
          <w:spacing w:val="-8"/>
        </w:rPr>
        <w:t>清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PCT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IL-6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CRP </w:t>
      </w:r>
      <w:r>
        <w:rPr>
          <w:spacing w:val="-8"/>
        </w:rPr>
        <w:t>水平）分别用</w:t>
      </w:r>
      <w:r>
        <w:rPr>
          <w:rFonts w:ascii="Times New Roman" w:hAnsi="Times New Roman" w:eastAsia="Times New Roman" w:cs="Times New Roman"/>
          <w:spacing w:val="-8"/>
        </w:rPr>
        <w:t>[</w:t>
      </w:r>
      <w:r>
        <w:rPr>
          <w:spacing w:val="-8"/>
        </w:rPr>
        <w:t>例</w:t>
      </w:r>
      <w:r>
        <w:rPr>
          <w:rFonts w:ascii="Times New Roman" w:hAnsi="Times New Roman" w:eastAsia="Times New Roman" w:cs="Times New Roman"/>
          <w:spacing w:val="-8"/>
        </w:rPr>
        <w:t>(%)]</w:t>
      </w:r>
      <w:r>
        <w:rPr>
          <w:spacing w:val="-8"/>
        </w:rPr>
        <w:t>、（</w:t>
      </w:r>
      <w:r>
        <w:rPr>
          <w:rFonts w:ascii="Microsoft YaHei" w:hAnsi="Microsoft YaHei" w:eastAsia="Microsoft YaHei" w:cs="Microsoft YaHei"/>
          <w:sz w:val="15"/>
          <w:szCs w:val="15"/>
          <w:color w:val="D2D2D2"/>
          <w:spacing w:val="-8"/>
          <w:position w:val="2"/>
        </w:rPr>
        <w:t>死</w:t>
      </w:r>
      <w:r>
        <w:rPr>
          <w:spacing w:val="-8"/>
        </w:rPr>
        <w:t>±</w:t>
      </w:r>
      <w:r>
        <w:rPr>
          <w:rFonts w:ascii="Times New Roman" w:hAnsi="Times New Roman" w:eastAsia="Times New Roman" w:cs="Times New Roman"/>
          <w:i/>
          <w:iCs/>
          <w:spacing w:val="-8"/>
        </w:rPr>
        <w:t>s</w:t>
      </w:r>
      <w:r>
        <w:rPr>
          <w:spacing w:val="-8"/>
        </w:rPr>
        <w:t>）</w:t>
      </w:r>
      <w:r>
        <w:rPr>
          <w:spacing w:val="-9"/>
        </w:rPr>
        <w:t>表示，</w:t>
      </w:r>
      <w:r>
        <w:rPr/>
        <w:t xml:space="preserve"> </w:t>
      </w:r>
      <w:r>
        <w:rPr>
          <w:spacing w:val="2"/>
        </w:rPr>
        <w:t>分别行</w:t>
      </w:r>
      <w:r>
        <w:rPr>
          <w:rFonts w:ascii="Times New Roman" w:hAnsi="Times New Roman" w:eastAsia="Times New Roman" w:cs="Times New Roman"/>
          <w:i/>
          <w:iCs/>
          <w:spacing w:val="2"/>
        </w:rPr>
        <w:t>χ</w:t>
      </w:r>
      <w:r>
        <w:rPr>
          <w:rFonts w:ascii="Times New Roman" w:hAnsi="Times New Roman" w:eastAsia="Times New Roman" w:cs="Times New Roman"/>
          <w:sz w:val="12"/>
          <w:szCs w:val="12"/>
          <w:spacing w:val="2"/>
          <w:position w:val="8"/>
        </w:rPr>
        <w:t>2</w:t>
      </w:r>
      <w:r>
        <w:rPr>
          <w:rFonts w:ascii="Times New Roman" w:hAnsi="Times New Roman" w:eastAsia="Times New Roman" w:cs="Times New Roman"/>
          <w:sz w:val="12"/>
          <w:szCs w:val="12"/>
          <w:spacing w:val="1"/>
          <w:position w:val="8"/>
        </w:rPr>
        <w:t xml:space="preserve"> </w:t>
      </w:r>
      <w:r>
        <w:rPr>
          <w:spacing w:val="2"/>
        </w:rPr>
        <w:t>、</w:t>
      </w:r>
      <w:r>
        <w:rPr>
          <w:rFonts w:ascii="Times New Roman" w:hAnsi="Times New Roman" w:eastAsia="Times New Roman" w:cs="Times New Roman"/>
          <w:i/>
          <w:iCs/>
          <w:spacing w:val="2"/>
        </w:rPr>
        <w:t>t </w:t>
      </w:r>
      <w:r>
        <w:rPr>
          <w:spacing w:val="2"/>
        </w:rPr>
        <w:t>检验。以</w:t>
      </w:r>
      <w:r>
        <w:rPr>
          <w:rFonts w:ascii="Times New Roman" w:hAnsi="Times New Roman" w:eastAsia="Times New Roman" w:cs="Times New Roman"/>
          <w:i/>
          <w:iCs/>
          <w:spacing w:val="2"/>
        </w:rPr>
        <w:t>P</w:t>
      </w:r>
      <w:r>
        <w:rPr>
          <w:spacing w:val="2"/>
        </w:rPr>
        <w:t>＜</w:t>
      </w:r>
      <w:r>
        <w:rPr>
          <w:rFonts w:ascii="Times New Roman" w:hAnsi="Times New Roman" w:eastAsia="Times New Roman" w:cs="Times New Roman"/>
          <w:spacing w:val="2"/>
        </w:rPr>
        <w:t>0.05 </w:t>
      </w:r>
      <w:r>
        <w:rPr>
          <w:spacing w:val="2"/>
        </w:rPr>
        <w:t>为差异有统计学意义。</w:t>
      </w:r>
    </w:p>
    <w:p>
      <w:pPr>
        <w:ind w:left="446"/>
        <w:spacing w:before="24" w:line="239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3"/>
        </w:rPr>
        <w:t>结果</w:t>
      </w:r>
    </w:p>
    <w:p>
      <w:pPr>
        <w:pStyle w:val="BodyText"/>
        <w:ind w:left="455" w:right="209" w:hanging="9"/>
        <w:spacing w:before="50" w:line="284" w:lineRule="auto"/>
        <w:rPr/>
      </w:pPr>
      <w:r>
        <w:rPr>
          <w:rFonts w:ascii="Times New Roman" w:hAnsi="Times New Roman" w:eastAsia="Times New Roman" w:cs="Times New Roman"/>
          <w:spacing w:val="-4"/>
        </w:rPr>
        <w:t>2.1    </w:t>
      </w:r>
      <w:r>
        <w:rPr>
          <w:rFonts w:ascii="SimHei" w:hAnsi="SimHei" w:eastAsia="SimHei" w:cs="SimHei"/>
          <w:spacing w:val="-4"/>
        </w:rPr>
        <w:t>临床疗效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spacing w:val="-4"/>
        </w:rPr>
        <w:t>治疗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 </w:t>
      </w:r>
      <w:r>
        <w:rPr>
          <w:spacing w:val="-4"/>
        </w:rPr>
        <w:t>周后，试验组患者的临床总有效率</w:t>
      </w:r>
      <w:r>
        <w:rPr/>
        <w:t xml:space="preserve"> </w:t>
      </w:r>
      <w:r>
        <w:rPr>
          <w:spacing w:val="-1"/>
        </w:rPr>
        <w:t>高于对照组，差异有统计学意义（</w:t>
      </w:r>
      <w:r>
        <w:rPr>
          <w:rFonts w:ascii="Times New Roman" w:hAnsi="Times New Roman" w:eastAsia="Times New Roman" w:cs="Times New Roman"/>
          <w:i/>
          <w:iCs/>
          <w:spacing w:val="-1"/>
        </w:rPr>
        <w:t>P</w:t>
      </w:r>
      <w:r>
        <w:rPr>
          <w:spacing w:val="-1"/>
        </w:rPr>
        <w:t>＜</w:t>
      </w:r>
      <w:r>
        <w:rPr>
          <w:rFonts w:ascii="Times New Roman" w:hAnsi="Times New Roman" w:eastAsia="Times New Roman" w:cs="Times New Roman"/>
          <w:spacing w:val="-1"/>
        </w:rPr>
        <w:t>0.0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spacing w:val="-52"/>
          <w:w w:val="98"/>
        </w:rPr>
        <w:t>），</w:t>
      </w:r>
      <w:r>
        <w:rPr>
          <w:spacing w:val="-2"/>
        </w:rPr>
        <w:t>见表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。</w:t>
      </w:r>
    </w:p>
    <w:p>
      <w:pPr>
        <w:ind w:left="1493"/>
        <w:spacing w:before="15" w:line="215" w:lineRule="auto"/>
        <w:outlineLvl w:val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"/>
        </w:rPr>
        <w:t>表</w:t>
      </w:r>
      <w:r>
        <w:rPr>
          <w:rFonts w:ascii="SimHei" w:hAnsi="SimHei" w:eastAsia="SimHei" w:cs="SimHei"/>
          <w:sz w:val="18"/>
          <w:szCs w:val="1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    </w:t>
      </w:r>
      <w:r>
        <w:rPr>
          <w:rFonts w:ascii="SimHei" w:hAnsi="SimHei" w:eastAsia="SimHei" w:cs="SimHei"/>
          <w:sz w:val="18"/>
          <w:szCs w:val="18"/>
          <w:spacing w:val="-1"/>
        </w:rPr>
        <w:t>两组患者临床疗效比较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[</w:t>
      </w:r>
      <w:r>
        <w:rPr>
          <w:rFonts w:ascii="SimHei" w:hAnsi="SimHei" w:eastAsia="SimHei" w:cs="SimHei"/>
          <w:sz w:val="18"/>
          <w:szCs w:val="18"/>
          <w:spacing w:val="-1"/>
        </w:rPr>
        <w:t>例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%)]</w:t>
      </w:r>
    </w:p>
    <w:p>
      <w:pPr>
        <w:spacing w:line="4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950" w:type="dxa"/>
        <w:tblInd w:w="4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1"/>
        <w:gridCol w:w="649"/>
        <w:gridCol w:w="941"/>
        <w:gridCol w:w="861"/>
        <w:gridCol w:w="828"/>
        <w:gridCol w:w="860"/>
      </w:tblGrid>
      <w:tr>
        <w:trPr>
          <w:trHeight w:val="303" w:hRule="atLeast"/>
        </w:trPr>
        <w:tc>
          <w:tcPr>
            <w:tcW w:w="81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48"/>
              <w:spacing w:before="107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组别</w:t>
            </w:r>
          </w:p>
        </w:tc>
        <w:tc>
          <w:tcPr>
            <w:tcW w:w="64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79"/>
              <w:spacing w:before="107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例数</w:t>
            </w:r>
          </w:p>
        </w:tc>
        <w:tc>
          <w:tcPr>
            <w:tcW w:w="9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23"/>
              <w:spacing w:before="107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显效</w:t>
            </w:r>
          </w:p>
        </w:tc>
        <w:tc>
          <w:tcPr>
            <w:tcW w:w="86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70"/>
              <w:spacing w:before="107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有效</w:t>
            </w:r>
          </w:p>
        </w:tc>
        <w:tc>
          <w:tcPr>
            <w:tcW w:w="82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78"/>
              <w:spacing w:before="107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无效</w:t>
            </w:r>
          </w:p>
        </w:tc>
        <w:tc>
          <w:tcPr>
            <w:tcW w:w="86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04"/>
              <w:spacing w:before="107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总有效</w:t>
            </w:r>
          </w:p>
        </w:tc>
      </w:tr>
      <w:tr>
        <w:trPr>
          <w:trHeight w:val="332" w:hRule="atLeast"/>
        </w:trPr>
        <w:tc>
          <w:tcPr>
            <w:tcW w:w="811" w:type="dxa"/>
            <w:vAlign w:val="top"/>
            <w:tcBorders>
              <w:top w:val="single" w:color="000000" w:sz="2" w:space="0"/>
            </w:tcBorders>
          </w:tcPr>
          <w:p>
            <w:pPr>
              <w:ind w:left="168"/>
              <w:spacing w:before="102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对照组</w:t>
            </w:r>
          </w:p>
        </w:tc>
        <w:tc>
          <w:tcPr>
            <w:tcW w:w="6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7"/>
              <w:spacing w:before="128" w:line="175" w:lineRule="exact"/>
              <w:rPr/>
            </w:pPr>
            <w:r>
              <w:rPr>
                <w:spacing w:val="4"/>
              </w:rPr>
              <w:t>40</w:t>
            </w:r>
          </w:p>
        </w:tc>
        <w:tc>
          <w:tcPr>
            <w:tcW w:w="9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6"/>
              <w:spacing w:before="128" w:line="201" w:lineRule="auto"/>
              <w:rPr/>
            </w:pPr>
            <w:r>
              <w:rPr>
                <w:spacing w:val="4"/>
              </w:rPr>
              <w:t>27(67.50)</w:t>
            </w:r>
          </w:p>
        </w:tc>
        <w:tc>
          <w:tcPr>
            <w:tcW w:w="86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6"/>
              <w:spacing w:before="128" w:line="201" w:lineRule="auto"/>
              <w:rPr/>
            </w:pPr>
            <w:r>
              <w:rPr>
                <w:spacing w:val="4"/>
              </w:rPr>
              <w:t>4(10.00)</w:t>
            </w:r>
          </w:p>
        </w:tc>
        <w:tc>
          <w:tcPr>
            <w:tcW w:w="8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3"/>
              <w:spacing w:before="128" w:line="201" w:lineRule="auto"/>
              <w:rPr/>
            </w:pPr>
            <w:r>
              <w:rPr>
                <w:spacing w:val="4"/>
              </w:rPr>
              <w:t>9(22.50)</w:t>
            </w:r>
          </w:p>
        </w:tc>
        <w:tc>
          <w:tcPr>
            <w:tcW w:w="8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7"/>
              <w:spacing w:before="128" w:line="201" w:lineRule="auto"/>
              <w:rPr/>
            </w:pPr>
            <w:r>
              <w:rPr>
                <w:spacing w:val="3"/>
              </w:rPr>
              <w:t>31(77.50)</w:t>
            </w:r>
          </w:p>
        </w:tc>
      </w:tr>
      <w:tr>
        <w:trPr>
          <w:trHeight w:val="290" w:hRule="atLeast"/>
        </w:trPr>
        <w:tc>
          <w:tcPr>
            <w:tcW w:w="811" w:type="dxa"/>
            <w:vAlign w:val="top"/>
          </w:tcPr>
          <w:p>
            <w:pPr>
              <w:ind w:left="167"/>
              <w:spacing w:before="68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试验组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257"/>
              <w:spacing w:before="94" w:line="175" w:lineRule="exact"/>
              <w:rPr/>
            </w:pPr>
            <w:r>
              <w:rPr>
                <w:spacing w:val="4"/>
              </w:rPr>
              <w:t>40</w:t>
            </w:r>
          </w:p>
        </w:tc>
        <w:tc>
          <w:tcPr>
            <w:tcW w:w="941" w:type="dxa"/>
            <w:vAlign w:val="top"/>
          </w:tcPr>
          <w:p>
            <w:pPr>
              <w:pStyle w:val="TableText"/>
              <w:ind w:left="166"/>
              <w:spacing w:before="94" w:line="201" w:lineRule="auto"/>
              <w:rPr/>
            </w:pPr>
            <w:r>
              <w:rPr>
                <w:spacing w:val="4"/>
              </w:rPr>
              <w:t>29(72.50)</w:t>
            </w:r>
          </w:p>
        </w:tc>
        <w:tc>
          <w:tcPr>
            <w:tcW w:w="861" w:type="dxa"/>
            <w:vAlign w:val="top"/>
          </w:tcPr>
          <w:p>
            <w:pPr>
              <w:pStyle w:val="TableText"/>
              <w:ind w:left="159"/>
              <w:spacing w:before="94" w:line="201" w:lineRule="auto"/>
              <w:rPr/>
            </w:pPr>
            <w:r>
              <w:rPr>
                <w:spacing w:val="4"/>
              </w:rPr>
              <w:t>9(22.50)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237"/>
              <w:spacing w:before="94" w:line="201" w:lineRule="auto"/>
              <w:rPr/>
            </w:pPr>
            <w:r>
              <w:rPr>
                <w:spacing w:val="4"/>
              </w:rPr>
              <w:t>2(5.00)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127"/>
              <w:spacing w:before="94" w:line="201" w:lineRule="auto"/>
              <w:rPr/>
            </w:pPr>
            <w:r>
              <w:rPr>
                <w:spacing w:val="3"/>
              </w:rPr>
              <w:t>38(95.00)</w:t>
            </w:r>
          </w:p>
        </w:tc>
      </w:tr>
      <w:tr>
        <w:trPr>
          <w:trHeight w:val="297" w:hRule="atLeast"/>
        </w:trPr>
        <w:tc>
          <w:tcPr>
            <w:tcW w:w="811" w:type="dxa"/>
            <w:vAlign w:val="top"/>
          </w:tcPr>
          <w:p>
            <w:pPr>
              <w:pStyle w:val="TableText"/>
              <w:ind w:left="234"/>
              <w:spacing w:before="70" w:line="216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7"/>
                <w:position w:val="-1"/>
              </w:rPr>
              <w:t>χ</w:t>
            </w:r>
            <w:r>
              <w:rPr>
                <w:sz w:val="10"/>
                <w:szCs w:val="10"/>
                <w:spacing w:val="7"/>
                <w:position w:val="6"/>
              </w:rPr>
              <w:t>2</w:t>
            </w:r>
            <w:r>
              <w:rPr>
                <w:sz w:val="10"/>
                <w:szCs w:val="10"/>
                <w:spacing w:val="8"/>
                <w:w w:val="103"/>
                <w:position w:val="6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  <w:position w:val="-1"/>
              </w:rPr>
              <w:t>值</w:t>
            </w:r>
          </w:p>
        </w:tc>
        <w:tc>
          <w:tcPr>
            <w:tcW w:w="6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0" w:type="dxa"/>
            <w:vAlign w:val="top"/>
          </w:tcPr>
          <w:p>
            <w:pPr>
              <w:pStyle w:val="TableText"/>
              <w:ind w:left="263"/>
              <w:spacing w:before="102" w:line="174" w:lineRule="exact"/>
              <w:rPr/>
            </w:pPr>
            <w:r>
              <w:rPr>
                <w:spacing w:val="3"/>
              </w:rPr>
              <w:t>5.165</w:t>
            </w:r>
          </w:p>
        </w:tc>
      </w:tr>
      <w:tr>
        <w:trPr>
          <w:trHeight w:val="274" w:hRule="atLeast"/>
        </w:trPr>
        <w:tc>
          <w:tcPr>
            <w:tcW w:w="81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0"/>
              <w:spacing w:before="71" w:line="230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5"/>
              </w:rPr>
              <w:t>P </w:t>
            </w:r>
            <w:r>
              <w:rPr>
                <w:rFonts w:ascii="SimSun" w:hAnsi="SimSun" w:eastAsia="SimSun" w:cs="SimSun"/>
                <w:spacing w:val="5"/>
              </w:rPr>
              <w:t>值</w:t>
            </w:r>
          </w:p>
        </w:tc>
        <w:tc>
          <w:tcPr>
            <w:tcW w:w="649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1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1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28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30"/>
              <w:spacing w:before="72" w:line="236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&lt;</w:t>
            </w:r>
            <w:r>
              <w:rPr>
                <w:spacing w:val="16"/>
              </w:rPr>
              <w:t>0.05</w:t>
            </w:r>
          </w:p>
        </w:tc>
      </w:tr>
    </w:tbl>
    <w:p>
      <w:pPr>
        <w:pStyle w:val="BodyText"/>
        <w:ind w:left="449" w:right="208" w:hanging="3"/>
        <w:spacing w:before="72" w:line="287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2.2    </w:t>
      </w:r>
      <w:r>
        <w:rPr>
          <w:rFonts w:ascii="SimHei" w:hAnsi="SimHei" w:eastAsia="SimHei" w:cs="SimHei"/>
          <w:spacing w:val="-3"/>
        </w:rPr>
        <w:t>临床症状消失时间</w:t>
      </w:r>
      <w:r>
        <w:rPr>
          <w:rFonts w:ascii="SimHei" w:hAnsi="SimHei" w:eastAsia="SimHei" w:cs="SimHei"/>
          <w:spacing w:val="-3"/>
        </w:rPr>
        <w:t xml:space="preserve">  </w:t>
      </w:r>
      <w:r>
        <w:rPr>
          <w:spacing w:val="-3"/>
        </w:rPr>
        <w:t>试验组患者的</w:t>
      </w:r>
      <w:r>
        <w:rPr>
          <w:spacing w:val="-4"/>
        </w:rPr>
        <w:t>恶心呕吐、腹痛及</w:t>
      </w:r>
      <w:r>
        <w:rPr/>
        <w:t xml:space="preserve"> </w:t>
      </w:r>
      <w:r>
        <w:rPr>
          <w:spacing w:val="5"/>
        </w:rPr>
        <w:t>腹泻消失时间与对照组相比均缩短，差异均有统计学意</w:t>
      </w:r>
      <w:r>
        <w:rPr>
          <w:spacing w:val="11"/>
        </w:rPr>
        <w:t xml:space="preserve"> </w:t>
      </w:r>
      <w:r>
        <w:rPr/>
        <w:t>义（</w:t>
      </w:r>
      <w:r>
        <w:rPr>
          <w:rFonts w:ascii="Times New Roman" w:hAnsi="Times New Roman" w:eastAsia="Times New Roman" w:cs="Times New Roman"/>
          <w:i/>
          <w:iCs/>
        </w:rPr>
        <w:t>P</w:t>
      </w:r>
      <w:r>
        <w:rPr/>
        <w:t>＜</w:t>
      </w:r>
      <w:r>
        <w:rPr>
          <w:rFonts w:ascii="Times New Roman" w:hAnsi="Times New Roman" w:eastAsia="Times New Roman" w:cs="Times New Roman"/>
        </w:rPr>
        <w:t>0.05</w:t>
      </w:r>
      <w:r>
        <w:rPr>
          <w:spacing w:val="-53"/>
          <w:w w:val="99"/>
        </w:rPr>
        <w:t>），</w:t>
      </w:r>
      <w:r>
        <w:rPr/>
        <w:t>见表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</w:rPr>
        <w:t>2</w:t>
      </w:r>
      <w:r>
        <w:rPr/>
        <w:t>。</w:t>
      </w:r>
    </w:p>
    <w:p>
      <w:pPr>
        <w:pStyle w:val="BodyText"/>
        <w:ind w:left="1089"/>
        <w:spacing w:before="1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</w:rPr>
        <w:t>表</w:t>
      </w:r>
      <w:r>
        <w:rPr>
          <w:rFonts w:ascii="SimHei" w:hAnsi="SimHei" w:eastAsia="SimHei" w:cs="SimHei"/>
          <w:sz w:val="18"/>
          <w:szCs w:val="18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2    </w:t>
      </w:r>
      <w:r>
        <w:rPr>
          <w:rFonts w:ascii="SimHei" w:hAnsi="SimHei" w:eastAsia="SimHei" w:cs="SimHei"/>
          <w:sz w:val="18"/>
          <w:szCs w:val="18"/>
        </w:rPr>
        <w:t>两组患者临床症状消失时间比较</w:t>
      </w:r>
      <w:r>
        <w:rPr>
          <w:rFonts w:ascii="Times New Roman" w:hAnsi="Times New Roman" w:eastAsia="Times New Roman" w:cs="Times New Roman"/>
          <w:sz w:val="18"/>
          <w:szCs w:val="18"/>
        </w:rPr>
        <w:t>(</w:t>
      </w:r>
      <w:r>
        <w:rPr>
          <w:sz w:val="18"/>
          <w:szCs w:val="18"/>
        </w:rPr>
        <w:drawing>
          <wp:inline distT="0" distB="0" distL="0" distR="0">
            <wp:extent cx="66713" cy="698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13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>±</w:t>
      </w:r>
      <w:r>
        <w:rPr>
          <w:rFonts w:ascii="Times New Roman" w:hAnsi="Times New Roman" w:eastAsia="Times New Roman" w:cs="Times New Roman"/>
          <w:sz w:val="18"/>
          <w:szCs w:val="18"/>
          <w:i/>
          <w:iCs/>
        </w:rPr>
        <w:t>s</w:t>
      </w:r>
      <w:r>
        <w:rPr>
          <w:rFonts w:ascii="Times New Roman" w:hAnsi="Times New Roman" w:eastAsia="Times New Roman" w:cs="Times New Roman"/>
          <w:sz w:val="18"/>
          <w:szCs w:val="18"/>
        </w:rPr>
        <w:t>, d)</w:t>
      </w:r>
    </w:p>
    <w:p>
      <w:pPr>
        <w:spacing w:line="9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950" w:type="dxa"/>
        <w:tblInd w:w="4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07"/>
        <w:gridCol w:w="550"/>
        <w:gridCol w:w="1479"/>
        <w:gridCol w:w="1121"/>
        <w:gridCol w:w="1093"/>
      </w:tblGrid>
      <w:tr>
        <w:trPr>
          <w:trHeight w:val="303" w:hRule="atLeast"/>
        </w:trPr>
        <w:tc>
          <w:tcPr>
            <w:tcW w:w="70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00"/>
              <w:spacing w:before="102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组别</w:t>
            </w:r>
          </w:p>
        </w:tc>
        <w:tc>
          <w:tcPr>
            <w:tcW w:w="55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4"/>
              <w:spacing w:before="103" w:line="23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例数</w:t>
            </w:r>
          </w:p>
        </w:tc>
        <w:tc>
          <w:tcPr>
            <w:tcW w:w="147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3"/>
              <w:spacing w:before="103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恶心呕吐消失时间</w:t>
            </w:r>
          </w:p>
        </w:tc>
        <w:tc>
          <w:tcPr>
            <w:tcW w:w="11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03"/>
              <w:spacing w:before="103" w:line="23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腹痛消失时间</w:t>
            </w:r>
          </w:p>
        </w:tc>
        <w:tc>
          <w:tcPr>
            <w:tcW w:w="10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86"/>
              <w:spacing w:before="103" w:line="23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腹泻消失时间</w:t>
            </w:r>
          </w:p>
        </w:tc>
      </w:tr>
      <w:tr>
        <w:trPr>
          <w:trHeight w:val="323" w:hRule="atLeast"/>
        </w:trPr>
        <w:tc>
          <w:tcPr>
            <w:tcW w:w="707" w:type="dxa"/>
            <w:vAlign w:val="top"/>
            <w:tcBorders>
              <w:top w:val="single" w:color="000000" w:sz="2" w:space="0"/>
            </w:tcBorders>
          </w:tcPr>
          <w:p>
            <w:pPr>
              <w:ind w:left="120"/>
              <w:spacing w:before="102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对照组</w:t>
            </w:r>
          </w:p>
        </w:tc>
        <w:tc>
          <w:tcPr>
            <w:tcW w:w="5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2"/>
              <w:spacing w:before="128" w:line="175" w:lineRule="exact"/>
              <w:rPr/>
            </w:pPr>
            <w:r>
              <w:rPr>
                <w:spacing w:val="4"/>
              </w:rPr>
              <w:t>40</w:t>
            </w:r>
          </w:p>
        </w:tc>
        <w:tc>
          <w:tcPr>
            <w:tcW w:w="147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7"/>
              <w:spacing w:before="102" w:line="210" w:lineRule="exact"/>
              <w:rPr/>
            </w:pPr>
            <w:r>
              <w:rPr>
                <w:spacing w:val="4"/>
                <w:position w:val="1"/>
              </w:rPr>
              <w:t>4.32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1.13</w:t>
            </w:r>
          </w:p>
        </w:tc>
        <w:tc>
          <w:tcPr>
            <w:tcW w:w="11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4"/>
              <w:spacing w:before="102" w:line="210" w:lineRule="exact"/>
              <w:rPr/>
            </w:pPr>
            <w:r>
              <w:rPr>
                <w:spacing w:val="4"/>
                <w:position w:val="1"/>
              </w:rPr>
              <w:t>5.48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1.27</w:t>
            </w:r>
          </w:p>
        </w:tc>
        <w:tc>
          <w:tcPr>
            <w:tcW w:w="109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8"/>
              <w:spacing w:before="102" w:line="210" w:lineRule="exact"/>
              <w:rPr/>
            </w:pPr>
            <w:r>
              <w:rPr>
                <w:spacing w:val="4"/>
                <w:position w:val="1"/>
              </w:rPr>
              <w:t>5.24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1.24</w:t>
            </w:r>
          </w:p>
        </w:tc>
      </w:tr>
      <w:tr>
        <w:trPr>
          <w:trHeight w:val="292" w:hRule="atLeast"/>
        </w:trPr>
        <w:tc>
          <w:tcPr>
            <w:tcW w:w="707" w:type="dxa"/>
            <w:vAlign w:val="top"/>
          </w:tcPr>
          <w:p>
            <w:pPr>
              <w:ind w:left="119"/>
              <w:spacing w:before="77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试验组</w:t>
            </w:r>
          </w:p>
        </w:tc>
        <w:tc>
          <w:tcPr>
            <w:tcW w:w="550" w:type="dxa"/>
            <w:vAlign w:val="top"/>
          </w:tcPr>
          <w:p>
            <w:pPr>
              <w:pStyle w:val="TableText"/>
              <w:ind w:left="202"/>
              <w:spacing w:before="103" w:line="175" w:lineRule="exact"/>
              <w:rPr/>
            </w:pPr>
            <w:r>
              <w:rPr>
                <w:spacing w:val="4"/>
              </w:rPr>
              <w:t>40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398"/>
              <w:spacing w:before="77" w:line="205" w:lineRule="exact"/>
              <w:rPr/>
            </w:pPr>
            <w:r>
              <w:rPr>
                <w:spacing w:val="4"/>
                <w:position w:val="1"/>
              </w:rPr>
              <w:t>2.41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1.01</w:t>
            </w:r>
          </w:p>
        </w:tc>
        <w:tc>
          <w:tcPr>
            <w:tcW w:w="1121" w:type="dxa"/>
            <w:vAlign w:val="top"/>
          </w:tcPr>
          <w:p>
            <w:pPr>
              <w:pStyle w:val="TableText"/>
              <w:ind w:left="228"/>
              <w:spacing w:before="77" w:line="205" w:lineRule="exact"/>
              <w:rPr/>
            </w:pPr>
            <w:r>
              <w:rPr>
                <w:spacing w:val="4"/>
                <w:position w:val="1"/>
              </w:rPr>
              <w:t>3.24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1.11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207"/>
              <w:spacing w:before="77" w:line="205" w:lineRule="exact"/>
              <w:rPr/>
            </w:pPr>
            <w:r>
              <w:rPr>
                <w:spacing w:val="4"/>
                <w:position w:val="1"/>
              </w:rPr>
              <w:t>3.12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0.19</w:t>
            </w:r>
          </w:p>
        </w:tc>
      </w:tr>
      <w:tr>
        <w:trPr>
          <w:trHeight w:val="293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236"/>
              <w:spacing w:before="77" w:line="199" w:lineRule="exact"/>
              <w:rPr>
                <w:rFonts w:ascii="SimSun" w:hAnsi="SimSun" w:eastAsia="SimSun" w:cs="SimSun"/>
              </w:rPr>
            </w:pPr>
            <w:r>
              <w:rPr>
                <w:i/>
                <w:iCs/>
                <w:position w:val="1"/>
              </w:rPr>
              <w:t>t</w:t>
            </w:r>
            <w:r>
              <w:rPr>
                <w:i/>
                <w:iCs/>
                <w:spacing w:val="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position w:val="1"/>
              </w:rPr>
              <w:t>值</w:t>
            </w:r>
          </w:p>
        </w:tc>
        <w:tc>
          <w:tcPr>
            <w:tcW w:w="5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9" w:type="dxa"/>
            <w:vAlign w:val="top"/>
          </w:tcPr>
          <w:p>
            <w:pPr>
              <w:pStyle w:val="TableText"/>
              <w:ind w:left="582"/>
              <w:spacing w:before="104" w:line="174" w:lineRule="exact"/>
              <w:rPr/>
            </w:pPr>
            <w:r>
              <w:rPr>
                <w:spacing w:val="3"/>
              </w:rPr>
              <w:t>7.975</w:t>
            </w:r>
          </w:p>
        </w:tc>
        <w:tc>
          <w:tcPr>
            <w:tcW w:w="1121" w:type="dxa"/>
            <w:vAlign w:val="top"/>
          </w:tcPr>
          <w:p>
            <w:pPr>
              <w:pStyle w:val="TableText"/>
              <w:ind w:left="408"/>
              <w:spacing w:before="104" w:line="174" w:lineRule="exact"/>
              <w:rPr/>
            </w:pPr>
            <w:r>
              <w:rPr>
                <w:spacing w:val="3"/>
              </w:rPr>
              <w:t>8.400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358"/>
              <w:spacing w:before="104" w:line="174" w:lineRule="exact"/>
              <w:rPr/>
            </w:pPr>
            <w:r>
              <w:rPr>
                <w:spacing w:val="2"/>
              </w:rPr>
              <w:t>10.689</w:t>
            </w:r>
          </w:p>
        </w:tc>
      </w:tr>
      <w:tr>
        <w:trPr>
          <w:trHeight w:val="285" w:hRule="atLeast"/>
        </w:trPr>
        <w:tc>
          <w:tcPr>
            <w:tcW w:w="7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02"/>
              <w:spacing w:before="82" w:line="230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5"/>
              </w:rPr>
              <w:t>P </w:t>
            </w:r>
            <w:r>
              <w:rPr>
                <w:rFonts w:ascii="SimSun" w:hAnsi="SimSun" w:eastAsia="SimSun" w:cs="SimSun"/>
                <w:spacing w:val="5"/>
              </w:rPr>
              <w:t>值</w:t>
            </w:r>
          </w:p>
        </w:tc>
        <w:tc>
          <w:tcPr>
            <w:tcW w:w="550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51"/>
              <w:spacing w:before="82" w:line="237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&lt;</w:t>
            </w:r>
            <w:r>
              <w:rPr>
                <w:spacing w:val="16"/>
              </w:rPr>
              <w:t>0.05</w:t>
            </w:r>
          </w:p>
        </w:tc>
        <w:tc>
          <w:tcPr>
            <w:tcW w:w="11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4"/>
              <w:spacing w:before="82" w:line="237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&lt;</w:t>
            </w:r>
            <w:r>
              <w:rPr>
                <w:spacing w:val="16"/>
              </w:rPr>
              <w:t>0.05</w:t>
            </w:r>
          </w:p>
        </w:tc>
        <w:tc>
          <w:tcPr>
            <w:tcW w:w="109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7"/>
              <w:spacing w:before="82" w:line="237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&lt;</w:t>
            </w:r>
            <w:r>
              <w:rPr>
                <w:spacing w:val="16"/>
              </w:rPr>
              <w:t>0.05</w:t>
            </w:r>
          </w:p>
        </w:tc>
      </w:tr>
    </w:tbl>
    <w:p>
      <w:pPr>
        <w:pStyle w:val="BodyText"/>
        <w:ind w:left="448" w:right="208" w:hanging="2"/>
        <w:spacing w:before="73" w:line="282" w:lineRule="auto"/>
        <w:jc w:val="both"/>
        <w:rPr/>
      </w:pPr>
      <w:r>
        <w:rPr>
          <w:rFonts w:ascii="Times New Roman" w:hAnsi="Times New Roman" w:eastAsia="Times New Roman" w:cs="Times New Roman"/>
          <w:spacing w:val="-1"/>
        </w:rPr>
        <w:t>2.3    </w:t>
      </w:r>
      <w:r>
        <w:rPr>
          <w:rFonts w:ascii="SimHei" w:hAnsi="SimHei" w:eastAsia="SimHei" w:cs="SimHei"/>
          <w:spacing w:val="-1"/>
        </w:rPr>
        <w:t>血清</w:t>
      </w:r>
      <w:r>
        <w:rPr>
          <w:rFonts w:ascii="SimHei" w:hAnsi="SimHei" w:eastAsia="SimHei" w:cs="SimHei"/>
          <w:spacing w:val="-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PCT</w:t>
      </w:r>
      <w:r>
        <w:rPr>
          <w:rFonts w:ascii="Times New Roman" w:hAnsi="Times New Roman" w:eastAsia="Times New Roman" w:cs="Times New Roman"/>
          <w:b/>
          <w:bCs/>
          <w:spacing w:val="-27"/>
        </w:rPr>
        <w:t xml:space="preserve"> </w:t>
      </w:r>
      <w:r>
        <w:rPr>
          <w:rFonts w:ascii="SimHei" w:hAnsi="SimHei" w:eastAsia="SimHei" w:cs="SimHei"/>
          <w:spacing w:val="-1"/>
        </w:rPr>
        <w:t>、</w:t>
      </w:r>
      <w:r>
        <w:rPr>
          <w:rFonts w:ascii="Times New Roman" w:hAnsi="Times New Roman" w:eastAsia="Times New Roman" w:cs="Times New Roman"/>
          <w:b/>
          <w:bCs/>
          <w:spacing w:val="-1"/>
        </w:rPr>
        <w:t>IL-6</w:t>
      </w:r>
      <w:r>
        <w:rPr>
          <w:rFonts w:ascii="SimHei" w:hAnsi="SimHei" w:eastAsia="SimHei" w:cs="SimHei"/>
          <w:spacing w:val="-1"/>
        </w:rPr>
        <w:t>、</w:t>
      </w:r>
      <w:r>
        <w:rPr>
          <w:rFonts w:ascii="Times New Roman" w:hAnsi="Times New Roman" w:eastAsia="Times New Roman" w:cs="Times New Roman"/>
          <w:b/>
          <w:bCs/>
          <w:spacing w:val="-1"/>
        </w:rPr>
        <w:t>CRP </w:t>
      </w:r>
      <w:r>
        <w:rPr>
          <w:rFonts w:ascii="SimHei" w:hAnsi="SimHei" w:eastAsia="SimHei" w:cs="SimHei"/>
          <w:spacing w:val="-1"/>
        </w:rPr>
        <w:t>水平</w:t>
      </w:r>
      <w:r>
        <w:rPr>
          <w:rFonts w:ascii="SimHei" w:hAnsi="SimHei" w:eastAsia="SimHei" w:cs="SimHei"/>
          <w:spacing w:val="-1"/>
        </w:rPr>
        <w:t xml:space="preserve">  </w:t>
      </w:r>
      <w:r>
        <w:rPr>
          <w:spacing w:val="-1"/>
        </w:rPr>
        <w:t>治疗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-1"/>
        </w:rPr>
        <w:t>周后，两组患</w:t>
      </w:r>
      <w:r>
        <w:rPr/>
        <w:t xml:space="preserve"> </w:t>
      </w:r>
      <w:r>
        <w:rPr>
          <w:spacing w:val="-3"/>
        </w:rPr>
        <w:t>者的血清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PCT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IL-6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CRP </w:t>
      </w:r>
      <w:r>
        <w:rPr>
          <w:spacing w:val="-3"/>
        </w:rPr>
        <w:t>水平与治疗前比均下降，且试</w:t>
      </w:r>
      <w:r>
        <w:rPr/>
        <w:t xml:space="preserve"> </w:t>
      </w:r>
      <w:r>
        <w:rPr>
          <w:spacing w:val="-2"/>
        </w:rPr>
        <w:t>验组下降幅度与对照组相比更明显，差异均有</w:t>
      </w:r>
      <w:r>
        <w:rPr>
          <w:spacing w:val="-3"/>
        </w:rPr>
        <w:t>统计学意义</w:t>
      </w:r>
      <w:r>
        <w:rPr/>
        <w:t xml:space="preserve"> </w:t>
      </w:r>
      <w:r>
        <w:rPr>
          <w:spacing w:val="-2"/>
        </w:rPr>
        <w:t>（均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</w:rPr>
        <w:t>P</w:t>
      </w:r>
      <w:r>
        <w:rPr>
          <w:spacing w:val="-2"/>
        </w:rPr>
        <w:t>＜</w:t>
      </w:r>
      <w:r>
        <w:rPr>
          <w:rFonts w:ascii="Times New Roman" w:hAnsi="Times New Roman" w:eastAsia="Times New Roman" w:cs="Times New Roman"/>
          <w:spacing w:val="-2"/>
        </w:rPr>
        <w:t>0.05</w:t>
      </w:r>
      <w:r>
        <w:rPr>
          <w:spacing w:val="-50"/>
        </w:rPr>
        <w:t>），</w:t>
      </w:r>
      <w:r>
        <w:rPr>
          <w:spacing w:val="-2"/>
        </w:rPr>
        <w:t>见表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。</w:t>
      </w:r>
    </w:p>
    <w:p>
      <w:pPr>
        <w:ind w:left="450"/>
        <w:spacing w:before="1" w:line="236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5"/>
        </w:rPr>
        <w:t>讨论</w:t>
      </w:r>
    </w:p>
    <w:p>
      <w:pPr>
        <w:pStyle w:val="BodyText"/>
        <w:ind w:left="449" w:right="209" w:firstLine="405"/>
        <w:spacing w:before="47" w:line="283" w:lineRule="auto"/>
        <w:jc w:val="both"/>
        <w:rPr/>
      </w:pPr>
      <w:r>
        <w:rPr>
          <w:spacing w:val="-3"/>
        </w:rPr>
        <w:t>急性肠胃炎是由胃黏膜急性炎症反应引起的疾病，该</w:t>
      </w:r>
      <w:r>
        <w:rPr>
          <w:spacing w:val="8"/>
        </w:rPr>
        <w:t xml:space="preserve"> </w:t>
      </w:r>
      <w:r>
        <w:rPr/>
        <w:t>病与人们生活方式和饮食习惯具有密切相关性</w:t>
      </w:r>
      <w:r>
        <w:rPr>
          <w:rFonts w:ascii="Times New Roman" w:hAnsi="Times New Roman" w:eastAsia="Times New Roman" w:cs="Times New Roman"/>
          <w:sz w:val="12"/>
          <w:szCs w:val="12"/>
          <w:position w:val="8"/>
        </w:rPr>
        <w:t>[5]</w:t>
      </w:r>
      <w:r>
        <w:rPr/>
        <w:t>。目前常</w:t>
      </w:r>
      <w:r>
        <w:rPr>
          <w:spacing w:val="5"/>
        </w:rPr>
        <w:t xml:space="preserve"> </w:t>
      </w:r>
      <w:r>
        <w:rPr>
          <w:spacing w:val="-2"/>
        </w:rPr>
        <w:t>见的治疗药物有复方嗜酸乳杆菌片，其主要成</w:t>
      </w:r>
      <w:r>
        <w:rPr>
          <w:spacing w:val="-3"/>
        </w:rPr>
        <w:t>分为枯草杆</w:t>
      </w:r>
      <w:r>
        <w:rPr/>
        <w:t xml:space="preserve"> </w:t>
      </w:r>
      <w:r>
        <w:rPr>
          <w:spacing w:val="-2"/>
        </w:rPr>
        <w:t>菌、粪链球菌及嗜酸乳杆菌等，该药物对病原</w:t>
      </w:r>
      <w:r>
        <w:rPr>
          <w:spacing w:val="-3"/>
        </w:rPr>
        <w:t>菌具有极强</w:t>
      </w:r>
      <w:r>
        <w:rPr/>
        <w:t xml:space="preserve"> </w:t>
      </w:r>
      <w:r>
        <w:rPr>
          <w:spacing w:val="-2"/>
        </w:rPr>
        <w:t>的抑制作用，能够有效刺激患者机体肠黏膜分</w:t>
      </w:r>
      <w:r>
        <w:rPr>
          <w:spacing w:val="-3"/>
        </w:rPr>
        <w:t>泌免疫相关</w:t>
      </w:r>
      <w:r>
        <w:rPr/>
        <w:t xml:space="preserve"> </w:t>
      </w:r>
      <w:r>
        <w:rPr>
          <w:spacing w:val="-2"/>
        </w:rPr>
        <w:t>因子，使免疫球蛋白持续升高，在一定程度上</w:t>
      </w:r>
      <w:r>
        <w:rPr>
          <w:spacing w:val="-3"/>
        </w:rPr>
        <w:t>改善患者胃</w:t>
      </w:r>
      <w:r>
        <w:rPr/>
        <w:t xml:space="preserve"> </w:t>
      </w:r>
      <w:r>
        <w:rPr>
          <w:spacing w:val="-2"/>
        </w:rPr>
        <w:t>肠道症状，从而促进其胃肠道功能恢复，但单</w:t>
      </w:r>
      <w:r>
        <w:rPr>
          <w:spacing w:val="-3"/>
        </w:rPr>
        <w:t>纯使用复方</w:t>
      </w:r>
      <w:r>
        <w:rPr/>
        <w:t xml:space="preserve"> </w:t>
      </w:r>
      <w:r>
        <w:rPr/>
        <w:t>嗜酸乳杆菌片效果可能有限，患者病程延长</w:t>
      </w:r>
      <w:r>
        <w:rPr>
          <w:rFonts w:ascii="Times New Roman" w:hAnsi="Times New Roman" w:eastAsia="Times New Roman" w:cs="Times New Roman"/>
          <w:sz w:val="12"/>
          <w:szCs w:val="12"/>
          <w:position w:val="8"/>
        </w:rPr>
        <w:t>[6]</w:t>
      </w:r>
      <w:r>
        <w:rPr/>
        <w:t>。</w:t>
      </w:r>
    </w:p>
    <w:p>
      <w:pPr>
        <w:pStyle w:val="BodyText"/>
        <w:ind w:left="449" w:right="209" w:firstLine="400"/>
        <w:spacing w:before="1" w:line="283" w:lineRule="auto"/>
        <w:jc w:val="both"/>
        <w:rPr/>
      </w:pPr>
      <w:r>
        <w:rPr>
          <w:spacing w:val="-3"/>
        </w:rPr>
        <w:t>奥美拉唑肠溶片是一种质子泵抑制剂，口服后，药物</w:t>
      </w:r>
      <w:r>
        <w:rPr>
          <w:spacing w:val="12"/>
        </w:rPr>
        <w:t xml:space="preserve"> </w:t>
      </w:r>
      <w:r>
        <w:rPr>
          <w:spacing w:val="-2"/>
        </w:rPr>
        <w:t>分布在胃黏膜细胞分泌小管位置，并在高酸</w:t>
      </w:r>
      <w:r>
        <w:rPr>
          <w:spacing w:val="-3"/>
        </w:rPr>
        <w:t>环境作用下形</w:t>
      </w:r>
      <w:r>
        <w:rPr/>
        <w:t xml:space="preserve"> </w:t>
      </w:r>
      <w:r>
        <w:rPr>
          <w:spacing w:val="-2"/>
        </w:rPr>
        <w:t>成亚磺酰胺活性，有效抑制胃酸分泌，进一</w:t>
      </w:r>
      <w:r>
        <w:rPr>
          <w:spacing w:val="-3"/>
        </w:rPr>
        <w:t>步提升酶活性</w:t>
      </w:r>
      <w:r>
        <w:rPr/>
        <w:t xml:space="preserve"> </w:t>
      </w:r>
      <w:r>
        <w:rPr>
          <w:spacing w:val="-2"/>
        </w:rPr>
        <w:t>抑制效果。将奥美拉唑与复方嗜酸乳杆菌片</w:t>
      </w:r>
      <w:r>
        <w:rPr>
          <w:spacing w:val="-3"/>
        </w:rPr>
        <w:t>两种药物联合</w:t>
      </w:r>
      <w:r>
        <w:rPr/>
        <w:t xml:space="preserve"> </w:t>
      </w:r>
      <w:r>
        <w:rPr>
          <w:spacing w:val="6"/>
        </w:rPr>
        <w:t>应用到急性肠胃炎患者治疗过程中能够使临床效果最大</w:t>
      </w:r>
    </w:p>
    <w:p>
      <w:pPr>
        <w:spacing w:line="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6"/>
        <w:spacing w:before="40" w:line="283" w:lineRule="auto"/>
        <w:jc w:val="both"/>
        <w:rPr/>
      </w:pPr>
      <w:r>
        <w:rPr>
          <w:spacing w:val="-3"/>
        </w:rPr>
        <w:t>化，能够有效改善患者临床症状，对促进患者早日康复具</w:t>
      </w:r>
      <w:r>
        <w:rPr>
          <w:spacing w:val="18"/>
        </w:rPr>
        <w:t xml:space="preserve"> </w:t>
      </w:r>
      <w:r>
        <w:rPr/>
        <w:t>有重要价值</w:t>
      </w:r>
      <w:r>
        <w:rPr>
          <w:rFonts w:ascii="Times New Roman" w:hAnsi="Times New Roman" w:eastAsia="Times New Roman" w:cs="Times New Roman"/>
          <w:sz w:val="12"/>
          <w:szCs w:val="12"/>
          <w:position w:val="8"/>
        </w:rPr>
        <w:t>[7]</w:t>
      </w:r>
      <w:r>
        <w:rPr/>
        <w:t>。在本研究中，经过治疗，试验组患者临床</w:t>
      </w:r>
      <w:r>
        <w:rPr>
          <w:spacing w:val="4"/>
        </w:rPr>
        <w:t xml:space="preserve"> </w:t>
      </w:r>
      <w:r>
        <w:rPr>
          <w:spacing w:val="-2"/>
        </w:rPr>
        <w:t>总有效率高于对照组，恶心呕吐、腹痛及腹泻</w:t>
      </w:r>
      <w:r>
        <w:rPr>
          <w:spacing w:val="-3"/>
        </w:rPr>
        <w:t>消失时间均</w:t>
      </w:r>
      <w:r>
        <w:rPr/>
        <w:t xml:space="preserve"> </w:t>
      </w:r>
      <w:r>
        <w:rPr>
          <w:spacing w:val="-3"/>
        </w:rPr>
        <w:t>短于对照组，表明奥美拉唑肠溶片联合复方嗜酸乳杆菌片</w:t>
      </w:r>
      <w:r>
        <w:rPr>
          <w:spacing w:val="18"/>
        </w:rPr>
        <w:t xml:space="preserve"> </w:t>
      </w:r>
      <w:r>
        <w:rPr>
          <w:spacing w:val="-1"/>
        </w:rPr>
        <w:t>可改善患者临床症状，缩短病程，疗效显著。</w:t>
      </w:r>
    </w:p>
    <w:p>
      <w:pPr>
        <w:pStyle w:val="BodyText"/>
        <w:ind w:firstLine="391"/>
        <w:spacing w:before="2" w:line="282" w:lineRule="auto"/>
        <w:jc w:val="both"/>
        <w:rPr/>
      </w:pPr>
      <w:r>
        <w:rPr>
          <w:rFonts w:ascii="Times New Roman" w:hAnsi="Times New Roman" w:eastAsia="Times New Roman" w:cs="Times New Roman"/>
          <w:spacing w:val="-4"/>
        </w:rPr>
        <w:t>PCT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4"/>
        </w:rPr>
        <w:t>是人体细菌感染的特异性诊断指标，其水平升高</w:t>
      </w:r>
      <w:r>
        <w:rPr/>
        <w:t xml:space="preserve"> </w:t>
      </w:r>
      <w:r>
        <w:rPr>
          <w:spacing w:val="-3"/>
        </w:rPr>
        <w:t>表明患者机体感染程度增加；</w:t>
      </w:r>
      <w:r>
        <w:rPr>
          <w:rFonts w:ascii="Times New Roman" w:hAnsi="Times New Roman" w:eastAsia="Times New Roman" w:cs="Times New Roman"/>
          <w:spacing w:val="-3"/>
        </w:rPr>
        <w:t>IL-6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CRP  </w:t>
      </w:r>
      <w:r>
        <w:rPr>
          <w:spacing w:val="-3"/>
        </w:rPr>
        <w:t>是机体的免疫因</w:t>
      </w:r>
      <w:r>
        <w:rPr>
          <w:spacing w:val="9"/>
        </w:rPr>
        <w:t xml:space="preserve"> </w:t>
      </w:r>
      <w:r>
        <w:rPr>
          <w:spacing w:val="-2"/>
        </w:rPr>
        <w:t>子、炎性因子，其水平升高可加重机体炎症反应，影响患</w:t>
      </w:r>
      <w:r>
        <w:rPr>
          <w:spacing w:val="1"/>
        </w:rPr>
        <w:t xml:space="preserve"> </w:t>
      </w:r>
      <w:r>
        <w:rPr>
          <w:spacing w:val="-8"/>
        </w:rPr>
        <w:t>者病情恢复。奥美拉唑作为质子泵抑制剂，经患者口服后，</w:t>
      </w:r>
      <w:r>
        <w:rPr>
          <w:spacing w:val="13"/>
        </w:rPr>
        <w:t xml:space="preserve"> </w:t>
      </w:r>
      <w:r>
        <w:rPr>
          <w:spacing w:val="-2"/>
        </w:rPr>
        <w:t>其可阻断胃酸的分泌，达到抑酸效果，减少炎性介质的分</w:t>
      </w:r>
      <w:r>
        <w:rPr>
          <w:spacing w:val="1"/>
        </w:rPr>
        <w:t xml:space="preserve"> </w:t>
      </w:r>
      <w:r>
        <w:rPr>
          <w:spacing w:val="-7"/>
        </w:rPr>
        <w:t>泌，因而能够快速消退胃黏膜的炎症</w:t>
      </w:r>
      <w:r>
        <w:rPr>
          <w:rFonts w:ascii="Times New Roman" w:hAnsi="Times New Roman" w:eastAsia="Times New Roman" w:cs="Times New Roman"/>
          <w:sz w:val="12"/>
          <w:szCs w:val="12"/>
          <w:spacing w:val="-7"/>
          <w:position w:val="8"/>
        </w:rPr>
        <w:t>[8]</w:t>
      </w:r>
      <w:r>
        <w:rPr>
          <w:spacing w:val="-21"/>
        </w:rPr>
        <w:t>。本研究中，经治疗，</w:t>
      </w:r>
      <w:r>
        <w:rPr>
          <w:spacing w:val="8"/>
        </w:rPr>
        <w:t xml:space="preserve"> </w:t>
      </w:r>
      <w:r>
        <w:rPr>
          <w:spacing w:val="-3"/>
        </w:rPr>
        <w:t>试验组患者血清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PCT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IL-6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CRP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3"/>
        </w:rPr>
        <w:t>水平相</w:t>
      </w:r>
      <w:r>
        <w:rPr>
          <w:spacing w:val="-4"/>
        </w:rPr>
        <w:t>较于对照组均降</w:t>
      </w:r>
      <w:r>
        <w:rPr/>
        <w:t xml:space="preserve"> </w:t>
      </w:r>
      <w:r>
        <w:rPr>
          <w:spacing w:val="-2"/>
        </w:rPr>
        <w:t>低，提示奥美拉唑肠溶片联合复方嗜酸乳杆菌片能够有效</w:t>
      </w:r>
      <w:r>
        <w:rPr>
          <w:spacing w:val="3"/>
        </w:rPr>
        <w:t xml:space="preserve"> </w:t>
      </w:r>
      <w:r>
        <w:rPr>
          <w:spacing w:val="-5"/>
        </w:rPr>
        <w:t>抑制急性肠胃炎患者机体炎症反应，促进疾病恢复。</w:t>
      </w:r>
    </w:p>
    <w:p>
      <w:pPr>
        <w:pStyle w:val="BodyText"/>
        <w:ind w:left="3" w:right="58" w:firstLine="400"/>
        <w:spacing w:before="1" w:line="284" w:lineRule="auto"/>
        <w:jc w:val="both"/>
        <w:rPr/>
      </w:pPr>
      <w:r>
        <w:rPr>
          <w:spacing w:val="-3"/>
        </w:rPr>
        <w:t>综上，在急性肠胃炎治疗过程中应用奥美拉唑肠溶片</w:t>
      </w:r>
      <w:r>
        <w:rPr>
          <w:spacing w:val="12"/>
        </w:rPr>
        <w:t xml:space="preserve"> </w:t>
      </w:r>
      <w:r>
        <w:rPr>
          <w:spacing w:val="-3"/>
        </w:rPr>
        <w:t>联合复方嗜酸乳杆菌片具有显著的临床效果，能够降低患</w:t>
      </w:r>
      <w:r>
        <w:rPr>
          <w:spacing w:val="18"/>
        </w:rPr>
        <w:t xml:space="preserve"> </w:t>
      </w:r>
      <w:r>
        <w:rPr>
          <w:spacing w:val="-3"/>
        </w:rPr>
        <w:t>者血清炎性因子水平，并且可以缩短患者临床症状消失时</w:t>
      </w:r>
      <w:r>
        <w:rPr>
          <w:spacing w:val="18"/>
        </w:rPr>
        <w:t xml:space="preserve"> </w:t>
      </w:r>
      <w:r>
        <w:rPr/>
        <w:t>间，促进病情缓解，在临床实践中具有较高</w:t>
      </w:r>
      <w:r>
        <w:rPr>
          <w:spacing w:val="-1"/>
        </w:rPr>
        <w:t>可行性。</w:t>
      </w:r>
    </w:p>
    <w:p>
      <w:pPr>
        <w:ind w:left="4"/>
        <w:spacing w:before="299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"/>
        </w:rPr>
        <w:t>参考文献</w:t>
      </w:r>
    </w:p>
    <w:p>
      <w:pPr>
        <w:pStyle w:val="BodyText"/>
        <w:ind w:left="401" w:right="71" w:hanging="394"/>
        <w:spacing w:before="106" w:line="30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[1]     </w:t>
      </w:r>
      <w:r>
        <w:rPr>
          <w:sz w:val="15"/>
          <w:szCs w:val="15"/>
          <w:spacing w:val="11"/>
        </w:rPr>
        <w:t>袁伟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.  </w:t>
      </w:r>
      <w:r>
        <w:rPr>
          <w:sz w:val="15"/>
          <w:szCs w:val="15"/>
          <w:spacing w:val="11"/>
        </w:rPr>
        <w:t>复方嗜酸乳杆菌片</w:t>
      </w:r>
      <w:r>
        <w:rPr>
          <w:sz w:val="15"/>
          <w:szCs w:val="15"/>
          <w:spacing w:val="10"/>
        </w:rPr>
        <w:t>联合奥美拉唑肠溶片治疗急性胃肠炎的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效果探讨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[J]</w:t>
      </w:r>
      <w:r>
        <w:rPr>
          <w:rFonts w:ascii="Times New Roman" w:hAnsi="Times New Roman" w:eastAsia="Times New Roman" w:cs="Times New Roman"/>
          <w:sz w:val="15"/>
          <w:szCs w:val="15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 </w:t>
      </w:r>
      <w:r>
        <w:rPr>
          <w:sz w:val="15"/>
          <w:szCs w:val="15"/>
          <w:spacing w:val="4"/>
        </w:rPr>
        <w:t>当代医药论丛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2020,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18(3):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139-140.</w:t>
      </w:r>
    </w:p>
    <w:p>
      <w:pPr>
        <w:pStyle w:val="BodyText"/>
        <w:ind w:left="397" w:right="67" w:hanging="390"/>
        <w:spacing w:before="120" w:line="3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[2]     </w:t>
      </w:r>
      <w:r>
        <w:rPr>
          <w:sz w:val="15"/>
          <w:szCs w:val="15"/>
          <w:spacing w:val="15"/>
        </w:rPr>
        <w:t>金桂仙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.  </w:t>
      </w:r>
      <w:r>
        <w:rPr>
          <w:sz w:val="15"/>
          <w:szCs w:val="15"/>
          <w:spacing w:val="15"/>
        </w:rPr>
        <w:t>奥美拉唑钠肠溶片联合复方嗜酸乳杆菌片治疗</w:t>
      </w:r>
      <w:r>
        <w:rPr>
          <w:sz w:val="15"/>
          <w:szCs w:val="15"/>
          <w:spacing w:val="14"/>
        </w:rPr>
        <w:t>急性胃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肠炎的临床效果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[J].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</w:rPr>
        <w:t>中西医结合心血管病电</w:t>
      </w:r>
      <w:r>
        <w:rPr>
          <w:sz w:val="15"/>
          <w:szCs w:val="15"/>
          <w:spacing w:val="8"/>
        </w:rPr>
        <w:t>子杂志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 2019,  7(13):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186-187.</w:t>
      </w:r>
    </w:p>
    <w:p>
      <w:pPr>
        <w:pStyle w:val="BodyText"/>
        <w:ind w:left="399" w:right="70" w:hanging="392"/>
        <w:spacing w:before="106" w:line="29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[3]     </w:t>
      </w:r>
      <w:r>
        <w:rPr>
          <w:sz w:val="15"/>
          <w:szCs w:val="15"/>
          <w:spacing w:val="11"/>
        </w:rPr>
        <w:t>李金霞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  </w:t>
      </w:r>
      <w:r>
        <w:rPr>
          <w:sz w:val="15"/>
          <w:szCs w:val="15"/>
          <w:spacing w:val="11"/>
        </w:rPr>
        <w:t>牛欣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1"/>
        </w:rPr>
        <w:t>奥美拉唑钠肠溶片联合复方嗜酸乳杆菌片治疗急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性胃肠炎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[J]</w:t>
      </w:r>
      <w:r>
        <w:rPr>
          <w:rFonts w:ascii="Times New Roman" w:hAnsi="Times New Roman" w:eastAsia="Times New Roman" w:cs="Times New Roman"/>
          <w:sz w:val="15"/>
          <w:szCs w:val="15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 </w:t>
      </w:r>
      <w:r>
        <w:rPr>
          <w:sz w:val="15"/>
          <w:szCs w:val="15"/>
          <w:spacing w:val="5"/>
        </w:rPr>
        <w:t>深圳中西医结合杂志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2019, 29(5):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151-1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53.</w:t>
      </w:r>
    </w:p>
    <w:p>
      <w:pPr>
        <w:pStyle w:val="BodyText"/>
        <w:ind w:left="402" w:right="59" w:hanging="395"/>
        <w:spacing w:before="126" w:line="3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[4]     </w:t>
      </w:r>
      <w:r>
        <w:rPr>
          <w:sz w:val="15"/>
          <w:szCs w:val="15"/>
          <w:spacing w:val="10"/>
        </w:rPr>
        <w:t>孙丽蕊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</w:rPr>
        <w:t>时万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.  </w:t>
      </w:r>
      <w:r>
        <w:rPr>
          <w:sz w:val="15"/>
          <w:szCs w:val="15"/>
          <w:spacing w:val="10"/>
        </w:rPr>
        <w:t>急性肠胃炎的诊疗防治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[J]. 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</w:rPr>
        <w:t>中国卫生产业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2011,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8(7):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118.</w:t>
      </w:r>
    </w:p>
    <w:p>
      <w:pPr>
        <w:pStyle w:val="BodyText"/>
        <w:ind w:left="401" w:right="69" w:hanging="394"/>
        <w:spacing w:before="136" w:line="29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[5]     </w:t>
      </w:r>
      <w:r>
        <w:rPr>
          <w:sz w:val="15"/>
          <w:szCs w:val="15"/>
          <w:spacing w:val="15"/>
        </w:rPr>
        <w:t>李文凡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.  </w:t>
      </w:r>
      <w:r>
        <w:rPr>
          <w:sz w:val="15"/>
          <w:szCs w:val="15"/>
          <w:spacing w:val="15"/>
        </w:rPr>
        <w:t>奥美拉唑联合复方嗜酸乳杆菌治疗急性胃炎的</w:t>
      </w:r>
      <w:r>
        <w:rPr>
          <w:sz w:val="15"/>
          <w:szCs w:val="15"/>
          <w:spacing w:val="14"/>
        </w:rPr>
        <w:t>临床疗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效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[J].  </w:t>
      </w:r>
      <w:r>
        <w:rPr>
          <w:sz w:val="15"/>
          <w:szCs w:val="15"/>
          <w:spacing w:val="4"/>
        </w:rPr>
        <w:t>临床合理用药杂志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2018,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11(33):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19-20.</w:t>
      </w:r>
    </w:p>
    <w:p>
      <w:pPr>
        <w:pStyle w:val="BodyText"/>
        <w:ind w:left="401" w:right="67" w:hanging="394"/>
        <w:spacing w:before="126" w:line="30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[6]     </w:t>
      </w:r>
      <w:r>
        <w:rPr>
          <w:sz w:val="15"/>
          <w:szCs w:val="15"/>
          <w:spacing w:val="11"/>
        </w:rPr>
        <w:t>郝香丽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.  </w:t>
      </w:r>
      <w:r>
        <w:rPr>
          <w:sz w:val="15"/>
          <w:szCs w:val="15"/>
          <w:spacing w:val="11"/>
        </w:rPr>
        <w:t>复方嗜酸乳杆菌片联合奥</w:t>
      </w:r>
      <w:r>
        <w:rPr>
          <w:sz w:val="15"/>
          <w:szCs w:val="15"/>
          <w:spacing w:val="10"/>
        </w:rPr>
        <w:t>美拉唑肠溶片治疗急性肠胃炎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效果分析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[J]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 </w:t>
      </w:r>
      <w:r>
        <w:rPr>
          <w:sz w:val="15"/>
          <w:szCs w:val="15"/>
          <w:spacing w:val="5"/>
        </w:rPr>
        <w:t>河南医学研究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2017,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26(9):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1644-1645.</w:t>
      </w:r>
    </w:p>
    <w:p>
      <w:pPr>
        <w:pStyle w:val="BodyText"/>
        <w:ind w:left="399" w:right="60" w:hanging="392"/>
        <w:spacing w:before="126" w:line="33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[7]     </w:t>
      </w:r>
      <w:r>
        <w:rPr>
          <w:sz w:val="15"/>
          <w:szCs w:val="15"/>
          <w:spacing w:val="11"/>
        </w:rPr>
        <w:t>宋义娟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.  </w:t>
      </w:r>
      <w:r>
        <w:rPr>
          <w:sz w:val="15"/>
          <w:szCs w:val="15"/>
          <w:spacing w:val="11"/>
        </w:rPr>
        <w:t>采用奥美拉唑肠</w:t>
      </w:r>
      <w:r>
        <w:rPr>
          <w:sz w:val="15"/>
          <w:szCs w:val="15"/>
          <w:spacing w:val="10"/>
        </w:rPr>
        <w:t>溶片与复方嗜酸乳杆菌片联合方式对急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性肠胃炎患者实施治疗的效果评价</w:t>
      </w:r>
      <w:r>
        <w:rPr>
          <w:sz w:val="15"/>
          <w:szCs w:val="15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[J].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7"/>
        </w:rPr>
        <w:t>中国医药指南</w:t>
      </w:r>
      <w:r>
        <w:rPr>
          <w:sz w:val="15"/>
          <w:szCs w:val="15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>,  2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>018,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16(19):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107-108.</w:t>
      </w:r>
    </w:p>
    <w:p>
      <w:pPr>
        <w:pStyle w:val="BodyText"/>
        <w:ind w:left="411" w:right="71" w:hanging="404"/>
        <w:spacing w:before="136" w:line="30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[8]     </w:t>
      </w:r>
      <w:r>
        <w:rPr>
          <w:sz w:val="15"/>
          <w:szCs w:val="15"/>
          <w:spacing w:val="11"/>
        </w:rPr>
        <w:t>范瑞娟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.  </w:t>
      </w:r>
      <w:r>
        <w:rPr>
          <w:sz w:val="15"/>
          <w:szCs w:val="15"/>
          <w:spacing w:val="11"/>
        </w:rPr>
        <w:t>复方嗜酸乳杆菌</w:t>
      </w:r>
      <w:r>
        <w:rPr>
          <w:sz w:val="15"/>
          <w:szCs w:val="15"/>
          <w:spacing w:val="10"/>
        </w:rPr>
        <w:t>片联合奥美拉唑肠溶片治疗急性肠胃炎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的临床疗效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[J].  </w:t>
      </w:r>
      <w:r>
        <w:rPr>
          <w:sz w:val="15"/>
          <w:szCs w:val="15"/>
          <w:spacing w:val="5"/>
        </w:rPr>
        <w:t>临床医学研究与实践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2018, 3(9): 36-37.</w:t>
      </w:r>
    </w:p>
    <w:p>
      <w:pPr>
        <w:spacing w:line="301" w:lineRule="auto"/>
        <w:sectPr>
          <w:type w:val="continuous"/>
          <w:pgSz w:w="11909" w:h="16839"/>
          <w:pgMar w:top="1450" w:right="789" w:bottom="976" w:left="407" w:header="865" w:footer="760" w:gutter="0"/>
          <w:cols w:equalWidth="0" w:num="2">
            <w:col w:w="5606" w:space="100"/>
            <w:col w:w="5007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ind w:left="3404"/>
        <w:spacing w:before="6" w:line="21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"/>
        </w:rPr>
        <w:t>表</w:t>
      </w:r>
      <w:r>
        <w:rPr>
          <w:rFonts w:ascii="SimHei" w:hAnsi="SimHei" w:eastAsia="SimHei" w:cs="SimHei"/>
          <w:sz w:val="18"/>
          <w:szCs w:val="1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3    </w:t>
      </w:r>
      <w:r>
        <w:rPr>
          <w:rFonts w:ascii="SimHei" w:hAnsi="SimHei" w:eastAsia="SimHei" w:cs="SimHei"/>
          <w:sz w:val="18"/>
          <w:szCs w:val="18"/>
          <w:spacing w:val="-1"/>
        </w:rPr>
        <w:t>两组患者血清</w:t>
      </w:r>
      <w:r>
        <w:rPr>
          <w:rFonts w:ascii="SimHei" w:hAnsi="SimHei" w:eastAsia="SimHei" w:cs="SimHei"/>
          <w:sz w:val="18"/>
          <w:szCs w:val="18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PCT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、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IL-6</w:t>
      </w:r>
      <w:r>
        <w:rPr>
          <w:rFonts w:ascii="SimHei" w:hAnsi="SimHei" w:eastAsia="SimHei" w:cs="SimHei"/>
          <w:sz w:val="18"/>
          <w:szCs w:val="18"/>
          <w:spacing w:val="-1"/>
        </w:rPr>
        <w:t>、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CRP </w:t>
      </w:r>
      <w:r>
        <w:rPr>
          <w:rFonts w:ascii="SimHei" w:hAnsi="SimHei" w:eastAsia="SimHei" w:cs="SimHei"/>
          <w:sz w:val="18"/>
          <w:szCs w:val="18"/>
          <w:spacing w:val="-1"/>
        </w:rPr>
        <w:t>水平比较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</w:t>
      </w:r>
      <w:r>
        <w:rPr>
          <w:sz w:val="18"/>
          <w:szCs w:val="18"/>
          <w:position w:val="1"/>
        </w:rPr>
        <w:drawing>
          <wp:inline distT="0" distB="0" distL="0" distR="0">
            <wp:extent cx="66586" cy="6985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86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spacing w:val="-1"/>
        </w:rPr>
        <w:t>±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)</w:t>
      </w:r>
    </w:p>
    <w:p>
      <w:pPr>
        <w:spacing w:line="9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223" w:type="dxa"/>
        <w:tblInd w:w="4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7"/>
        <w:gridCol w:w="637"/>
        <w:gridCol w:w="1245"/>
        <w:gridCol w:w="1389"/>
        <w:gridCol w:w="1560"/>
        <w:gridCol w:w="1529"/>
        <w:gridCol w:w="1568"/>
        <w:gridCol w:w="1448"/>
      </w:tblGrid>
      <w:tr>
        <w:trPr>
          <w:trHeight w:val="304" w:hRule="atLeast"/>
        </w:trPr>
        <w:tc>
          <w:tcPr>
            <w:tcW w:w="847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291"/>
              <w:spacing w:before="256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组别</w:t>
            </w:r>
          </w:p>
        </w:tc>
        <w:tc>
          <w:tcPr>
            <w:tcW w:w="637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77"/>
              <w:spacing w:before="256" w:line="23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例数</w:t>
            </w:r>
          </w:p>
        </w:tc>
        <w:tc>
          <w:tcPr>
            <w:tcW w:w="2634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05"/>
              <w:spacing w:before="129" w:line="200" w:lineRule="auto"/>
              <w:rPr/>
            </w:pPr>
            <w:r>
              <w:rPr/>
              <w:t>PCT</w:t>
            </w:r>
            <w:r>
              <w:rPr>
                <w:spacing w:val="5"/>
              </w:rPr>
              <w:t>(μg/L)</w:t>
            </w:r>
          </w:p>
        </w:tc>
        <w:tc>
          <w:tcPr>
            <w:tcW w:w="3089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11"/>
              <w:spacing w:before="129" w:line="200" w:lineRule="auto"/>
              <w:rPr/>
            </w:pPr>
            <w:r>
              <w:rPr/>
              <w:t>IL</w:t>
            </w:r>
            <w:r>
              <w:rPr>
                <w:spacing w:val="5"/>
              </w:rPr>
              <w:t>-6(</w:t>
            </w:r>
            <w:r>
              <w:rPr/>
              <w:t>ng</w:t>
            </w:r>
            <w:r>
              <w:rPr>
                <w:spacing w:val="5"/>
              </w:rPr>
              <w:t>/L)</w:t>
            </w:r>
          </w:p>
        </w:tc>
        <w:tc>
          <w:tcPr>
            <w:tcW w:w="3016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06"/>
              <w:spacing w:before="129" w:line="200" w:lineRule="auto"/>
              <w:rPr/>
            </w:pPr>
            <w:r>
              <w:rPr/>
              <w:t>CRP</w:t>
            </w:r>
            <w:r>
              <w:rPr>
                <w:spacing w:val="8"/>
              </w:rPr>
              <w:t>(</w:t>
            </w:r>
            <w:r>
              <w:rPr/>
              <w:t>mg</w:t>
            </w:r>
            <w:r>
              <w:rPr>
                <w:spacing w:val="8"/>
              </w:rPr>
              <w:t>/L)</w:t>
            </w:r>
          </w:p>
        </w:tc>
      </w:tr>
      <w:tr>
        <w:trPr>
          <w:trHeight w:val="300" w:hRule="atLeast"/>
        </w:trPr>
        <w:tc>
          <w:tcPr>
            <w:tcW w:w="847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7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00"/>
              <w:spacing w:before="101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治疗前</w:t>
            </w:r>
          </w:p>
        </w:tc>
        <w:tc>
          <w:tcPr>
            <w:tcW w:w="138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13"/>
              <w:spacing w:before="101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治疗后</w:t>
            </w:r>
          </w:p>
        </w:tc>
        <w:tc>
          <w:tcPr>
            <w:tcW w:w="15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43"/>
              <w:spacing w:before="101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治疗前</w:t>
            </w:r>
          </w:p>
        </w:tc>
        <w:tc>
          <w:tcPr>
            <w:tcW w:w="15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85"/>
              <w:spacing w:before="101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治疗后</w:t>
            </w:r>
          </w:p>
        </w:tc>
        <w:tc>
          <w:tcPr>
            <w:tcW w:w="156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17"/>
              <w:spacing w:before="101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治疗前</w:t>
            </w:r>
          </w:p>
        </w:tc>
        <w:tc>
          <w:tcPr>
            <w:tcW w:w="144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485"/>
              <w:spacing w:before="101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>治疗后</w:t>
            </w:r>
          </w:p>
        </w:tc>
      </w:tr>
      <w:tr>
        <w:trPr>
          <w:trHeight w:val="316" w:hRule="atLeast"/>
        </w:trPr>
        <w:tc>
          <w:tcPr>
            <w:tcW w:w="847" w:type="dxa"/>
            <w:vAlign w:val="top"/>
            <w:tcBorders>
              <w:top w:val="single" w:color="000000" w:sz="2" w:space="0"/>
            </w:tcBorders>
          </w:tcPr>
          <w:p>
            <w:pPr>
              <w:ind w:left="207"/>
              <w:spacing w:before="103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对照组</w:t>
            </w:r>
          </w:p>
        </w:tc>
        <w:tc>
          <w:tcPr>
            <w:tcW w:w="6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5"/>
              <w:spacing w:before="130" w:line="174" w:lineRule="exact"/>
              <w:rPr/>
            </w:pPr>
            <w:r>
              <w:rPr>
                <w:spacing w:val="4"/>
              </w:rPr>
              <w:t>40</w:t>
            </w:r>
          </w:p>
        </w:tc>
        <w:tc>
          <w:tcPr>
            <w:tcW w:w="12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5"/>
              <w:spacing w:before="103" w:line="203" w:lineRule="exact"/>
              <w:rPr/>
            </w:pPr>
            <w:r>
              <w:rPr>
                <w:spacing w:val="4"/>
                <w:position w:val="1"/>
              </w:rPr>
              <w:t>3.24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0.51</w:t>
            </w:r>
          </w:p>
        </w:tc>
        <w:tc>
          <w:tcPr>
            <w:tcW w:w="138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6"/>
              <w:spacing w:before="97" w:line="209" w:lineRule="exact"/>
              <w:rPr>
                <w:sz w:val="10"/>
                <w:szCs w:val="10"/>
              </w:rPr>
            </w:pPr>
            <w:r>
              <w:rPr>
                <w:spacing w:val="3"/>
              </w:rPr>
              <w:t>1.85</w:t>
            </w:r>
            <w:r>
              <w:rPr>
                <w:rFonts w:ascii="SimSun" w:hAnsi="SimSun" w:eastAsia="SimSun" w:cs="SimSun"/>
                <w:spacing w:val="3"/>
              </w:rPr>
              <w:t>±</w:t>
            </w:r>
            <w:r>
              <w:rPr>
                <w:spacing w:val="3"/>
              </w:rPr>
              <w:t>0.56</w:t>
            </w:r>
            <w:r>
              <w:rPr>
                <w:sz w:val="10"/>
                <w:szCs w:val="10"/>
                <w:spacing w:val="3"/>
                <w:position w:val="6"/>
              </w:rPr>
              <w:t>*</w:t>
            </w:r>
          </w:p>
        </w:tc>
        <w:tc>
          <w:tcPr>
            <w:tcW w:w="15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17"/>
              <w:spacing w:before="103" w:line="203" w:lineRule="exact"/>
              <w:rPr/>
            </w:pPr>
            <w:r>
              <w:rPr>
                <w:spacing w:val="4"/>
                <w:position w:val="1"/>
              </w:rPr>
              <w:t>3.58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0.39</w:t>
            </w:r>
          </w:p>
        </w:tc>
        <w:tc>
          <w:tcPr>
            <w:tcW w:w="15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7"/>
              <w:spacing w:before="97" w:line="209" w:lineRule="exact"/>
              <w:rPr>
                <w:sz w:val="10"/>
                <w:szCs w:val="10"/>
              </w:rPr>
            </w:pPr>
            <w:r>
              <w:rPr>
                <w:spacing w:val="3"/>
              </w:rPr>
              <w:t>1.75</w:t>
            </w:r>
            <w:r>
              <w:rPr>
                <w:rFonts w:ascii="SimSun" w:hAnsi="SimSun" w:eastAsia="SimSun" w:cs="SimSun"/>
                <w:spacing w:val="3"/>
              </w:rPr>
              <w:t>±</w:t>
            </w:r>
            <w:r>
              <w:rPr>
                <w:spacing w:val="3"/>
              </w:rPr>
              <w:t>0.84</w:t>
            </w:r>
            <w:r>
              <w:rPr>
                <w:sz w:val="10"/>
                <w:szCs w:val="10"/>
                <w:spacing w:val="3"/>
                <w:position w:val="6"/>
              </w:rPr>
              <w:t>*</w:t>
            </w:r>
          </w:p>
        </w:tc>
        <w:tc>
          <w:tcPr>
            <w:tcW w:w="156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0"/>
              <w:spacing w:before="103" w:line="203" w:lineRule="exact"/>
              <w:rPr/>
            </w:pPr>
            <w:r>
              <w:rPr>
                <w:spacing w:val="3"/>
                <w:position w:val="1"/>
              </w:rPr>
              <w:t>10.68</w:t>
            </w:r>
            <w:r>
              <w:rPr>
                <w:rFonts w:ascii="SimSun" w:hAnsi="SimSun" w:eastAsia="SimSun" w:cs="SimSun"/>
                <w:spacing w:val="3"/>
                <w:position w:val="1"/>
              </w:rPr>
              <w:t>±</w:t>
            </w:r>
            <w:r>
              <w:rPr>
                <w:spacing w:val="3"/>
                <w:position w:val="1"/>
              </w:rPr>
              <w:t>1.15</w:t>
            </w:r>
          </w:p>
        </w:tc>
        <w:tc>
          <w:tcPr>
            <w:tcW w:w="14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5"/>
              <w:spacing w:before="97" w:line="209" w:lineRule="exact"/>
              <w:rPr>
                <w:sz w:val="10"/>
                <w:szCs w:val="10"/>
              </w:rPr>
            </w:pPr>
            <w:r>
              <w:rPr>
                <w:spacing w:val="4"/>
              </w:rPr>
              <w:t>6.82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1.21</w:t>
            </w:r>
            <w:r>
              <w:rPr>
                <w:sz w:val="10"/>
                <w:szCs w:val="10"/>
                <w:spacing w:val="4"/>
                <w:position w:val="6"/>
              </w:rPr>
              <w:t>*</w:t>
            </w:r>
          </w:p>
        </w:tc>
      </w:tr>
      <w:tr>
        <w:trPr>
          <w:trHeight w:val="298" w:hRule="atLeast"/>
        </w:trPr>
        <w:tc>
          <w:tcPr>
            <w:tcW w:w="847" w:type="dxa"/>
            <w:vAlign w:val="top"/>
          </w:tcPr>
          <w:p>
            <w:pPr>
              <w:ind w:left="205"/>
              <w:spacing w:before="81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试验组</w:t>
            </w:r>
          </w:p>
        </w:tc>
        <w:tc>
          <w:tcPr>
            <w:tcW w:w="637" w:type="dxa"/>
            <w:vAlign w:val="top"/>
          </w:tcPr>
          <w:p>
            <w:pPr>
              <w:pStyle w:val="TableText"/>
              <w:ind w:left="255"/>
              <w:spacing w:before="107" w:line="175" w:lineRule="exact"/>
              <w:rPr/>
            </w:pPr>
            <w:r>
              <w:rPr>
                <w:spacing w:val="4"/>
              </w:rPr>
              <w:t>40</w:t>
            </w:r>
          </w:p>
        </w:tc>
        <w:tc>
          <w:tcPr>
            <w:tcW w:w="1245" w:type="dxa"/>
            <w:vAlign w:val="top"/>
          </w:tcPr>
          <w:p>
            <w:pPr>
              <w:pStyle w:val="TableText"/>
              <w:ind w:left="275"/>
              <w:spacing w:before="81" w:line="207" w:lineRule="exact"/>
              <w:rPr/>
            </w:pPr>
            <w:r>
              <w:rPr>
                <w:spacing w:val="4"/>
                <w:position w:val="1"/>
              </w:rPr>
              <w:t>3.21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0.48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263"/>
              <w:spacing w:before="75" w:line="213" w:lineRule="exact"/>
              <w:rPr>
                <w:sz w:val="10"/>
                <w:szCs w:val="10"/>
              </w:rPr>
            </w:pPr>
            <w:r>
              <w:rPr>
                <w:spacing w:val="4"/>
              </w:rPr>
              <w:t>0.32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0.11</w:t>
            </w:r>
            <w:r>
              <w:rPr>
                <w:sz w:val="10"/>
                <w:szCs w:val="10"/>
                <w:spacing w:val="4"/>
                <w:position w:val="6"/>
              </w:rPr>
              <w:t>*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517"/>
              <w:spacing w:before="81" w:line="207" w:lineRule="exact"/>
              <w:rPr/>
            </w:pPr>
            <w:r>
              <w:rPr>
                <w:spacing w:val="4"/>
                <w:position w:val="1"/>
              </w:rPr>
              <w:t>3.45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0.49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334"/>
              <w:spacing w:before="75" w:line="213" w:lineRule="exact"/>
              <w:rPr>
                <w:sz w:val="10"/>
                <w:szCs w:val="10"/>
              </w:rPr>
            </w:pPr>
            <w:r>
              <w:rPr>
                <w:spacing w:val="4"/>
              </w:rPr>
              <w:t>0.41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0.12</w:t>
            </w:r>
            <w:r>
              <w:rPr>
                <w:sz w:val="10"/>
                <w:szCs w:val="10"/>
                <w:spacing w:val="4"/>
                <w:position w:val="6"/>
              </w:rPr>
              <w:t>*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460"/>
              <w:spacing w:before="81" w:line="207" w:lineRule="exact"/>
              <w:rPr/>
            </w:pPr>
            <w:r>
              <w:rPr>
                <w:spacing w:val="3"/>
                <w:position w:val="1"/>
              </w:rPr>
              <w:t>10.53</w:t>
            </w:r>
            <w:r>
              <w:rPr>
                <w:rFonts w:ascii="SimSun" w:hAnsi="SimSun" w:eastAsia="SimSun" w:cs="SimSun"/>
                <w:spacing w:val="3"/>
                <w:position w:val="1"/>
              </w:rPr>
              <w:t>±</w:t>
            </w:r>
            <w:r>
              <w:rPr>
                <w:spacing w:val="3"/>
                <w:position w:val="1"/>
              </w:rPr>
              <w:t>1.21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332"/>
              <w:spacing w:before="75" w:line="213" w:lineRule="exact"/>
              <w:rPr>
                <w:sz w:val="10"/>
                <w:szCs w:val="10"/>
              </w:rPr>
            </w:pPr>
            <w:r>
              <w:rPr>
                <w:spacing w:val="4"/>
              </w:rPr>
              <w:t>2.73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0.78</w:t>
            </w:r>
            <w:r>
              <w:rPr>
                <w:sz w:val="10"/>
                <w:szCs w:val="10"/>
                <w:spacing w:val="4"/>
                <w:position w:val="6"/>
              </w:rPr>
              <w:t>*</w:t>
            </w:r>
          </w:p>
        </w:tc>
      </w:tr>
      <w:tr>
        <w:trPr>
          <w:trHeight w:val="295" w:hRule="atLeast"/>
        </w:trPr>
        <w:tc>
          <w:tcPr>
            <w:tcW w:w="847" w:type="dxa"/>
            <w:vAlign w:val="top"/>
          </w:tcPr>
          <w:p>
            <w:pPr>
              <w:pStyle w:val="TableText"/>
              <w:ind w:left="328"/>
              <w:spacing w:before="80" w:line="199" w:lineRule="exact"/>
              <w:rPr>
                <w:rFonts w:ascii="SimSun" w:hAnsi="SimSun" w:eastAsia="SimSun" w:cs="SimSun"/>
              </w:rPr>
            </w:pPr>
            <w:r>
              <w:rPr>
                <w:i/>
                <w:iCs/>
                <w:position w:val="1"/>
              </w:rPr>
              <w:t>t</w:t>
            </w:r>
            <w:r>
              <w:rPr>
                <w:i/>
                <w:iCs/>
                <w:spacing w:val="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position w:val="1"/>
              </w:rPr>
              <w:t>值</w:t>
            </w:r>
          </w:p>
        </w:tc>
        <w:tc>
          <w:tcPr>
            <w:tcW w:w="6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5" w:type="dxa"/>
            <w:vAlign w:val="top"/>
          </w:tcPr>
          <w:p>
            <w:pPr>
              <w:pStyle w:val="TableText"/>
              <w:ind w:left="456"/>
              <w:spacing w:before="106" w:line="175" w:lineRule="exact"/>
              <w:rPr/>
            </w:pPr>
            <w:r>
              <w:rPr>
                <w:spacing w:val="3"/>
              </w:rPr>
              <w:t>0.271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439"/>
              <w:spacing w:before="106" w:line="175" w:lineRule="exact"/>
              <w:rPr/>
            </w:pPr>
            <w:r>
              <w:rPr>
                <w:spacing w:val="2"/>
              </w:rPr>
              <w:t>16.956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712"/>
              <w:spacing w:before="106" w:line="175" w:lineRule="exact"/>
              <w:rPr/>
            </w:pPr>
            <w:r>
              <w:rPr>
                <w:spacing w:val="1"/>
              </w:rPr>
              <w:t>1.313</w:t>
            </w:r>
          </w:p>
        </w:tc>
        <w:tc>
          <w:tcPr>
            <w:tcW w:w="1529" w:type="dxa"/>
            <w:vAlign w:val="top"/>
          </w:tcPr>
          <w:p>
            <w:pPr>
              <w:pStyle w:val="TableText"/>
              <w:ind w:left="541"/>
              <w:spacing w:before="106" w:line="175" w:lineRule="exact"/>
              <w:rPr/>
            </w:pPr>
            <w:r>
              <w:rPr>
                <w:spacing w:val="3"/>
              </w:rPr>
              <w:t>9.988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668"/>
              <w:spacing w:before="106" w:line="175" w:lineRule="exact"/>
              <w:rPr/>
            </w:pPr>
            <w:r>
              <w:rPr>
                <w:spacing w:val="3"/>
              </w:rPr>
              <w:t>0.568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510"/>
              <w:spacing w:before="106" w:line="175" w:lineRule="exact"/>
              <w:rPr/>
            </w:pPr>
            <w:r>
              <w:rPr>
                <w:spacing w:val="2"/>
              </w:rPr>
              <w:t>17.968</w:t>
            </w:r>
          </w:p>
        </w:tc>
      </w:tr>
      <w:tr>
        <w:trPr>
          <w:trHeight w:val="285" w:hRule="atLeast"/>
        </w:trPr>
        <w:tc>
          <w:tcPr>
            <w:tcW w:w="84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9"/>
              <w:spacing w:before="83" w:line="230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5"/>
              </w:rPr>
              <w:t>P </w:t>
            </w:r>
            <w:r>
              <w:rPr>
                <w:rFonts w:ascii="SimSun" w:hAnsi="SimSun" w:eastAsia="SimSun" w:cs="SimSun"/>
                <w:spacing w:val="5"/>
              </w:rPr>
              <w:t>值</w:t>
            </w:r>
          </w:p>
        </w:tc>
        <w:tc>
          <w:tcPr>
            <w:tcW w:w="637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8"/>
              <w:spacing w:before="83" w:line="236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&gt;</w:t>
            </w:r>
            <w:r>
              <w:rPr>
                <w:spacing w:val="16"/>
              </w:rPr>
              <w:t>0.05</w:t>
            </w:r>
          </w:p>
        </w:tc>
        <w:tc>
          <w:tcPr>
            <w:tcW w:w="138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8"/>
              <w:spacing w:before="83" w:line="236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&lt;</w:t>
            </w:r>
            <w:r>
              <w:rPr>
                <w:spacing w:val="16"/>
              </w:rPr>
              <w:t>0.05</w:t>
            </w:r>
          </w:p>
        </w:tc>
        <w:tc>
          <w:tcPr>
            <w:tcW w:w="15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70"/>
              <w:spacing w:before="83" w:line="236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&gt;</w:t>
            </w:r>
            <w:r>
              <w:rPr>
                <w:spacing w:val="16"/>
              </w:rPr>
              <w:t>0.05</w:t>
            </w:r>
          </w:p>
        </w:tc>
        <w:tc>
          <w:tcPr>
            <w:tcW w:w="152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10"/>
              <w:spacing w:before="83" w:line="236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&lt;</w:t>
            </w:r>
            <w:r>
              <w:rPr>
                <w:spacing w:val="16"/>
              </w:rPr>
              <w:t>0.05</w:t>
            </w:r>
          </w:p>
        </w:tc>
        <w:tc>
          <w:tcPr>
            <w:tcW w:w="15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5"/>
              <w:spacing w:before="83" w:line="236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&gt;</w:t>
            </w:r>
            <w:r>
              <w:rPr>
                <w:spacing w:val="16"/>
              </w:rPr>
              <w:t>0.05</w:t>
            </w:r>
          </w:p>
        </w:tc>
        <w:tc>
          <w:tcPr>
            <w:tcW w:w="14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10"/>
              <w:spacing w:before="83" w:line="236" w:lineRule="auto"/>
              <w:rPr/>
            </w:pPr>
            <w:r>
              <w:rPr>
                <w:rFonts w:ascii="SimSun" w:hAnsi="SimSun" w:eastAsia="SimSun" w:cs="SimSun"/>
                <w:spacing w:val="16"/>
              </w:rPr>
              <w:t>&lt;</w:t>
            </w:r>
            <w:r>
              <w:rPr>
                <w:spacing w:val="16"/>
              </w:rPr>
              <w:t>0.05</w:t>
            </w:r>
          </w:p>
        </w:tc>
      </w:tr>
    </w:tbl>
    <w:p>
      <w:pPr>
        <w:pStyle w:val="BodyText"/>
        <w:ind w:left="769"/>
        <w:spacing w:before="102" w:line="202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注：相较于治疗前，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position w:val="7"/>
        </w:rPr>
        <w:t>*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spacing w:val="7"/>
        </w:rPr>
        <w:t>P</w:t>
      </w:r>
      <w:r>
        <w:rPr>
          <w:sz w:val="15"/>
          <w:szCs w:val="15"/>
          <w:spacing w:val="7"/>
        </w:rPr>
        <w:t>＜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0.05</w:t>
      </w:r>
      <w:r>
        <w:rPr>
          <w:rFonts w:ascii="Times New Roman" w:hAnsi="Times New Roman" w:eastAsia="Times New Roman" w:cs="Times New Roman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7"/>
        </w:rPr>
        <w:t>。</w:t>
      </w:r>
      <w:r>
        <w:rPr>
          <w:rFonts w:ascii="Times New Roman" w:hAnsi="Times New Roman" w:eastAsia="Times New Roman" w:cs="Times New Roman"/>
          <w:sz w:val="15"/>
          <w:szCs w:val="15"/>
        </w:rPr>
        <w:t>PCT</w:t>
      </w:r>
      <w:r>
        <w:rPr>
          <w:sz w:val="15"/>
          <w:szCs w:val="15"/>
          <w:spacing w:val="7"/>
        </w:rPr>
        <w:t>：降钙素原；</w:t>
      </w:r>
      <w:r>
        <w:rPr>
          <w:rFonts w:ascii="Times New Roman" w:hAnsi="Times New Roman" w:eastAsia="Times New Roman" w:cs="Times New Roman"/>
          <w:sz w:val="15"/>
          <w:szCs w:val="15"/>
        </w:rPr>
        <w:t>IL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-6</w:t>
      </w:r>
      <w:r>
        <w:rPr>
          <w:sz w:val="15"/>
          <w:szCs w:val="15"/>
          <w:spacing w:val="7"/>
        </w:rPr>
        <w:t>：</w:t>
      </w:r>
      <w:r>
        <w:rPr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7"/>
        </w:rPr>
        <w:t>白介素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-6</w:t>
      </w:r>
      <w:r>
        <w:rPr>
          <w:sz w:val="15"/>
          <w:szCs w:val="15"/>
          <w:spacing w:val="7"/>
        </w:rPr>
        <w:t>；</w:t>
      </w:r>
      <w:r>
        <w:rPr>
          <w:rFonts w:ascii="Times New Roman" w:hAnsi="Times New Roman" w:eastAsia="Times New Roman" w:cs="Times New Roman"/>
          <w:sz w:val="15"/>
          <w:szCs w:val="15"/>
        </w:rPr>
        <w:t>CRP</w:t>
      </w:r>
      <w:r>
        <w:rPr>
          <w:sz w:val="15"/>
          <w:szCs w:val="15"/>
          <w:spacing w:val="7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</w:t>
      </w:r>
      <w:r>
        <w:rPr>
          <w:sz w:val="15"/>
          <w:szCs w:val="15"/>
          <w:spacing w:val="6"/>
        </w:rPr>
        <w:t>反应蛋白。</w:t>
      </w:r>
    </w:p>
    <w:sectPr>
      <w:type w:val="continuous"/>
      <w:pgSz w:w="11909" w:h="16839"/>
      <w:pgMar w:top="1450" w:right="789" w:bottom="976" w:left="407" w:header="865" w:footer="760" w:gutter="0"/>
      <w:cols w:equalWidth="0" w:num="1">
        <w:col w:w="1071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Fangsong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69"/>
      <w:spacing w:line="211" w:lineRule="auto"/>
      <w:rPr>
        <w:sz w:val="18"/>
        <w:szCs w:val="18"/>
      </w:rPr>
    </w:pPr>
    <w:r>
      <w:rPr>
        <w:sz w:val="18"/>
        <w:szCs w:val="18"/>
        <w:spacing w:val="15"/>
      </w:rPr>
      <w:t>²</w:t>
    </w:r>
    <w:r>
      <w:rPr>
        <w:rFonts w:ascii="Times New Roman" w:hAnsi="Times New Roman" w:eastAsia="Times New Roman" w:cs="Times New Roman"/>
        <w:sz w:val="18"/>
        <w:szCs w:val="18"/>
        <w:spacing w:val="15"/>
      </w:rPr>
      <w:t>5</w:t>
    </w:r>
    <w:r>
      <w:rPr>
        <w:rFonts w:ascii="Times New Roman" w:hAnsi="Times New Roman" w:eastAsia="Times New Roman" w:cs="Times New Roman"/>
        <w:sz w:val="18"/>
        <w:szCs w:val="18"/>
        <w:spacing w:val="25"/>
      </w:rPr>
      <w:t xml:space="preserve"> </w:t>
    </w:r>
    <w:r>
      <w:rPr>
        <w:sz w:val="18"/>
        <w:szCs w:val="18"/>
        <w:spacing w:val="15"/>
      </w:rPr>
      <w:t>²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"/>
      <w:spacing w:line="211" w:lineRule="auto"/>
      <w:rPr>
        <w:sz w:val="18"/>
        <w:szCs w:val="18"/>
      </w:rPr>
    </w:pPr>
    <w:r>
      <w:rPr>
        <w:sz w:val="18"/>
        <w:szCs w:val="18"/>
        <w:spacing w:val="15"/>
      </w:rPr>
      <w:t>²</w:t>
    </w:r>
    <w:r>
      <w:rPr>
        <w:rFonts w:ascii="Times New Roman" w:hAnsi="Times New Roman" w:eastAsia="Times New Roman" w:cs="Times New Roman"/>
        <w:sz w:val="18"/>
        <w:szCs w:val="18"/>
        <w:spacing w:val="15"/>
      </w:rPr>
      <w:t>6</w:t>
    </w:r>
    <w:r>
      <w:rPr>
        <w:rFonts w:ascii="Times New Roman" w:hAnsi="Times New Roman" w:eastAsia="Times New Roman" w:cs="Times New Roman"/>
        <w:sz w:val="18"/>
        <w:szCs w:val="18"/>
        <w:spacing w:val="25"/>
      </w:rPr>
      <w:t xml:space="preserve"> </w:t>
    </w:r>
    <w:r>
      <w:rPr>
        <w:sz w:val="18"/>
        <w:szCs w:val="18"/>
        <w:spacing w:val="15"/>
      </w:rPr>
      <w:t>²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41"/>
      <w:spacing w:before="49" w:line="221" w:lineRule="auto"/>
      <w:rPr>
        <w:sz w:val="18"/>
        <w:szCs w:val="18"/>
      </w:rPr>
    </w:pPr>
    <w:r>
      <w:pict>
        <v:shape id="WordPictureWatermark2" style="position:absolute;margin-left:20.4pt;margin-top:814.52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24.8955pt;margin-top:1.4681pt;mso-position-vertical-relative:text;mso-position-horizontal-relative:text;width:85.4pt;height:26.3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6" w:lineRule="auto"/>
                  <w:rPr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1"/>
                  </w:rPr>
                  <w:t>2021 </w:t>
                </w:r>
                <w:r>
                  <w:rPr>
                    <w:sz w:val="18"/>
                    <w:szCs w:val="18"/>
                    <w:spacing w:val="-1"/>
                  </w:rPr>
                  <w:t>年第</w:t>
                </w:r>
                <w:r>
                  <w:rPr>
                    <w:sz w:val="18"/>
                    <w:szCs w:val="18"/>
                    <w:spacing w:val="-3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1"/>
                  </w:rPr>
                  <w:t>5 </w:t>
                </w:r>
                <w:r>
                  <w:rPr>
                    <w:sz w:val="18"/>
                    <w:szCs w:val="18"/>
                    <w:spacing w:val="-1"/>
                  </w:rPr>
                  <w:t>卷第</w:t>
                </w:r>
                <w:r>
                  <w:rPr>
                    <w:sz w:val="18"/>
                    <w:szCs w:val="18"/>
                    <w:spacing w:val="-40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1"/>
                  </w:rPr>
                  <w:t>7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8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</w:rPr>
                  <w:t>期</w:t>
                </w:r>
              </w:p>
              <w:p>
                <w:pPr>
                  <w:ind w:left="260"/>
                  <w:spacing w:before="54" w:line="234" w:lineRule="auto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2"/>
                  </w:rPr>
                  <w:t>2021 Vol.5 No.7</w:t>
                </w:r>
              </w:p>
            </w:txbxContent>
          </v:textbox>
        </v:shape>
      </w:pict>
    </w:r>
    <w:r>
      <w:rPr>
        <w:sz w:val="18"/>
        <w:szCs w:val="18"/>
        <w:spacing w:val="-1"/>
      </w:rPr>
      <w:t>现代医学与健康研究</w:t>
    </w:r>
  </w:p>
  <w:p>
    <w:pPr>
      <w:ind w:left="4133"/>
      <w:spacing w:before="68" w:line="219" w:lineRule="auto"/>
      <w:rPr>
        <w:rFonts w:ascii="Times New Roman" w:hAnsi="Times New Roman" w:eastAsia="Times New Roman" w:cs="Times New Roman"/>
        <w:sz w:val="18"/>
        <w:szCs w:val="18"/>
      </w:rPr>
    </w:pPr>
    <w:r>
      <w:pict>
        <v:shape id="_x0000_s6" style="position:absolute;margin-left:451.916pt;margin-top:0.459259pt;mso-position-vertical-relative:text;mso-position-horizontal-relative:text;width:81.75pt;height:12.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5" w:lineRule="auto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b/>
                    <w:bCs/>
                    <w:spacing w:val="-3"/>
                  </w:rPr>
                  <w:t>□</w:t>
                </w:r>
                <w:r>
                  <w:rPr>
                    <w:sz w:val="18"/>
                    <w:szCs w:val="18"/>
                    <w:spacing w:val="-3"/>
                  </w:rPr>
                  <w:t>专题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3"/>
                  </w:rPr>
                  <w:t>/Special  Topic</w:t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sz w:val="18"/>
        <w:szCs w:val="18"/>
      </w:rPr>
      <w:t>Modern Medicine and Health Resear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ch</w:t>
    </w:r>
  </w:p>
  <w:p>
    <w:pPr>
      <w:ind w:firstLine="413"/>
      <w:spacing w:line="47" w:lineRule="exact"/>
      <w:rPr/>
    </w:pPr>
    <w:r>
      <w:rPr>
        <w:position w:val="-1"/>
      </w:rPr>
      <w:pict>
        <v:shape id="_x0000_s8" style="mso-position-vertical-relative:line;mso-position-horizontal-relative:char;width:513.35pt;height:2.9pt;" fillcolor="#000000" filled="true" stroked="false" coordsize="10266,58" coordorigin="0,0" path="m0,57l10266,57l10266,43l0,43l0,57xem0,28l10266,28l10266,0l0,0l0,28xe"/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41"/>
      <w:spacing w:before="54" w:line="221" w:lineRule="auto"/>
      <w:rPr>
        <w:sz w:val="18"/>
        <w:szCs w:val="18"/>
      </w:rPr>
    </w:pPr>
    <w:r>
      <w:pict>
        <v:shape id="WordPictureWatermark12" style="position:absolute;margin-left:20.4pt;margin-top:814.52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444.582pt;margin-top:1.4681pt;mso-position-vertical-relative:text;mso-position-horizontal-relative:text;width:85.4pt;height:26.3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6" w:lineRule="auto"/>
                  <w:rPr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1"/>
                  </w:rPr>
                  <w:t>2021 </w:t>
                </w:r>
                <w:r>
                  <w:rPr>
                    <w:sz w:val="18"/>
                    <w:szCs w:val="18"/>
                    <w:spacing w:val="-1"/>
                  </w:rPr>
                  <w:t>年第</w:t>
                </w:r>
                <w:r>
                  <w:rPr>
                    <w:sz w:val="18"/>
                    <w:szCs w:val="18"/>
                    <w:spacing w:val="-3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1"/>
                  </w:rPr>
                  <w:t>5 </w:t>
                </w:r>
                <w:r>
                  <w:rPr>
                    <w:sz w:val="18"/>
                    <w:szCs w:val="18"/>
                    <w:spacing w:val="-1"/>
                  </w:rPr>
                  <w:t>卷第</w:t>
                </w:r>
                <w:r>
                  <w:rPr>
                    <w:sz w:val="18"/>
                    <w:szCs w:val="18"/>
                    <w:spacing w:val="-40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1"/>
                  </w:rPr>
                  <w:t>7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8"/>
                  </w:rPr>
                  <w:t xml:space="preserve"> </w:t>
                </w:r>
                <w:r>
                  <w:rPr>
                    <w:sz w:val="18"/>
                    <w:szCs w:val="18"/>
                    <w:spacing w:val="-1"/>
                  </w:rPr>
                  <w:t>期</w:t>
                </w:r>
              </w:p>
              <w:p>
                <w:pPr>
                  <w:ind w:left="260"/>
                  <w:spacing w:before="54" w:line="234" w:lineRule="auto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2"/>
                  </w:rPr>
                  <w:t>2021 Vol.5 No.7</w:t>
                </w:r>
              </w:p>
            </w:txbxContent>
          </v:textbox>
        </v:shape>
      </w:pict>
    </w:r>
    <w:r>
      <w:rPr>
        <w:sz w:val="18"/>
        <w:szCs w:val="18"/>
        <w:spacing w:val="-1"/>
      </w:rPr>
      <w:t>现代医学与健康研究</w:t>
    </w:r>
  </w:p>
  <w:p>
    <w:pPr>
      <w:ind w:left="4133"/>
      <w:spacing w:before="68" w:line="219" w:lineRule="auto"/>
      <w:rPr>
        <w:rFonts w:ascii="Times New Roman" w:hAnsi="Times New Roman" w:eastAsia="Times New Roman" w:cs="Times New Roman"/>
        <w:sz w:val="18"/>
        <w:szCs w:val="18"/>
      </w:rPr>
    </w:pPr>
    <w:r>
      <w:pict>
        <v:shape id="_x0000_s16" style="position:absolute;margin-left:22.3899pt;margin-top:0.459259pt;mso-position-vertical-relative:text;mso-position-horizontal-relative:text;width:79.35pt;height:12.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5" w:lineRule="auto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b/>
                    <w:bCs/>
                    <w:spacing w:val="-3"/>
                  </w:rPr>
                  <w:t>□</w:t>
                </w:r>
                <w:r>
                  <w:rPr>
                    <w:sz w:val="18"/>
                    <w:szCs w:val="18"/>
                    <w:spacing w:val="-3"/>
                  </w:rPr>
                  <w:t>专题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3"/>
                  </w:rPr>
                  <w:t>/Special Topic</w:t>
                </w:r>
              </w:p>
            </w:txbxContent>
          </v:textbox>
        </v:shape>
      </w:pict>
    </w:r>
    <w:r>
      <w:rPr>
        <w:rFonts w:ascii="Times New Roman" w:hAnsi="Times New Roman" w:eastAsia="Times New Roman" w:cs="Times New Roman"/>
        <w:sz w:val="18"/>
        <w:szCs w:val="18"/>
      </w:rPr>
      <w:t>Modern Medicine and Health Research</w:t>
    </w:r>
  </w:p>
  <w:p>
    <w:pPr>
      <w:ind w:firstLine="413"/>
      <w:spacing w:line="47" w:lineRule="exact"/>
      <w:rPr/>
    </w:pPr>
    <w:r>
      <w:rPr>
        <w:position w:val="-1"/>
      </w:rPr>
      <w:pict>
        <v:shape id="_x0000_s18" style="mso-position-vertical-relative:line;mso-position-horizontal-relative:char;width:513.35pt;height:2.9pt;" fillcolor="#000000" filled="true" stroked="false" coordsize="10266,58" coordorigin="0,0" path="m0,57l10266,57l10266,43l0,43l0,57xem0,28l10266,28l10266,0l0,0l0,28xe"/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2023-01-12T17:57:20Z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2025-10-28T21:31:16</vt:filetime>
  </property>
</Properties>
</file>