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spacing w:before="90" w:line="213" w:lineRule="auto"/>
        <w:jc w:val="right"/>
        <w:rPr>
          <w:sz w:val="16"/>
          <w:szCs w:val="16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  <w:position w:val="-1"/>
        </w:rPr>
        <w:t>·100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  <w:position w:val="-1"/>
        </w:rPr>
        <w:t>·          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  <w:position w:val="-1"/>
        </w:rPr>
        <w:t xml:space="preserve">                               </w:t>
      </w:r>
      <w:r>
        <w:rPr>
          <w:sz w:val="16"/>
          <w:szCs w:val="16"/>
          <w:u w:val="single" w:color="auto"/>
          <w:color w:val="231F20"/>
          <w:spacing w:val="-61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中国现代药物应用2021年12月第15卷第23期  Chin</w:t>
      </w:r>
      <w:r>
        <w:rPr>
          <w:sz w:val="16"/>
          <w:szCs w:val="16"/>
          <w:u w:val="single" w:color="auto"/>
          <w:color w:val="231F20"/>
          <w:spacing w:val="-40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J</w:t>
      </w:r>
      <w:r>
        <w:rPr>
          <w:sz w:val="16"/>
          <w:szCs w:val="16"/>
          <w:u w:val="single" w:color="auto"/>
          <w:color w:val="231F20"/>
          <w:spacing w:val="-33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Mod</w:t>
      </w:r>
      <w:r>
        <w:rPr>
          <w:sz w:val="16"/>
          <w:szCs w:val="16"/>
          <w:u w:val="single" w:color="auto"/>
          <w:color w:val="231F20"/>
          <w:spacing w:val="-35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Drug</w:t>
      </w:r>
      <w:r>
        <w:rPr>
          <w:sz w:val="16"/>
          <w:szCs w:val="16"/>
          <w:u w:val="single" w:color="auto"/>
          <w:color w:val="231F20"/>
          <w:spacing w:val="-37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Appl,</w:t>
      </w:r>
      <w:r>
        <w:rPr>
          <w:sz w:val="16"/>
          <w:szCs w:val="16"/>
          <w:u w:val="single" w:color="auto"/>
          <w:color w:val="231F20"/>
          <w:spacing w:val="-34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Dec</w:t>
      </w:r>
      <w:r>
        <w:rPr>
          <w:sz w:val="16"/>
          <w:szCs w:val="16"/>
          <w:u w:val="single" w:color="auto"/>
          <w:color w:val="231F20"/>
          <w:spacing w:val="-36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2021,</w:t>
      </w:r>
      <w:r>
        <w:rPr>
          <w:sz w:val="16"/>
          <w:szCs w:val="16"/>
          <w:u w:val="single" w:color="auto"/>
          <w:color w:val="231F20"/>
          <w:spacing w:val="-37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Vol.</w:t>
      </w:r>
      <w:r>
        <w:rPr>
          <w:sz w:val="16"/>
          <w:szCs w:val="16"/>
          <w:u w:val="single" w:color="auto"/>
          <w:color w:val="231F20"/>
          <w:spacing w:val="-24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15,</w:t>
      </w:r>
      <w:r>
        <w:rPr>
          <w:sz w:val="16"/>
          <w:szCs w:val="16"/>
          <w:u w:val="single" w:color="auto"/>
          <w:color w:val="231F20"/>
          <w:spacing w:val="-34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No.</w:t>
      </w:r>
      <w:r>
        <w:rPr>
          <w:sz w:val="16"/>
          <w:szCs w:val="16"/>
          <w:u w:val="single" w:color="auto"/>
          <w:color w:val="231F20"/>
          <w:spacing w:val="-36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23</w:t>
      </w:r>
    </w:p>
    <w:p>
      <w:pPr>
        <w:ind w:left="633" w:right="3169" w:hanging="2"/>
        <w:spacing w:before="170" w:line="229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  <w:color w:val="231F20"/>
          <w:spacing w:val="5"/>
        </w:rPr>
        <w:t>奥美拉唑肠溶片联合复方嗜酸乳杆菌片治疗</w:t>
      </w:r>
      <w:r>
        <w:rPr>
          <w:rFonts w:ascii="SimHei" w:hAnsi="SimHei" w:eastAsia="SimHei" w:cs="SimHei"/>
          <w:sz w:val="34"/>
          <w:szCs w:val="34"/>
          <w:color w:val="231F20"/>
          <w:spacing w:val="7"/>
        </w:rPr>
        <w:t xml:space="preserve"> </w:t>
      </w:r>
      <w:r>
        <w:rPr>
          <w:rFonts w:ascii="SimHei" w:hAnsi="SimHei" w:eastAsia="SimHei" w:cs="SimHei"/>
          <w:sz w:val="34"/>
          <w:szCs w:val="34"/>
          <w:color w:val="231F20"/>
          <w:spacing w:val="3"/>
        </w:rPr>
        <w:t>急性肠胃炎的应用效果</w:t>
      </w:r>
    </w:p>
    <w:p>
      <w:pPr>
        <w:pStyle w:val="BodyText"/>
        <w:ind w:left="623"/>
        <w:spacing w:before="266" w:line="193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3"/>
        </w:rPr>
        <w:t>孙佳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614" w:right="1635" w:firstLine="305"/>
        <w:spacing w:before="78" w:line="256" w:lineRule="auto"/>
        <w:jc w:val="both"/>
        <w:rPr/>
      </w:pPr>
      <w:r>
        <w:rPr>
          <w:rFonts w:ascii="Microsoft YaHei" w:hAnsi="Microsoft YaHei" w:eastAsia="Microsoft YaHei" w:cs="Microsoft YaHei"/>
          <w:color w:val="231F20"/>
          <w:spacing w:val="-2"/>
        </w:rPr>
        <w:t>【摘要】</w:t>
      </w:r>
      <w:r>
        <w:rPr>
          <w:rFonts w:ascii="Microsoft YaHei" w:hAnsi="Microsoft YaHei" w:eastAsia="Microsoft YaHei" w:cs="Microsoft YaHei"/>
          <w:color w:val="231F20"/>
          <w:spacing w:val="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目的   </w:t>
      </w:r>
      <w:r>
        <w:rPr>
          <w:color w:val="231F20"/>
          <w:spacing w:val="-2"/>
        </w:rPr>
        <w:t>观察奥美拉唑肠溶片联合复方嗜酸乳杆菌片治疗急</w:t>
      </w:r>
      <w:r>
        <w:rPr>
          <w:color w:val="231F20"/>
          <w:spacing w:val="-3"/>
        </w:rPr>
        <w:t>性肠胃炎的效果。</w:t>
      </w:r>
      <w:r>
        <w:rPr>
          <w:rFonts w:ascii="Microsoft YaHei" w:hAnsi="Microsoft YaHei" w:eastAsia="Microsoft YaHei" w:cs="Microsoft YaHei"/>
          <w:color w:val="231F20"/>
          <w:spacing w:val="-3"/>
        </w:rPr>
        <w:t>方法    </w:t>
      </w:r>
      <w:r>
        <w:rPr>
          <w:color w:val="231F20"/>
          <w:spacing w:val="-3"/>
        </w:rPr>
        <w:t>120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3"/>
        </w:rPr>
        <w:t>例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急性肠胃炎患者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3"/>
        </w:rPr>
        <w:t>,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3"/>
        </w:rPr>
        <w:t>根据治疗方法不同分为实验组和对照</w:t>
      </w:r>
      <w:r>
        <w:rPr>
          <w:color w:val="231F20"/>
          <w:spacing w:val="-4"/>
        </w:rPr>
        <w:t>组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4"/>
        </w:rPr>
        <w:t>,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4"/>
        </w:rPr>
        <w:t>每组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4"/>
        </w:rPr>
        <w:t>60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4"/>
        </w:rPr>
        <w:t>例。对照组餐后口服复方嗜酸乳杆菌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片治疗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"/>
        </w:rPr>
        <w:t>,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"/>
        </w:rPr>
        <w:t>实验组在对照组基础上增加奥美拉唑肠溶</w:t>
      </w:r>
      <w:r>
        <w:rPr>
          <w:color w:val="231F20"/>
          <w:spacing w:val="-2"/>
        </w:rPr>
        <w:t>片。比较两组治疗效果、治疗前后急性生理学及慢性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健康状况评分系统Ⅱ(</w:t>
      </w:r>
      <w:r>
        <w:rPr>
          <w:color w:val="231F20"/>
        </w:rPr>
        <w:t>APACHE</w:t>
      </w:r>
      <w:r>
        <w:rPr>
          <w:color w:val="231F20"/>
          <w:spacing w:val="4"/>
        </w:rPr>
        <w:t>Ⅱ)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4"/>
        </w:rPr>
        <w:t>评分、不良反应发生情况。</w:t>
      </w:r>
      <w:r>
        <w:rPr>
          <w:rFonts w:ascii="Microsoft YaHei" w:hAnsi="Microsoft YaHei" w:eastAsia="Microsoft YaHei" w:cs="Microsoft YaHei"/>
          <w:color w:val="231F20"/>
          <w:spacing w:val="4"/>
        </w:rPr>
        <w:t>结果   </w:t>
      </w:r>
      <w:r>
        <w:rPr>
          <w:color w:val="231F20"/>
          <w:spacing w:val="4"/>
        </w:rPr>
        <w:t>实验组治疗总有效</w:t>
      </w:r>
      <w:r>
        <w:rPr>
          <w:color w:val="231F20"/>
          <w:spacing w:val="3"/>
        </w:rPr>
        <w:t>率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3"/>
        </w:rPr>
        <w:t>96.67%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3"/>
        </w:rPr>
        <w:t>高于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对照组的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4"/>
        </w:rPr>
        <w:t>78.33%,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差异具有统计学意义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4"/>
        </w:rPr>
        <w:t>(</w:t>
      </w:r>
      <w:r>
        <w:rPr>
          <w:rFonts w:ascii="Times New Roman" w:hAnsi="Times New Roman" w:eastAsia="Times New Roman" w:cs="Times New Roman"/>
          <w:color w:val="231F20"/>
          <w:spacing w:val="-4"/>
        </w:rPr>
        <w:t>P&lt;</w:t>
      </w:r>
      <w:r>
        <w:rPr>
          <w:color w:val="231F20"/>
          <w:spacing w:val="-4"/>
        </w:rPr>
        <w:t>0.05)。治疗后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4"/>
        </w:rPr>
        <w:t>,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实验组患者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4"/>
        </w:rPr>
        <w:t>APACHEⅡ评分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4"/>
        </w:rPr>
        <w:t>(10.28</w:t>
      </w:r>
      <w:r>
        <w:rPr>
          <w:color w:val="231F20"/>
          <w:spacing w:val="-5"/>
        </w:rPr>
        <w:t>±1.96)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5"/>
        </w:rPr>
        <w:t>分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低于对照组的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7"/>
        </w:rPr>
        <w:t>(23.56±2.47)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7"/>
        </w:rPr>
        <w:t>分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7"/>
        </w:rPr>
        <w:t>,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差异具有统计学意义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7"/>
        </w:rPr>
        <w:t>(</w:t>
      </w:r>
      <w:r>
        <w:rPr>
          <w:rFonts w:ascii="Times New Roman" w:hAnsi="Times New Roman" w:eastAsia="Times New Roman" w:cs="Times New Roman"/>
          <w:color w:val="231F20"/>
          <w:spacing w:val="-7"/>
        </w:rPr>
        <w:t>t=</w:t>
      </w:r>
      <w:r>
        <w:rPr>
          <w:color w:val="231F20"/>
          <w:spacing w:val="-7"/>
        </w:rPr>
        <w:t>32.6232,</w:t>
      </w:r>
      <w:r>
        <w:rPr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P=</w:t>
      </w:r>
      <w:r>
        <w:rPr>
          <w:color w:val="231F20"/>
          <w:spacing w:val="-7"/>
        </w:rPr>
        <w:t>0.000&lt;0.05)。治疗期间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7"/>
        </w:rPr>
        <w:t>, 两组患者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均未出现不良反应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2"/>
        </w:rPr>
        <w:t>；治疗后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2"/>
        </w:rPr>
        <w:t>,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检查两组患者的尿常规、血</w:t>
      </w:r>
      <w:r>
        <w:rPr>
          <w:color w:val="231F20"/>
          <w:spacing w:val="-3"/>
        </w:rPr>
        <w:t>常规、心电图、肝肾功能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,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未出现异常情况。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结论   </w:t>
      </w:r>
      <w:r>
        <w:rPr>
          <w:color w:val="231F20"/>
          <w:spacing w:val="-1"/>
        </w:rPr>
        <w:t>急性肠胃炎使用奥美拉唑肠溶片联合复方嗜酸乳杆菌片治疗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"/>
        </w:rPr>
        <w:t>,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具有显</w:t>
      </w:r>
      <w:r>
        <w:rPr>
          <w:color w:val="231F20"/>
          <w:spacing w:val="-2"/>
        </w:rPr>
        <w:t>著的治疗效果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2"/>
        </w:rPr>
        <w:t>,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安全性高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2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值得推广。</w:t>
      </w:r>
    </w:p>
    <w:p>
      <w:pPr>
        <w:pStyle w:val="BodyText"/>
        <w:ind w:left="920"/>
        <w:spacing w:before="26" w:line="206" w:lineRule="auto"/>
        <w:rPr/>
      </w:pPr>
      <w:r>
        <w:rPr>
          <w:rFonts w:ascii="Microsoft YaHei" w:hAnsi="Microsoft YaHei" w:eastAsia="Microsoft YaHei" w:cs="Microsoft YaHei"/>
          <w:color w:val="231F20"/>
          <w:spacing w:val="-6"/>
        </w:rPr>
        <w:t>【关键词】  </w:t>
      </w:r>
      <w:r>
        <w:rPr>
          <w:color w:val="231F20"/>
          <w:spacing w:val="-6"/>
        </w:rPr>
        <w:t>急性肠胃炎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6"/>
        </w:rPr>
        <w:t>；奥美拉唑肠溶片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6"/>
        </w:rPr>
        <w:t>；复方嗜酸乳杆菌片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6"/>
        </w:rPr>
        <w:t>；治疗效果</w:t>
      </w:r>
    </w:p>
    <w:p>
      <w:pPr>
        <w:pStyle w:val="BodyText"/>
        <w:ind w:left="987"/>
        <w:spacing w:before="14" w:line="242" w:lineRule="auto"/>
        <w:rPr/>
      </w:pPr>
      <w:r>
        <w:rPr>
          <w:color w:val="231F20"/>
          <w:spacing w:val="-12"/>
        </w:rPr>
        <w:t>DOI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2"/>
        </w:rPr>
        <w:t>：10.14164/j.cnki.cn11-5</w:t>
      </w:r>
      <w:r>
        <w:rPr>
          <w:color w:val="231F20"/>
          <w:spacing w:val="-13"/>
        </w:rPr>
        <w:t>581/r.2021.23.036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ind w:left="611" w:right="1701" w:firstLine="2"/>
        <w:spacing w:before="52" w:line="307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Application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omepr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azole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enteric-coated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tablets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combined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compound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eosinophil-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lactobacillus tablets in the treatment of acute gastroenteritis   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UN Jia. First Aid Station, Shenyang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Taoxian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International Airport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Co.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 xml:space="preserve"> Ltd, Shenyang 110000,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China</w:t>
      </w:r>
    </w:p>
    <w:p>
      <w:pPr>
        <w:pStyle w:val="BodyText"/>
        <w:ind w:left="920"/>
        <w:spacing w:before="1" w:line="203" w:lineRule="auto"/>
        <w:rPr/>
      </w:pPr>
      <w:r>
        <w:rPr>
          <w:rFonts w:ascii="Microsoft YaHei" w:hAnsi="Microsoft YaHei" w:eastAsia="Microsoft YaHei" w:cs="Microsoft YaHei"/>
          <w:color w:val="231F20"/>
          <w:spacing w:val="-9"/>
        </w:rPr>
        <w:t>【Abstract】</w:t>
      </w:r>
      <w:r>
        <w:rPr>
          <w:rFonts w:ascii="Microsoft YaHei" w:hAnsi="Microsoft YaHei" w:eastAsia="Microsoft YaHei" w:cs="Microsoft YaHei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9"/>
        </w:rPr>
        <w:t>Objective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  </w:t>
      </w:r>
      <w:r>
        <w:rPr>
          <w:color w:val="231F20"/>
          <w:spacing w:val="-9"/>
        </w:rPr>
        <w:t>To observe the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effect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9"/>
        </w:rPr>
        <w:t>omeprazol</w:t>
      </w:r>
      <w:r>
        <w:rPr>
          <w:color w:val="231F20"/>
          <w:spacing w:val="-10"/>
        </w:rPr>
        <w:t>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enteric-coated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tablets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combined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with</w:t>
      </w:r>
    </w:p>
    <w:p>
      <w:pPr>
        <w:pStyle w:val="BodyText"/>
        <w:ind w:left="618"/>
        <w:spacing w:before="32" w:line="206" w:lineRule="auto"/>
        <w:rPr/>
      </w:pPr>
      <w:r>
        <w:rPr>
          <w:color w:val="231F20"/>
          <w:spacing w:val="-13"/>
        </w:rPr>
        <w:t>compound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3"/>
        </w:rPr>
        <w:t>eosinophil-lactobacillus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3"/>
        </w:rPr>
        <w:t>tablets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3"/>
        </w:rPr>
        <w:t>treatment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3"/>
        </w:rPr>
        <w:t>acute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3"/>
        </w:rPr>
        <w:t>gast</w:t>
      </w:r>
      <w:r>
        <w:rPr>
          <w:color w:val="231F20"/>
          <w:spacing w:val="-14"/>
        </w:rPr>
        <w:t>roenteritis. </w:t>
      </w:r>
      <w:r>
        <w:rPr>
          <w:rFonts w:ascii="Microsoft YaHei" w:hAnsi="Microsoft YaHei" w:eastAsia="Microsoft YaHei" w:cs="Microsoft YaHei"/>
          <w:color w:val="231F20"/>
          <w:spacing w:val="-14"/>
        </w:rPr>
        <w:t>Methods    </w:t>
      </w:r>
      <w:r>
        <w:rPr>
          <w:color w:val="231F20"/>
          <w:spacing w:val="-14"/>
        </w:rPr>
        <w:t>A total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4"/>
        </w:rPr>
        <w:t>of</w:t>
      </w:r>
    </w:p>
    <w:p>
      <w:pPr>
        <w:pStyle w:val="BodyText"/>
        <w:ind w:left="616" w:right="1698" w:firstLine="16"/>
        <w:spacing w:before="10" w:line="273" w:lineRule="auto"/>
        <w:jc w:val="both"/>
        <w:rPr/>
      </w:pPr>
      <w:r>
        <w:rPr>
          <w:color w:val="231F20"/>
          <w:spacing w:val="-14"/>
        </w:rPr>
        <w:t>120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4"/>
        </w:rPr>
        <w:t>patients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4"/>
        </w:rPr>
        <w:t>with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4"/>
        </w:rPr>
        <w:t>acute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4"/>
        </w:rPr>
        <w:t>gastroenteritis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4"/>
        </w:rPr>
        <w:t>were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4"/>
        </w:rPr>
        <w:t>divided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4"/>
        </w:rPr>
        <w:t>into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4"/>
        </w:rPr>
        <w:t>experimental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4"/>
        </w:rPr>
        <w:t>group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4"/>
        </w:rPr>
        <w:t>c</w:t>
      </w:r>
      <w:r>
        <w:rPr>
          <w:color w:val="231F20"/>
          <w:spacing w:val="-15"/>
        </w:rPr>
        <w:t>ontrol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5"/>
        </w:rPr>
        <w:t>group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5"/>
        </w:rPr>
        <w:t>according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5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different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5"/>
        </w:rPr>
        <w:t>treatment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5"/>
        </w:rPr>
        <w:t>methods,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5"/>
        </w:rPr>
        <w:t>with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5"/>
        </w:rPr>
        <w:t>60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5"/>
        </w:rPr>
        <w:t>cases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5"/>
        </w:rPr>
        <w:t>in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5"/>
        </w:rPr>
        <w:t>each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5"/>
        </w:rPr>
        <w:t>group.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5"/>
        </w:rPr>
        <w:t>control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5"/>
        </w:rPr>
        <w:t>group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5"/>
        </w:rPr>
        <w:t>was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5"/>
        </w:rPr>
        <w:t>treated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5"/>
        </w:rPr>
        <w:t>with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5"/>
        </w:rPr>
        <w:t>compound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5"/>
        </w:rPr>
        <w:t>eosinophil-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lactobacillus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4"/>
        </w:rPr>
        <w:t>tablets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4"/>
        </w:rPr>
        <w:t>after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4"/>
        </w:rPr>
        <w:t>meals,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5"/>
        </w:rPr>
        <w:t>experimental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5"/>
        </w:rPr>
        <w:t>group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5"/>
        </w:rPr>
        <w:t>added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5"/>
        </w:rPr>
        <w:t>omeprazole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5"/>
        </w:rPr>
        <w:t>enteric-coated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5"/>
        </w:rPr>
        <w:t>tablets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5"/>
        </w:rPr>
        <w:t>on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basis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5"/>
        </w:rPr>
        <w:t>control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5"/>
        </w:rPr>
        <w:t>gro</w:t>
      </w:r>
      <w:r>
        <w:rPr>
          <w:color w:val="231F20"/>
          <w:spacing w:val="-16"/>
        </w:rPr>
        <w:t>up.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6"/>
        </w:rPr>
        <w:t>therapeutic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6"/>
        </w:rPr>
        <w:t>effects,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6"/>
        </w:rPr>
        <w:t>acute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6"/>
        </w:rPr>
        <w:t>physiology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6"/>
        </w:rPr>
        <w:t>and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6"/>
        </w:rPr>
        <w:t>chronic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6"/>
        </w:rPr>
        <w:t>health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6"/>
        </w:rPr>
        <w:t>evaluation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6"/>
        </w:rPr>
        <w:t>Ⅱ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6"/>
        </w:rPr>
        <w:t>(APACHE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Ⅱ)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4"/>
        </w:rPr>
        <w:t>scores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4"/>
        </w:rPr>
        <w:t>before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4"/>
        </w:rPr>
        <w:t>after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4"/>
        </w:rPr>
        <w:t>treatment,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4"/>
        </w:rPr>
        <w:t>occurrence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4"/>
        </w:rPr>
        <w:t>adverse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4"/>
        </w:rPr>
        <w:t>reactions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4"/>
        </w:rPr>
        <w:t>were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4"/>
        </w:rPr>
        <w:t>compared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4"/>
        </w:rPr>
        <w:t>between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4"/>
        </w:rPr>
        <w:t>two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groups.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Results   </w:t>
      </w:r>
      <w:r>
        <w:rPr>
          <w:color w:val="231F20"/>
          <w:spacing w:val="-14"/>
        </w:rPr>
        <w:t>The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4"/>
        </w:rPr>
        <w:t>total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4"/>
        </w:rPr>
        <w:t>effective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4"/>
        </w:rPr>
        <w:t>rate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4"/>
        </w:rPr>
        <w:t>treatment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4"/>
        </w:rPr>
        <w:t>96.67%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4"/>
        </w:rPr>
        <w:t>in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4"/>
        </w:rPr>
        <w:t>experimental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4"/>
        </w:rPr>
        <w:t>group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4"/>
        </w:rPr>
        <w:t>was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4"/>
        </w:rPr>
        <w:t>higher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4"/>
        </w:rPr>
        <w:t>than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4"/>
        </w:rPr>
        <w:t>78.33%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in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6"/>
        </w:rPr>
        <w:t>control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6"/>
        </w:rPr>
        <w:t>group,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6"/>
        </w:rPr>
        <w:t>and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6"/>
        </w:rPr>
        <w:t>difference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6"/>
        </w:rPr>
        <w:t>was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6"/>
        </w:rPr>
        <w:t>statistically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6"/>
        </w:rPr>
        <w:t>significant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6"/>
        </w:rPr>
        <w:t>(</w:t>
      </w:r>
      <w:r>
        <w:rPr>
          <w:rFonts w:ascii="Times New Roman" w:hAnsi="Times New Roman" w:eastAsia="Times New Roman" w:cs="Times New Roman"/>
          <w:color w:val="231F20"/>
          <w:spacing w:val="-16"/>
        </w:rPr>
        <w:t>P&lt;</w:t>
      </w:r>
      <w:r>
        <w:rPr>
          <w:color w:val="231F20"/>
          <w:spacing w:val="-16"/>
        </w:rPr>
        <w:t>0.05).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6"/>
        </w:rPr>
        <w:t>A</w:t>
      </w:r>
      <w:r>
        <w:rPr>
          <w:color w:val="231F20"/>
          <w:spacing w:val="-17"/>
        </w:rPr>
        <w:t>fter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7"/>
        </w:rPr>
        <w:t>treatment,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7"/>
        </w:rPr>
        <w:t>APACHEⅡ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score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5"/>
        </w:rPr>
        <w:t>(10.28±1.96)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5"/>
        </w:rPr>
        <w:t>points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5"/>
        </w:rPr>
        <w:t>e</w:t>
      </w:r>
      <w:r>
        <w:rPr>
          <w:color w:val="231F20"/>
          <w:spacing w:val="-16"/>
        </w:rPr>
        <w:t>xperimental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6"/>
        </w:rPr>
        <w:t>group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6"/>
        </w:rPr>
        <w:t>was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6"/>
        </w:rPr>
        <w:t>lower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6"/>
        </w:rPr>
        <w:t>than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6"/>
        </w:rPr>
        <w:t>(23.56±2.47)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6"/>
        </w:rPr>
        <w:t>points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6"/>
        </w:rPr>
        <w:t>control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6"/>
        </w:rPr>
        <w:t>group,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and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6"/>
        </w:rPr>
        <w:t>difference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6"/>
        </w:rPr>
        <w:t>was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6"/>
        </w:rPr>
        <w:t>statistically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6"/>
        </w:rPr>
        <w:t>significant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6"/>
        </w:rPr>
        <w:t>(</w:t>
      </w:r>
      <w:r>
        <w:rPr>
          <w:rFonts w:ascii="Times New Roman" w:hAnsi="Times New Roman" w:eastAsia="Times New Roman" w:cs="Times New Roman"/>
          <w:color w:val="231F20"/>
          <w:spacing w:val="-16"/>
        </w:rPr>
        <w:t>t=</w:t>
      </w:r>
      <w:r>
        <w:rPr>
          <w:color w:val="231F20"/>
          <w:spacing w:val="-16"/>
        </w:rPr>
        <w:t>32.623</w:t>
      </w:r>
      <w:r>
        <w:rPr>
          <w:color w:val="231F20"/>
          <w:spacing w:val="-17"/>
        </w:rPr>
        <w:t>2,</w:t>
      </w:r>
      <w:r>
        <w:rPr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7"/>
        </w:rPr>
        <w:t>P=</w:t>
      </w:r>
      <w:r>
        <w:rPr>
          <w:color w:val="231F20"/>
          <w:spacing w:val="-17"/>
        </w:rPr>
        <w:t>0.000&lt;0.05).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7"/>
        </w:rPr>
        <w:t>During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7"/>
        </w:rPr>
        <w:t>treatment,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7"/>
        </w:rPr>
        <w:t>there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7"/>
        </w:rPr>
        <w:t>were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7"/>
        </w:rPr>
        <w:t>no</w:t>
      </w:r>
      <w:r>
        <w:rPr>
          <w:color w:val="231F20"/>
        </w:rPr>
        <w:t xml:space="preserve"> </w:t>
      </w:r>
      <w:r>
        <w:rPr>
          <w:color w:val="231F20"/>
          <w:spacing w:val="-19"/>
        </w:rPr>
        <w:t>adverse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9"/>
        </w:rPr>
        <w:t>reactions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9"/>
        </w:rPr>
        <w:t>in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9"/>
        </w:rPr>
        <w:t>the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9"/>
        </w:rPr>
        <w:t>two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9"/>
        </w:rPr>
        <w:t>groups;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9"/>
        </w:rPr>
        <w:t>after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9"/>
        </w:rPr>
        <w:t>the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9"/>
        </w:rPr>
        <w:t>treatment,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9"/>
        </w:rPr>
        <w:t>the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9"/>
        </w:rPr>
        <w:t>urine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9"/>
        </w:rPr>
        <w:t>rou</w:t>
      </w:r>
      <w:r>
        <w:rPr>
          <w:color w:val="231F20"/>
          <w:spacing w:val="-20"/>
        </w:rPr>
        <w:t>tine,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0"/>
        </w:rPr>
        <w:t>blood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0"/>
        </w:rPr>
        <w:t>routine,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0"/>
        </w:rPr>
        <w:t>electrocardiogram,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0"/>
        </w:rPr>
        <w:t>liver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2"/>
        </w:rPr>
        <w:t>kidney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2"/>
        </w:rPr>
        <w:t>function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2"/>
        </w:rPr>
        <w:t>two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2"/>
        </w:rPr>
        <w:t>groups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2"/>
        </w:rPr>
        <w:t>were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2"/>
        </w:rPr>
        <w:t>checked,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2"/>
        </w:rPr>
        <w:t>there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2"/>
        </w:rPr>
        <w:t>were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2"/>
        </w:rPr>
        <w:t>no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2"/>
        </w:rPr>
        <w:t>abnormalities.</w:t>
      </w:r>
      <w:r>
        <w:rPr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Conclusi</w:t>
      </w:r>
      <w:r>
        <w:rPr>
          <w:rFonts w:ascii="Microsoft YaHei" w:hAnsi="Microsoft YaHei" w:eastAsia="Microsoft YaHei" w:cs="Microsoft YaHei"/>
          <w:color w:val="231F20"/>
          <w:spacing w:val="-13"/>
        </w:rPr>
        <w:t>on   </w:t>
      </w:r>
      <w:r>
        <w:rPr>
          <w:color w:val="231F20"/>
          <w:spacing w:val="-13"/>
        </w:rPr>
        <w:t>Omeprazole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enteric-coated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7"/>
        </w:rPr>
        <w:t>tablets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7"/>
        </w:rPr>
        <w:t>in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7"/>
        </w:rPr>
        <w:t>combination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7"/>
        </w:rPr>
        <w:t>with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7"/>
        </w:rPr>
        <w:t>compound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7"/>
        </w:rPr>
        <w:t>eosinophil-lactobacillus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7"/>
        </w:rPr>
        <w:t>tablets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8"/>
        </w:rPr>
        <w:t>has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8"/>
        </w:rPr>
        <w:t>significant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8"/>
        </w:rPr>
        <w:t>therapeutic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effect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8"/>
        </w:rPr>
        <w:t>on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8"/>
        </w:rPr>
        <w:t>the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8"/>
        </w:rPr>
        <w:t>treatment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8"/>
        </w:rPr>
        <w:t>of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-18"/>
        </w:rPr>
        <w:t>ac</w:t>
      </w:r>
      <w:r>
        <w:rPr>
          <w:color w:val="231F20"/>
          <w:spacing w:val="-19"/>
        </w:rPr>
        <w:t>ute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9"/>
        </w:rPr>
        <w:t>gastroenteritis,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9"/>
        </w:rPr>
        <w:t>and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9"/>
        </w:rPr>
        <w:t>it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9"/>
        </w:rPr>
        <w:t>has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9"/>
        </w:rPr>
        <w:t>high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9"/>
        </w:rPr>
        <w:t>safety,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9"/>
        </w:rPr>
        <w:t>which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9"/>
        </w:rPr>
        <w:t>is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9"/>
        </w:rPr>
        <w:t>worthy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9"/>
        </w:rPr>
        <w:t>of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-19"/>
        </w:rPr>
        <w:t>promotion.</w:t>
      </w:r>
    </w:p>
    <w:p>
      <w:pPr>
        <w:pStyle w:val="BodyText"/>
        <w:ind w:left="920"/>
        <w:spacing w:before="1" w:line="203" w:lineRule="auto"/>
        <w:rPr/>
      </w:pPr>
      <w:r>
        <w:rPr>
          <w:rFonts w:ascii="Microsoft YaHei" w:hAnsi="Microsoft YaHei" w:eastAsia="Microsoft YaHei" w:cs="Microsoft YaHei"/>
          <w:color w:val="231F20"/>
          <w:spacing w:val="-7"/>
        </w:rPr>
        <w:t>【Key</w:t>
      </w:r>
      <w:r>
        <w:rPr>
          <w:rFonts w:ascii="Microsoft YaHei" w:hAnsi="Microsoft YaHei" w:eastAsia="Microsoft YaHei" w:cs="Microsoft YaHei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words】</w:t>
      </w:r>
      <w:r>
        <w:rPr>
          <w:rFonts w:ascii="Microsoft YaHei" w:hAnsi="Microsoft YaHei" w:eastAsia="Microsoft YaHei" w:cs="Microsoft YaHei"/>
          <w:color w:val="231F20"/>
          <w:spacing w:val="10"/>
        </w:rPr>
        <w:t xml:space="preserve">  </w:t>
      </w:r>
      <w:r>
        <w:rPr>
          <w:color w:val="231F20"/>
          <w:spacing w:val="-7"/>
        </w:rPr>
        <w:t>Acute gastroenteritis</w:t>
      </w:r>
      <w:r>
        <w:rPr>
          <w:color w:val="231F20"/>
          <w:spacing w:val="-8"/>
        </w:rPr>
        <w:t>; Omeprazole enteric-coated tablets; Compound eosinophil-</w:t>
      </w:r>
    </w:p>
    <w:p>
      <w:pPr>
        <w:pStyle w:val="BodyText"/>
        <w:ind w:left="616"/>
        <w:spacing w:before="32" w:line="242" w:lineRule="auto"/>
        <w:rPr/>
      </w:pPr>
      <w:r>
        <w:rPr>
          <w:color w:val="231F20"/>
          <w:spacing w:val="-21"/>
        </w:rPr>
        <w:t>lactobacillus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1"/>
        </w:rPr>
        <w:t>tablets;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21"/>
        </w:rPr>
        <w:t>Therapeutic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21"/>
        </w:rPr>
        <w:t>effect</w:t>
      </w:r>
    </w:p>
    <w:p>
      <w:pPr>
        <w:spacing w:before="22"/>
        <w:rPr/>
      </w:pPr>
      <w:r/>
    </w:p>
    <w:p>
      <w:pPr>
        <w:sectPr>
          <w:headerReference w:type="default" r:id="rId1"/>
          <w:pgSz w:w="11906" w:h="16838"/>
          <w:pgMar w:top="400" w:right="1132" w:bottom="0" w:left="407" w:header="0" w:footer="0" w:gutter="0"/>
          <w:cols w:equalWidth="0" w:num="1">
            <w:col w:w="10365" w:space="0"/>
          </w:cols>
        </w:sectPr>
        <w:rPr/>
      </w:pPr>
    </w:p>
    <w:p>
      <w:pPr>
        <w:ind w:left="615" w:right="242" w:firstLine="424"/>
        <w:spacing w:before="42" w:line="21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急性肠胃炎是一种非常普遍的疾病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多发季节是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夏季和秋季 , 多由患者饮食不规律 , 吃不干净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的食物导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致。患者的主要症状是腹泻、发热、呕吐等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position w:val="9"/>
        </w:rPr>
        <w:t>［1］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。如果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不能及时治疗 , 会导致水电解质失调 , 肠道穿孔等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患者自身健康造成严重威胁。当前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针对急性肠胃炎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的常用治疗药物是复方嗜酸乳杆菌片 , 该药物属于肠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道菌群调节剂 , 可一定程度改善患者肠胃炎症状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, 但由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于急性肠胃炎发病急骤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因此治疗效果有限 , 且长时间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使用复方嗜酸乳杆菌片不良反应较多。奥美拉唑肠溶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7"/>
        <w:spacing w:before="39" w:line="20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片属于一种常见质子泵抑制剂 , 其属于碱性药物 , 适用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于胃溃疡、十二指肠溃疡、应激性溃疡、反流性食管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炎以及卓 - 艾综合征 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胃泌素瘤 )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4"/>
          <w:position w:val="9"/>
        </w:rPr>
        <w:t>［2］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。本次研究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针对本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院收治的部分急性肠胃炎患者使用复方嗜酸乳杆片联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合奥美拉唑肠溶片治疗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发现同单独应用复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方嗜酸乳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杆菌片对比 , 治疗效果明显 , 详细情况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报告如下。</w:t>
      </w:r>
    </w:p>
    <w:p>
      <w:pPr>
        <w:ind w:left="16"/>
        <w:spacing w:before="1" w:line="20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资料与方法</w:t>
      </w:r>
    </w:p>
    <w:p>
      <w:pPr>
        <w:pStyle w:val="BodyText"/>
        <w:ind w:left="7" w:firstLine="8"/>
        <w:spacing w:before="2" w:line="21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1.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  </w:t>
      </w:r>
      <w:r>
        <w:rPr>
          <w:sz w:val="20"/>
          <w:szCs w:val="20"/>
          <w:color w:val="231F20"/>
          <w:spacing w:val="-9"/>
        </w:rPr>
        <w:t>一般资料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选取本院 2018 年 7 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~2019 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收治的 120 例急性肠胃炎患者作为研究对象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所有患</w:t>
      </w:r>
    </w:p>
    <w:p>
      <w:pPr>
        <w:spacing w:line="213" w:lineRule="auto"/>
        <w:sectPr>
          <w:type w:val="continuous"/>
          <w:pgSz w:w="11906" w:h="16838"/>
          <w:pgMar w:top="400" w:right="1132" w:bottom="0" w:left="407" w:header="0" w:footer="0" w:gutter="0"/>
          <w:cols w:equalWidth="0" w:num="2">
            <w:col w:w="5562" w:space="100"/>
            <w:col w:w="4704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>
        <w:pict>
          <v:shape id="_x0000_s4" style="position:absolute;margin-left:30.8361pt;margin-top:2.58751pt;mso-position-vertical-relative:text;mso-position-horizontal-relative:text;width:70.9pt;height:0.45pt;z-index:251658240;" filled="false" strokecolor="#231F20" strokeweight="0.43pt" coordsize="1418,8" coordorigin="0,0" path="m0,4l1417,4e">
            <v:stroke joinstyle="miter" miterlimit="10"/>
          </v:shape>
        </w:pict>
      </w:r>
      <w:r/>
    </w:p>
    <w:p>
      <w:pPr>
        <w:pStyle w:val="BodyText"/>
        <w:ind w:left="898"/>
        <w:spacing w:before="53" w:line="17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作者单位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2"/>
        </w:rPr>
        <w:t>：110000  沈阳桃仙国际机场股份有限公司急救站</w:t>
      </w:r>
    </w:p>
    <w:p>
      <w:pPr>
        <w:spacing w:line="178" w:lineRule="auto"/>
        <w:sectPr>
          <w:type w:val="continuous"/>
          <w:pgSz w:w="11906" w:h="16838"/>
          <w:pgMar w:top="400" w:right="1132" w:bottom="0" w:left="407" w:header="0" w:footer="0" w:gutter="0"/>
          <w:cols w:equalWidth="0" w:num="1">
            <w:col w:w="10365" w:space="0"/>
          </w:cols>
        </w:sectPr>
        <w:rPr>
          <w:sz w:val="16"/>
          <w:szCs w:val="16"/>
        </w:rPr>
      </w:pPr>
    </w:p>
    <w:p>
      <w:pPr>
        <w:spacing w:line="173" w:lineRule="exact"/>
        <w:rPr/>
      </w:pPr>
      <w:r/>
    </w:p>
    <w:p>
      <w:pPr>
        <w:spacing w:line="173" w:lineRule="exact"/>
        <w:sectPr>
          <w:headerReference w:type="default" r:id="rId2"/>
          <w:pgSz w:w="11906" w:h="16838"/>
          <w:pgMar w:top="1363" w:right="943" w:bottom="0" w:left="407" w:header="1040" w:footer="0" w:gutter="0"/>
          <w:cols w:equalWidth="0" w:num="1">
            <w:col w:w="10555" w:space="0"/>
          </w:cols>
        </w:sectPr>
        <w:rPr/>
      </w:pPr>
    </w:p>
    <w:p>
      <w:pPr>
        <w:ind w:left="728" w:right="175" w:firstLine="3"/>
        <w:spacing w:before="42" w:line="20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者均符合急性肠胃炎临床诊断标准 , 并经实验室检验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证明。根据治疗方法不同将患者分为实验组和对照组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每组 60 例。实验组男 34 例 , 女 26 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；年龄 19~45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岁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平均年龄 (21.53±7.83) 岁 ；平均病程 (5.82±1.65)d,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分 (4.72±2.16) 分。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男 36 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,  女 24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例 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年龄 20~46 岁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平均年龄 (21.6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4±8.13) 岁 ；平均病程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(5.96±1.82)d, 症状积分 (4.85±2.25) 分。两组一般资料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比较 , 差异无统计学意义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P&gt;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0.05), 具有可比性。</w:t>
      </w:r>
    </w:p>
    <w:p>
      <w:pPr>
        <w:pStyle w:val="BodyText"/>
        <w:ind w:left="729" w:right="242" w:firstLine="15"/>
        <w:spacing w:before="4" w:line="20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1. 2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  </w:t>
      </w:r>
      <w:r>
        <w:rPr>
          <w:sz w:val="20"/>
          <w:szCs w:val="20"/>
          <w:color w:val="231F20"/>
          <w:spacing w:val="5"/>
        </w:rPr>
        <w:t>治疗方法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对照组餐后口服复方嗜酸乳杆菌片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通化金马药业集团股份有限公司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, 国药准字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H10940114,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规格 ：500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mg) 治疗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1.0 g/ 次 , 3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次 /d ；实验组在对照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组基础上增加奥美拉唑肠溶片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山西云鹏制药有限公司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国药准字 H20123239, 规格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：20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mg),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复方嗜酸乳杆菌片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服用方法和剂量同对照组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空腹吞服奥美拉唑肠溶片</w:t>
      </w:r>
    </w:p>
    <w:p>
      <w:pPr>
        <w:ind w:left="732"/>
        <w:spacing w:before="12" w:line="18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20 mg/ 次 , 1 次 /d。两组患者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均连续用药 2 周。</w:t>
      </w:r>
    </w:p>
    <w:p>
      <w:pPr>
        <w:pStyle w:val="BodyText"/>
        <w:ind w:left="745"/>
        <w:spacing w:before="25" w:line="21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1. 3   </w:t>
      </w:r>
      <w:r>
        <w:rPr>
          <w:sz w:val="20"/>
          <w:szCs w:val="20"/>
          <w:color w:val="231F20"/>
          <w:spacing w:val="-3"/>
        </w:rPr>
        <w:t>观察指标及判定标准</w:t>
      </w:r>
      <w:r>
        <w:rPr>
          <w:sz w:val="20"/>
          <w:szCs w:val="20"/>
          <w:color w:val="231F20"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比较两组治疗效果、治疗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1"/>
        <w:spacing w:before="44" w:line="214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前后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APACHE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Ⅱ评分、不良反应发生情况。疗效判定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标准 ：两组患者治疗前后的症状情况使用 APACHEⅡ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进行评价 ：显效 ：治疗后 , 患者临床症状完全消失 , 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能、肠胃消化功能恢复正常 , 症状评分减少 &gt;70% ；有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效 ：治疗后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患者临床症状改善 , 小便基本正常 , 体能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和消化功能改善显著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临床症状评分减少 50%~70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% 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无效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：患者临床症状和肠胃消化能力没有显著改善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或加重 , 症状评分减少 &lt;50%。</w:t>
      </w:r>
      <w:r>
        <w:rPr>
          <w:sz w:val="20"/>
          <w:szCs w:val="20"/>
          <w:color w:val="231F20"/>
          <w:spacing w:val="-4"/>
        </w:rPr>
        <w:t>总有效率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4"/>
        </w:rPr>
        <w:t>=</w:t>
      </w:r>
      <w:r>
        <w:rPr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  <w:spacing w:val="-4"/>
        </w:rPr>
        <w:t>显效率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4"/>
        </w:rPr>
        <w:t>+</w:t>
      </w:r>
      <w:r>
        <w:rPr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  <w:spacing w:val="-4"/>
        </w:rPr>
        <w:t>有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效率。</w:t>
      </w:r>
    </w:p>
    <w:p>
      <w:pPr>
        <w:pStyle w:val="BodyText"/>
        <w:ind w:right="10" w:firstLine="17"/>
        <w:spacing w:before="7" w:line="215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1. 4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  </w:t>
      </w:r>
      <w:r>
        <w:rPr>
          <w:sz w:val="20"/>
          <w:szCs w:val="20"/>
          <w:color w:val="231F20"/>
        </w:rPr>
        <w:t>统计学方法  采用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</w:rPr>
        <w:t>SPSS15.0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</w:rPr>
        <w:t>统计学软件处理数 </w:t>
      </w:r>
      <w:r>
        <w:rPr>
          <w:sz w:val="20"/>
          <w:szCs w:val="20"/>
          <w:color w:val="231F20"/>
          <w:spacing w:val="-10"/>
        </w:rPr>
        <w:t>据。计量资料以均数 ±</w:t>
      </w:r>
      <w:r>
        <w:rPr>
          <w:sz w:val="20"/>
          <w:szCs w:val="20"/>
          <w:color w:val="231F20"/>
          <w:spacing w:val="-64"/>
        </w:rPr>
        <w:t xml:space="preserve"> </w:t>
      </w:r>
      <w:r>
        <w:rPr>
          <w:sz w:val="20"/>
          <w:szCs w:val="20"/>
          <w:color w:val="231F20"/>
          <w:spacing w:val="-10"/>
        </w:rPr>
        <w:t>标准差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(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>x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  <w:position w:val="7"/>
        </w:rPr>
        <w:t>-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±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>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)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10"/>
        </w:rPr>
        <w:t>表示,</w:t>
      </w:r>
      <w:r>
        <w:rPr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  <w:spacing w:val="-10"/>
        </w:rPr>
        <w:t>采用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10"/>
        </w:rPr>
        <w:t>检验；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计数资料以率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5"/>
        </w:rPr>
        <w:t>(%)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-5"/>
        </w:rPr>
        <w:t>表示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5"/>
        </w:rPr>
        <w:t>,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5"/>
        </w:rPr>
        <w:t>采用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5"/>
        </w:rPr>
        <w:t>χ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5"/>
          <w:position w:val="9"/>
        </w:rPr>
        <w:t>2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23"/>
          <w:w w:val="101"/>
          <w:position w:val="9"/>
        </w:rPr>
        <w:t xml:space="preserve"> </w:t>
      </w:r>
      <w:r>
        <w:rPr>
          <w:sz w:val="20"/>
          <w:szCs w:val="20"/>
          <w:color w:val="231F20"/>
          <w:spacing w:val="-5"/>
        </w:rPr>
        <w:t>检验。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P&lt;</w:t>
      </w:r>
      <w:r>
        <w:rPr>
          <w:sz w:val="20"/>
          <w:szCs w:val="20"/>
          <w:color w:val="231F20"/>
          <w:spacing w:val="-5"/>
        </w:rPr>
        <w:t>0.05</w:t>
      </w:r>
      <w:r>
        <w:rPr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  <w:spacing w:val="-5"/>
        </w:rPr>
        <w:t>表示差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异有统计学意义。</w:t>
      </w:r>
    </w:p>
    <w:p>
      <w:pPr>
        <w:ind w:left="6"/>
        <w:spacing w:before="23" w:line="210" w:lineRule="auto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结果</w:t>
      </w:r>
    </w:p>
    <w:p>
      <w:pPr>
        <w:pStyle w:val="BodyText"/>
        <w:ind w:left="5" w:right="78" w:firstLine="1"/>
        <w:spacing w:before="1" w:line="21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2. 1   </w:t>
      </w:r>
      <w:r>
        <w:rPr>
          <w:sz w:val="20"/>
          <w:szCs w:val="20"/>
          <w:color w:val="231F20"/>
          <w:spacing w:val="-1"/>
        </w:rPr>
        <w:t>两组治疗效果比较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实验组治疗总有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效率高于对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照组 , 差异具有统计学意义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P&lt;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0.05)。见表 1。</w:t>
      </w:r>
    </w:p>
    <w:p>
      <w:pPr>
        <w:spacing w:line="213" w:lineRule="auto"/>
        <w:sectPr>
          <w:type w:val="continuous"/>
          <w:pgSz w:w="11906" w:h="16838"/>
          <w:pgMar w:top="1363" w:right="943" w:bottom="0" w:left="407" w:header="1040" w:footer="0" w:gutter="0"/>
          <w:cols w:equalWidth="0" w:num="2">
            <w:col w:w="5674" w:space="100"/>
            <w:col w:w="4781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ind w:left="4355"/>
        <w:spacing w:before="52" w:line="185" w:lineRule="auto"/>
        <w:outlineLvl w:val="0"/>
        <w:rPr/>
      </w:pPr>
      <w:r>
        <w:rPr>
          <w:rFonts w:ascii="Microsoft YaHei" w:hAnsi="Microsoft YaHei" w:eastAsia="Microsoft YaHei" w:cs="Microsoft YaHei"/>
          <w:color w:val="231F20"/>
          <w:spacing w:val="-5"/>
        </w:rPr>
        <w:t>表 1</w:t>
      </w:r>
      <w:r>
        <w:rPr>
          <w:rFonts w:ascii="Microsoft YaHei" w:hAnsi="Microsoft YaHei" w:eastAsia="Microsoft YaHei" w:cs="Microsoft YaHei"/>
          <w:color w:val="231F20"/>
          <w:spacing w:val="11"/>
        </w:rPr>
        <w:t xml:space="preserve">   </w:t>
      </w:r>
      <w:r>
        <w:rPr>
          <w:color w:val="231F20"/>
          <w:spacing w:val="-5"/>
        </w:rPr>
        <w:t>两组治疗效果比较［n(%)］</w:t>
      </w:r>
    </w:p>
    <w:tbl>
      <w:tblPr>
        <w:tblStyle w:val="TableNormal"/>
        <w:tblW w:w="9751" w:type="dxa"/>
        <w:tblInd w:w="72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64"/>
        <w:gridCol w:w="1515"/>
        <w:gridCol w:w="1702"/>
        <w:gridCol w:w="1625"/>
        <w:gridCol w:w="1617"/>
        <w:gridCol w:w="1628"/>
      </w:tblGrid>
      <w:tr>
        <w:trPr>
          <w:trHeight w:val="295" w:hRule="atLeast"/>
        </w:trPr>
        <w:tc>
          <w:tcPr>
            <w:tcW w:w="166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55"/>
              <w:spacing w:before="69" w:line="212" w:lineRule="auto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tcW w:w="151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18"/>
              <w:spacing w:before="69" w:line="212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170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27"/>
              <w:spacing w:before="70" w:line="211" w:lineRule="auto"/>
              <w:rPr/>
            </w:pPr>
            <w:r>
              <w:rPr>
                <w:color w:val="231F20"/>
                <w:spacing w:val="-1"/>
              </w:rPr>
              <w:t>显效</w:t>
            </w:r>
          </w:p>
        </w:tc>
        <w:tc>
          <w:tcPr>
            <w:tcW w:w="162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50"/>
              <w:spacing w:before="70" w:line="211" w:lineRule="auto"/>
              <w:rPr/>
            </w:pPr>
            <w:r>
              <w:rPr>
                <w:color w:val="231F20"/>
                <w:spacing w:val="-1"/>
              </w:rPr>
              <w:t>有效</w:t>
            </w:r>
          </w:p>
        </w:tc>
        <w:tc>
          <w:tcPr>
            <w:tcW w:w="161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49"/>
              <w:spacing w:before="70" w:line="211" w:lineRule="auto"/>
              <w:rPr/>
            </w:pPr>
            <w:r>
              <w:rPr>
                <w:color w:val="231F20"/>
                <w:spacing w:val="-1"/>
              </w:rPr>
              <w:t>无效</w:t>
            </w:r>
          </w:p>
        </w:tc>
        <w:tc>
          <w:tcPr>
            <w:tcW w:w="162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85"/>
              <w:spacing w:before="70" w:line="211" w:lineRule="auto"/>
              <w:rPr/>
            </w:pPr>
            <w:r>
              <w:rPr>
                <w:color w:val="231F20"/>
                <w:spacing w:val="-3"/>
              </w:rPr>
              <w:t>总有效</w:t>
            </w:r>
          </w:p>
        </w:tc>
      </w:tr>
      <w:tr>
        <w:trPr>
          <w:trHeight w:val="302" w:hRule="atLeast"/>
        </w:trPr>
        <w:tc>
          <w:tcPr>
            <w:tcW w:w="16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78"/>
              <w:spacing w:before="71" w:line="208" w:lineRule="auto"/>
              <w:rPr/>
            </w:pPr>
            <w:r>
              <w:rPr>
                <w:color w:val="231F20"/>
                <w:spacing w:val="-2"/>
              </w:rPr>
              <w:t>实验组</w:t>
            </w:r>
          </w:p>
        </w:tc>
        <w:tc>
          <w:tcPr>
            <w:tcW w:w="151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99"/>
              <w:spacing w:before="66" w:line="226" w:lineRule="exact"/>
              <w:rPr/>
            </w:pPr>
            <w:r>
              <w:rPr>
                <w:color w:val="231F20"/>
                <w:spacing w:val="-2"/>
                <w:position w:val="1"/>
              </w:rPr>
              <w:t>60</w:t>
            </w:r>
          </w:p>
        </w:tc>
        <w:tc>
          <w:tcPr>
            <w:tcW w:w="170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84"/>
              <w:spacing w:before="66" w:line="216" w:lineRule="exact"/>
              <w:rPr/>
            </w:pPr>
            <w:r>
              <w:rPr>
                <w:color w:val="231F20"/>
                <w:spacing w:val="-12"/>
                <w:position w:val="1"/>
              </w:rPr>
              <w:t>47(78.33)</w:t>
            </w:r>
          </w:p>
        </w:tc>
        <w:tc>
          <w:tcPr>
            <w:tcW w:w="162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23"/>
              <w:spacing w:before="66" w:line="216" w:lineRule="exact"/>
              <w:rPr/>
            </w:pPr>
            <w:r>
              <w:rPr>
                <w:color w:val="231F20"/>
                <w:spacing w:val="-14"/>
                <w:position w:val="1"/>
              </w:rPr>
              <w:t>11(18.33)</w:t>
            </w:r>
          </w:p>
        </w:tc>
        <w:tc>
          <w:tcPr>
            <w:tcW w:w="161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89"/>
              <w:spacing w:before="66" w:line="216" w:lineRule="exact"/>
              <w:rPr/>
            </w:pPr>
            <w:r>
              <w:rPr>
                <w:color w:val="231F20"/>
                <w:spacing w:val="-16"/>
                <w:position w:val="1"/>
              </w:rPr>
              <w:t>2(3.33)</w:t>
            </w:r>
          </w:p>
        </w:tc>
        <w:tc>
          <w:tcPr>
            <w:tcW w:w="162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17"/>
              <w:spacing w:before="46" w:line="236" w:lineRule="exact"/>
              <w:rPr>
                <w:sz w:val="9"/>
                <w:szCs w:val="9"/>
              </w:rPr>
            </w:pPr>
            <w:r>
              <w:rPr>
                <w:color w:val="231F20"/>
                <w:spacing w:val="-14"/>
                <w:position w:val="1"/>
              </w:rPr>
              <w:t>58(96.67)</w:t>
            </w:r>
            <w:r>
              <w:rPr>
                <w:sz w:val="9"/>
                <w:szCs w:val="9"/>
                <w:color w:val="231F20"/>
                <w:spacing w:val="3"/>
                <w:position w:val="8"/>
              </w:rPr>
              <w:t>a</w:t>
            </w:r>
          </w:p>
        </w:tc>
      </w:tr>
      <w:tr>
        <w:trPr>
          <w:trHeight w:val="293" w:hRule="atLeast"/>
        </w:trPr>
        <w:tc>
          <w:tcPr>
            <w:tcW w:w="1664" w:type="dxa"/>
            <w:vAlign w:val="top"/>
          </w:tcPr>
          <w:p>
            <w:pPr>
              <w:pStyle w:val="TableText"/>
              <w:ind w:left="575"/>
              <w:spacing w:before="71" w:line="205" w:lineRule="auto"/>
              <w:rPr/>
            </w:pPr>
            <w:r>
              <w:rPr>
                <w:color w:val="231F20"/>
                <w:spacing w:val="-1"/>
              </w:rPr>
              <w:t>对照组</w:t>
            </w:r>
          </w:p>
        </w:tc>
        <w:tc>
          <w:tcPr>
            <w:tcW w:w="1515" w:type="dxa"/>
            <w:vAlign w:val="top"/>
          </w:tcPr>
          <w:p>
            <w:pPr>
              <w:pStyle w:val="TableText"/>
              <w:ind w:left="699"/>
              <w:spacing w:before="64" w:line="218" w:lineRule="exact"/>
              <w:rPr/>
            </w:pPr>
            <w:r>
              <w:rPr>
                <w:color w:val="231F20"/>
                <w:spacing w:val="-2"/>
                <w:position w:val="1"/>
              </w:rPr>
              <w:t>60</w:t>
            </w:r>
          </w:p>
        </w:tc>
        <w:tc>
          <w:tcPr>
            <w:tcW w:w="1702" w:type="dxa"/>
            <w:vAlign w:val="top"/>
          </w:tcPr>
          <w:p>
            <w:pPr>
              <w:pStyle w:val="TableText"/>
              <w:ind w:left="586"/>
              <w:spacing w:before="64" w:line="216" w:lineRule="exact"/>
              <w:rPr/>
            </w:pPr>
            <w:r>
              <w:rPr>
                <w:color w:val="231F20"/>
                <w:spacing w:val="-13"/>
                <w:position w:val="1"/>
              </w:rPr>
              <w:t>29(48.33)</w:t>
            </w:r>
          </w:p>
        </w:tc>
        <w:tc>
          <w:tcPr>
            <w:tcW w:w="1625" w:type="dxa"/>
            <w:vAlign w:val="top"/>
          </w:tcPr>
          <w:p>
            <w:pPr>
              <w:pStyle w:val="TableText"/>
              <w:ind w:left="523"/>
              <w:spacing w:before="64" w:line="216" w:lineRule="exact"/>
              <w:rPr/>
            </w:pPr>
            <w:r>
              <w:rPr>
                <w:color w:val="231F20"/>
                <w:spacing w:val="-14"/>
                <w:position w:val="1"/>
              </w:rPr>
              <w:t>18(30.00)</w:t>
            </w:r>
          </w:p>
        </w:tc>
        <w:tc>
          <w:tcPr>
            <w:tcW w:w="1617" w:type="dxa"/>
            <w:vAlign w:val="top"/>
          </w:tcPr>
          <w:p>
            <w:pPr>
              <w:pStyle w:val="TableText"/>
              <w:ind w:left="523"/>
              <w:spacing w:before="64" w:line="216" w:lineRule="exact"/>
              <w:rPr/>
            </w:pPr>
            <w:r>
              <w:rPr>
                <w:color w:val="231F20"/>
                <w:spacing w:val="-14"/>
                <w:position w:val="1"/>
              </w:rPr>
              <w:t>13(21.67)</w:t>
            </w:r>
          </w:p>
        </w:tc>
        <w:tc>
          <w:tcPr>
            <w:tcW w:w="1628" w:type="dxa"/>
            <w:vAlign w:val="top"/>
          </w:tcPr>
          <w:p>
            <w:pPr>
              <w:pStyle w:val="TableText"/>
              <w:ind w:left="515"/>
              <w:spacing w:before="64" w:line="216" w:lineRule="exact"/>
              <w:rPr/>
            </w:pPr>
            <w:r>
              <w:rPr>
                <w:color w:val="231F20"/>
                <w:spacing w:val="-12"/>
                <w:position w:val="1"/>
              </w:rPr>
              <w:t>47(78.33)</w:t>
            </w:r>
          </w:p>
        </w:tc>
      </w:tr>
      <w:tr>
        <w:trPr>
          <w:trHeight w:val="314" w:hRule="atLeast"/>
        </w:trPr>
        <w:tc>
          <w:tcPr>
            <w:tcW w:w="1664" w:type="dxa"/>
            <w:vAlign w:val="top"/>
          </w:tcPr>
          <w:p>
            <w:pPr>
              <w:pStyle w:val="TableText"/>
              <w:ind w:left="748"/>
              <w:spacing w:before="52" w:line="249" w:lineRule="exact"/>
              <w:rPr>
                <w:sz w:val="9"/>
                <w:szCs w:val="9"/>
              </w:rPr>
            </w:pPr>
            <w:r>
              <w:rPr>
                <w:i/>
                <w:iCs/>
                <w:color w:val="231F20"/>
                <w:spacing w:val="-44"/>
                <w:position w:val="1"/>
              </w:rPr>
              <w:t>χ</w:t>
            </w:r>
            <w:r>
              <w:rPr>
                <w:sz w:val="9"/>
                <w:szCs w:val="9"/>
                <w:color w:val="231F20"/>
                <w:position w:val="7"/>
              </w:rPr>
              <w:t>2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1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8" w:type="dxa"/>
            <w:vAlign w:val="top"/>
          </w:tcPr>
          <w:p>
            <w:pPr>
              <w:pStyle w:val="TableText"/>
              <w:ind w:left="601"/>
              <w:spacing w:before="71" w:line="231" w:lineRule="exact"/>
              <w:rPr/>
            </w:pPr>
            <w:r>
              <w:rPr>
                <w:color w:val="231F20"/>
                <w:spacing w:val="-7"/>
                <w:position w:val="1"/>
              </w:rPr>
              <w:t>9.2190</w:t>
            </w:r>
          </w:p>
        </w:tc>
      </w:tr>
      <w:tr>
        <w:trPr>
          <w:trHeight w:val="286" w:hRule="atLeast"/>
        </w:trPr>
        <w:tc>
          <w:tcPr>
            <w:tcW w:w="1664" w:type="dxa"/>
            <w:vAlign w:val="top"/>
            <w:tcBorders>
              <w:bottom w:val="single" w:color="231F20" w:sz="4" w:space="0"/>
            </w:tcBorders>
          </w:tcPr>
          <w:p>
            <w:pPr>
              <w:ind w:left="763"/>
              <w:spacing w:before="88" w:line="18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9"/>
              </w:rPr>
              <w:t>P</w:t>
            </w:r>
          </w:p>
        </w:tc>
        <w:tc>
          <w:tcPr>
            <w:tcW w:w="1515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2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5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17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01"/>
              <w:spacing w:before="58" w:line="217" w:lineRule="exact"/>
              <w:rPr/>
            </w:pPr>
            <w:r>
              <w:rPr>
                <w:color w:val="231F20"/>
                <w:spacing w:val="-7"/>
                <w:position w:val="1"/>
              </w:rPr>
              <w:t>0.0024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838"/>
          <w:pgMar w:top="1363" w:right="943" w:bottom="0" w:left="407" w:header="1040" w:footer="0" w:gutter="0"/>
          <w:cols w:equalWidth="0" w:num="1">
            <w:col w:w="1055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017"/>
        <w:spacing w:before="33" w:line="260" w:lineRule="exact"/>
        <w:rPr/>
      </w:pPr>
      <w:r>
        <w:rPr>
          <w:color w:val="231F20"/>
          <w:spacing w:val="-10"/>
          <w:position w:val="1"/>
        </w:rPr>
        <w:t>注</w:t>
      </w:r>
      <w:r>
        <w:rPr>
          <w:color w:val="231F20"/>
          <w:spacing w:val="-29"/>
          <w:position w:val="1"/>
        </w:rPr>
        <w:t xml:space="preserve"> </w:t>
      </w:r>
      <w:r>
        <w:rPr>
          <w:color w:val="231F20"/>
          <w:spacing w:val="-10"/>
          <w:position w:val="1"/>
        </w:rPr>
        <w:t>：与对照组比较</w:t>
      </w:r>
      <w:r>
        <w:rPr>
          <w:color w:val="231F20"/>
          <w:spacing w:val="-36"/>
          <w:position w:val="1"/>
        </w:rPr>
        <w:t xml:space="preserve"> </w:t>
      </w:r>
      <w:r>
        <w:rPr>
          <w:color w:val="231F20"/>
          <w:spacing w:val="-10"/>
          <w:position w:val="1"/>
        </w:rPr>
        <w:t>,</w:t>
      </w:r>
      <w:r>
        <w:rPr>
          <w:color w:val="231F20"/>
          <w:spacing w:val="-43"/>
          <w:position w:val="1"/>
        </w:rPr>
        <w:t xml:space="preserve"> </w:t>
      </w:r>
      <w:r>
        <w:rPr>
          <w:sz w:val="10"/>
          <w:szCs w:val="10"/>
          <w:color w:val="231F20"/>
          <w:spacing w:val="-10"/>
          <w:position w:val="9"/>
        </w:rPr>
        <w:t>a</w:t>
      </w:r>
      <w:r>
        <w:rPr>
          <w:rFonts w:ascii="Times New Roman" w:hAnsi="Times New Roman" w:eastAsia="Times New Roman" w:cs="Times New Roman"/>
          <w:color w:val="231F20"/>
          <w:spacing w:val="-10"/>
          <w:position w:val="1"/>
        </w:rPr>
        <w:t>P&lt;</w:t>
      </w:r>
      <w:r>
        <w:rPr>
          <w:color w:val="231F20"/>
          <w:spacing w:val="-10"/>
          <w:position w:val="1"/>
        </w:rPr>
        <w:t>0.05</w:t>
      </w:r>
    </w:p>
    <w:p>
      <w:pPr>
        <w:pStyle w:val="BodyText"/>
        <w:ind w:left="725" w:right="241" w:firstLine="10"/>
        <w:spacing w:before="83" w:line="20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2. 2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  </w:t>
      </w:r>
      <w:r>
        <w:rPr>
          <w:sz w:val="20"/>
          <w:szCs w:val="20"/>
          <w:color w:val="231F20"/>
          <w:spacing w:val="16"/>
        </w:rPr>
        <w:t>两组治疗前后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</w:rPr>
        <w:t>APACHE</w:t>
      </w:r>
      <w:r>
        <w:rPr>
          <w:sz w:val="20"/>
          <w:szCs w:val="20"/>
          <w:color w:val="231F20"/>
          <w:spacing w:val="16"/>
        </w:rPr>
        <w:t>Ⅱ评分比较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治疗前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对照组患者 APACHEⅡ评分 (58.12±3.41)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分与实验组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的 (58.07±3.34) 分比较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差异无统计学意义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t=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0.0811,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>P=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0.9355&gt;0.05) ；治疗后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验组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者 APACHEⅡ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(10.28±1.96) 分低于对照组的 (23.56±2.47) 分 , 差异具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有统计学意义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>t=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32.6232,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>P=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0.000&lt;0.05)。</w:t>
      </w:r>
    </w:p>
    <w:p>
      <w:pPr>
        <w:pStyle w:val="BodyText"/>
        <w:ind w:left="730" w:right="241" w:firstLine="4"/>
        <w:spacing w:before="10" w:line="20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2. 3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  </w:t>
      </w:r>
      <w:r>
        <w:rPr>
          <w:sz w:val="20"/>
          <w:szCs w:val="20"/>
          <w:color w:val="231F20"/>
          <w:spacing w:val="-1"/>
        </w:rPr>
        <w:t>两组不良反应发生情况比较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治疗期间 , 两组患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者均未出现不良反应 ；治疗后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检查两组患者的尿常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规、血常规、心电图、肝肾功能 , 未出现异常情况。</w:t>
      </w:r>
    </w:p>
    <w:p>
      <w:pPr>
        <w:ind w:left="734"/>
        <w:spacing w:before="1" w:line="218" w:lineRule="auto"/>
        <w:outlineLvl w:val="1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讨论</w:t>
      </w:r>
    </w:p>
    <w:p>
      <w:pPr>
        <w:ind w:left="728" w:right="163" w:firstLine="424"/>
        <w:spacing w:before="19" w:line="20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急性肠胃炎属于常见的胃黏膜急性病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患者主要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症状包括腹泻、呕吐、恶心、身体发热、腹部疼痛等。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夏秋两季是疾病高发季节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2"/>
          <w:position w:val="9"/>
        </w:rPr>
        <w:t>［3］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3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常见致病因素包括细菌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感染、毒素感染、物理化学等原因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"/>
          <w:position w:val="9"/>
        </w:rPr>
        <w:t>［4］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。引发急性肠胃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炎的细菌和毒素包括嗜盐菌、沙门菌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主要的毒素是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金黄色葡萄球菌 , 能够发生集体发病 , 还会引发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家庭传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播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当禽肉、鱼肉、虾蟹等食物受细菌感染被人食用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后 , 会引发急性肠胃炎。物理化学原因是指进食比较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生冷食物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服用药物 ( 例如磺胺、抗生素等 ) 诱发急性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肠胃炎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"/>
          <w:position w:val="9"/>
        </w:rPr>
        <w:t>［5］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。急性肠胃炎患者常见症状是严重腹泻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现为患者大便次数明显增加 (&gt;10 次 /d),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常伴有出现恶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心、呕吐、食欲下降等表现 , 病情进一步发展后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会并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发低血钾 , 表现为腹胀 , 部分症状严重患者会发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生全身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中毒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"/>
          <w:position w:val="9"/>
        </w:rPr>
        <w:t>［6］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。因此必须采取及时有效的对症治疗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使患者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before="86" w:line="20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及早恢复健康 , 临床治疗以缓解症状和抗菌为主。</w:t>
      </w:r>
    </w:p>
    <w:p>
      <w:pPr>
        <w:ind w:right="76" w:firstLine="426"/>
        <w:spacing w:before="10" w:line="21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复方嗜酸乳杆菌片是肠道菌群调节药物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主要针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对肠道菌群失调后出现的肠功能紊乱。其进入人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体后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会分解为糖并产生乳酸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通过提升肠道酸度水平来发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挥抑制肠道致病菌繁殖作用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position w:val="9"/>
        </w:rPr>
        <w:t>［7］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。有效成分包括粪链球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菌菌粉、枯草杆菌菌粉、中国株嗜酸乳杆菌菌粉、日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本株嗜酸乳杆菌菌粉等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3"/>
          <w:position w:val="9"/>
        </w:rPr>
        <w:t>［8］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, 其中嗜酸乳杆菌在肠黏膜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上附着效果优于其他乳酸杆菌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在发挥良好抗菌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作用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的同时还能刺激肠黏膜细胞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提高其免疫球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蛋白分泌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能力 , 发挥提高机体免疫功能的作用 ；研究显示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枯草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杆菌和粪莲球菌是一种需氧菌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具有促进肠道厌氧菌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生长的作用 , 可有效缓解肠道功能紊乱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2"/>
          <w:position w:val="9"/>
        </w:rPr>
        <w:t>［9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3"/>
          <w:position w:val="9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。</w:t>
      </w:r>
    </w:p>
    <w:p>
      <w:pPr>
        <w:ind w:left="1" w:right="76" w:firstLine="421"/>
        <w:spacing w:before="10" w:line="20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奥美拉唑肠溶片易浓集于酸性环境中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属于脂溶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性弱碱性药物。药物进入机体后可特异性分布于胃黏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膜壁细胞分泌小管中 , 并转化为亚磺酰胺活性形式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, 通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过二硫键与壁细胞分泌膜中的质子泵 (H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position w:val="9"/>
        </w:rPr>
        <w:t>+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-K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position w:val="9"/>
        </w:rPr>
        <w:t>+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-A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TP 酶 )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的巯基呈不可逆性的结合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生成质子泵与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亚磺酰胺的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复合物 , 从而对该酶活性抑制 , 最终实现阻断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胃酸分泌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的目的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position w:val="9"/>
        </w:rPr>
        <w:t>［10］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因此奥美拉唑肠溶片对各种原因引起的胃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酸分泌具有强而持久的抑制作用。</w:t>
      </w:r>
    </w:p>
    <w:p>
      <w:pPr>
        <w:ind w:left="3" w:firstLine="417"/>
        <w:spacing w:before="1" w:line="19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本次研究结果发现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实验组治疗总有效率 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6.67%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高于对照组的 78.33%,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差异具有统计学意义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P&lt;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0.05)。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提示 , 两种药物联合应用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可以发挥各自优势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提高临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床疗效。分析原因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一方面复方嗜酸乳杆片可对肠道</w:t>
      </w:r>
    </w:p>
    <w:p>
      <w:pPr>
        <w:spacing w:line="196" w:lineRule="auto"/>
        <w:sectPr>
          <w:type w:val="continuous"/>
          <w:pgSz w:w="11906" w:h="16838"/>
          <w:pgMar w:top="1363" w:right="943" w:bottom="0" w:left="407" w:header="1040" w:footer="0" w:gutter="0"/>
          <w:cols w:equalWidth="0" w:num="2">
            <w:col w:w="5674" w:space="100"/>
            <w:col w:w="4782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173" w:lineRule="exact"/>
        <w:rPr/>
      </w:pPr>
      <w:r/>
    </w:p>
    <w:p>
      <w:pPr>
        <w:spacing w:line="173" w:lineRule="exact"/>
        <w:sectPr>
          <w:headerReference w:type="default" r:id="rId3"/>
          <w:pgSz w:w="11906" w:h="16838"/>
          <w:pgMar w:top="1363" w:right="1051" w:bottom="0" w:left="407" w:header="1040" w:footer="0" w:gutter="0"/>
          <w:cols w:equalWidth="0" w:num="1">
            <w:col w:w="10447" w:space="0"/>
          </w:cols>
        </w:sectPr>
        <w:rPr/>
      </w:pPr>
    </w:p>
    <w:p>
      <w:pPr>
        <w:ind w:left="611" w:right="156" w:firstLine="7"/>
        <w:spacing w:before="41" w:line="21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菌群进行有效调整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建立胃肠道屏障 ；另一方面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美拉唑肠溶片可有效清除感染病毒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提高患者胃肠道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动力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从而有效控制急性胃肠炎症状。本次研究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用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APACHE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Ⅱ评估两组患者症状改善情况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：治疗前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对照组患者 APACHEⅡ评分 (58.12±3.41)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分与实验组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的 (58.07±3.34) 分比较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差异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无统计学意义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t=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0.0811,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P=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0.9355&gt;0.05) ；治疗后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实验组患者 APACHEⅡ评分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(10.28±1.96) 分低于对照组的 (23.56±2.47) 分 , 差异具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有统计学意义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t=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32.6232,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P=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0.000&lt;0.05)。提示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应用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奥美拉唑肠溶片联合复方嗜酸乳杆菌片治疗后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症状改善情况更加明显 , 疗效显著。本次研究 , 治疗后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两组患者均未出现严重不良反应。提示联合用药并未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增加药物不良反应 , 可见联合用药安全性能理想。</w:t>
      </w:r>
    </w:p>
    <w:p>
      <w:pPr>
        <w:ind w:left="616" w:right="156" w:firstLine="417"/>
        <w:spacing w:before="4" w:line="21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综上所述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奥美拉唑肠溶片和复方嗜酸乳杆菌片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两药联合治疗急性肠胃炎效果确切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可以提升治疗有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效率 , 且安全性高 , 应用价值显著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值得在临床中进行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推广。</w:t>
      </w:r>
    </w:p>
    <w:p>
      <w:pPr>
        <w:ind w:left="2381"/>
        <w:spacing w:before="151" w:line="17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  <w:w w:val="98"/>
        </w:rPr>
        <w:t>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  <w:w w:val="98"/>
        </w:rPr>
        <w:t>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  <w:w w:val="98"/>
        </w:rPr>
        <w:t>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  <w:w w:val="98"/>
        </w:rPr>
        <w:t>献</w:t>
      </w:r>
    </w:p>
    <w:p>
      <w:pPr>
        <w:ind w:left="1041" w:right="157" w:hanging="512"/>
        <w:spacing w:before="215" w:line="21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［1］  李新强 . 奥美拉唑肠溶片联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合复方嗜酸乳杆菌片治疗急性肠胃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炎的应用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世界最新医学信息文摘 ( 连续型电子期刊 ), 2019,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>19(90):13-14.</w:t>
      </w:r>
    </w:p>
    <w:p>
      <w:pPr>
        <w:ind w:left="529"/>
        <w:spacing w:before="35" w:line="18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［2］  杨代群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复方嗜酸乳杆菌片联合奥美拉唑肠溶片治疗急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"/>
        </w:rPr>
        <w:t>性肠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13" w:right="82" w:firstLine="20"/>
        <w:spacing w:before="45" w:line="22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胃炎的疗效观察 . 世界最新医学信息文摘 ( 连续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型电子期刊 ),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9"/>
        </w:rPr>
        <w:t>2016, 16(84):17-18.</w:t>
      </w:r>
    </w:p>
    <w:p>
      <w:pPr>
        <w:ind w:left="512" w:right="82" w:hanging="512"/>
        <w:spacing w:before="1" w:line="21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［3］  郝香丽 . 复方嗜酸乳杆菌片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联合奥美拉唑肠溶片治疗急性肠胃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炎效果分析 . 河南医学研究 , 2017, 26(9):1644-1645.</w:t>
      </w:r>
    </w:p>
    <w:p>
      <w:pPr>
        <w:ind w:left="512" w:right="81" w:hanging="512"/>
        <w:spacing w:before="36" w:line="22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［4］  王贵海 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张越 . 奥美拉唑肠溶片与复方嗜酸乳杆菌片联合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用药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治疗急性肠胃炎的疗效评价 . 世界复合医学 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2019,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5(12):171-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0"/>
        </w:rPr>
        <w:t>173.</w:t>
      </w:r>
    </w:p>
    <w:p>
      <w:pPr>
        <w:ind w:left="510" w:right="82" w:hanging="511"/>
        <w:spacing w:before="9" w:line="21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［5］  施建锋 . 抑酸剂联合嗜酸乳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杆菌胶囊治疗急性肠胃炎的疗效和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>安全性 . 现代消化及介入诊疗 , 2018,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 xml:space="preserve"> 23(3):392-394.</w:t>
      </w:r>
    </w:p>
    <w:p>
      <w:pPr>
        <w:ind w:left="510" w:right="82" w:hanging="510"/>
        <w:spacing w:before="35" w:line="21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［6］  张朝柱 , 何明霞 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金立伟 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等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磷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酸铝凝胶联合阿托品治疗急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性胃炎的效果及对血清胃泌素和丙二醛水平的影响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国际消化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>病杂志 , 2020, 40(2):137-140.</w:t>
      </w:r>
    </w:p>
    <w:p>
      <w:pPr>
        <w:ind w:left="509" w:right="81" w:hanging="509"/>
        <w:spacing w:before="36" w:line="21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［7］  康志清 , 董精通 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方天志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复方嗜酸乳杆菌片联合多潘立酮治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疗功能性消化不良患者的临床疗效及对胃肠激素的影响 . 医疗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>装备 , 2018, 31(19):10-11.</w:t>
      </w:r>
    </w:p>
    <w:p>
      <w:pPr>
        <w:ind w:left="509" w:right="81" w:hanging="509"/>
        <w:spacing w:before="35" w:line="21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［8］  苏达永 , 李伟群 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吴玉丽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复方嗜酸乳杆菌片联合蒙脱石散对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肺炎抗生素相关性腹泻患儿症状改善及免疫功能的影响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中国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药物经济学 , 2020, 15(4):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63-65.</w:t>
      </w:r>
    </w:p>
    <w:p>
      <w:pPr>
        <w:ind w:left="509" w:right="81" w:hanging="509"/>
        <w:spacing w:before="37" w:line="22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［9］  付朝华 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陈文军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复方嗜酸乳杆菌片联合匹维溴铵治疗肠易激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综合征临床疗效及安全性观察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临床消化病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杂志 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2019,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31(4):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50-54.</w:t>
      </w:r>
    </w:p>
    <w:p>
      <w:pPr>
        <w:ind w:left="512" w:right="82" w:hanging="512"/>
        <w:spacing w:before="10" w:line="21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［10］葛俊君 . 复方嗜酸乳杆菌片与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奥美拉唑肠溶片应用在急性肠胃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炎患者治疗中的效果评价 . 世界最新医学信息文摘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 xml:space="preserve"> ( 连续型电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>子期刊 ), 2019, 19(84):157-158.</w:t>
      </w:r>
    </w:p>
    <w:p>
      <w:pPr>
        <w:spacing w:before="35" w:line="196" w:lineRule="auto"/>
        <w:jc w:val="righ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［收稿日期 ：2021-04-01］</w:t>
      </w:r>
    </w:p>
    <w:p>
      <w:pPr>
        <w:spacing w:line="196" w:lineRule="auto"/>
        <w:sectPr>
          <w:type w:val="continuous"/>
          <w:pgSz w:w="11906" w:h="16838"/>
          <w:pgMar w:top="1363" w:right="1051" w:bottom="0" w:left="407" w:header="1040" w:footer="0" w:gutter="0"/>
          <w:cols w:equalWidth="0" w:num="2">
            <w:col w:w="5476" w:space="100"/>
            <w:col w:w="4871" w:space="0"/>
          </w:cols>
        </w:sectPr>
        <w:rPr>
          <w:rFonts w:ascii="Microsoft YaHei" w:hAnsi="Microsoft YaHei" w:eastAsia="Microsoft YaHei" w:cs="Microsoft YaHei"/>
          <w:sz w:val="16"/>
          <w:szCs w:val="16"/>
        </w:rPr>
      </w:pPr>
    </w:p>
    <w:p>
      <w:pPr>
        <w:ind w:left="638" w:right="3251" w:hanging="7"/>
        <w:spacing w:before="307" w:line="229" w:lineRule="auto"/>
        <w:outlineLvl w:val="1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  <w:color w:val="231F20"/>
          <w:spacing w:val="5"/>
        </w:rPr>
        <w:t>奥美拉唑联合阿莫西林治疗胃炎并胃溃疡的</w:t>
      </w:r>
      <w:r>
        <w:rPr>
          <w:rFonts w:ascii="SimHei" w:hAnsi="SimHei" w:eastAsia="SimHei" w:cs="SimHei"/>
          <w:sz w:val="34"/>
          <w:szCs w:val="34"/>
          <w:color w:val="231F20"/>
          <w:spacing w:val="7"/>
        </w:rPr>
        <w:t xml:space="preserve"> </w:t>
      </w:r>
      <w:r>
        <w:rPr>
          <w:rFonts w:ascii="SimHei" w:hAnsi="SimHei" w:eastAsia="SimHei" w:cs="SimHei"/>
          <w:sz w:val="34"/>
          <w:szCs w:val="34"/>
          <w:color w:val="231F20"/>
          <w:spacing w:val="1"/>
        </w:rPr>
        <w:t>临床效果观察</w:t>
      </w:r>
    </w:p>
    <w:p>
      <w:pPr>
        <w:pStyle w:val="BodyText"/>
        <w:ind w:left="618"/>
        <w:spacing w:before="252" w:line="235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蔡亮</w:t>
      </w:r>
    </w:p>
    <w:p>
      <w:pPr>
        <w:rPr>
          <w:rFonts w:ascii="Arial"/>
          <w:sz w:val="21"/>
        </w:rPr>
      </w:pPr>
      <w:r/>
    </w:p>
    <w:p>
      <w:pPr>
        <w:pStyle w:val="BodyText"/>
        <w:ind w:left="614" w:right="1782" w:firstLine="305"/>
        <w:spacing w:before="77" w:line="259" w:lineRule="auto"/>
        <w:jc w:val="both"/>
        <w:rPr/>
      </w:pPr>
      <w:r>
        <w:rPr>
          <w:rFonts w:ascii="Microsoft YaHei" w:hAnsi="Microsoft YaHei" w:eastAsia="Microsoft YaHei" w:cs="Microsoft YaHei"/>
          <w:color w:val="231F20"/>
          <w:spacing w:val="4"/>
        </w:rPr>
        <w:t>【摘要】</w:t>
      </w:r>
      <w:r>
        <w:rPr>
          <w:rFonts w:ascii="Microsoft YaHei" w:hAnsi="Microsoft YaHei" w:eastAsia="Microsoft YaHei" w:cs="Microsoft YaHei"/>
          <w:color w:val="231F20"/>
          <w:spacing w:val="29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目的   </w:t>
      </w:r>
      <w:r>
        <w:rPr>
          <w:color w:val="231F20"/>
          <w:spacing w:val="4"/>
        </w:rPr>
        <w:t>观察胃炎并胃溃疡患者采用奥美拉唑联合阿莫西林治疗的效果。</w:t>
      </w:r>
      <w:r>
        <w:rPr>
          <w:rFonts w:ascii="Microsoft YaHei" w:hAnsi="Microsoft YaHei" w:eastAsia="Microsoft YaHei" w:cs="Microsoft YaHei"/>
          <w:color w:val="231F20"/>
          <w:spacing w:val="4"/>
        </w:rPr>
        <w:t>方法   </w:t>
      </w:r>
      <w:r>
        <w:rPr>
          <w:color w:val="231F20"/>
          <w:spacing w:val="4"/>
        </w:rPr>
        <w:t>78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4"/>
        </w:rPr>
        <w:t>例胃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炎并胃溃疡患者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"/>
        </w:rPr>
        <w:t>,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根据治疗方法的不同分为实验组及对照组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"/>
        </w:rPr>
        <w:t>,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每组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"/>
        </w:rPr>
        <w:t>39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"/>
        </w:rPr>
        <w:t>例。实验组采用奥美拉唑联合阿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莫西林治疗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3"/>
        </w:rPr>
        <w:t>,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对照组采用奥美拉唑治疗。对比两组患者的临床疗效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,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治疗安全性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3"/>
        </w:rPr>
        <w:t>, 临床症状改</w:t>
      </w:r>
      <w:r>
        <w:rPr>
          <w:color w:val="231F20"/>
          <w:spacing w:val="-4"/>
        </w:rPr>
        <w:t>善时间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4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幽门螺杆菌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2"/>
        </w:rPr>
        <w:t>(</w:t>
      </w:r>
      <w:r>
        <w:rPr>
          <w:color w:val="231F20"/>
        </w:rPr>
        <w:t>Hp</w:t>
      </w:r>
      <w:r>
        <w:rPr>
          <w:color w:val="231F20"/>
          <w:spacing w:val="2"/>
        </w:rPr>
        <w:t>)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"/>
        </w:rPr>
        <w:t>根治率。</w:t>
      </w:r>
      <w:r>
        <w:rPr>
          <w:rFonts w:ascii="Microsoft YaHei" w:hAnsi="Microsoft YaHei" w:eastAsia="Microsoft YaHei" w:cs="Microsoft YaHei"/>
          <w:color w:val="231F20"/>
          <w:spacing w:val="2"/>
        </w:rPr>
        <w:t>结果   </w:t>
      </w:r>
      <w:r>
        <w:rPr>
          <w:color w:val="231F20"/>
          <w:spacing w:val="2"/>
        </w:rPr>
        <w:t>实验组总有效率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2"/>
        </w:rPr>
        <w:t>94.87%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2"/>
        </w:rPr>
        <w:t>高于对照组的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"/>
        </w:rPr>
        <w:t>76</w:t>
      </w:r>
      <w:r>
        <w:rPr>
          <w:color w:val="231F20"/>
          <w:spacing w:val="1"/>
        </w:rPr>
        <w:t>.92%,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差异具有统计学意义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(</w:t>
      </w:r>
      <w:r>
        <w:rPr>
          <w:rFonts w:ascii="Times New Roman" w:hAnsi="Times New Roman" w:eastAsia="Times New Roman" w:cs="Times New Roman"/>
          <w:color w:val="231F20"/>
          <w:spacing w:val="-4"/>
        </w:rPr>
        <w:t>P&lt;</w:t>
      </w:r>
      <w:r>
        <w:rPr>
          <w:color w:val="231F20"/>
          <w:spacing w:val="-4"/>
        </w:rPr>
        <w:t>0.05)。两组患者的不良反应发生率对比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,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差异无统计学意义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4"/>
        </w:rPr>
        <w:t>(</w:t>
      </w:r>
      <w:r>
        <w:rPr>
          <w:rFonts w:ascii="Times New Roman" w:hAnsi="Times New Roman" w:eastAsia="Times New Roman" w:cs="Times New Roman"/>
          <w:color w:val="231F20"/>
          <w:spacing w:val="-4"/>
        </w:rPr>
        <w:t>P&gt;</w:t>
      </w:r>
      <w:r>
        <w:rPr>
          <w:color w:val="231F20"/>
          <w:spacing w:val="-4"/>
        </w:rPr>
        <w:t>0.05)。实验组患者的胃灼热感、嗳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气、腹痛、反酸改善时间分别为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0"/>
        </w:rPr>
        <w:t>(5.15±0.80)、(5.05±0.85)、(4.76</w:t>
      </w:r>
      <w:r>
        <w:rPr>
          <w:color w:val="231F20"/>
          <w:spacing w:val="-11"/>
        </w:rPr>
        <w:t>±0.95)、(4.70±1.07)d,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1"/>
        </w:rPr>
        <w:t>均短于对照组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的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1"/>
        </w:rPr>
        <w:t>(6.98±1.55)、(6.35±1.35)、(6.98±1.55)、(6.05±1.20)d, 差异具有统计学意义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1"/>
        </w:rPr>
        <w:t>(</w:t>
      </w:r>
      <w:r>
        <w:rPr>
          <w:rFonts w:ascii="Times New Roman" w:hAnsi="Times New Roman" w:eastAsia="Times New Roman" w:cs="Times New Roman"/>
          <w:color w:val="231F20"/>
          <w:spacing w:val="-11"/>
        </w:rPr>
        <w:t>P&lt;</w:t>
      </w:r>
      <w:r>
        <w:rPr>
          <w:color w:val="231F20"/>
          <w:spacing w:val="-11"/>
        </w:rPr>
        <w:t>0.05)。实验组</w:t>
      </w:r>
      <w:r>
        <w:rPr>
          <w:color w:val="231F20"/>
          <w:spacing w:val="-12"/>
        </w:rPr>
        <w:t>患者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的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"/>
        </w:rPr>
        <w:t>Hp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"/>
        </w:rPr>
        <w:t>根治率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100.00%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"/>
        </w:rPr>
        <w:t>高于对照组的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"/>
        </w:rPr>
        <w:t>82.05%,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差异具有统计学意义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2"/>
        </w:rPr>
        <w:t>(</w:t>
      </w:r>
      <w:r>
        <w:rPr>
          <w:rFonts w:ascii="Times New Roman" w:hAnsi="Times New Roman" w:eastAsia="Times New Roman" w:cs="Times New Roman"/>
          <w:color w:val="231F20"/>
          <w:spacing w:val="-2"/>
        </w:rPr>
        <w:t>P&lt;</w:t>
      </w:r>
      <w:r>
        <w:rPr>
          <w:color w:val="231F20"/>
          <w:spacing w:val="-2"/>
        </w:rPr>
        <w:t>0.05)。</w:t>
      </w:r>
      <w:r>
        <w:rPr>
          <w:rFonts w:ascii="Microsoft YaHei" w:hAnsi="Microsoft YaHei" w:eastAsia="Microsoft YaHei" w:cs="Microsoft YaHei"/>
          <w:color w:val="231F20"/>
          <w:spacing w:val="-2"/>
        </w:rPr>
        <w:t>结论   </w:t>
      </w:r>
      <w:r>
        <w:rPr>
          <w:color w:val="231F20"/>
          <w:spacing w:val="-2"/>
        </w:rPr>
        <w:t>在胃炎并胃溃疡治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疗中采用奥美拉唑联合阿莫西林的疗法可获得良好的效果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,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可促进患者康复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2"/>
        </w:rPr>
        <w:t>,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并且具有较高的安全性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2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建议推广。</w:t>
      </w:r>
    </w:p>
    <w:p>
      <w:pPr>
        <w:pStyle w:val="BodyText"/>
        <w:ind w:left="920"/>
        <w:spacing w:before="32" w:line="206" w:lineRule="auto"/>
        <w:rPr/>
      </w:pPr>
      <w:r>
        <w:rPr>
          <w:rFonts w:ascii="Microsoft YaHei" w:hAnsi="Microsoft YaHei" w:eastAsia="Microsoft YaHei" w:cs="Microsoft YaHei"/>
          <w:color w:val="231F20"/>
          <w:spacing w:val="-12"/>
        </w:rPr>
        <w:t>【关键词】</w:t>
      </w:r>
      <w:r>
        <w:rPr>
          <w:rFonts w:ascii="Microsoft YaHei" w:hAnsi="Microsoft YaHei" w:eastAsia="Microsoft YaHei" w:cs="Microsoft YaHei"/>
          <w:color w:val="231F20"/>
          <w:spacing w:val="23"/>
          <w:w w:val="101"/>
        </w:rPr>
        <w:t xml:space="preserve">  </w:t>
      </w:r>
      <w:r>
        <w:rPr>
          <w:color w:val="231F20"/>
          <w:spacing w:val="-12"/>
        </w:rPr>
        <w:t>胃炎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2"/>
        </w:rPr>
        <w:t>；胃溃疡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2"/>
        </w:rPr>
        <w:t>；阿莫西林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2"/>
        </w:rPr>
        <w:t>；奥美拉唑</w:t>
      </w:r>
    </w:p>
    <w:p>
      <w:pPr>
        <w:pStyle w:val="BodyText"/>
        <w:ind w:left="987"/>
        <w:spacing w:before="15" w:line="242" w:lineRule="auto"/>
        <w:rPr/>
      </w:pPr>
      <w:r>
        <w:rPr>
          <w:color w:val="231F20"/>
          <w:spacing w:val="-12"/>
        </w:rPr>
        <w:t>DOI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2"/>
        </w:rPr>
        <w:t>：10.14164/j.cnki.cn11-5</w:t>
      </w:r>
      <w:r>
        <w:rPr>
          <w:color w:val="231F20"/>
          <w:spacing w:val="-13"/>
        </w:rPr>
        <w:t>581/r.2021.23.037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ind w:left="616" w:right="1783" w:firstLine="1"/>
        <w:spacing w:before="52" w:line="309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Observation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 omeprazole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combined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amoxicillin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gastritis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gastric ulcer   CAI Lia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ng.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Department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Gastroenterology,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Dahua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Co.,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Ltd.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Hospital,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Dalian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116031,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China</w:t>
      </w:r>
    </w:p>
    <w:p>
      <w:pPr>
        <w:pStyle w:val="BodyText"/>
        <w:ind w:left="920"/>
        <w:spacing w:before="9" w:line="189" w:lineRule="auto"/>
        <w:rPr/>
      </w:pPr>
      <w:r>
        <w:rPr>
          <w:rFonts w:ascii="Microsoft YaHei" w:hAnsi="Microsoft YaHei" w:eastAsia="Microsoft YaHei" w:cs="Microsoft YaHei"/>
          <w:color w:val="231F20"/>
          <w:spacing w:val="-13"/>
        </w:rPr>
        <w:t>【Abstract】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3"/>
        </w:rPr>
        <w:t>Objective   </w:t>
      </w:r>
      <w:r>
        <w:rPr>
          <w:color w:val="231F20"/>
          <w:spacing w:val="-13"/>
        </w:rPr>
        <w:t>To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3"/>
        </w:rPr>
        <w:t>observe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3"/>
        </w:rPr>
        <w:t>the effect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3"/>
        </w:rPr>
        <w:t>omeprazole combined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3"/>
        </w:rPr>
        <w:t>with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3"/>
        </w:rPr>
        <w:t>amoxicillin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3"/>
        </w:rPr>
        <w:t>treatment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>
        <w:pict>
          <v:shape id="_x0000_s10" style="position:absolute;margin-left:30.8361pt;margin-top:7.13338pt;mso-position-vertical-relative:text;mso-position-horizontal-relative:text;width:70.9pt;height:0.45pt;z-index:251660288;" filled="false" strokecolor="#231F20" strokeweight="0.43pt" coordsize="1418,8" coordorigin="0,0" path="m0,4l1417,4e">
            <v:stroke joinstyle="miter" miterlimit="10"/>
          </v:shape>
        </w:pict>
      </w:r>
      <w:r/>
    </w:p>
    <w:p>
      <w:pPr>
        <w:pStyle w:val="BodyText"/>
        <w:ind w:left="898"/>
        <w:spacing w:before="53" w:line="17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作者单位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-2"/>
        </w:rPr>
        <w:t>：116031  大化集团有限责任公司医院消化内科</w:t>
      </w:r>
    </w:p>
    <w:sectPr>
      <w:type w:val="continuous"/>
      <w:pgSz w:w="11906" w:h="16838"/>
      <w:pgMar w:top="1363" w:right="1051" w:bottom="0" w:left="407" w:header="1040" w:footer="0" w:gutter="0"/>
      <w:cols w:equalWidth="0" w:num="1">
        <w:col w:w="1044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before="44" w:line="179" w:lineRule="auto"/>
      <w:jc w:val="right"/>
      <w:rPr>
        <w:rFonts w:ascii="Microsoft YaHei" w:hAnsi="Microsoft YaHei" w:eastAsia="Microsoft YaHei" w:cs="Microsoft YaHei"/>
        <w:sz w:val="21"/>
        <w:szCs w:val="21"/>
      </w:rPr>
    </w:pPr>
    <w:r>
      <w:pict>
        <v:shape id="WordPictureWatermark6" style="position:absolute;margin-left:20.4pt;margin-top:814.49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auto"/>
        <w:color w:val="231F20"/>
        <w:spacing w:val="-2"/>
      </w:rPr>
      <w:t>中国现代药物应用2021年12月第15卷第23期  Chin</w:t>
    </w:r>
    <w:r>
      <w:rPr>
        <w:sz w:val="16"/>
        <w:szCs w:val="16"/>
        <w:u w:val="single" w:color="auto"/>
        <w:color w:val="231F20"/>
        <w:spacing w:val="-40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J</w:t>
    </w:r>
    <w:r>
      <w:rPr>
        <w:sz w:val="16"/>
        <w:szCs w:val="16"/>
        <w:u w:val="single" w:color="auto"/>
        <w:color w:val="231F20"/>
        <w:spacing w:val="-34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Mod</w:t>
    </w:r>
    <w:r>
      <w:rPr>
        <w:sz w:val="16"/>
        <w:szCs w:val="16"/>
        <w:u w:val="single" w:color="auto"/>
        <w:color w:val="231F20"/>
        <w:spacing w:val="-34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Drug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Appl,</w:t>
    </w:r>
    <w:r>
      <w:rPr>
        <w:sz w:val="16"/>
        <w:szCs w:val="16"/>
        <w:u w:val="single" w:color="auto"/>
        <w:color w:val="231F20"/>
        <w:spacing w:val="-34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Dec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2021,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Vol.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15,</w:t>
    </w:r>
    <w:r>
      <w:rPr>
        <w:sz w:val="16"/>
        <w:szCs w:val="16"/>
        <w:u w:val="single" w:color="auto"/>
        <w:color w:val="231F20"/>
        <w:spacing w:val="-34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No.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23</w:t>
    </w:r>
    <w:r>
      <w:rPr>
        <w:sz w:val="16"/>
        <w:szCs w:val="16"/>
        <w:color w:val="231F20"/>
        <w:spacing w:val="-3"/>
      </w:rPr>
      <w:t xml:space="preserve">                                  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3"/>
        <w:position w:val="-1"/>
      </w:rPr>
      <w:t>·101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26"/>
        <w:w w:val="101"/>
        <w:position w:val="-1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3"/>
        <w:position w:val="-1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3"/>
      <w:spacing w:before="44" w:line="179" w:lineRule="auto"/>
      <w:rPr>
        <w:sz w:val="16"/>
        <w:szCs w:val="16"/>
      </w:rPr>
    </w:pPr>
    <w:r>
      <w:pict>
        <v:shape id="WordPictureWatermark8" style="position:absolute;margin-left:20.4pt;margin-top:814.49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"/>
        <w:position w:val="-1"/>
      </w:rPr>
      <w:t>·102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26"/>
        <w:position w:val="-1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"/>
        <w:position w:val="-1"/>
      </w:rPr>
      <w:t>·               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3"/>
        <w:position w:val="-1"/>
      </w:rPr>
      <w:t xml:space="preserve">                            </w:t>
    </w:r>
    <w:r>
      <w:rPr>
        <w:sz w:val="16"/>
        <w:szCs w:val="16"/>
        <w:u w:val="single" w:color="auto"/>
        <w:color w:val="231F20"/>
        <w:spacing w:val="-61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中国现代药物应用2021年12月第15卷第23期  Chin</w:t>
    </w:r>
    <w:r>
      <w:rPr>
        <w:sz w:val="16"/>
        <w:szCs w:val="16"/>
        <w:u w:val="single" w:color="auto"/>
        <w:color w:val="231F20"/>
        <w:spacing w:val="-40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J</w:t>
    </w:r>
    <w:r>
      <w:rPr>
        <w:sz w:val="16"/>
        <w:szCs w:val="16"/>
        <w:u w:val="single" w:color="auto"/>
        <w:color w:val="231F20"/>
        <w:spacing w:val="-34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Mod</w:t>
    </w:r>
    <w:r>
      <w:rPr>
        <w:sz w:val="16"/>
        <w:szCs w:val="16"/>
        <w:u w:val="single" w:color="auto"/>
        <w:color w:val="231F20"/>
        <w:spacing w:val="-34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Drug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Appl,</w:t>
    </w:r>
    <w:r>
      <w:rPr>
        <w:sz w:val="16"/>
        <w:szCs w:val="16"/>
        <w:u w:val="single" w:color="auto"/>
        <w:color w:val="231F20"/>
        <w:spacing w:val="-34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Dec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2021,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Vol.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15,</w:t>
    </w:r>
    <w:r>
      <w:rPr>
        <w:sz w:val="16"/>
        <w:szCs w:val="16"/>
        <w:u w:val="single" w:color="auto"/>
        <w:color w:val="231F20"/>
        <w:spacing w:val="-34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No.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23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2023-10-26T12:18:52Z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2025-10-28T21:31:20</vt:filetime>
  </property>
</Properties>
</file>