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02" w:lineRule="exact"/>
        <w:rPr/>
      </w:pPr>
      <w:r/>
    </w:p>
    <w:p>
      <w:pPr>
        <w:spacing w:line="202" w:lineRule="exact"/>
        <w:sectPr>
          <w:headerReference w:type="default" r:id="rId1"/>
          <w:footerReference w:type="default" r:id="rId2"/>
          <w:pgSz w:w="11906" w:h="16838"/>
          <w:pgMar w:top="1341" w:right="1079" w:bottom="826" w:left="407" w:header="1028" w:footer="560" w:gutter="0"/>
          <w:cols w:equalWidth="0" w:num="1">
            <w:col w:w="10419" w:space="0"/>
          </w:cols>
        </w:sectPr>
        <w:rPr/>
      </w:pPr>
    </w:p>
    <w:p>
      <w:pPr>
        <w:pStyle w:val="BodyText"/>
        <w:ind w:left="734" w:right="257" w:firstLine="3"/>
        <w:spacing w:before="40" w:line="293" w:lineRule="auto"/>
        <w:jc w:val="both"/>
        <w:rPr>
          <w:sz w:val="20"/>
          <w:szCs w:val="20"/>
        </w:rPr>
      </w:pPr>
      <w:r>
        <w:rPr>
          <w:sz w:val="20"/>
          <w:szCs w:val="20"/>
          <w:color w:val="231F20"/>
          <w:spacing w:val="3"/>
        </w:rPr>
        <w:t>发症和不良事件，严重影响患者胸外疾病治疗效</w:t>
      </w:r>
      <w:r>
        <w:rPr>
          <w:sz w:val="20"/>
          <w:szCs w:val="20"/>
          <w:color w:val="231F20"/>
          <w:spacing w:val="2"/>
        </w:rPr>
        <w:t>果，</w:t>
      </w:r>
      <w:r>
        <w:rPr>
          <w:sz w:val="20"/>
          <w:szCs w:val="20"/>
          <w:color w:val="231F20"/>
        </w:rPr>
        <w:t xml:space="preserve"> </w:t>
      </w:r>
      <w:r>
        <w:rPr>
          <w:sz w:val="20"/>
          <w:szCs w:val="20"/>
          <w:color w:val="231F20"/>
        </w:rPr>
        <w:t>增加患者治疗痛苦，使患者在治疗胸外科疾病时，产 </w:t>
      </w:r>
      <w:r>
        <w:rPr>
          <w:sz w:val="20"/>
          <w:szCs w:val="20"/>
          <w:color w:val="231F20"/>
        </w:rPr>
        <w:t>生严重的恐惧心理和抵触情绪，从而干扰患者对胸外 </w:t>
      </w:r>
      <w:r>
        <w:rPr>
          <w:sz w:val="20"/>
          <w:szCs w:val="20"/>
          <w:color w:val="231F20"/>
        </w:rPr>
        <w:t>科疾病手术治疗的配合程度，影响疾病治疗效率及手 </w:t>
      </w:r>
      <w:r>
        <w:rPr>
          <w:sz w:val="20"/>
          <w:szCs w:val="20"/>
          <w:color w:val="231F20"/>
          <w:spacing w:val="2"/>
        </w:rPr>
        <w:t>术实施时效性，不利于患者生命安全及机体健康</w:t>
      </w:r>
      <w:r>
        <w:rPr>
          <w:rFonts w:ascii="Times New Roman" w:hAnsi="Times New Roman" w:eastAsia="Times New Roman" w:cs="Times New Roman"/>
          <w:sz w:val="10"/>
          <w:szCs w:val="10"/>
          <w:color w:val="231F20"/>
          <w:spacing w:val="2"/>
          <w:position w:val="8"/>
        </w:rPr>
        <w:t>[7-8]</w:t>
      </w:r>
      <w:r>
        <w:rPr>
          <w:sz w:val="20"/>
          <w:szCs w:val="20"/>
          <w:color w:val="231F20"/>
          <w:spacing w:val="2"/>
        </w:rPr>
        <w:t>。</w:t>
      </w:r>
    </w:p>
    <w:p>
      <w:pPr>
        <w:pStyle w:val="BodyText"/>
        <w:ind w:left="733" w:right="263" w:firstLine="420"/>
        <w:spacing w:before="10" w:line="292" w:lineRule="auto"/>
        <w:jc w:val="both"/>
        <w:rPr>
          <w:sz w:val="20"/>
          <w:szCs w:val="20"/>
        </w:rPr>
      </w:pPr>
      <w:r>
        <w:rPr>
          <w:sz w:val="20"/>
          <w:szCs w:val="20"/>
          <w:color w:val="231F20"/>
          <w:spacing w:val="9"/>
        </w:rPr>
        <w:t>微创小切口手术作为当前外科手术中较为先进</w:t>
      </w:r>
      <w:r>
        <w:rPr>
          <w:sz w:val="20"/>
          <w:szCs w:val="20"/>
          <w:color w:val="231F20"/>
        </w:rPr>
        <w:t xml:space="preserve"> </w:t>
      </w:r>
      <w:r>
        <w:rPr>
          <w:sz w:val="20"/>
          <w:szCs w:val="20"/>
          <w:color w:val="231F20"/>
        </w:rPr>
        <w:t>的手术方式，在手术实施的过程中，能通过极小的手 </w:t>
      </w:r>
      <w:r>
        <w:rPr>
          <w:sz w:val="20"/>
          <w:szCs w:val="20"/>
          <w:color w:val="231F20"/>
        </w:rPr>
        <w:t>术创口，有效治疗患者患病位置，患者在实施微创小 </w:t>
      </w:r>
      <w:r>
        <w:rPr>
          <w:sz w:val="20"/>
          <w:szCs w:val="20"/>
          <w:color w:val="231F20"/>
        </w:rPr>
        <w:t>切口手术时可有效避免大范围打开胸腔，从而有效降 </w:t>
      </w:r>
      <w:r>
        <w:rPr>
          <w:sz w:val="20"/>
          <w:szCs w:val="20"/>
          <w:color w:val="231F20"/>
        </w:rPr>
        <w:t>低患者术后胸部疼痛现象的发生，降低患者术后伤口 </w:t>
      </w:r>
      <w:r>
        <w:rPr>
          <w:sz w:val="20"/>
          <w:szCs w:val="20"/>
          <w:color w:val="231F20"/>
          <w:spacing w:val="2"/>
        </w:rPr>
        <w:t>感染率</w:t>
      </w:r>
      <w:r>
        <w:rPr>
          <w:rFonts w:ascii="Times New Roman" w:hAnsi="Times New Roman" w:eastAsia="Times New Roman" w:cs="Times New Roman"/>
          <w:sz w:val="10"/>
          <w:szCs w:val="10"/>
          <w:color w:val="231F20"/>
          <w:spacing w:val="2"/>
          <w:position w:val="8"/>
        </w:rPr>
        <w:t>[9] </w:t>
      </w:r>
      <w:r>
        <w:rPr>
          <w:sz w:val="20"/>
          <w:szCs w:val="20"/>
          <w:color w:val="231F20"/>
          <w:spacing w:val="2"/>
        </w:rPr>
        <w:t>。实施微创小切口手术患者普遍术后恢复较</w:t>
      </w:r>
      <w:r>
        <w:rPr>
          <w:sz w:val="20"/>
          <w:szCs w:val="20"/>
          <w:color w:val="231F20"/>
          <w:spacing w:val="6"/>
        </w:rPr>
        <w:t xml:space="preserve"> </w:t>
      </w:r>
      <w:r>
        <w:rPr>
          <w:sz w:val="20"/>
          <w:szCs w:val="20"/>
          <w:color w:val="231F20"/>
          <w:spacing w:val="-9"/>
        </w:rPr>
        <w:t>快，因手术创口开放于腋下位置，出血量较少，对患者</w:t>
      </w:r>
      <w:r>
        <w:rPr>
          <w:sz w:val="20"/>
          <w:szCs w:val="20"/>
          <w:color w:val="231F20"/>
          <w:spacing w:val="16"/>
        </w:rPr>
        <w:t xml:space="preserve"> </w:t>
      </w:r>
      <w:r>
        <w:rPr>
          <w:sz w:val="20"/>
          <w:szCs w:val="20"/>
          <w:color w:val="231F20"/>
        </w:rPr>
        <w:t>术后的肢体能动性及活动范围限制度较低，使患者能 </w:t>
      </w:r>
      <w:r>
        <w:rPr>
          <w:sz w:val="20"/>
          <w:szCs w:val="20"/>
          <w:color w:val="231F20"/>
        </w:rPr>
        <w:t>更快的进行肢体活动，患者痛苦感受较少，让患者保 </w:t>
      </w:r>
      <w:r>
        <w:rPr>
          <w:sz w:val="20"/>
          <w:szCs w:val="20"/>
          <w:color w:val="231F20"/>
        </w:rPr>
        <w:t>持更为良好的心理状态，积极配合疾病治疗，且微创 </w:t>
      </w:r>
      <w:r>
        <w:rPr>
          <w:sz w:val="20"/>
          <w:szCs w:val="20"/>
          <w:color w:val="231F20"/>
          <w:spacing w:val="-9"/>
        </w:rPr>
        <w:t>小切口手术创口较小、位置较为隐秘、手术时间短、感</w:t>
      </w:r>
      <w:r>
        <w:rPr>
          <w:sz w:val="20"/>
          <w:szCs w:val="20"/>
          <w:color w:val="231F20"/>
          <w:spacing w:val="16"/>
        </w:rPr>
        <w:t xml:space="preserve"> </w:t>
      </w:r>
      <w:r>
        <w:rPr>
          <w:sz w:val="20"/>
          <w:szCs w:val="20"/>
          <w:color w:val="231F20"/>
          <w:spacing w:val="-6"/>
        </w:rPr>
        <w:t>受度低，有效提升患者恢复效率，缩短患者住院时间，</w:t>
      </w:r>
      <w:r>
        <w:rPr>
          <w:sz w:val="20"/>
          <w:szCs w:val="20"/>
          <w:color w:val="231F20"/>
          <w:spacing w:val="9"/>
        </w:rPr>
        <w:t xml:space="preserve"> </w:t>
      </w:r>
      <w:r>
        <w:rPr>
          <w:sz w:val="20"/>
          <w:szCs w:val="20"/>
          <w:color w:val="231F20"/>
        </w:rPr>
        <w:t>减轻患者经济压力，极大的提高患者对胸外科疾病手 </w:t>
      </w:r>
      <w:r>
        <w:rPr>
          <w:sz w:val="20"/>
          <w:szCs w:val="20"/>
          <w:color w:val="231F20"/>
          <w:spacing w:val="6"/>
          <w:position w:val="-1"/>
        </w:rPr>
        <w:t>术治疗的接受程度</w:t>
      </w:r>
      <w:r>
        <w:rPr>
          <w:rFonts w:ascii="Times New Roman" w:hAnsi="Times New Roman" w:eastAsia="Times New Roman" w:cs="Times New Roman"/>
          <w:sz w:val="10"/>
          <w:szCs w:val="10"/>
          <w:color w:val="231F20"/>
          <w:spacing w:val="6"/>
          <w:position w:val="7"/>
        </w:rPr>
        <w:t>[10]</w:t>
      </w:r>
      <w:r>
        <w:rPr>
          <w:sz w:val="20"/>
          <w:szCs w:val="20"/>
          <w:color w:val="231F20"/>
          <w:spacing w:val="6"/>
          <w:position w:val="-1"/>
        </w:rPr>
        <w:t>。</w:t>
      </w:r>
    </w:p>
    <w:p>
      <w:pPr>
        <w:pStyle w:val="BodyText"/>
        <w:ind w:left="733" w:right="328" w:firstLine="421"/>
        <w:spacing w:before="1" w:line="290" w:lineRule="auto"/>
        <w:jc w:val="both"/>
        <w:rPr>
          <w:sz w:val="20"/>
          <w:szCs w:val="20"/>
        </w:rPr>
      </w:pPr>
      <w:r>
        <w:rPr>
          <w:sz w:val="20"/>
          <w:szCs w:val="20"/>
          <w:color w:val="231F20"/>
          <w:spacing w:val="-1"/>
        </w:rPr>
        <w:t>本研究结果显示，术后，两组手术实施时间、切</w:t>
      </w:r>
      <w:r>
        <w:rPr>
          <w:sz w:val="20"/>
          <w:szCs w:val="20"/>
          <w:color w:val="231F20"/>
        </w:rPr>
        <w:t xml:space="preserve"> </w:t>
      </w:r>
      <w:r>
        <w:rPr>
          <w:sz w:val="20"/>
          <w:szCs w:val="20"/>
          <w:color w:val="231F20"/>
        </w:rPr>
        <w:t>口长度、恢复时间、住院时间均显著短于常规组，差 </w:t>
      </w:r>
      <w:r>
        <w:rPr>
          <w:sz w:val="20"/>
          <w:szCs w:val="20"/>
          <w:color w:val="231F20"/>
          <w:spacing w:val="6"/>
        </w:rPr>
        <w:t>异有统计学意义（</w:t>
      </w:r>
      <w:r>
        <w:rPr>
          <w:rFonts w:ascii="Times New Roman" w:hAnsi="Times New Roman" w:eastAsia="Times New Roman" w:cs="Times New Roman"/>
          <w:sz w:val="20"/>
          <w:szCs w:val="20"/>
          <w:i/>
          <w:iCs/>
          <w:color w:val="231F20"/>
          <w:spacing w:val="6"/>
        </w:rPr>
        <w:t>P</w:t>
      </w:r>
      <w:r>
        <w:rPr>
          <w:sz w:val="20"/>
          <w:szCs w:val="20"/>
          <w:color w:val="231F20"/>
          <w:spacing w:val="6"/>
        </w:rPr>
        <w:t>＜</w:t>
      </w:r>
      <w:r>
        <w:rPr>
          <w:rFonts w:ascii="Times New Roman" w:hAnsi="Times New Roman" w:eastAsia="Times New Roman" w:cs="Times New Roman"/>
          <w:sz w:val="20"/>
          <w:szCs w:val="20"/>
          <w:color w:val="231F20"/>
          <w:spacing w:val="6"/>
        </w:rPr>
        <w:t>0.05</w:t>
      </w:r>
      <w:r>
        <w:rPr>
          <w:sz w:val="20"/>
          <w:szCs w:val="20"/>
          <w:color w:val="231F20"/>
          <w:spacing w:val="-34"/>
          <w:w w:val="63"/>
        </w:rPr>
        <w:t>）；</w:t>
      </w:r>
      <w:r>
        <w:rPr>
          <w:sz w:val="20"/>
          <w:szCs w:val="20"/>
          <w:color w:val="231F20"/>
          <w:spacing w:val="6"/>
        </w:rPr>
        <w:t>术后，微创组不良反应</w:t>
      </w:r>
      <w:r>
        <w:rPr>
          <w:sz w:val="20"/>
          <w:szCs w:val="20"/>
          <w:color w:val="231F20"/>
        </w:rPr>
        <w:t xml:space="preserve"> </w:t>
      </w:r>
      <w:r>
        <w:rPr>
          <w:sz w:val="20"/>
          <w:szCs w:val="20"/>
          <w:color w:val="231F20"/>
          <w:spacing w:val="16"/>
        </w:rPr>
        <w:t>发生率显著低于常规组，差异有统计学意义（</w:t>
      </w:r>
      <w:r>
        <w:rPr>
          <w:rFonts w:ascii="Times New Roman" w:hAnsi="Times New Roman" w:eastAsia="Times New Roman" w:cs="Times New Roman"/>
          <w:sz w:val="20"/>
          <w:szCs w:val="20"/>
          <w:i/>
          <w:iCs/>
          <w:color w:val="231F20"/>
          <w:spacing w:val="16"/>
        </w:rPr>
        <w:t>P</w:t>
      </w:r>
      <w:r>
        <w:rPr>
          <w:sz w:val="20"/>
          <w:szCs w:val="20"/>
          <w:color w:val="231F20"/>
          <w:spacing w:val="16"/>
        </w:rPr>
        <w:t>&lt;</w:t>
      </w:r>
      <w:r>
        <w:rPr>
          <w:sz w:val="20"/>
          <w:szCs w:val="20"/>
          <w:color w:val="231F20"/>
        </w:rPr>
        <w:t xml:space="preserve"> </w:t>
      </w:r>
      <w:r>
        <w:rPr>
          <w:rFonts w:ascii="Times New Roman" w:hAnsi="Times New Roman" w:eastAsia="Times New Roman" w:cs="Times New Roman"/>
          <w:sz w:val="20"/>
          <w:szCs w:val="20"/>
          <w:color w:val="231F20"/>
          <w:spacing w:val="8"/>
        </w:rPr>
        <w:t>0.05</w:t>
      </w:r>
      <w:r>
        <w:rPr>
          <w:sz w:val="20"/>
          <w:szCs w:val="20"/>
          <w:color w:val="231F20"/>
          <w:spacing w:val="8"/>
        </w:rPr>
        <w:t>）。</w:t>
      </w:r>
      <w:r>
        <w:rPr>
          <w:sz w:val="20"/>
          <w:szCs w:val="20"/>
          <w:color w:val="231F20"/>
          <w:spacing w:val="-42"/>
        </w:rPr>
        <w:t xml:space="preserve"> </w:t>
      </w:r>
      <w:r>
        <w:rPr>
          <w:sz w:val="20"/>
          <w:szCs w:val="20"/>
          <w:color w:val="231F20"/>
          <w:spacing w:val="8"/>
        </w:rPr>
        <w:t>表明微创小切口手术的实施可有效提升患</w:t>
      </w:r>
      <w:r>
        <w:rPr>
          <w:sz w:val="20"/>
          <w:szCs w:val="20"/>
          <w:color w:val="231F20"/>
        </w:rPr>
        <w:t xml:space="preserve"> </w:t>
      </w:r>
      <w:r>
        <w:rPr>
          <w:sz w:val="20"/>
          <w:szCs w:val="20"/>
          <w:color w:val="231F20"/>
          <w:spacing w:val="3"/>
        </w:rPr>
        <w:t>者手术实施效率、降低术后不良反应发生率。</w:t>
      </w:r>
    </w:p>
    <w:p>
      <w:pPr>
        <w:spacing w:line="14" w:lineRule="auto"/>
        <w:rPr>
          <w:rFonts w:ascii="Arial"/>
          <w:sz w:val="2"/>
        </w:rPr>
      </w:pPr>
      <w:r>
        <w:rPr>
          <w:rFonts w:ascii="Arial" w:hAnsi="Arial" w:eastAsia="Arial" w:cs="Arial"/>
          <w:sz w:val="2"/>
          <w:szCs w:val="2"/>
        </w:rPr>
        <w:br w:type="column"/>
      </w:r>
    </w:p>
    <w:p>
      <w:pPr>
        <w:pStyle w:val="BodyText"/>
        <w:ind w:left="1" w:right="54" w:firstLine="420"/>
        <w:spacing w:before="41" w:line="293" w:lineRule="auto"/>
        <w:jc w:val="both"/>
        <w:rPr>
          <w:sz w:val="20"/>
          <w:szCs w:val="20"/>
        </w:rPr>
      </w:pPr>
      <w:r>
        <w:rPr>
          <w:sz w:val="20"/>
          <w:szCs w:val="20"/>
          <w:color w:val="231F20"/>
          <w:spacing w:val="8"/>
        </w:rPr>
        <w:t>综上所述，微创小切口手术治疗胸外科疾病患</w:t>
      </w:r>
      <w:r>
        <w:rPr>
          <w:sz w:val="20"/>
          <w:szCs w:val="20"/>
          <w:color w:val="231F20"/>
          <w:spacing w:val="17"/>
        </w:rPr>
        <w:t xml:space="preserve"> </w:t>
      </w:r>
      <w:r>
        <w:rPr>
          <w:sz w:val="20"/>
          <w:szCs w:val="20"/>
          <w:color w:val="231F20"/>
          <w:spacing w:val="9"/>
        </w:rPr>
        <w:t>者，能显著提升患者胸外科疾病手术效率，加快患</w:t>
      </w:r>
      <w:r>
        <w:rPr>
          <w:sz w:val="20"/>
          <w:szCs w:val="20"/>
          <w:color w:val="231F20"/>
        </w:rPr>
        <w:t xml:space="preserve"> </w:t>
      </w:r>
      <w:r>
        <w:rPr>
          <w:sz w:val="20"/>
          <w:szCs w:val="20"/>
          <w:color w:val="231F20"/>
          <w:spacing w:val="9"/>
        </w:rPr>
        <w:t>者康复效率，有效减轻患者治疗痛苦，降低术后并</w:t>
      </w:r>
      <w:r>
        <w:rPr>
          <w:sz w:val="20"/>
          <w:szCs w:val="20"/>
          <w:color w:val="231F20"/>
        </w:rPr>
        <w:t xml:space="preserve"> </w:t>
      </w:r>
      <w:r>
        <w:rPr>
          <w:sz w:val="20"/>
          <w:szCs w:val="20"/>
          <w:color w:val="231F20"/>
          <w:spacing w:val="9"/>
        </w:rPr>
        <w:t>发症的发生率，有效避免大范围开胸对患者身体机</w:t>
      </w:r>
      <w:r>
        <w:rPr>
          <w:sz w:val="20"/>
          <w:szCs w:val="20"/>
          <w:color w:val="231F20"/>
        </w:rPr>
        <w:t xml:space="preserve"> </w:t>
      </w:r>
      <w:r>
        <w:rPr>
          <w:sz w:val="20"/>
          <w:szCs w:val="20"/>
          <w:color w:val="231F20"/>
          <w:spacing w:val="2"/>
        </w:rPr>
        <w:t>能的影响和损害，值得临床推广应用。</w:t>
      </w:r>
    </w:p>
    <w:p>
      <w:pPr>
        <w:rPr>
          <w:rFonts w:ascii="Arial"/>
          <w:sz w:val="21"/>
        </w:rPr>
      </w:pPr>
      <w:r/>
    </w:p>
    <w:p>
      <w:pPr>
        <w:spacing w:before="65" w:line="271" w:lineRule="exact"/>
        <w:outlineLvl w:val="0"/>
        <w:rPr>
          <w:rFonts w:ascii="SimHei" w:hAnsi="SimHei" w:eastAsia="SimHei" w:cs="SimHei"/>
          <w:sz w:val="20"/>
          <w:szCs w:val="20"/>
        </w:rPr>
      </w:pPr>
      <w:r>
        <w:rPr>
          <w:rFonts w:ascii="SimHei" w:hAnsi="SimHei" w:eastAsia="SimHei" w:cs="SimHei"/>
          <w:sz w:val="20"/>
          <w:szCs w:val="20"/>
          <w:color w:val="231F20"/>
          <w:spacing w:val="7"/>
          <w:position w:val="1"/>
        </w:rPr>
        <w:t>参考文献</w:t>
      </w:r>
    </w:p>
    <w:p>
      <w:pPr>
        <w:pStyle w:val="BodyText"/>
        <w:ind w:left="354" w:right="54" w:hanging="350"/>
        <w:spacing w:before="48" w:line="307" w:lineRule="auto"/>
        <w:rPr>
          <w:rFonts w:ascii="Times New Roman" w:hAnsi="Times New Roman" w:eastAsia="Times New Roman" w:cs="Times New Roman"/>
        </w:rPr>
      </w:pPr>
      <w:r>
        <w:rPr>
          <w:rFonts w:ascii="Times New Roman" w:hAnsi="Times New Roman" w:eastAsia="Times New Roman" w:cs="Times New Roman"/>
          <w:color w:val="231F20"/>
          <w:spacing w:val="8"/>
        </w:rPr>
        <w:t>[1]    </w:t>
      </w:r>
      <w:r>
        <w:rPr>
          <w:color w:val="231F20"/>
          <w:spacing w:val="8"/>
        </w:rPr>
        <w:t>李元博</w:t>
      </w:r>
      <w:r>
        <w:rPr>
          <w:rFonts w:ascii="Times New Roman" w:hAnsi="Times New Roman" w:eastAsia="Times New Roman" w:cs="Times New Roman"/>
          <w:color w:val="231F20"/>
          <w:spacing w:val="8"/>
        </w:rPr>
        <w:t>,</w:t>
      </w:r>
      <w:r>
        <w:rPr>
          <w:color w:val="231F20"/>
          <w:spacing w:val="8"/>
        </w:rPr>
        <w:t>许庆生</w:t>
      </w:r>
      <w:r>
        <w:rPr>
          <w:rFonts w:ascii="Times New Roman" w:hAnsi="Times New Roman" w:eastAsia="Times New Roman" w:cs="Times New Roman"/>
          <w:color w:val="231F20"/>
          <w:spacing w:val="8"/>
        </w:rPr>
        <w:t>,</w:t>
      </w:r>
      <w:r>
        <w:rPr>
          <w:color w:val="231F20"/>
          <w:spacing w:val="8"/>
        </w:rPr>
        <w:t>支修益</w:t>
      </w:r>
      <w:r>
        <w:rPr>
          <w:rFonts w:ascii="Times New Roman" w:hAnsi="Times New Roman" w:eastAsia="Times New Roman" w:cs="Times New Roman"/>
          <w:color w:val="231F20"/>
          <w:spacing w:val="8"/>
        </w:rPr>
        <w:t>,</w:t>
      </w:r>
      <w:r>
        <w:rPr>
          <w:color w:val="231F20"/>
          <w:spacing w:val="8"/>
        </w:rPr>
        <w:t>等</w:t>
      </w:r>
      <w:r>
        <w:rPr>
          <w:color w:val="231F20"/>
          <w:spacing w:val="-29"/>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10"/>
        </w:rPr>
        <w:t xml:space="preserve"> </w:t>
      </w:r>
      <w:r>
        <w:rPr>
          <w:color w:val="231F20"/>
          <w:spacing w:val="8"/>
        </w:rPr>
        <w:t>全胸腔镜与小切口开胸手术治疗</w:t>
      </w:r>
      <w:r>
        <w:rPr>
          <w:rFonts w:ascii="Times New Roman" w:hAnsi="Times New Roman" w:eastAsia="Times New Roman" w:cs="Times New Roman"/>
          <w:color w:val="231F20"/>
          <w:spacing w:val="8"/>
        </w:rPr>
        <w:t>75</w:t>
      </w:r>
      <w:r>
        <w:rPr>
          <w:rFonts w:ascii="Times New Roman" w:hAnsi="Times New Roman" w:eastAsia="Times New Roman" w:cs="Times New Roman"/>
          <w:color w:val="231F20"/>
        </w:rPr>
        <w:t xml:space="preserve"> </w:t>
      </w:r>
      <w:r>
        <w:rPr>
          <w:color w:val="231F20"/>
          <w:spacing w:val="10"/>
        </w:rPr>
        <w:t>岁以上肺癌的比较</w:t>
      </w:r>
      <w:r>
        <w:rPr>
          <w:rFonts w:ascii="Times New Roman" w:hAnsi="Times New Roman" w:eastAsia="Times New Roman" w:cs="Times New Roman"/>
          <w:color w:val="231F20"/>
          <w:spacing w:val="10"/>
        </w:rPr>
        <w:t>[J].</w:t>
      </w:r>
      <w:r>
        <w:rPr>
          <w:rFonts w:ascii="Times New Roman" w:hAnsi="Times New Roman" w:eastAsia="Times New Roman" w:cs="Times New Roman"/>
          <w:color w:val="231F20"/>
          <w:spacing w:val="17"/>
          <w:w w:val="101"/>
        </w:rPr>
        <w:t xml:space="preserve"> </w:t>
      </w:r>
      <w:r>
        <w:rPr>
          <w:color w:val="231F20"/>
          <w:spacing w:val="10"/>
        </w:rPr>
        <w:t>中国微创外科杂志</w:t>
      </w:r>
      <w:r>
        <w:rPr>
          <w:rFonts w:ascii="Times New Roman" w:hAnsi="Times New Roman" w:eastAsia="Times New Roman" w:cs="Times New Roman"/>
          <w:color w:val="231F20"/>
          <w:spacing w:val="10"/>
        </w:rPr>
        <w:t>,2018,</w:t>
      </w:r>
      <w:r>
        <w:rPr>
          <w:rFonts w:ascii="Times New Roman" w:hAnsi="Times New Roman" w:eastAsia="Times New Roman" w:cs="Times New Roman"/>
          <w:color w:val="231F20"/>
          <w:spacing w:val="-8"/>
        </w:rPr>
        <w:t xml:space="preserve"> </w:t>
      </w:r>
      <w:r>
        <w:rPr>
          <w:rFonts w:ascii="Times New Roman" w:hAnsi="Times New Roman" w:eastAsia="Times New Roman" w:cs="Times New Roman"/>
          <w:color w:val="231F20"/>
          <w:spacing w:val="10"/>
        </w:rPr>
        <w:t>18(12):1066</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spacing w:val="10"/>
        </w:rPr>
        <w: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
        </w:rPr>
        <w:t>1068,</w:t>
      </w:r>
      <w:r>
        <w:rPr>
          <w:rFonts w:ascii="Times New Roman" w:hAnsi="Times New Roman" w:eastAsia="Times New Roman" w:cs="Times New Roman"/>
          <w:color w:val="231F20"/>
          <w:spacing w:val="-16"/>
        </w:rPr>
        <w:t xml:space="preserve"> </w:t>
      </w:r>
      <w:r>
        <w:rPr>
          <w:rFonts w:ascii="Times New Roman" w:hAnsi="Times New Roman" w:eastAsia="Times New Roman" w:cs="Times New Roman"/>
          <w:color w:val="231F20"/>
          <w:spacing w:val="1"/>
        </w:rPr>
        <w:t>1087.</w:t>
      </w:r>
    </w:p>
    <w:p>
      <w:pPr>
        <w:pStyle w:val="BodyText"/>
        <w:ind w:left="349" w:right="54" w:hanging="345"/>
        <w:spacing w:before="83" w:line="280" w:lineRule="auto"/>
        <w:rPr>
          <w:rFonts w:ascii="Times New Roman" w:hAnsi="Times New Roman" w:eastAsia="Times New Roman" w:cs="Times New Roman"/>
        </w:rPr>
      </w:pPr>
      <w:r>
        <w:rPr>
          <w:rFonts w:ascii="Times New Roman" w:hAnsi="Times New Roman" w:eastAsia="Times New Roman" w:cs="Times New Roman"/>
          <w:color w:val="231F20"/>
          <w:spacing w:val="9"/>
        </w:rPr>
        <w:t>[2]    </w:t>
      </w:r>
      <w:r>
        <w:rPr>
          <w:color w:val="231F20"/>
          <w:spacing w:val="9"/>
        </w:rPr>
        <w:t>李树鹏</w:t>
      </w:r>
      <w:r>
        <w:rPr>
          <w:rFonts w:ascii="Times New Roman" w:hAnsi="Times New Roman" w:eastAsia="Times New Roman" w:cs="Times New Roman"/>
          <w:color w:val="231F20"/>
          <w:spacing w:val="9"/>
        </w:rPr>
        <w:t>,</w:t>
      </w:r>
      <w:r>
        <w:rPr>
          <w:color w:val="231F20"/>
          <w:spacing w:val="9"/>
        </w:rPr>
        <w:t>李婧</w:t>
      </w:r>
      <w:r>
        <w:rPr>
          <w:rFonts w:ascii="Times New Roman" w:hAnsi="Times New Roman" w:eastAsia="Times New Roman" w:cs="Times New Roman"/>
          <w:color w:val="231F20"/>
          <w:spacing w:val="9"/>
        </w:rPr>
        <w:t>,</w:t>
      </w:r>
      <w:r>
        <w:rPr>
          <w:color w:val="231F20"/>
          <w:spacing w:val="9"/>
        </w:rPr>
        <w:t>张晓梅</w:t>
      </w:r>
      <w:r>
        <w:rPr>
          <w:rFonts w:ascii="Times New Roman" w:hAnsi="Times New Roman" w:eastAsia="Times New Roman" w:cs="Times New Roman"/>
          <w:color w:val="231F20"/>
          <w:spacing w:val="9"/>
        </w:rPr>
        <w:t>,</w:t>
      </w:r>
      <w:r>
        <w:rPr>
          <w:color w:val="231F20"/>
          <w:spacing w:val="9"/>
        </w:rPr>
        <w:t>等</w:t>
      </w:r>
      <w:r>
        <w:rPr>
          <w:color w:val="231F20"/>
          <w:spacing w:val="-41"/>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9"/>
        </w:rPr>
        <w:t xml:space="preserve"> </w:t>
      </w:r>
      <w:r>
        <w:rPr>
          <w:color w:val="231F20"/>
          <w:spacing w:val="8"/>
        </w:rPr>
        <w:t>微创技术在急诊胸外科手术中的临床</w:t>
      </w:r>
      <w:r>
        <w:rPr>
          <w:color w:val="231F20"/>
        </w:rPr>
        <w:t xml:space="preserve"> </w:t>
      </w:r>
      <w:r>
        <w:rPr>
          <w:color w:val="231F20"/>
          <w:spacing w:val="7"/>
        </w:rPr>
        <w:t>应用效果观察</w:t>
      </w:r>
      <w:r>
        <w:rPr>
          <w:rFonts w:ascii="Times New Roman" w:hAnsi="Times New Roman" w:eastAsia="Times New Roman" w:cs="Times New Roman"/>
          <w:color w:val="231F20"/>
          <w:spacing w:val="7"/>
        </w:rPr>
        <w:t>[J].</w:t>
      </w:r>
      <w:r>
        <w:rPr>
          <w:color w:val="231F20"/>
          <w:spacing w:val="7"/>
        </w:rPr>
        <w:t>现代诊断与治疗</w:t>
      </w:r>
      <w:r>
        <w:rPr>
          <w:rFonts w:ascii="Times New Roman" w:hAnsi="Times New Roman" w:eastAsia="Times New Roman" w:cs="Times New Roman"/>
          <w:color w:val="231F20"/>
          <w:spacing w:val="7"/>
        </w:rPr>
        <w:t>,2017,28(</w:t>
      </w:r>
      <w:r>
        <w:rPr>
          <w:rFonts w:ascii="Times New Roman" w:hAnsi="Times New Roman" w:eastAsia="Times New Roman" w:cs="Times New Roman"/>
          <w:color w:val="231F20"/>
          <w:spacing w:val="6"/>
        </w:rPr>
        <w:t>14):165-167.</w:t>
      </w:r>
    </w:p>
    <w:p>
      <w:pPr>
        <w:pStyle w:val="BodyText"/>
        <w:ind w:left="4"/>
        <w:spacing w:before="78" w:line="235" w:lineRule="auto"/>
        <w:rPr>
          <w:rFonts w:ascii="Times New Roman" w:hAnsi="Times New Roman" w:eastAsia="Times New Roman" w:cs="Times New Roman"/>
        </w:rPr>
      </w:pPr>
      <w:r>
        <w:rPr>
          <w:rFonts w:ascii="Times New Roman" w:hAnsi="Times New Roman" w:eastAsia="Times New Roman" w:cs="Times New Roman"/>
          <w:color w:val="231F20"/>
          <w:spacing w:val="10"/>
        </w:rPr>
        <w:t>[3]    </w:t>
      </w:r>
      <w:r>
        <w:rPr>
          <w:color w:val="231F20"/>
          <w:spacing w:val="10"/>
        </w:rPr>
        <w:t>丁连珠</w:t>
      </w:r>
      <w:r>
        <w:rPr>
          <w:color w:val="231F20"/>
          <w:spacing w:val="-21"/>
        </w:rPr>
        <w:t xml:space="preserve"> </w:t>
      </w:r>
      <w:r>
        <w:rPr>
          <w:rFonts w:ascii="Times New Roman" w:hAnsi="Times New Roman" w:eastAsia="Times New Roman" w:cs="Times New Roman"/>
          <w:color w:val="231F20"/>
          <w:spacing w:val="10"/>
        </w:rPr>
        <w:t>.</w:t>
      </w:r>
      <w:r>
        <w:rPr>
          <w:rFonts w:ascii="Times New Roman" w:hAnsi="Times New Roman" w:eastAsia="Times New Roman" w:cs="Times New Roman"/>
          <w:color w:val="231F20"/>
          <w:spacing w:val="-7"/>
        </w:rPr>
        <w:t xml:space="preserve"> </w:t>
      </w:r>
      <w:r>
        <w:rPr>
          <w:color w:val="231F20"/>
          <w:spacing w:val="10"/>
        </w:rPr>
        <w:t>低位小切口甲状腺瘤切除术与传统手术对比分析</w:t>
      </w:r>
      <w:r>
        <w:rPr>
          <w:rFonts w:ascii="Times New Roman" w:hAnsi="Times New Roman" w:eastAsia="Times New Roman" w:cs="Times New Roman"/>
          <w:color w:val="231F20"/>
          <w:spacing w:val="10"/>
        </w:rPr>
        <w:t>[J].</w:t>
      </w:r>
    </w:p>
    <w:p>
      <w:pPr>
        <w:pStyle w:val="BodyText"/>
        <w:ind w:left="360"/>
        <w:spacing w:before="76" w:line="232" w:lineRule="auto"/>
        <w:rPr>
          <w:rFonts w:ascii="Times New Roman" w:hAnsi="Times New Roman" w:eastAsia="Times New Roman" w:cs="Times New Roman"/>
        </w:rPr>
      </w:pPr>
      <w:r>
        <w:rPr>
          <w:color w:val="231F20"/>
          <w:spacing w:val="5"/>
        </w:rPr>
        <w:t>当代医学</w:t>
      </w:r>
      <w:r>
        <w:rPr>
          <w:rFonts w:ascii="Times New Roman" w:hAnsi="Times New Roman" w:eastAsia="Times New Roman" w:cs="Times New Roman"/>
          <w:color w:val="231F20"/>
          <w:spacing w:val="5"/>
        </w:rPr>
        <w:t>,2019,25(13):136-</w:t>
      </w:r>
      <w:r>
        <w:rPr>
          <w:rFonts w:ascii="Times New Roman" w:hAnsi="Times New Roman" w:eastAsia="Times New Roman" w:cs="Times New Roman"/>
          <w:color w:val="231F20"/>
          <w:spacing w:val="4"/>
        </w:rPr>
        <w:t>137.</w:t>
      </w:r>
    </w:p>
    <w:p>
      <w:pPr>
        <w:pStyle w:val="BodyText"/>
        <w:ind w:left="356" w:right="54" w:hanging="352"/>
        <w:spacing w:before="79" w:line="280" w:lineRule="auto"/>
        <w:rPr>
          <w:rFonts w:ascii="Times New Roman" w:hAnsi="Times New Roman" w:eastAsia="Times New Roman" w:cs="Times New Roman"/>
        </w:rPr>
      </w:pPr>
      <w:r>
        <w:rPr>
          <w:rFonts w:ascii="Times New Roman" w:hAnsi="Times New Roman" w:eastAsia="Times New Roman" w:cs="Times New Roman"/>
          <w:color w:val="231F20"/>
          <w:spacing w:val="10"/>
        </w:rPr>
        <w:t>[4]    </w:t>
      </w:r>
      <w:r>
        <w:rPr>
          <w:color w:val="231F20"/>
          <w:spacing w:val="10"/>
        </w:rPr>
        <w:t>赵伟伟</w:t>
      </w:r>
      <w:r>
        <w:rPr>
          <w:color w:val="231F20"/>
          <w:spacing w:val="-30"/>
        </w:rPr>
        <w:t xml:space="preserve"> </w:t>
      </w:r>
      <w:r>
        <w:rPr>
          <w:rFonts w:ascii="Times New Roman" w:hAnsi="Times New Roman" w:eastAsia="Times New Roman" w:cs="Times New Roman"/>
          <w:color w:val="231F20"/>
          <w:spacing w:val="10"/>
        </w:rPr>
        <w:t>.</w:t>
      </w:r>
      <w:r>
        <w:rPr>
          <w:rFonts w:ascii="Times New Roman" w:hAnsi="Times New Roman" w:eastAsia="Times New Roman" w:cs="Times New Roman"/>
          <w:color w:val="231F20"/>
          <w:spacing w:val="-6"/>
        </w:rPr>
        <w:t xml:space="preserve"> </w:t>
      </w:r>
      <w:r>
        <w:rPr>
          <w:color w:val="231F20"/>
          <w:spacing w:val="10"/>
        </w:rPr>
        <w:t>微创小切口手术治疗胸外科疾病的临床观察</w:t>
      </w:r>
      <w:r>
        <w:rPr>
          <w:rFonts w:ascii="Times New Roman" w:hAnsi="Times New Roman" w:eastAsia="Times New Roman" w:cs="Times New Roman"/>
          <w:color w:val="231F20"/>
          <w:spacing w:val="10"/>
        </w:rPr>
        <w:t>[J].</w:t>
      </w:r>
      <w:r>
        <w:rPr>
          <w:color w:val="231F20"/>
          <w:spacing w:val="10"/>
        </w:rPr>
        <w:t>基层</w:t>
      </w:r>
      <w:r>
        <w:rPr>
          <w:color w:val="231F20"/>
        </w:rPr>
        <w:t xml:space="preserve"> </w:t>
      </w:r>
      <w:r>
        <w:rPr>
          <w:color w:val="231F20"/>
          <w:spacing w:val="5"/>
        </w:rPr>
        <w:t>医学论坛</w:t>
      </w:r>
      <w:r>
        <w:rPr>
          <w:rFonts w:ascii="Times New Roman" w:hAnsi="Times New Roman" w:eastAsia="Times New Roman" w:cs="Times New Roman"/>
          <w:color w:val="231F20"/>
          <w:spacing w:val="5"/>
        </w:rPr>
        <w:t>,2019,23(4):585-586.</w:t>
      </w:r>
    </w:p>
    <w:p>
      <w:pPr>
        <w:pStyle w:val="BodyText"/>
        <w:ind w:left="356" w:right="54" w:hanging="352"/>
        <w:spacing w:before="79" w:line="280" w:lineRule="auto"/>
        <w:rPr>
          <w:rFonts w:ascii="Times New Roman" w:hAnsi="Times New Roman" w:eastAsia="Times New Roman" w:cs="Times New Roman"/>
        </w:rPr>
      </w:pPr>
      <w:r>
        <w:rPr>
          <w:rFonts w:ascii="Times New Roman" w:hAnsi="Times New Roman" w:eastAsia="Times New Roman" w:cs="Times New Roman"/>
          <w:color w:val="231F20"/>
          <w:spacing w:val="10"/>
        </w:rPr>
        <w:t>[5]    </w:t>
      </w:r>
      <w:r>
        <w:rPr>
          <w:color w:val="231F20"/>
          <w:spacing w:val="10"/>
        </w:rPr>
        <w:t>尉腊革</w:t>
      </w:r>
      <w:r>
        <w:rPr>
          <w:color w:val="231F20"/>
          <w:spacing w:val="-30"/>
        </w:rPr>
        <w:t xml:space="preserve"> </w:t>
      </w:r>
      <w:r>
        <w:rPr>
          <w:rFonts w:ascii="Times New Roman" w:hAnsi="Times New Roman" w:eastAsia="Times New Roman" w:cs="Times New Roman"/>
          <w:color w:val="231F20"/>
          <w:spacing w:val="10"/>
        </w:rPr>
        <w:t>.</w:t>
      </w:r>
      <w:r>
        <w:rPr>
          <w:rFonts w:ascii="Times New Roman" w:hAnsi="Times New Roman" w:eastAsia="Times New Roman" w:cs="Times New Roman"/>
          <w:color w:val="231F20"/>
          <w:spacing w:val="-6"/>
        </w:rPr>
        <w:t xml:space="preserve"> </w:t>
      </w:r>
      <w:r>
        <w:rPr>
          <w:color w:val="231F20"/>
          <w:spacing w:val="10"/>
        </w:rPr>
        <w:t>微创小切口手术治疗胸外科疾病的临床观察</w:t>
      </w:r>
      <w:r>
        <w:rPr>
          <w:rFonts w:ascii="Times New Roman" w:hAnsi="Times New Roman" w:eastAsia="Times New Roman" w:cs="Times New Roman"/>
          <w:color w:val="231F20"/>
          <w:spacing w:val="10"/>
        </w:rPr>
        <w:t>[J].</w:t>
      </w:r>
      <w:r>
        <w:rPr>
          <w:color w:val="231F20"/>
          <w:spacing w:val="10"/>
        </w:rPr>
        <w:t>基层</w:t>
      </w:r>
      <w:r>
        <w:rPr>
          <w:color w:val="231F20"/>
        </w:rPr>
        <w:t xml:space="preserve"> </w:t>
      </w:r>
      <w:r>
        <w:rPr>
          <w:color w:val="231F20"/>
          <w:spacing w:val="5"/>
        </w:rPr>
        <w:t>医学论坛</w:t>
      </w:r>
      <w:r>
        <w:rPr>
          <w:rFonts w:ascii="Times New Roman" w:hAnsi="Times New Roman" w:eastAsia="Times New Roman" w:cs="Times New Roman"/>
          <w:color w:val="231F20"/>
          <w:spacing w:val="5"/>
        </w:rPr>
        <w:t>,2018,22(34):4845-4846.</w:t>
      </w:r>
    </w:p>
    <w:p>
      <w:pPr>
        <w:pStyle w:val="BodyText"/>
        <w:ind w:left="349" w:right="54" w:hanging="345"/>
        <w:spacing w:before="80" w:line="280" w:lineRule="auto"/>
        <w:rPr>
          <w:rFonts w:ascii="Times New Roman" w:hAnsi="Times New Roman" w:eastAsia="Times New Roman" w:cs="Times New Roman"/>
        </w:rPr>
      </w:pPr>
      <w:r>
        <w:rPr>
          <w:rFonts w:ascii="Times New Roman" w:hAnsi="Times New Roman" w:eastAsia="Times New Roman" w:cs="Times New Roman"/>
          <w:color w:val="231F20"/>
          <w:spacing w:val="8"/>
        </w:rPr>
        <w:t>[6]    </w:t>
      </w:r>
      <w:r>
        <w:rPr>
          <w:color w:val="231F20"/>
          <w:spacing w:val="8"/>
        </w:rPr>
        <w:t>陈之飞</w:t>
      </w:r>
      <w:r>
        <w:rPr>
          <w:color w:val="231F20"/>
          <w:spacing w:val="-43"/>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10"/>
        </w:rPr>
        <w:t xml:space="preserve"> </w:t>
      </w:r>
      <w:r>
        <w:rPr>
          <w:color w:val="231F20"/>
          <w:spacing w:val="8"/>
        </w:rPr>
        <w:t>经膝关节镜引导小切口手术治疗胫骨平台骨折的临床</w:t>
      </w:r>
      <w:r>
        <w:rPr>
          <w:color w:val="231F20"/>
        </w:rPr>
        <w:t xml:space="preserve"> </w:t>
      </w:r>
      <w:r>
        <w:rPr>
          <w:color w:val="231F20"/>
          <w:spacing w:val="4"/>
        </w:rPr>
        <w:t>研究</w:t>
      </w:r>
      <w:r>
        <w:rPr>
          <w:rFonts w:ascii="Times New Roman" w:hAnsi="Times New Roman" w:eastAsia="Times New Roman" w:cs="Times New Roman"/>
          <w:color w:val="231F20"/>
          <w:spacing w:val="4"/>
        </w:rPr>
        <w:t>[J]. </w:t>
      </w:r>
      <w:r>
        <w:rPr>
          <w:color w:val="231F20"/>
          <w:spacing w:val="4"/>
        </w:rPr>
        <w:t>当代医学</w:t>
      </w:r>
      <w:r>
        <w:rPr>
          <w:rFonts w:ascii="Times New Roman" w:hAnsi="Times New Roman" w:eastAsia="Times New Roman" w:cs="Times New Roman"/>
          <w:color w:val="231F20"/>
          <w:spacing w:val="4"/>
        </w:rPr>
        <w:t>,2019,25(22):60-62.</w:t>
      </w:r>
    </w:p>
    <w:p>
      <w:pPr>
        <w:pStyle w:val="BodyText"/>
        <w:ind w:left="356" w:right="54" w:hanging="352"/>
        <w:spacing w:before="79" w:line="280" w:lineRule="auto"/>
        <w:rPr>
          <w:rFonts w:ascii="Times New Roman" w:hAnsi="Times New Roman" w:eastAsia="Times New Roman" w:cs="Times New Roman"/>
        </w:rPr>
      </w:pPr>
      <w:r>
        <w:rPr>
          <w:rFonts w:ascii="Times New Roman" w:hAnsi="Times New Roman" w:eastAsia="Times New Roman" w:cs="Times New Roman"/>
          <w:color w:val="231F20"/>
          <w:spacing w:val="9"/>
        </w:rPr>
        <w:t>[7]    </w:t>
      </w:r>
      <w:r>
        <w:rPr>
          <w:color w:val="231F20"/>
          <w:spacing w:val="9"/>
        </w:rPr>
        <w:t>王鹏鲲</w:t>
      </w:r>
      <w:r>
        <w:rPr>
          <w:color w:val="231F20"/>
          <w:spacing w:val="-40"/>
        </w:rPr>
        <w:t xml:space="preserve"> </w:t>
      </w:r>
      <w:r>
        <w:rPr>
          <w:rFonts w:ascii="Times New Roman" w:hAnsi="Times New Roman" w:eastAsia="Times New Roman" w:cs="Times New Roman"/>
          <w:color w:val="231F20"/>
          <w:spacing w:val="9"/>
        </w:rPr>
        <w:t>.</w:t>
      </w:r>
      <w:r>
        <w:rPr>
          <w:rFonts w:ascii="Times New Roman" w:hAnsi="Times New Roman" w:eastAsia="Times New Roman" w:cs="Times New Roman"/>
          <w:color w:val="231F20"/>
          <w:spacing w:val="-7"/>
        </w:rPr>
        <w:t xml:space="preserve"> </w:t>
      </w:r>
      <w:r>
        <w:rPr>
          <w:color w:val="231F20"/>
          <w:spacing w:val="9"/>
        </w:rPr>
        <w:t>微创小切口在胸外科手术中的应用效果分析</w:t>
      </w:r>
      <w:r>
        <w:rPr>
          <w:rFonts w:ascii="Times New Roman" w:hAnsi="Times New Roman" w:eastAsia="Times New Roman" w:cs="Times New Roman"/>
          <w:color w:val="231F20"/>
          <w:spacing w:val="9"/>
        </w:rPr>
        <w:t>[J]. </w:t>
      </w:r>
      <w:r>
        <w:rPr>
          <w:color w:val="231F20"/>
          <w:spacing w:val="9"/>
        </w:rPr>
        <w:t>国际</w:t>
      </w:r>
      <w:r>
        <w:rPr>
          <w:color w:val="231F20"/>
        </w:rPr>
        <w:t xml:space="preserve"> </w:t>
      </w:r>
      <w:r>
        <w:rPr>
          <w:color w:val="231F20"/>
          <w:spacing w:val="5"/>
        </w:rPr>
        <w:t>医药卫生导报</w:t>
      </w:r>
      <w:r>
        <w:rPr>
          <w:rFonts w:ascii="Times New Roman" w:hAnsi="Times New Roman" w:eastAsia="Times New Roman" w:cs="Times New Roman"/>
          <w:color w:val="231F20"/>
          <w:spacing w:val="5"/>
        </w:rPr>
        <w:t>,2018,24(17):2663-2665.</w:t>
      </w:r>
    </w:p>
    <w:p>
      <w:pPr>
        <w:pStyle w:val="BodyText"/>
        <w:ind w:left="350" w:right="54" w:hanging="346"/>
        <w:spacing w:before="79" w:line="280" w:lineRule="auto"/>
        <w:rPr>
          <w:rFonts w:ascii="Times New Roman" w:hAnsi="Times New Roman" w:eastAsia="Times New Roman" w:cs="Times New Roman"/>
        </w:rPr>
      </w:pPr>
      <w:r>
        <w:rPr>
          <w:rFonts w:ascii="Times New Roman" w:hAnsi="Times New Roman" w:eastAsia="Times New Roman" w:cs="Times New Roman"/>
          <w:color w:val="231F20"/>
          <w:spacing w:val="8"/>
        </w:rPr>
        <w:t>[8]    </w:t>
      </w:r>
      <w:r>
        <w:rPr>
          <w:color w:val="231F20"/>
          <w:spacing w:val="8"/>
        </w:rPr>
        <w:t>宋春凤</w:t>
      </w:r>
      <w:r>
        <w:rPr>
          <w:rFonts w:ascii="Times New Roman" w:hAnsi="Times New Roman" w:eastAsia="Times New Roman" w:cs="Times New Roman"/>
          <w:color w:val="231F20"/>
          <w:spacing w:val="8"/>
        </w:rPr>
        <w:t>,</w:t>
      </w:r>
      <w:r>
        <w:rPr>
          <w:color w:val="231F20"/>
          <w:spacing w:val="8"/>
        </w:rPr>
        <w:t>李辉</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9"/>
        </w:rPr>
        <w:t xml:space="preserve"> </w:t>
      </w:r>
      <w:r>
        <w:rPr>
          <w:color w:val="231F20"/>
          <w:spacing w:val="8"/>
        </w:rPr>
        <w:t>田博</w:t>
      </w:r>
      <w:r>
        <w:rPr>
          <w:rFonts w:ascii="Times New Roman" w:hAnsi="Times New Roman" w:eastAsia="Times New Roman" w:cs="Times New Roman"/>
          <w:color w:val="231F20"/>
          <w:spacing w:val="8"/>
        </w:rPr>
        <w:t>,</w:t>
      </w:r>
      <w:r>
        <w:rPr>
          <w:color w:val="231F20"/>
          <w:spacing w:val="8"/>
        </w:rPr>
        <w:t>等</w:t>
      </w:r>
      <w:r>
        <w:rPr>
          <w:color w:val="231F20"/>
          <w:spacing w:val="-42"/>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10"/>
        </w:rPr>
        <w:t xml:space="preserve"> </w:t>
      </w:r>
      <w:r>
        <w:rPr>
          <w:color w:val="231F20"/>
          <w:spacing w:val="8"/>
        </w:rPr>
        <w:t>胸外科术后静脉血栓</w:t>
      </w:r>
      <w:r>
        <w:rPr>
          <w:color w:val="231F20"/>
          <w:spacing w:val="7"/>
        </w:rPr>
        <w:t>栓塞症发生情况的</w:t>
      </w:r>
      <w:r>
        <w:rPr>
          <w:color w:val="231F20"/>
        </w:rPr>
        <w:t xml:space="preserve"> </w:t>
      </w:r>
      <w:r>
        <w:rPr>
          <w:color w:val="231F20"/>
          <w:spacing w:val="6"/>
        </w:rPr>
        <w:t>单中心前瞻性队列研究</w:t>
      </w:r>
      <w:r>
        <w:rPr>
          <w:rFonts w:ascii="Times New Roman" w:hAnsi="Times New Roman" w:eastAsia="Times New Roman" w:cs="Times New Roman"/>
          <w:color w:val="231F20"/>
          <w:spacing w:val="6"/>
        </w:rPr>
        <w:t>[J]. </w:t>
      </w:r>
      <w:r>
        <w:rPr>
          <w:color w:val="231F20"/>
          <w:spacing w:val="6"/>
        </w:rPr>
        <w:t>中华外科杂志</w:t>
      </w:r>
      <w:r>
        <w:rPr>
          <w:rFonts w:ascii="Times New Roman" w:hAnsi="Times New Roman" w:eastAsia="Times New Roman" w:cs="Times New Roman"/>
          <w:color w:val="231F20"/>
          <w:spacing w:val="6"/>
        </w:rPr>
        <w:t>,2018,56(4):284</w:t>
      </w:r>
      <w:r>
        <w:rPr>
          <w:rFonts w:ascii="Times New Roman" w:hAnsi="Times New Roman" w:eastAsia="Times New Roman" w:cs="Times New Roman"/>
          <w:color w:val="231F20"/>
          <w:spacing w:val="5"/>
        </w:rPr>
        <w:t>-288.</w:t>
      </w:r>
    </w:p>
    <w:p>
      <w:pPr>
        <w:pStyle w:val="BodyText"/>
        <w:ind w:left="356" w:right="54" w:hanging="352"/>
        <w:spacing w:before="79" w:line="280" w:lineRule="auto"/>
        <w:rPr>
          <w:rFonts w:ascii="Times New Roman" w:hAnsi="Times New Roman" w:eastAsia="Times New Roman" w:cs="Times New Roman"/>
        </w:rPr>
      </w:pPr>
      <w:r>
        <w:rPr>
          <w:rFonts w:ascii="Times New Roman" w:hAnsi="Times New Roman" w:eastAsia="Times New Roman" w:cs="Times New Roman"/>
          <w:color w:val="231F20"/>
          <w:spacing w:val="9"/>
        </w:rPr>
        <w:t>[9]    </w:t>
      </w:r>
      <w:r>
        <w:rPr>
          <w:color w:val="231F20"/>
          <w:spacing w:val="9"/>
        </w:rPr>
        <w:t>吕晓东</w:t>
      </w:r>
      <w:r>
        <w:rPr>
          <w:color w:val="231F20"/>
          <w:spacing w:val="-39"/>
        </w:rPr>
        <w:t xml:space="preserve"> </w:t>
      </w:r>
      <w:r>
        <w:rPr>
          <w:rFonts w:ascii="Times New Roman" w:hAnsi="Times New Roman" w:eastAsia="Times New Roman" w:cs="Times New Roman"/>
          <w:color w:val="231F20"/>
          <w:spacing w:val="9"/>
        </w:rPr>
        <w:t>.</w:t>
      </w:r>
      <w:r>
        <w:rPr>
          <w:rFonts w:ascii="Times New Roman" w:hAnsi="Times New Roman" w:eastAsia="Times New Roman" w:cs="Times New Roman"/>
          <w:color w:val="231F20"/>
          <w:spacing w:val="-8"/>
        </w:rPr>
        <w:t xml:space="preserve"> </w:t>
      </w:r>
      <w:r>
        <w:rPr>
          <w:color w:val="231F20"/>
          <w:spacing w:val="9"/>
        </w:rPr>
        <w:t>腋下小切口手术治疗外伤性气胸患者的效果</w:t>
      </w:r>
      <w:r>
        <w:rPr>
          <w:rFonts w:ascii="Times New Roman" w:hAnsi="Times New Roman" w:eastAsia="Times New Roman" w:cs="Times New Roman"/>
          <w:color w:val="231F20"/>
          <w:spacing w:val="9"/>
        </w:rPr>
        <w:t>[J]. </w:t>
      </w:r>
      <w:r>
        <w:rPr>
          <w:color w:val="231F20"/>
          <w:spacing w:val="9"/>
        </w:rPr>
        <w:t>国际</w:t>
      </w:r>
      <w:r>
        <w:rPr>
          <w:color w:val="231F20"/>
        </w:rPr>
        <w:t xml:space="preserve"> </w:t>
      </w:r>
      <w:r>
        <w:rPr>
          <w:color w:val="231F20"/>
          <w:spacing w:val="5"/>
        </w:rPr>
        <w:t>医药卫生导报</w:t>
      </w:r>
      <w:r>
        <w:rPr>
          <w:rFonts w:ascii="Times New Roman" w:hAnsi="Times New Roman" w:eastAsia="Times New Roman" w:cs="Times New Roman"/>
          <w:color w:val="231F20"/>
          <w:spacing w:val="5"/>
        </w:rPr>
        <w:t>,2019,25(15):2543-2545.</w:t>
      </w:r>
    </w:p>
    <w:p>
      <w:pPr>
        <w:pStyle w:val="BodyText"/>
        <w:ind w:left="349" w:right="54" w:hanging="345"/>
        <w:spacing w:before="86" w:line="286" w:lineRule="auto"/>
        <w:rPr>
          <w:rFonts w:ascii="Times New Roman" w:hAnsi="Times New Roman" w:eastAsia="Times New Roman" w:cs="Times New Roman"/>
        </w:rPr>
      </w:pPr>
      <w:r>
        <w:rPr>
          <w:rFonts w:ascii="Times New Roman" w:hAnsi="Times New Roman" w:eastAsia="Times New Roman" w:cs="Times New Roman"/>
          <w:color w:val="231F20"/>
          <w:spacing w:val="8"/>
        </w:rPr>
        <w:t>[10]  </w:t>
      </w:r>
      <w:r>
        <w:rPr>
          <w:color w:val="231F20"/>
          <w:spacing w:val="8"/>
        </w:rPr>
        <w:t>钱俊</w:t>
      </w:r>
      <w:r>
        <w:rPr>
          <w:rFonts w:ascii="Times New Roman" w:hAnsi="Times New Roman" w:eastAsia="Times New Roman" w:cs="Times New Roman"/>
          <w:color w:val="231F20"/>
          <w:spacing w:val="8"/>
        </w:rPr>
        <w:t>,</w:t>
      </w:r>
      <w:r>
        <w:rPr>
          <w:color w:val="231F20"/>
          <w:spacing w:val="8"/>
        </w:rPr>
        <w:t>周超</w:t>
      </w:r>
      <w:r>
        <w:rPr>
          <w:rFonts w:ascii="Times New Roman" w:hAnsi="Times New Roman" w:eastAsia="Times New Roman" w:cs="Times New Roman"/>
          <w:color w:val="231F20"/>
          <w:spacing w:val="8"/>
        </w:rPr>
        <w:t>,</w:t>
      </w:r>
      <w:r>
        <w:rPr>
          <w:color w:val="231F20"/>
          <w:spacing w:val="8"/>
        </w:rPr>
        <w:t>沈宇舟</w:t>
      </w:r>
      <w:r>
        <w:rPr>
          <w:rFonts w:ascii="Times New Roman" w:hAnsi="Times New Roman" w:eastAsia="Times New Roman" w:cs="Times New Roman"/>
          <w:color w:val="231F20"/>
          <w:spacing w:val="8"/>
        </w:rPr>
        <w:t>,</w:t>
      </w:r>
      <w:r>
        <w:rPr>
          <w:color w:val="231F20"/>
          <w:spacing w:val="8"/>
        </w:rPr>
        <w:t>等</w:t>
      </w:r>
      <w:r>
        <w:rPr>
          <w:color w:val="231F20"/>
          <w:spacing w:val="-41"/>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8"/>
        </w:rPr>
        <w:t xml:space="preserve"> </w:t>
      </w:r>
      <w:r>
        <w:rPr>
          <w:color w:val="231F20"/>
          <w:spacing w:val="8"/>
        </w:rPr>
        <w:t>单操作孔胸腔镜手</w:t>
      </w:r>
      <w:r>
        <w:rPr>
          <w:color w:val="231F20"/>
          <w:spacing w:val="7"/>
        </w:rPr>
        <w:t>术</w:t>
      </w:r>
      <w:r>
        <w:rPr>
          <w:color w:val="231F20"/>
          <w:spacing w:val="-33"/>
        </w:rPr>
        <w:t xml:space="preserve"> </w:t>
      </w:r>
      <w:r>
        <w:rPr>
          <w:rFonts w:ascii="Times New Roman" w:hAnsi="Times New Roman" w:eastAsia="Times New Roman" w:cs="Times New Roman"/>
          <w:color w:val="231F20"/>
          <w:spacing w:val="7"/>
        </w:rPr>
        <w:t>1.5 </w:t>
      </w:r>
      <w:r>
        <w:rPr>
          <w:rFonts w:ascii="Times New Roman" w:hAnsi="Times New Roman" w:eastAsia="Times New Roman" w:cs="Times New Roman"/>
          <w:color w:val="231F20"/>
        </w:rPr>
        <w:t>cm</w:t>
      </w:r>
      <w:r>
        <w:rPr>
          <w:rFonts w:ascii="Times New Roman" w:hAnsi="Times New Roman" w:eastAsia="Times New Roman" w:cs="Times New Roman"/>
          <w:color w:val="231F20"/>
          <w:spacing w:val="-10"/>
        </w:rPr>
        <w:t xml:space="preserve"> </w:t>
      </w:r>
      <w:r>
        <w:rPr>
          <w:color w:val="231F20"/>
          <w:spacing w:val="7"/>
        </w:rPr>
        <w:t>操作孔取出</w:t>
      </w:r>
      <w:r>
        <w:rPr>
          <w:color w:val="231F20"/>
        </w:rPr>
        <w:t xml:space="preserve"> </w:t>
      </w:r>
      <w:r>
        <w:rPr>
          <w:color w:val="231F20"/>
          <w:spacing w:val="5"/>
        </w:rPr>
        <w:t>标本</w:t>
      </w:r>
      <w:r>
        <w:rPr>
          <w:rFonts w:ascii="Times New Roman" w:hAnsi="Times New Roman" w:eastAsia="Times New Roman" w:cs="Times New Roman"/>
          <w:color w:val="231F20"/>
          <w:spacing w:val="5"/>
        </w:rPr>
        <w:t>:</w:t>
      </w:r>
      <w:r>
        <w:rPr>
          <w:color w:val="231F20"/>
          <w:spacing w:val="5"/>
        </w:rPr>
        <w:t>小切口</w:t>
      </w:r>
      <w:r>
        <w:rPr>
          <w:rFonts w:ascii="Times New Roman" w:hAnsi="Times New Roman" w:eastAsia="Times New Roman" w:cs="Times New Roman"/>
          <w:color w:val="231F20"/>
          <w:spacing w:val="5"/>
        </w:rPr>
        <w:t>,</w:t>
      </w:r>
      <w:r>
        <w:rPr>
          <w:color w:val="231F20"/>
          <w:spacing w:val="5"/>
        </w:rPr>
        <w:t>大标本</w:t>
      </w:r>
      <w:r>
        <w:rPr>
          <w:rFonts w:ascii="Times New Roman" w:hAnsi="Times New Roman" w:eastAsia="Times New Roman" w:cs="Times New Roman"/>
          <w:color w:val="231F20"/>
          <w:spacing w:val="5"/>
        </w:rPr>
        <w:t>[J]. </w:t>
      </w:r>
      <w:r>
        <w:rPr>
          <w:color w:val="231F20"/>
          <w:spacing w:val="5"/>
        </w:rPr>
        <w:t>中国微创外科杂志</w:t>
      </w:r>
      <w:r>
        <w:rPr>
          <w:rFonts w:ascii="Times New Roman" w:hAnsi="Times New Roman" w:eastAsia="Times New Roman" w:cs="Times New Roman"/>
          <w:color w:val="231F20"/>
          <w:spacing w:val="5"/>
        </w:rPr>
        <w:t>,2018,</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spacing w:val="5"/>
        </w:rPr>
        <w:t>18(7):661-663.</w:t>
      </w:r>
    </w:p>
    <w:p>
      <w:pPr>
        <w:spacing w:line="286" w:lineRule="auto"/>
        <w:sectPr>
          <w:type w:val="continuous"/>
          <w:pgSz w:w="11906" w:h="16838"/>
          <w:pgMar w:top="1341" w:right="1079" w:bottom="826" w:left="407" w:header="1028" w:footer="560" w:gutter="0"/>
          <w:cols w:equalWidth="0" w:num="2">
            <w:col w:w="5663" w:space="100"/>
            <w:col w:w="4656" w:space="0"/>
          </w:cols>
        </w:sectPr>
        <w:rPr>
          <w:rFonts w:ascii="Times New Roman" w:hAnsi="Times New Roman" w:eastAsia="Times New Roman" w:cs="Times New Roman"/>
        </w:rPr>
      </w:pPr>
    </w:p>
    <w:p>
      <w:pPr>
        <w:spacing w:line="247" w:lineRule="auto"/>
        <w:rPr>
          <w:rFonts w:ascii="Arial"/>
          <w:sz w:val="21"/>
        </w:rPr>
      </w:pPr>
      <w:r/>
    </w:p>
    <w:p>
      <w:pPr>
        <w:spacing w:line="247" w:lineRule="auto"/>
        <w:rPr>
          <w:rFonts w:ascii="Arial"/>
          <w:sz w:val="21"/>
        </w:rPr>
      </w:pPr>
      <w:r>
        <w:pict>
          <v:shape id="_x0000_s6" style="position:absolute;margin-left:36.4772pt;margin-top:8.37116pt;mso-position-vertical-relative:text;mso-position-horizontal-relative:text;width:481.9pt;height:0.4pt;z-index:251658240;" filled="false" strokecolor="#231F20" strokeweight="0.37pt" coordsize="9637,8" coordorigin="0,0" path="m0,3l9637,3e">
            <v:stroke joinstyle="miter" miterlimit="4"/>
          </v:shape>
        </w:pict>
      </w:r>
      <w:r/>
    </w:p>
    <w:p>
      <w:pPr>
        <w:spacing w:line="247" w:lineRule="auto"/>
        <w:rPr>
          <w:rFonts w:ascii="Arial"/>
          <w:sz w:val="21"/>
        </w:rPr>
      </w:pPr>
      <w:r/>
    </w:p>
    <w:p>
      <w:pPr>
        <w:pStyle w:val="BodyText"/>
        <w:ind w:left="738"/>
        <w:spacing w:before="88" w:line="226" w:lineRule="auto"/>
        <w:rPr>
          <w:sz w:val="27"/>
          <w:szCs w:val="27"/>
        </w:rPr>
      </w:pPr>
      <w:r>
        <w:rPr>
          <w:sz w:val="20"/>
          <w:szCs w:val="20"/>
          <w:color w:val="231F20"/>
        </w:rPr>
        <w:t>doi</w:t>
      </w:r>
      <w:r>
        <w:rPr>
          <w:sz w:val="20"/>
          <w:szCs w:val="20"/>
          <w:color w:val="231F20"/>
          <w:spacing w:val="4"/>
        </w:rPr>
        <w:t>：10.3969/j.</w:t>
      </w:r>
      <w:r>
        <w:rPr>
          <w:sz w:val="20"/>
          <w:szCs w:val="20"/>
          <w:color w:val="231F20"/>
        </w:rPr>
        <w:t>issn</w:t>
      </w:r>
      <w:r>
        <w:rPr>
          <w:sz w:val="20"/>
          <w:szCs w:val="20"/>
          <w:color w:val="231F20"/>
          <w:spacing w:val="4"/>
        </w:rPr>
        <w:t>.1009-4393.202</w:t>
      </w:r>
      <w:r>
        <w:rPr>
          <w:sz w:val="20"/>
          <w:szCs w:val="20"/>
          <w:color w:val="231F20"/>
          <w:spacing w:val="3"/>
        </w:rPr>
        <w:t>2.03.067                                    </w:t>
      </w:r>
      <w:r>
        <w:rPr>
          <w:sz w:val="27"/>
          <w:szCs w:val="27"/>
          <w:color w:val="231F20"/>
          <w:spacing w:val="3"/>
        </w:rPr>
        <w:t>--临床研究--</w:t>
      </w:r>
    </w:p>
    <w:p>
      <w:pPr>
        <w:spacing w:line="275" w:lineRule="auto"/>
        <w:rPr>
          <w:rFonts w:ascii="Arial"/>
          <w:sz w:val="21"/>
        </w:rPr>
      </w:pPr>
      <w:r/>
    </w:p>
    <w:p>
      <w:pPr>
        <w:spacing w:line="275" w:lineRule="auto"/>
        <w:rPr>
          <w:rFonts w:ascii="Arial"/>
          <w:sz w:val="21"/>
        </w:rPr>
      </w:pPr>
      <w:r/>
    </w:p>
    <w:p>
      <w:pPr>
        <w:pStyle w:val="BodyText"/>
        <w:ind w:right="64"/>
        <w:spacing w:before="133" w:line="223" w:lineRule="auto"/>
        <w:outlineLvl w:val="0"/>
        <w:jc w:val="right"/>
        <w:rPr>
          <w:sz w:val="41"/>
          <w:szCs w:val="41"/>
        </w:rPr>
      </w:pPr>
      <w:r>
        <w:rPr>
          <w:sz w:val="41"/>
          <w:szCs w:val="41"/>
          <w:color w:val="231F20"/>
          <w:spacing w:val="-11"/>
        </w:rPr>
        <w:t>急性肠胃炎予以复方嗜酸乳杆菌片联合奥美拉唑肠溶片</w:t>
      </w:r>
    </w:p>
    <w:p>
      <w:pPr>
        <w:pStyle w:val="BodyText"/>
        <w:ind w:left="4101"/>
        <w:spacing w:before="42" w:line="223" w:lineRule="auto"/>
        <w:outlineLvl w:val="0"/>
        <w:rPr>
          <w:sz w:val="41"/>
          <w:szCs w:val="41"/>
        </w:rPr>
      </w:pPr>
      <w:r>
        <w:rPr>
          <w:sz w:val="41"/>
          <w:szCs w:val="41"/>
          <w:color w:val="231F20"/>
          <w:spacing w:val="6"/>
        </w:rPr>
        <w:t>治疗的临床研究</w:t>
      </w:r>
    </w:p>
    <w:p>
      <w:pPr>
        <w:spacing w:line="297" w:lineRule="auto"/>
        <w:rPr>
          <w:rFonts w:ascii="Arial"/>
          <w:sz w:val="21"/>
        </w:rPr>
      </w:pPr>
      <w:r/>
    </w:p>
    <w:p>
      <w:pPr>
        <w:ind w:left="4502"/>
        <w:spacing w:before="66" w:line="224" w:lineRule="auto"/>
        <w:rPr>
          <w:rFonts w:ascii="Times New Roman" w:hAnsi="Times New Roman" w:eastAsia="Times New Roman" w:cs="Times New Roman"/>
          <w:sz w:val="10"/>
          <w:szCs w:val="10"/>
        </w:rPr>
      </w:pPr>
      <w:r>
        <w:rPr>
          <w:rFonts w:ascii="KaiTi" w:hAnsi="KaiTi" w:eastAsia="KaiTi" w:cs="KaiTi"/>
          <w:sz w:val="20"/>
          <w:szCs w:val="20"/>
          <w:color w:val="231F20"/>
          <w:spacing w:val="-3"/>
        </w:rPr>
        <w:t>荀光</w:t>
      </w:r>
      <w:r>
        <w:rPr>
          <w:rFonts w:ascii="Times New Roman" w:hAnsi="Times New Roman" w:eastAsia="Times New Roman" w:cs="Times New Roman"/>
          <w:sz w:val="10"/>
          <w:szCs w:val="10"/>
          <w:color w:val="231F20"/>
          <w:spacing w:val="-3"/>
          <w:position w:val="8"/>
        </w:rPr>
        <w:t>1</w:t>
      </w:r>
      <w:r>
        <w:rPr>
          <w:rFonts w:ascii="KaiTi" w:hAnsi="KaiTi" w:eastAsia="KaiTi" w:cs="KaiTi"/>
          <w:sz w:val="20"/>
          <w:szCs w:val="20"/>
          <w:color w:val="231F20"/>
          <w:spacing w:val="-3"/>
        </w:rPr>
        <w:t>，张学艳</w:t>
      </w:r>
      <w:r>
        <w:rPr>
          <w:rFonts w:ascii="Times New Roman" w:hAnsi="Times New Roman" w:eastAsia="Times New Roman" w:cs="Times New Roman"/>
          <w:sz w:val="10"/>
          <w:szCs w:val="10"/>
          <w:color w:val="231F20"/>
          <w:spacing w:val="-3"/>
          <w:position w:val="8"/>
        </w:rPr>
        <w:t>2</w:t>
      </w:r>
      <w:r>
        <w:rPr>
          <w:rFonts w:ascii="KaiTi" w:hAnsi="KaiTi" w:eastAsia="KaiTi" w:cs="KaiTi"/>
          <w:sz w:val="20"/>
          <w:szCs w:val="20"/>
          <w:color w:val="231F20"/>
          <w:spacing w:val="-3"/>
        </w:rPr>
        <w:t>，牛福玉</w:t>
      </w:r>
      <w:r>
        <w:rPr>
          <w:rFonts w:ascii="Times New Roman" w:hAnsi="Times New Roman" w:eastAsia="Times New Roman" w:cs="Times New Roman"/>
          <w:sz w:val="10"/>
          <w:szCs w:val="10"/>
          <w:color w:val="231F20"/>
          <w:spacing w:val="-3"/>
          <w:position w:val="8"/>
        </w:rPr>
        <w:t>1</w:t>
      </w:r>
    </w:p>
    <w:p>
      <w:pPr>
        <w:pStyle w:val="BodyText"/>
        <w:ind w:left="827"/>
        <w:spacing w:before="80" w:line="230" w:lineRule="exact"/>
        <w:rPr>
          <w:sz w:val="17"/>
          <w:szCs w:val="17"/>
        </w:rPr>
      </w:pPr>
      <w:r>
        <w:rPr>
          <w:sz w:val="17"/>
          <w:szCs w:val="17"/>
          <w:color w:val="231F20"/>
          <w:spacing w:val="3"/>
          <w:position w:val="1"/>
        </w:rPr>
        <w:t>（</w:t>
      </w:r>
      <w:r>
        <w:rPr>
          <w:rFonts w:ascii="Times New Roman" w:hAnsi="Times New Roman" w:eastAsia="Times New Roman" w:cs="Times New Roman"/>
          <w:sz w:val="17"/>
          <w:szCs w:val="17"/>
          <w:color w:val="231F20"/>
          <w:spacing w:val="3"/>
          <w:position w:val="1"/>
        </w:rPr>
        <w:t>1.</w:t>
      </w:r>
      <w:r>
        <w:rPr>
          <w:rFonts w:ascii="Times New Roman" w:hAnsi="Times New Roman" w:eastAsia="Times New Roman" w:cs="Times New Roman"/>
          <w:sz w:val="17"/>
          <w:szCs w:val="17"/>
          <w:color w:val="231F20"/>
          <w:spacing w:val="-7"/>
          <w:position w:val="1"/>
        </w:rPr>
        <w:t xml:space="preserve"> </w:t>
      </w:r>
      <w:r>
        <w:rPr>
          <w:sz w:val="17"/>
          <w:szCs w:val="17"/>
          <w:color w:val="231F20"/>
          <w:spacing w:val="3"/>
          <w:position w:val="1"/>
        </w:rPr>
        <w:t>营口市中心医院消化科，辽宁  营口  </w:t>
      </w:r>
      <w:r>
        <w:rPr>
          <w:rFonts w:ascii="Times New Roman" w:hAnsi="Times New Roman" w:eastAsia="Times New Roman" w:cs="Times New Roman"/>
          <w:sz w:val="17"/>
          <w:szCs w:val="17"/>
          <w:color w:val="231F20"/>
          <w:spacing w:val="3"/>
          <w:position w:val="1"/>
        </w:rPr>
        <w:t>11</w:t>
      </w:r>
      <w:r>
        <w:rPr>
          <w:rFonts w:ascii="Times New Roman" w:hAnsi="Times New Roman" w:eastAsia="Times New Roman" w:cs="Times New Roman"/>
          <w:sz w:val="17"/>
          <w:szCs w:val="17"/>
          <w:color w:val="231F20"/>
          <w:spacing w:val="2"/>
          <w:position w:val="1"/>
        </w:rPr>
        <w:t>5000</w:t>
      </w:r>
      <w:r>
        <w:rPr>
          <w:sz w:val="17"/>
          <w:szCs w:val="17"/>
          <w:color w:val="231F20"/>
          <w:spacing w:val="2"/>
          <w:position w:val="1"/>
        </w:rPr>
        <w:t>；</w:t>
      </w:r>
      <w:r>
        <w:rPr>
          <w:rFonts w:ascii="Times New Roman" w:hAnsi="Times New Roman" w:eastAsia="Times New Roman" w:cs="Times New Roman"/>
          <w:sz w:val="17"/>
          <w:szCs w:val="17"/>
          <w:color w:val="231F20"/>
          <w:spacing w:val="2"/>
          <w:position w:val="1"/>
        </w:rPr>
        <w:t>2.</w:t>
      </w:r>
      <w:r>
        <w:rPr>
          <w:rFonts w:ascii="Times New Roman" w:hAnsi="Times New Roman" w:eastAsia="Times New Roman" w:cs="Times New Roman"/>
          <w:sz w:val="17"/>
          <w:szCs w:val="17"/>
          <w:color w:val="231F20"/>
          <w:spacing w:val="-8"/>
          <w:position w:val="1"/>
        </w:rPr>
        <w:t xml:space="preserve"> </w:t>
      </w:r>
      <w:r>
        <w:rPr>
          <w:sz w:val="17"/>
          <w:szCs w:val="17"/>
          <w:color w:val="231F20"/>
          <w:spacing w:val="2"/>
          <w:position w:val="1"/>
        </w:rPr>
        <w:t>营口市新建街道办事处社区卫生服务中心，辽宁  营口</w:t>
      </w:r>
      <w:r>
        <w:rPr>
          <w:sz w:val="17"/>
          <w:szCs w:val="17"/>
          <w:color w:val="231F20"/>
          <w:spacing w:val="15"/>
          <w:position w:val="1"/>
        </w:rPr>
        <w:t xml:space="preserve">  </w:t>
      </w:r>
      <w:r>
        <w:rPr>
          <w:rFonts w:ascii="Times New Roman" w:hAnsi="Times New Roman" w:eastAsia="Times New Roman" w:cs="Times New Roman"/>
          <w:sz w:val="17"/>
          <w:szCs w:val="17"/>
          <w:color w:val="231F20"/>
          <w:spacing w:val="2"/>
          <w:position w:val="1"/>
        </w:rPr>
        <w:t>115000</w:t>
      </w:r>
      <w:r>
        <w:rPr>
          <w:sz w:val="17"/>
          <w:szCs w:val="17"/>
          <w:color w:val="231F20"/>
          <w:spacing w:val="2"/>
          <w:position w:val="1"/>
        </w:rPr>
        <w:t>）</w:t>
      </w:r>
    </w:p>
    <w:p>
      <w:pPr>
        <w:spacing w:line="311" w:lineRule="auto"/>
        <w:rPr>
          <w:rFonts w:ascii="Arial"/>
          <w:sz w:val="21"/>
        </w:rPr>
      </w:pPr>
      <w:r/>
    </w:p>
    <w:p>
      <w:pPr>
        <w:pStyle w:val="BodyText"/>
        <w:ind w:left="667" w:firstLine="383"/>
        <w:spacing w:before="49" w:line="336" w:lineRule="auto"/>
        <w:jc w:val="both"/>
        <w:rPr/>
      </w:pPr>
      <w:r>
        <w:rPr>
          <w:rFonts w:ascii="SimHei" w:hAnsi="SimHei" w:eastAsia="SimHei" w:cs="SimHei"/>
          <w:color w:val="231F20"/>
          <w:spacing w:val="12"/>
        </w:rPr>
        <w:t>摘要：目的</w:t>
      </w:r>
      <w:r>
        <w:rPr>
          <w:rFonts w:ascii="SimHei" w:hAnsi="SimHei" w:eastAsia="SimHei" w:cs="SimHei"/>
          <w:color w:val="231F20"/>
          <w:spacing w:val="12"/>
        </w:rPr>
        <w:t xml:space="preserve">  </w:t>
      </w:r>
      <w:r>
        <w:rPr>
          <w:color w:val="231F20"/>
          <w:spacing w:val="12"/>
        </w:rPr>
        <w:t>探究复方嗜酸乳杆菌片联合奥美拉唑肠溶片治疗急性肠胃炎的临床效果。</w:t>
      </w:r>
      <w:r>
        <w:rPr>
          <w:rFonts w:ascii="SimHei" w:hAnsi="SimHei" w:eastAsia="SimHei" w:cs="SimHei"/>
          <w:color w:val="231F20"/>
          <w:spacing w:val="12"/>
        </w:rPr>
        <w:t>方法</w:t>
      </w:r>
      <w:r>
        <w:rPr>
          <w:rFonts w:ascii="SimHei" w:hAnsi="SimHei" w:eastAsia="SimHei" w:cs="SimHei"/>
          <w:color w:val="231F20"/>
          <w:spacing w:val="12"/>
        </w:rPr>
        <w:t xml:space="preserve">  </w:t>
      </w:r>
      <w:r>
        <w:rPr>
          <w:color w:val="231F20"/>
          <w:spacing w:val="12"/>
        </w:rPr>
        <w:t>选取</w:t>
      </w:r>
      <w:r>
        <w:rPr>
          <w:rFonts w:ascii="Times New Roman" w:hAnsi="Times New Roman" w:eastAsia="Times New Roman" w:cs="Times New Roman"/>
          <w:color w:val="231F20"/>
          <w:spacing w:val="12"/>
        </w:rPr>
        <w:t>2017</w:t>
      </w:r>
      <w:r>
        <w:rPr>
          <w:color w:val="231F20"/>
          <w:spacing w:val="11"/>
        </w:rPr>
        <w:t>年</w:t>
      </w:r>
      <w:r>
        <w:rPr>
          <w:color w:val="231F20"/>
          <w:spacing w:val="-33"/>
        </w:rPr>
        <w:t xml:space="preserve"> </w:t>
      </w:r>
      <w:r>
        <w:rPr>
          <w:rFonts w:ascii="Times New Roman" w:hAnsi="Times New Roman" w:eastAsia="Times New Roman" w:cs="Times New Roman"/>
          <w:color w:val="231F20"/>
          <w:spacing w:val="11"/>
        </w:rPr>
        <w:t>1</w:t>
      </w:r>
      <w:r>
        <w:rPr>
          <w:color w:val="231F20"/>
          <w:spacing w:val="11"/>
        </w:rPr>
        <w:t>月至</w:t>
      </w:r>
      <w:r>
        <w:rPr>
          <w:rFonts w:ascii="Times New Roman" w:hAnsi="Times New Roman" w:eastAsia="Times New Roman" w:cs="Times New Roman"/>
          <w:color w:val="231F20"/>
          <w:spacing w:val="11"/>
        </w:rPr>
        <w:t>2019</w:t>
      </w:r>
      <w:r>
        <w:rPr>
          <w:color w:val="231F20"/>
          <w:spacing w:val="11"/>
        </w:rPr>
        <w:t>年</w:t>
      </w:r>
      <w:r>
        <w:rPr>
          <w:color w:val="231F20"/>
          <w:spacing w:val="-34"/>
        </w:rPr>
        <w:t xml:space="preserve"> </w:t>
      </w:r>
      <w:r>
        <w:rPr>
          <w:rFonts w:ascii="Times New Roman" w:hAnsi="Times New Roman" w:eastAsia="Times New Roman" w:cs="Times New Roman"/>
          <w:color w:val="231F20"/>
          <w:spacing w:val="11"/>
        </w:rPr>
        <w:t>12</w:t>
      </w:r>
      <w:r>
        <w:rPr>
          <w:color w:val="231F20"/>
          <w:spacing w:val="11"/>
        </w:rPr>
        <w:t>月本院收</w:t>
      </w:r>
      <w:r>
        <w:rPr>
          <w:color w:val="231F20"/>
        </w:rPr>
        <w:t xml:space="preserve">  </w:t>
      </w:r>
      <w:r>
        <w:rPr>
          <w:color w:val="231F20"/>
          <w:spacing w:val="8"/>
        </w:rPr>
        <w:t>治的急性肠胃炎患者</w:t>
      </w:r>
      <w:r>
        <w:rPr>
          <w:rFonts w:ascii="Times New Roman" w:hAnsi="Times New Roman" w:eastAsia="Times New Roman" w:cs="Times New Roman"/>
          <w:color w:val="231F20"/>
          <w:spacing w:val="8"/>
        </w:rPr>
        <w:t>200</w:t>
      </w:r>
      <w:r>
        <w:rPr>
          <w:color w:val="231F20"/>
          <w:spacing w:val="8"/>
        </w:rPr>
        <w:t>例作为研究对象，随机分为常规组和联合组，各</w:t>
      </w:r>
      <w:r>
        <w:rPr>
          <w:color w:val="231F20"/>
          <w:spacing w:val="-36"/>
        </w:rPr>
        <w:t xml:space="preserve"> </w:t>
      </w:r>
      <w:r>
        <w:rPr>
          <w:rFonts w:ascii="Times New Roman" w:hAnsi="Times New Roman" w:eastAsia="Times New Roman" w:cs="Times New Roman"/>
          <w:color w:val="231F20"/>
          <w:spacing w:val="8"/>
        </w:rPr>
        <w:t>100</w:t>
      </w:r>
      <w:r>
        <w:rPr>
          <w:color w:val="231F20"/>
          <w:spacing w:val="8"/>
        </w:rPr>
        <w:t>例。常规组采用复方嗜酸乳杆菌片进行治疗，联</w:t>
      </w:r>
      <w:r>
        <w:rPr>
          <w:color w:val="231F20"/>
          <w:spacing w:val="7"/>
        </w:rPr>
        <w:t>合组在常规组基</w:t>
      </w:r>
      <w:r>
        <w:rPr>
          <w:color w:val="231F20"/>
        </w:rPr>
        <w:t xml:space="preserve">  </w:t>
      </w:r>
      <w:r>
        <w:rPr>
          <w:color w:val="231F20"/>
          <w:spacing w:val="5"/>
        </w:rPr>
        <w:t>础上联合奥美拉唑肠溶片治疗，比较两组临床症状评分、不良反应发生率、临床疗效、治疗时效。</w:t>
      </w:r>
      <w:r>
        <w:rPr>
          <w:rFonts w:ascii="SimHei" w:hAnsi="SimHei" w:eastAsia="SimHei" w:cs="SimHei"/>
          <w:color w:val="231F20"/>
          <w:spacing w:val="4"/>
        </w:rPr>
        <w:t>结果</w:t>
      </w:r>
      <w:r>
        <w:rPr>
          <w:rFonts w:ascii="SimHei" w:hAnsi="SimHei" w:eastAsia="SimHei" w:cs="SimHei"/>
          <w:color w:val="231F20"/>
          <w:spacing w:val="4"/>
        </w:rPr>
        <w:t xml:space="preserve">  </w:t>
      </w:r>
      <w:r>
        <w:rPr>
          <w:color w:val="231F20"/>
          <w:spacing w:val="4"/>
        </w:rPr>
        <w:t>治疗后，实验组恶心呕吐、食欲不振、</w:t>
      </w:r>
      <w:r>
        <w:rPr>
          <w:color w:val="231F20"/>
        </w:rPr>
        <w:t xml:space="preserve"> </w:t>
      </w:r>
      <w:r>
        <w:rPr>
          <w:color w:val="231F20"/>
          <w:spacing w:val="8"/>
        </w:rPr>
        <w:t>腹痛腹泻等症状临床症状评分均显著高于常规组，差异有统计学意义（</w:t>
      </w:r>
      <w:r>
        <w:rPr>
          <w:rFonts w:ascii="Times New Roman" w:hAnsi="Times New Roman" w:eastAsia="Times New Roman" w:cs="Times New Roman"/>
          <w:i/>
          <w:iCs/>
          <w:color w:val="231F20"/>
          <w:spacing w:val="8"/>
        </w:rPr>
        <w:t>P</w:t>
      </w:r>
      <w:r>
        <w:rPr>
          <w:color w:val="231F20"/>
          <w:spacing w:val="8"/>
        </w:rPr>
        <w:t>＜</w:t>
      </w:r>
      <w:r>
        <w:rPr>
          <w:rFonts w:ascii="Times New Roman" w:hAnsi="Times New Roman" w:eastAsia="Times New Roman" w:cs="Times New Roman"/>
          <w:color w:val="231F20"/>
          <w:spacing w:val="8"/>
        </w:rPr>
        <w:t>0.05</w:t>
      </w:r>
      <w:r>
        <w:rPr>
          <w:color w:val="231F20"/>
          <w:spacing w:val="-24"/>
          <w:w w:val="61"/>
        </w:rPr>
        <w:t>）；</w:t>
      </w:r>
      <w:r>
        <w:rPr>
          <w:color w:val="231F20"/>
          <w:spacing w:val="8"/>
        </w:rPr>
        <w:t>实验组不良反应发生率显著低于常规组，差异有统计学意义</w:t>
      </w:r>
      <w:r>
        <w:rPr>
          <w:color w:val="231F20"/>
        </w:rPr>
        <w:t xml:space="preserve">  </w:t>
      </w:r>
      <w:r>
        <w:rPr>
          <w:color w:val="231F20"/>
          <w:spacing w:val="5"/>
        </w:rPr>
        <w:t>（</w:t>
      </w:r>
      <w:r>
        <w:rPr>
          <w:rFonts w:ascii="Times New Roman" w:hAnsi="Times New Roman" w:eastAsia="Times New Roman" w:cs="Times New Roman"/>
          <w:i/>
          <w:iCs/>
          <w:color w:val="231F20"/>
          <w:spacing w:val="5"/>
        </w:rPr>
        <w:t>P</w:t>
      </w:r>
      <w:r>
        <w:rPr>
          <w:color w:val="231F20"/>
          <w:spacing w:val="5"/>
        </w:rPr>
        <w:t>＜</w:t>
      </w:r>
      <w:r>
        <w:rPr>
          <w:rFonts w:ascii="Times New Roman" w:hAnsi="Times New Roman" w:eastAsia="Times New Roman" w:cs="Times New Roman"/>
          <w:color w:val="231F20"/>
          <w:spacing w:val="5"/>
        </w:rPr>
        <w:t>0.05</w:t>
      </w:r>
      <w:r>
        <w:rPr>
          <w:color w:val="231F20"/>
          <w:spacing w:val="-24"/>
          <w:w w:val="60"/>
        </w:rPr>
        <w:t>）；</w:t>
      </w:r>
      <w:r>
        <w:rPr>
          <w:color w:val="231F20"/>
          <w:spacing w:val="5"/>
        </w:rPr>
        <w:t>实验组治疗总有效率显著高于常规组，差异有统计学意义（</w:t>
      </w:r>
      <w:r>
        <w:rPr>
          <w:rFonts w:ascii="Times New Roman" w:hAnsi="Times New Roman" w:eastAsia="Times New Roman" w:cs="Times New Roman"/>
          <w:i/>
          <w:iCs/>
          <w:color w:val="231F20"/>
          <w:spacing w:val="5"/>
        </w:rPr>
        <w:t>P</w:t>
      </w:r>
      <w:r>
        <w:rPr>
          <w:color w:val="231F20"/>
          <w:spacing w:val="5"/>
        </w:rPr>
        <w:t>＜</w:t>
      </w:r>
      <w:r>
        <w:rPr>
          <w:rFonts w:ascii="Times New Roman" w:hAnsi="Times New Roman" w:eastAsia="Times New Roman" w:cs="Times New Roman"/>
          <w:color w:val="231F20"/>
          <w:spacing w:val="5"/>
        </w:rPr>
        <w:t>0.05</w:t>
      </w:r>
      <w:r>
        <w:rPr>
          <w:color w:val="231F20"/>
          <w:spacing w:val="-24"/>
          <w:w w:val="60"/>
        </w:rPr>
        <w:t>）；</w:t>
      </w:r>
      <w:r>
        <w:rPr>
          <w:color w:val="231F20"/>
          <w:spacing w:val="5"/>
        </w:rPr>
        <w:t>实验组病情状态、消化系统功能评分均显著</w:t>
      </w:r>
      <w:r>
        <w:rPr>
          <w:color w:val="231F20"/>
          <w:spacing w:val="4"/>
        </w:rPr>
        <w:t>高于常规组，治疗</w:t>
      </w:r>
      <w:r>
        <w:rPr>
          <w:color w:val="231F20"/>
        </w:rPr>
        <w:t xml:space="preserve">  </w:t>
      </w:r>
      <w:r>
        <w:rPr>
          <w:color w:val="231F20"/>
          <w:spacing w:val="7"/>
        </w:rPr>
        <w:t>时间、住院时间均显著短于常规组，差异有统计学意义（</w:t>
      </w:r>
      <w:r>
        <w:rPr>
          <w:rFonts w:ascii="Times New Roman" w:hAnsi="Times New Roman" w:eastAsia="Times New Roman" w:cs="Times New Roman"/>
          <w:i/>
          <w:iCs/>
          <w:color w:val="231F20"/>
          <w:spacing w:val="7"/>
        </w:rPr>
        <w:t>P</w:t>
      </w:r>
      <w:r>
        <w:rPr>
          <w:color w:val="231F20"/>
          <w:spacing w:val="7"/>
        </w:rPr>
        <w:t>＜</w:t>
      </w:r>
      <w:r>
        <w:rPr>
          <w:rFonts w:ascii="Times New Roman" w:hAnsi="Times New Roman" w:eastAsia="Times New Roman" w:cs="Times New Roman"/>
          <w:color w:val="231F20"/>
          <w:spacing w:val="7"/>
        </w:rPr>
        <w:t>0.05</w:t>
      </w:r>
      <w:r>
        <w:rPr>
          <w:color w:val="231F20"/>
          <w:spacing w:val="7"/>
        </w:rPr>
        <w:t>）。</w:t>
      </w:r>
      <w:r>
        <w:rPr>
          <w:color w:val="231F20"/>
          <w:spacing w:val="-33"/>
        </w:rPr>
        <w:t xml:space="preserve"> </w:t>
      </w:r>
      <w:r>
        <w:rPr>
          <w:rFonts w:ascii="SimHei" w:hAnsi="SimHei" w:eastAsia="SimHei" w:cs="SimHei"/>
          <w:color w:val="231F20"/>
          <w:spacing w:val="7"/>
        </w:rPr>
        <w:t>结论</w:t>
      </w:r>
      <w:r>
        <w:rPr>
          <w:rFonts w:ascii="SimHei" w:hAnsi="SimHei" w:eastAsia="SimHei" w:cs="SimHei"/>
          <w:color w:val="231F20"/>
          <w:spacing w:val="7"/>
        </w:rPr>
        <w:t xml:space="preserve">  </w:t>
      </w:r>
      <w:r>
        <w:rPr>
          <w:color w:val="231F20"/>
          <w:spacing w:val="7"/>
        </w:rPr>
        <w:t>复方嗜酸乳杆菌联合奥美拉唑肠溶片治疗急性肠</w:t>
      </w:r>
      <w:r>
        <w:rPr>
          <w:color w:val="231F20"/>
          <w:spacing w:val="6"/>
        </w:rPr>
        <w:t>胃炎患者效果显</w:t>
      </w:r>
      <w:r>
        <w:rPr>
          <w:color w:val="231F20"/>
        </w:rPr>
        <w:t xml:space="preserve">  </w:t>
      </w:r>
      <w:r>
        <w:rPr>
          <w:color w:val="231F20"/>
          <w:spacing w:val="5"/>
        </w:rPr>
        <w:t>著，可快速缓解患者肠胃炎疾病症状，降低患者疾病痛苦感受，值</w:t>
      </w:r>
      <w:r>
        <w:rPr>
          <w:color w:val="231F20"/>
          <w:spacing w:val="4"/>
        </w:rPr>
        <w:t>得临床推广应用。</w:t>
      </w:r>
    </w:p>
    <w:p>
      <w:pPr>
        <w:pStyle w:val="BodyText"/>
        <w:ind w:left="1051"/>
        <w:spacing w:before="17" w:line="219" w:lineRule="auto"/>
        <w:rPr/>
      </w:pPr>
      <w:r>
        <w:rPr>
          <w:rFonts w:ascii="SimHei" w:hAnsi="SimHei" w:eastAsia="SimHei" w:cs="SimHei"/>
          <w:color w:val="231F20"/>
          <w:spacing w:val="1"/>
        </w:rPr>
        <w:t>关键词：</w:t>
      </w:r>
      <w:r>
        <w:rPr>
          <w:color w:val="231F20"/>
          <w:spacing w:val="1"/>
        </w:rPr>
        <w:t>急性肠胃炎；复方嗜酸乳杆菌片；奥美拉唑</w:t>
      </w:r>
      <w:r>
        <w:rPr>
          <w:color w:val="231F20"/>
        </w:rPr>
        <w:t>肠溶片；临床效果</w:t>
      </w:r>
    </w:p>
    <w:p>
      <w:pPr>
        <w:spacing w:line="219" w:lineRule="auto"/>
        <w:sectPr>
          <w:type w:val="continuous"/>
          <w:pgSz w:w="11906" w:h="16838"/>
          <w:pgMar w:top="1341" w:right="1079" w:bottom="826" w:left="407" w:header="1028" w:footer="560" w:gutter="0"/>
          <w:cols w:equalWidth="0" w:num="1">
            <w:col w:w="10419" w:space="0"/>
          </w:cols>
        </w:sectPr>
        <w:rPr/>
      </w:pPr>
    </w:p>
    <w:p>
      <w:pPr>
        <w:spacing w:line="190" w:lineRule="exact"/>
        <w:rPr/>
      </w:pPr>
      <w:r/>
    </w:p>
    <w:p>
      <w:pPr>
        <w:spacing w:line="190" w:lineRule="exact"/>
        <w:sectPr>
          <w:headerReference w:type="default" r:id="rId3"/>
          <w:footerReference w:type="default" r:id="rId4"/>
          <w:pgSz w:w="11906" w:h="16838"/>
          <w:pgMar w:top="1341" w:right="1060" w:bottom="826" w:left="407" w:header="1028" w:footer="560" w:gutter="0"/>
          <w:cols w:equalWidth="0" w:num="1">
            <w:col w:w="10438" w:space="0"/>
          </w:cols>
        </w:sectPr>
        <w:rPr/>
      </w:pPr>
    </w:p>
    <w:p>
      <w:pPr>
        <w:pStyle w:val="BodyText"/>
        <w:ind w:left="732" w:right="176" w:firstLine="433"/>
        <w:spacing w:before="52" w:line="291" w:lineRule="auto"/>
        <w:jc w:val="both"/>
        <w:rPr>
          <w:sz w:val="20"/>
          <w:szCs w:val="20"/>
        </w:rPr>
      </w:pPr>
      <w:r>
        <w:rPr>
          <w:sz w:val="20"/>
          <w:szCs w:val="20"/>
          <w:color w:val="231F20"/>
          <w:spacing w:val="8"/>
        </w:rPr>
        <w:t>随着工作、生活水平及生存环境发生变化，人 </w:t>
      </w:r>
      <w:r>
        <w:rPr>
          <w:sz w:val="20"/>
          <w:szCs w:val="20"/>
          <w:color w:val="231F20"/>
          <w:spacing w:val="9"/>
        </w:rPr>
        <w:t>们胃肠道机能及保护能力明显降低，胃肠道疾病的</w:t>
      </w:r>
      <w:r>
        <w:rPr>
          <w:sz w:val="20"/>
          <w:szCs w:val="20"/>
          <w:color w:val="231F20"/>
          <w:spacing w:val="3"/>
        </w:rPr>
        <w:t xml:space="preserve"> </w:t>
      </w:r>
      <w:r>
        <w:rPr>
          <w:sz w:val="20"/>
          <w:szCs w:val="20"/>
          <w:color w:val="231F20"/>
          <w:spacing w:val="10"/>
        </w:rPr>
        <w:t>发病率逐年攀升，其中急性肠胃炎最常见</w:t>
      </w:r>
      <w:r>
        <w:rPr>
          <w:rFonts w:ascii="Times New Roman" w:hAnsi="Times New Roman" w:eastAsia="Times New Roman" w:cs="Times New Roman"/>
          <w:sz w:val="10"/>
          <w:szCs w:val="10"/>
          <w:color w:val="231F20"/>
          <w:spacing w:val="10"/>
          <w:position w:val="8"/>
        </w:rPr>
        <w:t>[1] </w:t>
      </w:r>
      <w:r>
        <w:rPr>
          <w:sz w:val="20"/>
          <w:szCs w:val="20"/>
          <w:color w:val="231F20"/>
          <w:spacing w:val="10"/>
        </w:rPr>
        <w:t>。急性</w:t>
      </w:r>
      <w:r>
        <w:rPr>
          <w:sz w:val="20"/>
          <w:szCs w:val="20"/>
          <w:color w:val="231F20"/>
          <w:spacing w:val="9"/>
        </w:rPr>
        <w:t xml:space="preserve"> </w:t>
      </w:r>
      <w:r>
        <w:rPr>
          <w:sz w:val="20"/>
          <w:szCs w:val="20"/>
          <w:color w:val="231F20"/>
          <w:spacing w:val="9"/>
        </w:rPr>
        <w:t>肠胃炎的发病机理是由胃肠黏膜发生急性炎症，以</w:t>
      </w:r>
      <w:r>
        <w:rPr>
          <w:sz w:val="20"/>
          <w:szCs w:val="20"/>
          <w:color w:val="231F20"/>
          <w:spacing w:val="3"/>
        </w:rPr>
        <w:t xml:space="preserve"> </w:t>
      </w:r>
      <w:r>
        <w:rPr>
          <w:sz w:val="20"/>
          <w:szCs w:val="20"/>
          <w:color w:val="231F20"/>
          <w:spacing w:val="9"/>
        </w:rPr>
        <w:t>此引发胃肠道感染，临床症状表现以恶心呕吐、腹</w:t>
      </w:r>
      <w:r>
        <w:rPr>
          <w:sz w:val="20"/>
          <w:szCs w:val="20"/>
          <w:color w:val="231F20"/>
          <w:spacing w:val="3"/>
        </w:rPr>
        <w:t xml:space="preserve"> </w:t>
      </w:r>
      <w:r>
        <w:rPr>
          <w:sz w:val="20"/>
          <w:szCs w:val="20"/>
          <w:color w:val="231F20"/>
          <w:spacing w:val="3"/>
        </w:rPr>
        <w:t>痛腹胀、肢体乏力等为主，严重者可出现高热</w:t>
      </w:r>
      <w:r>
        <w:rPr>
          <w:sz w:val="20"/>
          <w:szCs w:val="20"/>
          <w:color w:val="231F20"/>
          <w:spacing w:val="2"/>
        </w:rPr>
        <w:t>现象，</w:t>
      </w:r>
      <w:r>
        <w:rPr>
          <w:sz w:val="20"/>
          <w:szCs w:val="20"/>
          <w:color w:val="231F20"/>
        </w:rPr>
        <w:t xml:space="preserve"> </w:t>
      </w:r>
      <w:r>
        <w:rPr>
          <w:sz w:val="20"/>
          <w:szCs w:val="20"/>
          <w:color w:val="231F20"/>
          <w:spacing w:val="9"/>
        </w:rPr>
        <w:t>如患者不能及时得到有效治疗，急性胃肠炎可严重</w:t>
      </w:r>
      <w:r>
        <w:rPr>
          <w:sz w:val="20"/>
          <w:szCs w:val="20"/>
          <w:color w:val="231F20"/>
          <w:spacing w:val="3"/>
        </w:rPr>
        <w:t xml:space="preserve"> </w:t>
      </w:r>
      <w:r>
        <w:rPr>
          <w:sz w:val="20"/>
          <w:szCs w:val="20"/>
          <w:color w:val="231F20"/>
          <w:spacing w:val="9"/>
        </w:rPr>
        <w:t>影响患者机体循环系统，导致患者血液循环、机体</w:t>
      </w:r>
      <w:r>
        <w:rPr>
          <w:sz w:val="20"/>
          <w:szCs w:val="20"/>
          <w:color w:val="231F20"/>
          <w:spacing w:val="3"/>
        </w:rPr>
        <w:t xml:space="preserve"> </w:t>
      </w:r>
      <w:r>
        <w:rPr>
          <w:sz w:val="20"/>
          <w:szCs w:val="20"/>
          <w:color w:val="231F20"/>
          <w:spacing w:val="9"/>
        </w:rPr>
        <w:t>酸碱度等方面出现失衡和病变，诱发其他多种感染</w:t>
      </w:r>
      <w:r>
        <w:rPr>
          <w:sz w:val="20"/>
          <w:szCs w:val="20"/>
          <w:color w:val="231F20"/>
          <w:spacing w:val="3"/>
        </w:rPr>
        <w:t xml:space="preserve"> </w:t>
      </w:r>
      <w:r>
        <w:rPr>
          <w:sz w:val="20"/>
          <w:szCs w:val="20"/>
          <w:color w:val="231F20"/>
          <w:spacing w:val="10"/>
        </w:rPr>
        <w:t>性并发症</w:t>
      </w:r>
      <w:r>
        <w:rPr>
          <w:rFonts w:ascii="Times New Roman" w:hAnsi="Times New Roman" w:eastAsia="Times New Roman" w:cs="Times New Roman"/>
          <w:sz w:val="10"/>
          <w:szCs w:val="10"/>
          <w:color w:val="231F20"/>
          <w:spacing w:val="10"/>
          <w:position w:val="8"/>
        </w:rPr>
        <w:t>[2] </w:t>
      </w:r>
      <w:r>
        <w:rPr>
          <w:sz w:val="20"/>
          <w:szCs w:val="20"/>
          <w:color w:val="231F20"/>
          <w:spacing w:val="10"/>
        </w:rPr>
        <w:t>。本研究旨在探究复方嗜酸乳杆菌片联</w:t>
      </w:r>
      <w:r>
        <w:rPr>
          <w:sz w:val="20"/>
          <w:szCs w:val="20"/>
          <w:color w:val="231F20"/>
          <w:spacing w:val="9"/>
        </w:rPr>
        <w:t xml:space="preserve"> </w:t>
      </w:r>
      <w:r>
        <w:rPr>
          <w:sz w:val="20"/>
          <w:szCs w:val="20"/>
          <w:color w:val="231F20"/>
          <w:spacing w:val="9"/>
        </w:rPr>
        <w:t>合奥美拉唑肠溶片治疗急性肠胃炎的临床效果，现</w:t>
      </w:r>
      <w:r>
        <w:rPr>
          <w:sz w:val="20"/>
          <w:szCs w:val="20"/>
          <w:color w:val="231F20"/>
          <w:spacing w:val="3"/>
        </w:rPr>
        <w:t xml:space="preserve"> </w:t>
      </w:r>
      <w:r>
        <w:rPr>
          <w:sz w:val="20"/>
          <w:szCs w:val="20"/>
          <w:color w:val="231F20"/>
          <w:spacing w:val="6"/>
        </w:rPr>
        <w:t>报道如下。</w:t>
      </w:r>
    </w:p>
    <w:p>
      <w:pPr>
        <w:ind w:left="747"/>
        <w:spacing w:before="95" w:line="270" w:lineRule="exact"/>
        <w:outlineLvl w:val="1"/>
        <w:rPr>
          <w:rFonts w:ascii="SimHei" w:hAnsi="SimHei" w:eastAsia="SimHei" w:cs="SimHei"/>
          <w:sz w:val="20"/>
          <w:szCs w:val="20"/>
        </w:rPr>
      </w:pPr>
      <w:r>
        <w:rPr>
          <w:rFonts w:ascii="SimHei" w:hAnsi="SimHei" w:eastAsia="SimHei" w:cs="SimHei"/>
          <w:sz w:val="20"/>
          <w:szCs w:val="20"/>
          <w:color w:val="231F20"/>
          <w:spacing w:val="5"/>
          <w:position w:val="1"/>
        </w:rPr>
        <w:t>1</w:t>
      </w:r>
      <w:r>
        <w:rPr>
          <w:rFonts w:ascii="SimHei" w:hAnsi="SimHei" w:eastAsia="SimHei" w:cs="SimHei"/>
          <w:sz w:val="20"/>
          <w:szCs w:val="20"/>
          <w:color w:val="231F20"/>
          <w:spacing w:val="30"/>
          <w:position w:val="1"/>
        </w:rPr>
        <w:t xml:space="preserve"> </w:t>
      </w:r>
      <w:r>
        <w:rPr>
          <w:rFonts w:ascii="SimHei" w:hAnsi="SimHei" w:eastAsia="SimHei" w:cs="SimHei"/>
          <w:sz w:val="20"/>
          <w:szCs w:val="20"/>
          <w:color w:val="231F20"/>
          <w:spacing w:val="5"/>
          <w:position w:val="1"/>
        </w:rPr>
        <w:t>资料与方法</w:t>
      </w:r>
    </w:p>
    <w:p>
      <w:pPr>
        <w:pStyle w:val="BodyText"/>
        <w:ind w:left="733" w:right="163" w:firstLine="17"/>
        <w:spacing w:before="154" w:line="289" w:lineRule="auto"/>
        <w:jc w:val="both"/>
        <w:rPr>
          <w:sz w:val="20"/>
          <w:szCs w:val="20"/>
        </w:rPr>
      </w:pPr>
      <w:r>
        <w:rPr>
          <w:rFonts w:ascii="Times New Roman" w:hAnsi="Times New Roman" w:eastAsia="Times New Roman" w:cs="Times New Roman"/>
          <w:sz w:val="20"/>
          <w:szCs w:val="20"/>
          <w:color w:val="231F20"/>
          <w:spacing w:val="10"/>
        </w:rPr>
        <w:t>1.1    </w:t>
      </w:r>
      <w:r>
        <w:rPr>
          <w:sz w:val="20"/>
          <w:szCs w:val="20"/>
          <w:color w:val="231F20"/>
          <w:spacing w:val="10"/>
        </w:rPr>
        <w:t>临床资料  选取</w:t>
      </w:r>
      <w:r>
        <w:rPr>
          <w:rFonts w:ascii="Times New Roman" w:hAnsi="Times New Roman" w:eastAsia="Times New Roman" w:cs="Times New Roman"/>
          <w:sz w:val="20"/>
          <w:szCs w:val="20"/>
          <w:color w:val="231F20"/>
          <w:spacing w:val="10"/>
        </w:rPr>
        <w:t>2017</w:t>
      </w:r>
      <w:r>
        <w:rPr>
          <w:sz w:val="20"/>
          <w:szCs w:val="20"/>
          <w:color w:val="231F20"/>
          <w:spacing w:val="10"/>
        </w:rPr>
        <w:t>年</w:t>
      </w:r>
      <w:r>
        <w:rPr>
          <w:sz w:val="20"/>
          <w:szCs w:val="20"/>
          <w:color w:val="231F20"/>
          <w:spacing w:val="-41"/>
        </w:rPr>
        <w:t xml:space="preserve"> </w:t>
      </w:r>
      <w:r>
        <w:rPr>
          <w:rFonts w:ascii="Times New Roman" w:hAnsi="Times New Roman" w:eastAsia="Times New Roman" w:cs="Times New Roman"/>
          <w:sz w:val="20"/>
          <w:szCs w:val="20"/>
          <w:color w:val="231F20"/>
          <w:spacing w:val="10"/>
        </w:rPr>
        <w:t>1</w:t>
      </w:r>
      <w:r>
        <w:rPr>
          <w:sz w:val="20"/>
          <w:szCs w:val="20"/>
          <w:color w:val="231F20"/>
          <w:spacing w:val="10"/>
        </w:rPr>
        <w:t>月至</w:t>
      </w:r>
      <w:r>
        <w:rPr>
          <w:rFonts w:ascii="Times New Roman" w:hAnsi="Times New Roman" w:eastAsia="Times New Roman" w:cs="Times New Roman"/>
          <w:sz w:val="20"/>
          <w:szCs w:val="20"/>
          <w:color w:val="231F20"/>
          <w:spacing w:val="10"/>
        </w:rPr>
        <w:t>2019</w:t>
      </w:r>
      <w:r>
        <w:rPr>
          <w:sz w:val="20"/>
          <w:szCs w:val="20"/>
          <w:color w:val="231F20"/>
          <w:spacing w:val="10"/>
        </w:rPr>
        <w:t>年</w:t>
      </w:r>
      <w:r>
        <w:rPr>
          <w:sz w:val="20"/>
          <w:szCs w:val="20"/>
          <w:color w:val="231F20"/>
          <w:spacing w:val="-46"/>
        </w:rPr>
        <w:t xml:space="preserve"> </w:t>
      </w:r>
      <w:r>
        <w:rPr>
          <w:rFonts w:ascii="Times New Roman" w:hAnsi="Times New Roman" w:eastAsia="Times New Roman" w:cs="Times New Roman"/>
          <w:sz w:val="20"/>
          <w:szCs w:val="20"/>
          <w:color w:val="231F20"/>
          <w:spacing w:val="10"/>
        </w:rPr>
        <w:t>12</w:t>
      </w:r>
      <w:r>
        <w:rPr>
          <w:sz w:val="20"/>
          <w:szCs w:val="20"/>
          <w:color w:val="231F20"/>
          <w:spacing w:val="10"/>
        </w:rPr>
        <w:t>月本</w:t>
      </w:r>
      <w:r>
        <w:rPr>
          <w:sz w:val="20"/>
          <w:szCs w:val="20"/>
          <w:color w:val="231F20"/>
        </w:rPr>
        <w:t xml:space="preserve"> </w:t>
      </w:r>
      <w:r>
        <w:rPr>
          <w:sz w:val="20"/>
          <w:szCs w:val="20"/>
          <w:color w:val="231F20"/>
          <w:spacing w:val="13"/>
        </w:rPr>
        <w:t>院收治的</w:t>
      </w:r>
      <w:r>
        <w:rPr>
          <w:rFonts w:ascii="Times New Roman" w:hAnsi="Times New Roman" w:eastAsia="Times New Roman" w:cs="Times New Roman"/>
          <w:sz w:val="20"/>
          <w:szCs w:val="20"/>
          <w:color w:val="231F20"/>
          <w:spacing w:val="13"/>
        </w:rPr>
        <w:t>200</w:t>
      </w:r>
      <w:r>
        <w:rPr>
          <w:sz w:val="20"/>
          <w:szCs w:val="20"/>
          <w:color w:val="231F20"/>
          <w:spacing w:val="13"/>
        </w:rPr>
        <w:t>例急性肠胃炎患者作为研究对象，随</w:t>
      </w:r>
      <w:r>
        <w:rPr>
          <w:sz w:val="20"/>
          <w:szCs w:val="20"/>
          <w:color w:val="231F20"/>
          <w:spacing w:val="1"/>
        </w:rPr>
        <w:t xml:space="preserve"> </w:t>
      </w:r>
      <w:r>
        <w:rPr>
          <w:sz w:val="20"/>
          <w:szCs w:val="20"/>
          <w:color w:val="231F20"/>
          <w:spacing w:val="11"/>
        </w:rPr>
        <w:t>机分为常规组和联合组，各</w:t>
      </w:r>
      <w:r>
        <w:rPr>
          <w:sz w:val="20"/>
          <w:szCs w:val="20"/>
          <w:color w:val="231F20"/>
          <w:spacing w:val="-14"/>
        </w:rPr>
        <w:t xml:space="preserve"> </w:t>
      </w:r>
      <w:r>
        <w:rPr>
          <w:rFonts w:ascii="Times New Roman" w:hAnsi="Times New Roman" w:eastAsia="Times New Roman" w:cs="Times New Roman"/>
          <w:sz w:val="20"/>
          <w:szCs w:val="20"/>
          <w:color w:val="231F20"/>
          <w:spacing w:val="11"/>
        </w:rPr>
        <w:t>100 </w:t>
      </w:r>
      <w:r>
        <w:rPr>
          <w:sz w:val="20"/>
          <w:szCs w:val="20"/>
          <w:color w:val="231F20"/>
          <w:spacing w:val="11"/>
        </w:rPr>
        <w:t>例</w:t>
      </w:r>
      <w:r>
        <w:rPr>
          <w:sz w:val="20"/>
          <w:szCs w:val="20"/>
          <w:color w:val="231F20"/>
          <w:spacing w:val="-54"/>
        </w:rPr>
        <w:t xml:space="preserve"> </w:t>
      </w:r>
      <w:r>
        <w:rPr>
          <w:sz w:val="20"/>
          <w:szCs w:val="20"/>
          <w:color w:val="231F20"/>
          <w:spacing w:val="11"/>
        </w:rPr>
        <w:t>。常规组男</w:t>
      </w:r>
      <w:r>
        <w:rPr>
          <w:sz w:val="20"/>
          <w:szCs w:val="20"/>
          <w:color w:val="231F20"/>
          <w:spacing w:val="-46"/>
        </w:rPr>
        <w:t xml:space="preserve"> </w:t>
      </w:r>
      <w:r>
        <w:rPr>
          <w:rFonts w:ascii="Times New Roman" w:hAnsi="Times New Roman" w:eastAsia="Times New Roman" w:cs="Times New Roman"/>
          <w:sz w:val="20"/>
          <w:szCs w:val="20"/>
          <w:color w:val="231F20"/>
          <w:spacing w:val="11"/>
        </w:rPr>
        <w:t>53</w:t>
      </w:r>
      <w:r>
        <w:rPr>
          <w:rFonts w:ascii="Times New Roman" w:hAnsi="Times New Roman" w:eastAsia="Times New Roman" w:cs="Times New Roman"/>
          <w:sz w:val="20"/>
          <w:szCs w:val="20"/>
          <w:color w:val="231F20"/>
        </w:rPr>
        <w:t xml:space="preserve">  </w:t>
      </w:r>
      <w:r>
        <w:rPr>
          <w:sz w:val="20"/>
          <w:szCs w:val="20"/>
          <w:color w:val="231F20"/>
          <w:spacing w:val="-2"/>
        </w:rPr>
        <w:t>例，女</w:t>
      </w:r>
      <w:r>
        <w:rPr>
          <w:rFonts w:ascii="Times New Roman" w:hAnsi="Times New Roman" w:eastAsia="Times New Roman" w:cs="Times New Roman"/>
          <w:sz w:val="20"/>
          <w:szCs w:val="20"/>
          <w:color w:val="231F20"/>
          <w:spacing w:val="-2"/>
        </w:rPr>
        <w:t>47</w:t>
      </w:r>
      <w:r>
        <w:rPr>
          <w:sz w:val="20"/>
          <w:szCs w:val="20"/>
          <w:color w:val="231F20"/>
          <w:spacing w:val="-2"/>
        </w:rPr>
        <w:t>例；年龄</w:t>
      </w:r>
      <w:r>
        <w:rPr>
          <w:rFonts w:ascii="Times New Roman" w:hAnsi="Times New Roman" w:eastAsia="Times New Roman" w:cs="Times New Roman"/>
          <w:sz w:val="20"/>
          <w:szCs w:val="20"/>
          <w:color w:val="231F20"/>
          <w:spacing w:val="-2"/>
        </w:rPr>
        <w:t>28</w:t>
      </w:r>
      <w:r>
        <w:rPr>
          <w:sz w:val="20"/>
          <w:szCs w:val="20"/>
          <w:color w:val="231F20"/>
          <w:spacing w:val="-2"/>
        </w:rPr>
        <w:t>～</w:t>
      </w:r>
      <w:r>
        <w:rPr>
          <w:rFonts w:ascii="Times New Roman" w:hAnsi="Times New Roman" w:eastAsia="Times New Roman" w:cs="Times New Roman"/>
          <w:sz w:val="20"/>
          <w:szCs w:val="20"/>
          <w:color w:val="231F20"/>
          <w:spacing w:val="-2"/>
        </w:rPr>
        <w:t>73</w:t>
      </w:r>
      <w:r>
        <w:rPr>
          <w:sz w:val="20"/>
          <w:szCs w:val="20"/>
          <w:color w:val="231F20"/>
          <w:spacing w:val="-2"/>
        </w:rPr>
        <w:t>岁，平均年龄（</w:t>
      </w:r>
      <w:r>
        <w:rPr>
          <w:rFonts w:ascii="Times New Roman" w:hAnsi="Times New Roman" w:eastAsia="Times New Roman" w:cs="Times New Roman"/>
          <w:sz w:val="20"/>
          <w:szCs w:val="20"/>
          <w:color w:val="231F20"/>
          <w:spacing w:val="-2"/>
        </w:rPr>
        <w:t>49.</w:t>
      </w:r>
      <w:r>
        <w:rPr>
          <w:rFonts w:ascii="Times New Roman" w:hAnsi="Times New Roman" w:eastAsia="Times New Roman" w:cs="Times New Roman"/>
          <w:sz w:val="20"/>
          <w:szCs w:val="20"/>
          <w:color w:val="231F20"/>
          <w:spacing w:val="-18"/>
        </w:rPr>
        <w:t xml:space="preserve"> </w:t>
      </w:r>
      <w:r>
        <w:rPr>
          <w:rFonts w:ascii="Times New Roman" w:hAnsi="Times New Roman" w:eastAsia="Times New Roman" w:cs="Times New Roman"/>
          <w:sz w:val="20"/>
          <w:szCs w:val="20"/>
          <w:color w:val="231F20"/>
          <w:spacing w:val="-2"/>
        </w:rPr>
        <w:t>19±1.34</w:t>
      </w:r>
      <w:r>
        <w:rPr>
          <w:sz w:val="20"/>
          <w:szCs w:val="20"/>
          <w:color w:val="231F20"/>
          <w:spacing w:val="-2"/>
        </w:rPr>
        <w:t>）</w:t>
      </w:r>
      <w:r>
        <w:rPr>
          <w:sz w:val="20"/>
          <w:szCs w:val="20"/>
          <w:color w:val="231F20"/>
        </w:rPr>
        <w:t xml:space="preserve"> </w:t>
      </w:r>
      <w:r>
        <w:rPr>
          <w:sz w:val="20"/>
          <w:szCs w:val="20"/>
          <w:color w:val="231F20"/>
          <w:spacing w:val="-6"/>
        </w:rPr>
        <w:t>岁；病程</w:t>
      </w:r>
      <w:r>
        <w:rPr>
          <w:rFonts w:ascii="Times New Roman" w:hAnsi="Times New Roman" w:eastAsia="Times New Roman" w:cs="Times New Roman"/>
          <w:sz w:val="20"/>
          <w:szCs w:val="20"/>
          <w:color w:val="231F20"/>
          <w:spacing w:val="-6"/>
        </w:rPr>
        <w:t>2</w:t>
      </w:r>
      <w:r>
        <w:rPr>
          <w:sz w:val="20"/>
          <w:szCs w:val="20"/>
          <w:color w:val="231F20"/>
          <w:spacing w:val="-6"/>
        </w:rPr>
        <w:t>～</w:t>
      </w:r>
      <w:r>
        <w:rPr>
          <w:rFonts w:ascii="Times New Roman" w:hAnsi="Times New Roman" w:eastAsia="Times New Roman" w:cs="Times New Roman"/>
          <w:sz w:val="20"/>
          <w:szCs w:val="20"/>
          <w:color w:val="231F20"/>
          <w:spacing w:val="-6"/>
        </w:rPr>
        <w:t>12 d</w:t>
      </w:r>
      <w:r>
        <w:rPr>
          <w:sz w:val="20"/>
          <w:szCs w:val="20"/>
          <w:color w:val="231F20"/>
          <w:spacing w:val="-6"/>
        </w:rPr>
        <w:t>，平均病程（</w:t>
      </w:r>
      <w:r>
        <w:rPr>
          <w:rFonts w:ascii="Times New Roman" w:hAnsi="Times New Roman" w:eastAsia="Times New Roman" w:cs="Times New Roman"/>
          <w:sz w:val="20"/>
          <w:szCs w:val="20"/>
          <w:color w:val="231F20"/>
          <w:spacing w:val="-6"/>
        </w:rPr>
        <w:t>4.52±1.47</w:t>
      </w:r>
      <w:r>
        <w:rPr>
          <w:sz w:val="20"/>
          <w:szCs w:val="20"/>
          <w:color w:val="231F20"/>
          <w:spacing w:val="-6"/>
        </w:rPr>
        <w:t>）</w:t>
      </w:r>
      <w:r>
        <w:rPr>
          <w:rFonts w:ascii="Times New Roman" w:hAnsi="Times New Roman" w:eastAsia="Times New Roman" w:cs="Times New Roman"/>
          <w:sz w:val="20"/>
          <w:szCs w:val="20"/>
          <w:color w:val="231F20"/>
          <w:spacing w:val="-6"/>
        </w:rPr>
        <w:t>d</w:t>
      </w:r>
      <w:r>
        <w:rPr>
          <w:rFonts w:ascii="Times New Roman" w:hAnsi="Times New Roman" w:eastAsia="Times New Roman" w:cs="Times New Roman"/>
          <w:sz w:val="20"/>
          <w:szCs w:val="20"/>
          <w:color w:val="231F20"/>
          <w:spacing w:val="-18"/>
        </w:rPr>
        <w:t xml:space="preserve"> </w:t>
      </w:r>
      <w:r>
        <w:rPr>
          <w:sz w:val="20"/>
          <w:szCs w:val="20"/>
          <w:color w:val="231F20"/>
          <w:spacing w:val="-6"/>
        </w:rPr>
        <w:t>。实验组男</w:t>
      </w:r>
      <w:r>
        <w:rPr>
          <w:sz w:val="20"/>
          <w:szCs w:val="20"/>
          <w:color w:val="231F20"/>
        </w:rPr>
        <w:t xml:space="preserve"> </w:t>
      </w:r>
      <w:r>
        <w:rPr>
          <w:rFonts w:ascii="Times New Roman" w:hAnsi="Times New Roman" w:eastAsia="Times New Roman" w:cs="Times New Roman"/>
          <w:sz w:val="20"/>
          <w:szCs w:val="20"/>
          <w:color w:val="231F20"/>
        </w:rPr>
        <w:t>56 </w:t>
      </w:r>
      <w:r>
        <w:rPr>
          <w:sz w:val="20"/>
          <w:szCs w:val="20"/>
          <w:color w:val="231F20"/>
        </w:rPr>
        <w:t>例，女</w:t>
      </w:r>
      <w:r>
        <w:rPr>
          <w:sz w:val="20"/>
          <w:szCs w:val="20"/>
          <w:color w:val="231F20"/>
          <w:spacing w:val="-51"/>
        </w:rPr>
        <w:t xml:space="preserve"> </w:t>
      </w:r>
      <w:r>
        <w:rPr>
          <w:rFonts w:ascii="Times New Roman" w:hAnsi="Times New Roman" w:eastAsia="Times New Roman" w:cs="Times New Roman"/>
          <w:sz w:val="20"/>
          <w:szCs w:val="20"/>
          <w:color w:val="231F20"/>
        </w:rPr>
        <w:t>44 </w:t>
      </w:r>
      <w:r>
        <w:rPr>
          <w:sz w:val="20"/>
          <w:szCs w:val="20"/>
          <w:color w:val="231F20"/>
        </w:rPr>
        <w:t>例；年龄</w:t>
      </w:r>
      <w:r>
        <w:rPr>
          <w:sz w:val="20"/>
          <w:szCs w:val="20"/>
          <w:color w:val="231F20"/>
          <w:spacing w:val="-51"/>
        </w:rPr>
        <w:t xml:space="preserve"> </w:t>
      </w:r>
      <w:r>
        <w:rPr>
          <w:rFonts w:ascii="Times New Roman" w:hAnsi="Times New Roman" w:eastAsia="Times New Roman" w:cs="Times New Roman"/>
          <w:sz w:val="20"/>
          <w:szCs w:val="20"/>
          <w:color w:val="231F20"/>
        </w:rPr>
        <w:t>25</w:t>
      </w:r>
      <w:r>
        <w:rPr>
          <w:sz w:val="20"/>
          <w:szCs w:val="20"/>
          <w:color w:val="231F20"/>
        </w:rPr>
        <w:t>～</w:t>
      </w:r>
      <w:r>
        <w:rPr>
          <w:rFonts w:ascii="Times New Roman" w:hAnsi="Times New Roman" w:eastAsia="Times New Roman" w:cs="Times New Roman"/>
          <w:sz w:val="20"/>
          <w:szCs w:val="20"/>
          <w:color w:val="231F20"/>
        </w:rPr>
        <w:t>76 </w:t>
      </w:r>
      <w:r>
        <w:rPr>
          <w:sz w:val="20"/>
          <w:szCs w:val="20"/>
          <w:color w:val="231F20"/>
        </w:rPr>
        <w:t>岁，平均年</w:t>
      </w:r>
      <w:r>
        <w:rPr>
          <w:sz w:val="20"/>
          <w:szCs w:val="20"/>
          <w:color w:val="231F20"/>
          <w:spacing w:val="-1"/>
        </w:rPr>
        <w:t>龄（</w:t>
      </w:r>
      <w:r>
        <w:rPr>
          <w:rFonts w:ascii="Times New Roman" w:hAnsi="Times New Roman" w:eastAsia="Times New Roman" w:cs="Times New Roman"/>
          <w:sz w:val="20"/>
          <w:szCs w:val="20"/>
          <w:color w:val="231F20"/>
          <w:spacing w:val="-1"/>
        </w:rPr>
        <w:t>48.73±</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6"/>
        </w:rPr>
        <w:t>1.86</w:t>
      </w:r>
      <w:r>
        <w:rPr>
          <w:sz w:val="20"/>
          <w:szCs w:val="20"/>
          <w:color w:val="231F20"/>
          <w:spacing w:val="-6"/>
        </w:rPr>
        <w:t>）岁；病程</w:t>
      </w:r>
      <w:r>
        <w:rPr>
          <w:sz w:val="20"/>
          <w:szCs w:val="20"/>
          <w:color w:val="231F20"/>
          <w:spacing w:val="-54"/>
        </w:rPr>
        <w:t xml:space="preserve"> </w:t>
      </w:r>
      <w:r>
        <w:rPr>
          <w:rFonts w:ascii="Times New Roman" w:hAnsi="Times New Roman" w:eastAsia="Times New Roman" w:cs="Times New Roman"/>
          <w:sz w:val="20"/>
          <w:szCs w:val="20"/>
          <w:color w:val="231F20"/>
          <w:spacing w:val="-6"/>
        </w:rPr>
        <w:t>3</w:t>
      </w:r>
      <w:r>
        <w:rPr>
          <w:sz w:val="20"/>
          <w:szCs w:val="20"/>
          <w:color w:val="231F20"/>
          <w:spacing w:val="-6"/>
        </w:rPr>
        <w:t>～</w:t>
      </w:r>
      <w:r>
        <w:rPr>
          <w:rFonts w:ascii="Times New Roman" w:hAnsi="Times New Roman" w:eastAsia="Times New Roman" w:cs="Times New Roman"/>
          <w:sz w:val="20"/>
          <w:szCs w:val="20"/>
          <w:color w:val="231F20"/>
          <w:spacing w:val="-6"/>
        </w:rPr>
        <w:t>14</w:t>
      </w:r>
      <w:r>
        <w:rPr>
          <w:rFonts w:ascii="Times New Roman" w:hAnsi="Times New Roman" w:eastAsia="Times New Roman" w:cs="Times New Roman"/>
          <w:sz w:val="20"/>
          <w:szCs w:val="20"/>
          <w:color w:val="231F20"/>
          <w:spacing w:val="20"/>
        </w:rPr>
        <w:t xml:space="preserve"> </w:t>
      </w:r>
      <w:r>
        <w:rPr>
          <w:rFonts w:ascii="Times New Roman" w:hAnsi="Times New Roman" w:eastAsia="Times New Roman" w:cs="Times New Roman"/>
          <w:sz w:val="20"/>
          <w:szCs w:val="20"/>
          <w:color w:val="231F20"/>
          <w:spacing w:val="-6"/>
        </w:rPr>
        <w:t>d</w:t>
      </w:r>
      <w:r>
        <w:rPr>
          <w:sz w:val="20"/>
          <w:szCs w:val="20"/>
          <w:color w:val="231F20"/>
          <w:spacing w:val="-6"/>
        </w:rPr>
        <w:t>，平均病程（</w:t>
      </w:r>
      <w:r>
        <w:rPr>
          <w:rFonts w:ascii="Times New Roman" w:hAnsi="Times New Roman" w:eastAsia="Times New Roman" w:cs="Times New Roman"/>
          <w:sz w:val="20"/>
          <w:szCs w:val="20"/>
          <w:color w:val="231F20"/>
          <w:spacing w:val="-6"/>
        </w:rPr>
        <w:t>5.83±1.</w:t>
      </w:r>
      <w:r>
        <w:rPr>
          <w:rFonts w:ascii="Times New Roman" w:hAnsi="Times New Roman" w:eastAsia="Times New Roman" w:cs="Times New Roman"/>
          <w:sz w:val="20"/>
          <w:szCs w:val="20"/>
          <w:color w:val="231F20"/>
          <w:spacing w:val="-7"/>
        </w:rPr>
        <w:t>06</w:t>
      </w:r>
      <w:r>
        <w:rPr>
          <w:sz w:val="20"/>
          <w:szCs w:val="20"/>
          <w:color w:val="231F20"/>
          <w:spacing w:val="-7"/>
        </w:rPr>
        <w:t>）</w:t>
      </w:r>
      <w:r>
        <w:rPr>
          <w:rFonts w:ascii="Times New Roman" w:hAnsi="Times New Roman" w:eastAsia="Times New Roman" w:cs="Times New Roman"/>
          <w:sz w:val="20"/>
          <w:szCs w:val="20"/>
          <w:color w:val="231F20"/>
          <w:spacing w:val="-7"/>
        </w:rPr>
        <w:t>d</w:t>
      </w:r>
      <w:r>
        <w:rPr>
          <w:rFonts w:ascii="Times New Roman" w:hAnsi="Times New Roman" w:eastAsia="Times New Roman" w:cs="Times New Roman"/>
          <w:sz w:val="20"/>
          <w:szCs w:val="20"/>
          <w:color w:val="231F20"/>
          <w:spacing w:val="-22"/>
        </w:rPr>
        <w:t xml:space="preserve"> </w:t>
      </w:r>
      <w:r>
        <w:rPr>
          <w:sz w:val="20"/>
          <w:szCs w:val="20"/>
          <w:color w:val="231F20"/>
          <w:spacing w:val="-7"/>
        </w:rPr>
        <w:t>。两</w:t>
      </w:r>
      <w:r>
        <w:rPr>
          <w:sz w:val="20"/>
          <w:szCs w:val="20"/>
          <w:color w:val="231F20"/>
        </w:rPr>
        <w:t xml:space="preserve"> </w:t>
      </w:r>
      <w:r>
        <w:rPr>
          <w:sz w:val="20"/>
          <w:szCs w:val="20"/>
          <w:color w:val="231F20"/>
          <w:spacing w:val="12"/>
        </w:rPr>
        <w:t>组临床资料比较差异无统计学意义，具有可比性。</w:t>
      </w:r>
      <w:r>
        <w:rPr>
          <w:sz w:val="20"/>
          <w:szCs w:val="20"/>
          <w:color w:val="231F20"/>
          <w:spacing w:val="14"/>
        </w:rPr>
        <w:t xml:space="preserve"> </w:t>
      </w:r>
      <w:r>
        <w:rPr>
          <w:sz w:val="20"/>
          <w:szCs w:val="20"/>
          <w:color w:val="231F20"/>
          <w:spacing w:val="9"/>
        </w:rPr>
        <w:t>本研究经本院医学伦理委员会审核批准。</w:t>
      </w:r>
    </w:p>
    <w:p>
      <w:pPr>
        <w:pStyle w:val="BodyText"/>
        <w:ind w:left="733" w:right="241" w:firstLine="422"/>
        <w:spacing w:before="21" w:line="290" w:lineRule="auto"/>
        <w:jc w:val="both"/>
        <w:rPr>
          <w:sz w:val="20"/>
          <w:szCs w:val="20"/>
        </w:rPr>
      </w:pPr>
      <w:r>
        <w:rPr>
          <w:sz w:val="20"/>
          <w:szCs w:val="20"/>
          <w:color w:val="231F20"/>
          <w:spacing w:val="8"/>
        </w:rPr>
        <w:t>纳入标准：经入院检查确诊为急性肠胃炎；患</w:t>
      </w:r>
      <w:r>
        <w:rPr>
          <w:sz w:val="20"/>
          <w:szCs w:val="20"/>
          <w:color w:val="231F20"/>
          <w:spacing w:val="17"/>
        </w:rPr>
        <w:t xml:space="preserve"> </w:t>
      </w:r>
      <w:r>
        <w:rPr>
          <w:sz w:val="20"/>
          <w:szCs w:val="20"/>
          <w:color w:val="231F20"/>
          <w:spacing w:val="9"/>
        </w:rPr>
        <w:t>者未合并其他急性疾病；患者无严重心脑血管类疾</w:t>
      </w:r>
      <w:r>
        <w:rPr>
          <w:sz w:val="20"/>
          <w:szCs w:val="20"/>
          <w:color w:val="231F20"/>
          <w:spacing w:val="2"/>
        </w:rPr>
        <w:t xml:space="preserve"> </w:t>
      </w:r>
      <w:r>
        <w:rPr>
          <w:sz w:val="20"/>
          <w:szCs w:val="20"/>
          <w:color w:val="231F20"/>
        </w:rPr>
        <w:t>病，且无用药过敏史；患者精神状态正常，思维意识 </w:t>
      </w:r>
      <w:r>
        <w:rPr>
          <w:sz w:val="20"/>
          <w:szCs w:val="20"/>
          <w:color w:val="231F20"/>
          <w:spacing w:val="9"/>
        </w:rPr>
        <w:t>清晰；患者语言表达能力清晰，不存在肢体感知问</w:t>
      </w:r>
      <w:r>
        <w:rPr>
          <w:sz w:val="20"/>
          <w:szCs w:val="20"/>
          <w:color w:val="231F20"/>
          <w:spacing w:val="2"/>
        </w:rPr>
        <w:t xml:space="preserve"> </w:t>
      </w:r>
      <w:r>
        <w:rPr>
          <w:sz w:val="20"/>
          <w:szCs w:val="20"/>
          <w:color w:val="231F20"/>
          <w:spacing w:val="9"/>
        </w:rPr>
        <w:t>题；患者及家属均知情同意并签署知情同意书。排</w:t>
      </w:r>
      <w:r>
        <w:rPr>
          <w:sz w:val="20"/>
          <w:szCs w:val="20"/>
          <w:color w:val="231F20"/>
          <w:spacing w:val="2"/>
        </w:rPr>
        <w:t xml:space="preserve"> </w:t>
      </w:r>
      <w:r>
        <w:rPr>
          <w:sz w:val="20"/>
          <w:szCs w:val="20"/>
          <w:color w:val="231F20"/>
          <w:spacing w:val="9"/>
        </w:rPr>
        <w:t>除标准：经入院检查，患者所患疾病并非急性肠胃</w:t>
      </w:r>
      <w:r>
        <w:rPr>
          <w:sz w:val="20"/>
          <w:szCs w:val="20"/>
          <w:color w:val="231F20"/>
          <w:spacing w:val="2"/>
        </w:rPr>
        <w:t xml:space="preserve"> </w:t>
      </w:r>
      <w:r>
        <w:rPr>
          <w:sz w:val="20"/>
          <w:szCs w:val="20"/>
          <w:color w:val="231F20"/>
          <w:spacing w:val="9"/>
        </w:rPr>
        <w:t>炎；患者合并其他急性疾病，且影响急性肠胃炎的</w:t>
      </w:r>
      <w:r>
        <w:rPr>
          <w:sz w:val="20"/>
          <w:szCs w:val="20"/>
          <w:color w:val="231F20"/>
          <w:spacing w:val="2"/>
        </w:rPr>
        <w:t xml:space="preserve"> </w:t>
      </w:r>
      <w:r>
        <w:rPr>
          <w:sz w:val="20"/>
          <w:szCs w:val="20"/>
          <w:color w:val="231F20"/>
          <w:spacing w:val="9"/>
        </w:rPr>
        <w:t>诊断及治疗；患者患有严重心脑血管类疾病，有用</w:t>
      </w:r>
      <w:r>
        <w:rPr>
          <w:sz w:val="20"/>
          <w:szCs w:val="20"/>
          <w:color w:val="231F20"/>
          <w:spacing w:val="2"/>
        </w:rPr>
        <w:t xml:space="preserve"> </w:t>
      </w:r>
      <w:r>
        <w:rPr>
          <w:sz w:val="20"/>
          <w:szCs w:val="20"/>
          <w:color w:val="231F20"/>
        </w:rPr>
        <w:t>药过敏史；患者精神状态异常，思维意识模糊；患者 </w:t>
      </w:r>
      <w:r>
        <w:rPr>
          <w:sz w:val="20"/>
          <w:szCs w:val="20"/>
          <w:color w:val="231F20"/>
          <w:spacing w:val="3"/>
        </w:rPr>
        <w:t>语言表达能力异常，存在严重肢体感知障碍。</w:t>
      </w:r>
    </w:p>
    <w:p>
      <w:pPr>
        <w:pStyle w:val="BodyText"/>
        <w:ind w:left="733" w:right="179" w:firstLine="17"/>
        <w:spacing w:before="5" w:line="291" w:lineRule="auto"/>
        <w:jc w:val="both"/>
        <w:rPr>
          <w:sz w:val="20"/>
          <w:szCs w:val="20"/>
        </w:rPr>
      </w:pPr>
      <w:r>
        <w:rPr>
          <w:rFonts w:ascii="Times New Roman" w:hAnsi="Times New Roman" w:eastAsia="Times New Roman" w:cs="Times New Roman"/>
          <w:sz w:val="20"/>
          <w:szCs w:val="20"/>
          <w:color w:val="231F20"/>
          <w:spacing w:val="5"/>
        </w:rPr>
        <w:t>1.2    </w:t>
      </w:r>
      <w:r>
        <w:rPr>
          <w:sz w:val="20"/>
          <w:szCs w:val="20"/>
          <w:color w:val="231F20"/>
          <w:spacing w:val="5"/>
        </w:rPr>
        <w:t>方法  两组入院后均进行一般</w:t>
      </w:r>
      <w:r>
        <w:rPr>
          <w:sz w:val="20"/>
          <w:szCs w:val="20"/>
          <w:color w:val="231F20"/>
          <w:spacing w:val="4"/>
        </w:rPr>
        <w:t>入院检查，并给</w:t>
      </w:r>
      <w:r>
        <w:rPr>
          <w:sz w:val="20"/>
          <w:szCs w:val="20"/>
          <w:color w:val="231F20"/>
        </w:rPr>
        <w:t xml:space="preserve"> </w:t>
      </w:r>
      <w:r>
        <w:rPr>
          <w:sz w:val="20"/>
          <w:szCs w:val="20"/>
          <w:color w:val="231F20"/>
          <w:spacing w:val="9"/>
        </w:rPr>
        <w:t>予患者补液及基础治疗，保障患者机体微循环平稳</w:t>
      </w:r>
      <w:r>
        <w:rPr>
          <w:sz w:val="20"/>
          <w:szCs w:val="20"/>
          <w:color w:val="231F20"/>
          <w:spacing w:val="2"/>
        </w:rPr>
        <w:t xml:space="preserve"> </w:t>
      </w:r>
      <w:r>
        <w:rPr>
          <w:sz w:val="20"/>
          <w:szCs w:val="20"/>
          <w:color w:val="231F20"/>
          <w:spacing w:val="9"/>
        </w:rPr>
        <w:t>及酸碱度平衡状态，避免患者出现脱水现象，常规</w:t>
      </w:r>
      <w:r>
        <w:rPr>
          <w:sz w:val="20"/>
          <w:szCs w:val="20"/>
          <w:color w:val="231F20"/>
          <w:spacing w:val="2"/>
        </w:rPr>
        <w:t xml:space="preserve"> </w:t>
      </w:r>
      <w:r>
        <w:rPr>
          <w:sz w:val="20"/>
          <w:szCs w:val="20"/>
          <w:color w:val="231F20"/>
          <w:spacing w:val="9"/>
        </w:rPr>
        <w:t>组采用复方嗜酸乳杆菌片进行治疗，即在基础治疗</w:t>
      </w:r>
      <w:r>
        <w:rPr>
          <w:sz w:val="20"/>
          <w:szCs w:val="20"/>
          <w:color w:val="231F20"/>
          <w:spacing w:val="2"/>
        </w:rPr>
        <w:t xml:space="preserve"> </w:t>
      </w:r>
      <w:r>
        <w:rPr>
          <w:sz w:val="20"/>
          <w:szCs w:val="20"/>
          <w:color w:val="231F20"/>
          <w:spacing w:val="9"/>
        </w:rPr>
        <w:t>上给予患者口服复方嗜酸乳杆菌片（通化金马药业</w:t>
      </w:r>
      <w:r>
        <w:rPr>
          <w:sz w:val="20"/>
          <w:szCs w:val="20"/>
          <w:color w:val="231F20"/>
          <w:spacing w:val="2"/>
        </w:rPr>
        <w:t xml:space="preserve"> </w:t>
      </w:r>
      <w:r>
        <w:rPr>
          <w:sz w:val="20"/>
          <w:szCs w:val="20"/>
          <w:color w:val="231F20"/>
          <w:spacing w:val="10"/>
        </w:rPr>
        <w:t>集团股份有限公司，国药准字</w:t>
      </w:r>
      <w:r>
        <w:rPr>
          <w:sz w:val="20"/>
          <w:szCs w:val="20"/>
          <w:color w:val="231F20"/>
          <w:spacing w:val="-42"/>
        </w:rPr>
        <w:t xml:space="preserve"> </w:t>
      </w:r>
      <w:r>
        <w:rPr>
          <w:rFonts w:ascii="Times New Roman" w:hAnsi="Times New Roman" w:eastAsia="Times New Roman" w:cs="Times New Roman"/>
          <w:sz w:val="20"/>
          <w:szCs w:val="20"/>
          <w:color w:val="231F20"/>
          <w:spacing w:val="10"/>
        </w:rPr>
        <w:t>H10940114</w:t>
      </w:r>
      <w:r>
        <w:rPr>
          <w:sz w:val="20"/>
          <w:szCs w:val="20"/>
          <w:color w:val="231F20"/>
          <w:spacing w:val="10"/>
        </w:rPr>
        <w:t>，规格：</w:t>
      </w:r>
      <w:r>
        <w:rPr>
          <w:sz w:val="20"/>
          <w:szCs w:val="20"/>
          <w:color w:val="231F20"/>
        </w:rPr>
        <w:t xml:space="preserve"> </w:t>
      </w:r>
      <w:r>
        <w:rPr>
          <w:rFonts w:ascii="Times New Roman" w:hAnsi="Times New Roman" w:eastAsia="Times New Roman" w:cs="Times New Roman"/>
          <w:sz w:val="20"/>
          <w:szCs w:val="20"/>
          <w:color w:val="231F20"/>
          <w:spacing w:val="5"/>
        </w:rPr>
        <w:t>0.25 </w:t>
      </w:r>
      <w:r>
        <w:rPr>
          <w:rFonts w:ascii="Times New Roman" w:hAnsi="Times New Roman" w:eastAsia="Times New Roman" w:cs="Times New Roman"/>
          <w:sz w:val="20"/>
          <w:szCs w:val="20"/>
          <w:color w:val="231F20"/>
        </w:rPr>
        <w:t>mg</w:t>
      </w:r>
      <w:r>
        <w:rPr>
          <w:sz w:val="20"/>
          <w:szCs w:val="20"/>
          <w:color w:val="231F20"/>
          <w:spacing w:val="-35"/>
          <w:w w:val="66"/>
        </w:rPr>
        <w:t>），</w:t>
      </w:r>
      <w:r>
        <w:rPr>
          <w:sz w:val="20"/>
          <w:szCs w:val="20"/>
          <w:color w:val="231F20"/>
          <w:spacing w:val="5"/>
        </w:rPr>
        <w:t>每天</w:t>
      </w:r>
      <w:r>
        <w:rPr>
          <w:sz w:val="20"/>
          <w:szCs w:val="20"/>
          <w:color w:val="231F20"/>
          <w:spacing w:val="-56"/>
        </w:rPr>
        <w:t xml:space="preserve"> </w:t>
      </w:r>
      <w:r>
        <w:rPr>
          <w:rFonts w:ascii="Times New Roman" w:hAnsi="Times New Roman" w:eastAsia="Times New Roman" w:cs="Times New Roman"/>
          <w:sz w:val="20"/>
          <w:szCs w:val="20"/>
          <w:color w:val="231F20"/>
          <w:spacing w:val="5"/>
        </w:rPr>
        <w:t>3</w:t>
      </w:r>
      <w:r>
        <w:rPr>
          <w:sz w:val="20"/>
          <w:szCs w:val="20"/>
          <w:color w:val="231F20"/>
          <w:spacing w:val="5"/>
        </w:rPr>
        <w:t>次，每次</w:t>
      </w:r>
      <w:r>
        <w:rPr>
          <w:sz w:val="20"/>
          <w:szCs w:val="20"/>
          <w:color w:val="231F20"/>
          <w:spacing w:val="-55"/>
        </w:rPr>
        <w:t xml:space="preserve"> </w:t>
      </w:r>
      <w:r>
        <w:rPr>
          <w:rFonts w:ascii="Times New Roman" w:hAnsi="Times New Roman" w:eastAsia="Times New Roman" w:cs="Times New Roman"/>
          <w:sz w:val="20"/>
          <w:szCs w:val="20"/>
          <w:color w:val="231F20"/>
          <w:spacing w:val="5"/>
        </w:rPr>
        <w:t>50</w:t>
      </w:r>
      <w:r>
        <w:rPr>
          <w:sz w:val="20"/>
          <w:szCs w:val="20"/>
          <w:color w:val="231F20"/>
          <w:spacing w:val="5"/>
        </w:rPr>
        <w:t>～</w:t>
      </w:r>
      <w:r>
        <w:rPr>
          <w:rFonts w:ascii="Times New Roman" w:hAnsi="Times New Roman" w:eastAsia="Times New Roman" w:cs="Times New Roman"/>
          <w:sz w:val="20"/>
          <w:szCs w:val="20"/>
          <w:color w:val="231F20"/>
          <w:spacing w:val="5"/>
        </w:rPr>
        <w:t>100 </w:t>
      </w:r>
      <w:r>
        <w:rPr>
          <w:rFonts w:ascii="Times New Roman" w:hAnsi="Times New Roman" w:eastAsia="Times New Roman" w:cs="Times New Roman"/>
          <w:sz w:val="20"/>
          <w:szCs w:val="20"/>
          <w:color w:val="231F20"/>
        </w:rPr>
        <w:t>mg</w:t>
      </w:r>
      <w:r>
        <w:rPr>
          <w:sz w:val="20"/>
          <w:szCs w:val="20"/>
          <w:color w:val="231F20"/>
          <w:spacing w:val="5"/>
        </w:rPr>
        <w:t>，</w:t>
      </w:r>
      <w:r>
        <w:rPr>
          <w:rFonts w:ascii="Times New Roman" w:hAnsi="Times New Roman" w:eastAsia="Times New Roman" w:cs="Times New Roman"/>
          <w:sz w:val="20"/>
          <w:szCs w:val="20"/>
          <w:color w:val="231F20"/>
          <w:spacing w:val="5"/>
        </w:rPr>
        <w:t>7</w:t>
      </w:r>
      <w:r>
        <w:rPr>
          <w:rFonts w:ascii="Times New Roman" w:hAnsi="Times New Roman" w:eastAsia="Times New Roman" w:cs="Times New Roman"/>
          <w:sz w:val="20"/>
          <w:szCs w:val="20"/>
          <w:color w:val="231F20"/>
          <w:spacing w:val="17"/>
          <w:w w:val="101"/>
        </w:rPr>
        <w:t xml:space="preserve"> </w:t>
      </w:r>
      <w:r>
        <w:rPr>
          <w:rFonts w:ascii="Times New Roman" w:hAnsi="Times New Roman" w:eastAsia="Times New Roman" w:cs="Times New Roman"/>
          <w:sz w:val="20"/>
          <w:szCs w:val="20"/>
          <w:color w:val="231F20"/>
          <w:spacing w:val="5"/>
        </w:rPr>
        <w:t>d</w:t>
      </w:r>
      <w:r>
        <w:rPr>
          <w:sz w:val="20"/>
          <w:szCs w:val="20"/>
          <w:color w:val="231F20"/>
          <w:spacing w:val="5"/>
        </w:rPr>
        <w:t>为</w:t>
      </w:r>
      <w:r>
        <w:rPr>
          <w:sz w:val="20"/>
          <w:szCs w:val="20"/>
          <w:color w:val="231F20"/>
          <w:spacing w:val="-42"/>
        </w:rPr>
        <w:t xml:space="preserve"> </w:t>
      </w:r>
      <w:r>
        <w:rPr>
          <w:rFonts w:ascii="Times New Roman" w:hAnsi="Times New Roman" w:eastAsia="Times New Roman" w:cs="Times New Roman"/>
          <w:sz w:val="20"/>
          <w:szCs w:val="20"/>
          <w:color w:val="231F20"/>
          <w:spacing w:val="5"/>
        </w:rPr>
        <w:t>1</w:t>
      </w:r>
      <w:r>
        <w:rPr>
          <w:sz w:val="20"/>
          <w:szCs w:val="20"/>
          <w:color w:val="231F20"/>
          <w:spacing w:val="5"/>
        </w:rPr>
        <w:t>个周</w:t>
      </w:r>
      <w:r>
        <w:rPr>
          <w:sz w:val="20"/>
          <w:szCs w:val="20"/>
          <w:color w:val="231F20"/>
        </w:rPr>
        <w:t xml:space="preserve"> </w:t>
      </w:r>
      <w:r>
        <w:rPr>
          <w:sz w:val="20"/>
          <w:szCs w:val="20"/>
          <w:color w:val="231F20"/>
          <w:spacing w:val="4"/>
        </w:rPr>
        <w:t>期。连续用药</w:t>
      </w:r>
      <w:r>
        <w:rPr>
          <w:sz w:val="20"/>
          <w:szCs w:val="20"/>
          <w:color w:val="231F20"/>
          <w:spacing w:val="-49"/>
        </w:rPr>
        <w:t xml:space="preserve"> </w:t>
      </w:r>
      <w:r>
        <w:rPr>
          <w:rFonts w:ascii="Times New Roman" w:hAnsi="Times New Roman" w:eastAsia="Times New Roman" w:cs="Times New Roman"/>
          <w:sz w:val="20"/>
          <w:szCs w:val="20"/>
          <w:color w:val="231F20"/>
          <w:spacing w:val="4"/>
        </w:rPr>
        <w:t>14 d</w:t>
      </w:r>
      <w:r>
        <w:rPr>
          <w:sz w:val="20"/>
          <w:szCs w:val="20"/>
          <w:color w:val="231F20"/>
          <w:spacing w:val="4"/>
        </w:rPr>
        <w:t>。</w:t>
      </w:r>
    </w:p>
    <w:p>
      <w:pPr>
        <w:pStyle w:val="BodyText"/>
        <w:ind w:left="735" w:right="176" w:firstLine="419"/>
        <w:spacing w:before="1" w:line="270" w:lineRule="auto"/>
        <w:jc w:val="both"/>
        <w:rPr>
          <w:sz w:val="20"/>
          <w:szCs w:val="20"/>
        </w:rPr>
      </w:pPr>
      <w:r>
        <w:rPr>
          <w:sz w:val="20"/>
          <w:szCs w:val="20"/>
          <w:color w:val="231F20"/>
          <w:spacing w:val="19"/>
        </w:rPr>
        <w:t>联合组在常规组基础上联合奥美拉唑肠溶片</w:t>
      </w:r>
      <w:r>
        <w:rPr>
          <w:sz w:val="20"/>
          <w:szCs w:val="20"/>
          <w:color w:val="231F20"/>
          <w:spacing w:val="17"/>
        </w:rPr>
        <w:t xml:space="preserve"> </w:t>
      </w:r>
      <w:r>
        <w:rPr>
          <w:sz w:val="20"/>
          <w:szCs w:val="20"/>
          <w:color w:val="231F20"/>
        </w:rPr>
        <w:t>治疗，复方嗜酸乳杆菌片用药方式同常规组，</w:t>
      </w:r>
      <w:r>
        <w:rPr>
          <w:sz w:val="20"/>
          <w:szCs w:val="20"/>
          <w:color w:val="231F20"/>
          <w:spacing w:val="-1"/>
        </w:rPr>
        <w:t>联合奥</w:t>
      </w:r>
      <w:r>
        <w:rPr>
          <w:sz w:val="20"/>
          <w:szCs w:val="20"/>
          <w:color w:val="231F20"/>
        </w:rPr>
        <w:t xml:space="preserve"> </w:t>
      </w:r>
      <w:r>
        <w:rPr>
          <w:sz w:val="20"/>
          <w:szCs w:val="20"/>
          <w:color w:val="231F20"/>
        </w:rPr>
        <w:t>美拉唑肠溶片（山西亚宝药业集团股份有限公</w:t>
      </w:r>
      <w:r>
        <w:rPr>
          <w:sz w:val="20"/>
          <w:szCs w:val="20"/>
          <w:color w:val="231F20"/>
          <w:spacing w:val="-1"/>
        </w:rPr>
        <w:t>司，国</w:t>
      </w:r>
      <w:r>
        <w:rPr>
          <w:sz w:val="20"/>
          <w:szCs w:val="20"/>
          <w:color w:val="231F20"/>
        </w:rPr>
        <w:t xml:space="preserve"> </w:t>
      </w:r>
      <w:r>
        <w:rPr>
          <w:sz w:val="20"/>
          <w:szCs w:val="20"/>
          <w:color w:val="231F20"/>
          <w:spacing w:val="-6"/>
        </w:rPr>
        <w:t>药准字</w:t>
      </w:r>
      <w:r>
        <w:rPr>
          <w:rFonts w:ascii="Times New Roman" w:hAnsi="Times New Roman" w:eastAsia="Times New Roman" w:cs="Times New Roman"/>
          <w:sz w:val="20"/>
          <w:szCs w:val="20"/>
          <w:color w:val="231F20"/>
          <w:spacing w:val="-6"/>
        </w:rPr>
        <w:t>H20000248</w:t>
      </w:r>
      <w:r>
        <w:rPr>
          <w:sz w:val="20"/>
          <w:szCs w:val="20"/>
          <w:color w:val="231F20"/>
          <w:spacing w:val="-6"/>
        </w:rPr>
        <w:t>，规格：</w:t>
      </w:r>
      <w:r>
        <w:rPr>
          <w:rFonts w:ascii="Times New Roman" w:hAnsi="Times New Roman" w:eastAsia="Times New Roman" w:cs="Times New Roman"/>
          <w:sz w:val="20"/>
          <w:szCs w:val="20"/>
          <w:color w:val="231F20"/>
          <w:spacing w:val="-6"/>
        </w:rPr>
        <w:t>20 mg</w:t>
      </w:r>
      <w:r>
        <w:rPr>
          <w:sz w:val="20"/>
          <w:szCs w:val="20"/>
          <w:color w:val="231F20"/>
          <w:spacing w:val="-6"/>
        </w:rPr>
        <w:t>）口服，每天</w:t>
      </w:r>
      <w:r>
        <w:rPr>
          <w:rFonts w:ascii="Times New Roman" w:hAnsi="Times New Roman" w:eastAsia="Times New Roman" w:cs="Times New Roman"/>
          <w:sz w:val="20"/>
          <w:szCs w:val="20"/>
          <w:color w:val="231F20"/>
          <w:spacing w:val="-6"/>
        </w:rPr>
        <w:t>1</w:t>
      </w:r>
      <w:r>
        <w:rPr>
          <w:sz w:val="20"/>
          <w:szCs w:val="20"/>
          <w:color w:val="231F20"/>
          <w:spacing w:val="-6"/>
        </w:rPr>
        <w:t>～</w:t>
      </w:r>
      <w:r>
        <w:rPr>
          <w:rFonts w:ascii="Times New Roman" w:hAnsi="Times New Roman" w:eastAsia="Times New Roman" w:cs="Times New Roman"/>
          <w:sz w:val="20"/>
          <w:szCs w:val="20"/>
          <w:color w:val="231F20"/>
          <w:spacing w:val="-6"/>
        </w:rPr>
        <w:t>2</w:t>
      </w:r>
      <w:r>
        <w:rPr>
          <w:sz w:val="20"/>
          <w:szCs w:val="20"/>
          <w:color w:val="231F20"/>
          <w:spacing w:val="-6"/>
        </w:rPr>
        <w:t>次，</w:t>
      </w:r>
    </w:p>
    <w:p>
      <w:pPr>
        <w:spacing w:line="14" w:lineRule="auto"/>
        <w:rPr>
          <w:rFonts w:ascii="Arial"/>
          <w:sz w:val="2"/>
        </w:rPr>
      </w:pPr>
      <w:r>
        <w:rPr>
          <w:rFonts w:ascii="Arial" w:hAnsi="Arial" w:eastAsia="Arial" w:cs="Arial"/>
          <w:sz w:val="2"/>
          <w:szCs w:val="2"/>
        </w:rPr>
        <w:br w:type="column"/>
      </w:r>
    </w:p>
    <w:p>
      <w:pPr>
        <w:pStyle w:val="BodyText"/>
        <w:ind w:left="86" w:right="8"/>
        <w:spacing w:before="44" w:line="291" w:lineRule="auto"/>
        <w:jc w:val="both"/>
        <w:rPr>
          <w:sz w:val="20"/>
          <w:szCs w:val="20"/>
        </w:rPr>
      </w:pPr>
      <w:r>
        <w:rPr>
          <w:sz w:val="20"/>
          <w:szCs w:val="20"/>
          <w:color w:val="231F20"/>
          <w:spacing w:val="7"/>
        </w:rPr>
        <w:t>每次</w:t>
      </w:r>
      <w:r>
        <w:rPr>
          <w:rFonts w:ascii="Times New Roman" w:hAnsi="Times New Roman" w:eastAsia="Times New Roman" w:cs="Times New Roman"/>
          <w:sz w:val="20"/>
          <w:szCs w:val="20"/>
          <w:color w:val="231F20"/>
          <w:spacing w:val="7"/>
        </w:rPr>
        <w:t>20 </w:t>
      </w:r>
      <w:r>
        <w:rPr>
          <w:rFonts w:ascii="Times New Roman" w:hAnsi="Times New Roman" w:eastAsia="Times New Roman" w:cs="Times New Roman"/>
          <w:sz w:val="20"/>
          <w:szCs w:val="20"/>
          <w:color w:val="231F20"/>
        </w:rPr>
        <w:t>mg</w:t>
      </w:r>
      <w:r>
        <w:rPr>
          <w:sz w:val="20"/>
          <w:szCs w:val="20"/>
          <w:color w:val="231F20"/>
          <w:spacing w:val="7"/>
        </w:rPr>
        <w:t>，根据患者病情状态，可适当调整药</w:t>
      </w:r>
      <w:r>
        <w:rPr>
          <w:sz w:val="20"/>
          <w:szCs w:val="20"/>
          <w:color w:val="231F20"/>
          <w:spacing w:val="6"/>
        </w:rPr>
        <w:t>量，</w:t>
      </w:r>
      <w:r>
        <w:rPr>
          <w:sz w:val="20"/>
          <w:szCs w:val="20"/>
          <w:color w:val="231F20"/>
        </w:rPr>
        <w:t xml:space="preserve"> </w:t>
      </w:r>
      <w:r>
        <w:rPr>
          <w:sz w:val="20"/>
          <w:szCs w:val="20"/>
          <w:color w:val="231F20"/>
          <w:spacing w:val="4"/>
        </w:rPr>
        <w:t>服用剂量每天</w:t>
      </w:r>
      <w:r>
        <w:rPr>
          <w:rFonts w:ascii="NSimSun" w:hAnsi="NSimSun" w:eastAsia="NSimSun" w:cs="NSimSun"/>
          <w:sz w:val="20"/>
          <w:szCs w:val="20"/>
          <w:color w:val="231F20"/>
          <w:spacing w:val="4"/>
        </w:rPr>
        <w:t>≤</w:t>
      </w:r>
      <w:r>
        <w:rPr>
          <w:rFonts w:ascii="Times New Roman" w:hAnsi="Times New Roman" w:eastAsia="Times New Roman" w:cs="Times New Roman"/>
          <w:sz w:val="20"/>
          <w:szCs w:val="20"/>
          <w:color w:val="231F20"/>
          <w:spacing w:val="4"/>
        </w:rPr>
        <w:t>120 </w:t>
      </w:r>
      <w:r>
        <w:rPr>
          <w:rFonts w:ascii="Times New Roman" w:hAnsi="Times New Roman" w:eastAsia="Times New Roman" w:cs="Times New Roman"/>
          <w:sz w:val="20"/>
          <w:szCs w:val="20"/>
          <w:color w:val="231F20"/>
        </w:rPr>
        <w:t>mg</w:t>
      </w:r>
      <w:r>
        <w:rPr>
          <w:sz w:val="20"/>
          <w:szCs w:val="20"/>
          <w:color w:val="231F20"/>
          <w:spacing w:val="4"/>
        </w:rPr>
        <w:t>，用药</w:t>
      </w:r>
      <w:r>
        <w:rPr>
          <w:sz w:val="20"/>
          <w:szCs w:val="20"/>
          <w:color w:val="231F20"/>
          <w:spacing w:val="-41"/>
        </w:rPr>
        <w:t xml:space="preserve"> </w:t>
      </w:r>
      <w:r>
        <w:rPr>
          <w:rFonts w:ascii="Times New Roman" w:hAnsi="Times New Roman" w:eastAsia="Times New Roman" w:cs="Times New Roman"/>
          <w:sz w:val="20"/>
          <w:szCs w:val="20"/>
          <w:color w:val="231F20"/>
          <w:spacing w:val="4"/>
        </w:rPr>
        <w:t>1</w:t>
      </w:r>
      <w:r>
        <w:rPr>
          <w:sz w:val="20"/>
          <w:szCs w:val="20"/>
          <w:color w:val="231F20"/>
          <w:spacing w:val="4"/>
        </w:rPr>
        <w:t>周期为</w:t>
      </w:r>
      <w:r>
        <w:rPr>
          <w:sz w:val="20"/>
          <w:szCs w:val="20"/>
          <w:color w:val="231F20"/>
          <w:spacing w:val="-58"/>
        </w:rPr>
        <w:t xml:space="preserve"> </w:t>
      </w:r>
      <w:r>
        <w:rPr>
          <w:rFonts w:ascii="Times New Roman" w:hAnsi="Times New Roman" w:eastAsia="Times New Roman" w:cs="Times New Roman"/>
          <w:sz w:val="20"/>
          <w:szCs w:val="20"/>
          <w:color w:val="231F20"/>
          <w:spacing w:val="4"/>
        </w:rPr>
        <w:t>7</w:t>
      </w:r>
      <w:r>
        <w:rPr>
          <w:rFonts w:ascii="Times New Roman" w:hAnsi="Times New Roman" w:eastAsia="Times New Roman" w:cs="Times New Roman"/>
          <w:sz w:val="20"/>
          <w:szCs w:val="20"/>
          <w:color w:val="231F20"/>
          <w:spacing w:val="18"/>
          <w:w w:val="101"/>
        </w:rPr>
        <w:t xml:space="preserve"> </w:t>
      </w:r>
      <w:r>
        <w:rPr>
          <w:rFonts w:ascii="Times New Roman" w:hAnsi="Times New Roman" w:eastAsia="Times New Roman" w:cs="Times New Roman"/>
          <w:sz w:val="20"/>
          <w:szCs w:val="20"/>
          <w:color w:val="231F20"/>
          <w:spacing w:val="4"/>
        </w:rPr>
        <w:t>d</w:t>
      </w:r>
      <w:r>
        <w:rPr>
          <w:rFonts w:ascii="Times New Roman" w:hAnsi="Times New Roman" w:eastAsia="Times New Roman" w:cs="Times New Roman"/>
          <w:sz w:val="20"/>
          <w:szCs w:val="20"/>
          <w:color w:val="231F20"/>
          <w:spacing w:val="-22"/>
        </w:rPr>
        <w:t xml:space="preserve"> </w:t>
      </w:r>
      <w:r>
        <w:rPr>
          <w:sz w:val="20"/>
          <w:szCs w:val="20"/>
          <w:color w:val="231F20"/>
          <w:spacing w:val="4"/>
        </w:rPr>
        <w:t>。连续用</w:t>
      </w:r>
      <w:r>
        <w:rPr>
          <w:sz w:val="20"/>
          <w:szCs w:val="20"/>
          <w:color w:val="231F20"/>
        </w:rPr>
        <w:t xml:space="preserve"> </w:t>
      </w:r>
      <w:r>
        <w:rPr>
          <w:sz w:val="20"/>
          <w:szCs w:val="20"/>
          <w:color w:val="231F20"/>
          <w:spacing w:val="-3"/>
        </w:rPr>
        <w:t>药</w:t>
      </w:r>
      <w:r>
        <w:rPr>
          <w:sz w:val="20"/>
          <w:szCs w:val="20"/>
          <w:color w:val="231F20"/>
          <w:spacing w:val="-50"/>
        </w:rPr>
        <w:t xml:space="preserve"> </w:t>
      </w:r>
      <w:r>
        <w:rPr>
          <w:rFonts w:ascii="Times New Roman" w:hAnsi="Times New Roman" w:eastAsia="Times New Roman" w:cs="Times New Roman"/>
          <w:sz w:val="20"/>
          <w:szCs w:val="20"/>
          <w:color w:val="231F20"/>
          <w:spacing w:val="-3"/>
        </w:rPr>
        <w:t>14</w:t>
      </w:r>
      <w:r>
        <w:rPr>
          <w:rFonts w:ascii="Times New Roman" w:hAnsi="Times New Roman" w:eastAsia="Times New Roman" w:cs="Times New Roman"/>
          <w:sz w:val="20"/>
          <w:szCs w:val="20"/>
          <w:color w:val="231F20"/>
          <w:spacing w:val="9"/>
        </w:rPr>
        <w:t xml:space="preserve"> </w:t>
      </w:r>
      <w:r>
        <w:rPr>
          <w:rFonts w:ascii="Times New Roman" w:hAnsi="Times New Roman" w:eastAsia="Times New Roman" w:cs="Times New Roman"/>
          <w:sz w:val="20"/>
          <w:szCs w:val="20"/>
          <w:color w:val="231F20"/>
          <w:spacing w:val="-3"/>
        </w:rPr>
        <w:t>d</w:t>
      </w:r>
      <w:r>
        <w:rPr>
          <w:sz w:val="20"/>
          <w:szCs w:val="20"/>
          <w:color w:val="231F20"/>
          <w:spacing w:val="-3"/>
        </w:rPr>
        <w:t>。</w:t>
      </w:r>
    </w:p>
    <w:p>
      <w:pPr>
        <w:pStyle w:val="BodyText"/>
        <w:ind w:left="85" w:firstLine="17"/>
        <w:spacing w:before="10" w:line="278" w:lineRule="auto"/>
        <w:rPr>
          <w:sz w:val="20"/>
          <w:szCs w:val="20"/>
        </w:rPr>
      </w:pPr>
      <w:r>
        <w:rPr>
          <w:rFonts w:ascii="Times New Roman" w:hAnsi="Times New Roman" w:eastAsia="Times New Roman" w:cs="Times New Roman"/>
          <w:sz w:val="20"/>
          <w:szCs w:val="20"/>
          <w:color w:val="231F20"/>
          <w:spacing w:val="3"/>
        </w:rPr>
        <w:t>1.3    </w:t>
      </w:r>
      <w:r>
        <w:rPr>
          <w:sz w:val="20"/>
          <w:szCs w:val="20"/>
          <w:color w:val="231F20"/>
          <w:spacing w:val="3"/>
        </w:rPr>
        <w:t>观察指标</w:t>
      </w:r>
      <w:r>
        <w:rPr>
          <w:sz w:val="20"/>
          <w:szCs w:val="20"/>
          <w:color w:val="231F20"/>
          <w:spacing w:val="27"/>
        </w:rPr>
        <w:t xml:space="preserve">  </w:t>
      </w:r>
      <w:r>
        <w:rPr>
          <w:sz w:val="20"/>
          <w:szCs w:val="20"/>
          <w:color w:val="231F20"/>
          <w:spacing w:val="3"/>
        </w:rPr>
        <w:t>比较两组临床症状评分，采用急性</w:t>
      </w:r>
      <w:r>
        <w:rPr>
          <w:sz w:val="20"/>
          <w:szCs w:val="20"/>
          <w:color w:val="231F20"/>
          <w:spacing w:val="1"/>
        </w:rPr>
        <w:t xml:space="preserve"> </w:t>
      </w:r>
      <w:r>
        <w:rPr>
          <w:sz w:val="20"/>
          <w:szCs w:val="20"/>
          <w:color w:val="231F20"/>
          <w:spacing w:val="9"/>
        </w:rPr>
        <w:t>肠胃炎临床疗效对照表统计患者恶心呕吐、食欲不</w:t>
      </w:r>
      <w:r>
        <w:rPr>
          <w:sz w:val="20"/>
          <w:szCs w:val="20"/>
          <w:color w:val="231F20"/>
          <w:spacing w:val="2"/>
        </w:rPr>
        <w:t xml:space="preserve"> </w:t>
      </w:r>
      <w:r>
        <w:rPr>
          <w:sz w:val="20"/>
          <w:szCs w:val="20"/>
          <w:color w:val="231F20"/>
          <w:spacing w:val="3"/>
        </w:rPr>
        <w:t>振、腹痛腹泻等治疗后急性肠胃炎症状，总分</w:t>
      </w:r>
      <w:r>
        <w:rPr>
          <w:rFonts w:ascii="Times New Roman" w:hAnsi="Times New Roman" w:eastAsia="Times New Roman" w:cs="Times New Roman"/>
          <w:sz w:val="20"/>
          <w:szCs w:val="20"/>
          <w:color w:val="231F20"/>
          <w:spacing w:val="3"/>
        </w:rPr>
        <w:t>30</w:t>
      </w:r>
      <w:r>
        <w:rPr>
          <w:sz w:val="20"/>
          <w:szCs w:val="20"/>
          <w:color w:val="231F20"/>
          <w:spacing w:val="3"/>
        </w:rPr>
        <w:t>分，</w:t>
      </w:r>
      <w:r>
        <w:rPr>
          <w:sz w:val="20"/>
          <w:szCs w:val="20"/>
          <w:color w:val="231F20"/>
          <w:spacing w:val="2"/>
        </w:rPr>
        <w:t xml:space="preserve"> </w:t>
      </w:r>
      <w:r>
        <w:rPr>
          <w:sz w:val="20"/>
          <w:szCs w:val="20"/>
          <w:color w:val="231F20"/>
          <w:spacing w:val="16"/>
        </w:rPr>
        <w:t>分数越高表明患者临床症状改善越显著。</w:t>
      </w:r>
      <w:r>
        <w:rPr>
          <w:sz w:val="20"/>
          <w:szCs w:val="20"/>
          <w:color w:val="231F20"/>
          <w:spacing w:val="-36"/>
        </w:rPr>
        <w:t xml:space="preserve"> </w:t>
      </w:r>
      <w:r>
        <w:rPr>
          <w:sz w:val="20"/>
          <w:szCs w:val="20"/>
          <w:color w:val="231F20"/>
          <w:spacing w:val="16"/>
        </w:rPr>
        <w:t>比较两</w:t>
      </w:r>
      <w:r>
        <w:rPr>
          <w:sz w:val="20"/>
          <w:szCs w:val="20"/>
          <w:color w:val="231F20"/>
        </w:rPr>
        <w:t xml:space="preserve"> </w:t>
      </w:r>
      <w:r>
        <w:rPr>
          <w:sz w:val="20"/>
          <w:szCs w:val="20"/>
          <w:color w:val="231F20"/>
          <w:spacing w:val="9"/>
        </w:rPr>
        <w:t>组用药不良反应发生率，用药后统计患者嗜睡、肢</w:t>
      </w:r>
      <w:r>
        <w:rPr>
          <w:sz w:val="20"/>
          <w:szCs w:val="20"/>
          <w:color w:val="231F20"/>
          <w:spacing w:val="2"/>
        </w:rPr>
        <w:t xml:space="preserve"> </w:t>
      </w:r>
      <w:r>
        <w:rPr>
          <w:sz w:val="20"/>
          <w:szCs w:val="20"/>
          <w:color w:val="231F20"/>
          <w:spacing w:val="7"/>
        </w:rPr>
        <w:t>体乏力、头痛头晕等药物不良反应状况。</w:t>
      </w:r>
      <w:r>
        <w:rPr>
          <w:sz w:val="20"/>
          <w:szCs w:val="20"/>
          <w:color w:val="231F20"/>
          <w:spacing w:val="-54"/>
        </w:rPr>
        <w:t xml:space="preserve"> </w:t>
      </w:r>
      <w:r>
        <w:rPr>
          <w:sz w:val="20"/>
          <w:szCs w:val="20"/>
          <w:color w:val="231F20"/>
          <w:spacing w:val="7"/>
        </w:rPr>
        <w:t>比较两组</w:t>
      </w:r>
      <w:r>
        <w:rPr>
          <w:sz w:val="20"/>
          <w:szCs w:val="20"/>
          <w:color w:val="231F20"/>
        </w:rPr>
        <w:t xml:space="preserve"> </w:t>
      </w:r>
      <w:r>
        <w:rPr>
          <w:sz w:val="20"/>
          <w:szCs w:val="20"/>
          <w:color w:val="231F20"/>
          <w:spacing w:val="9"/>
        </w:rPr>
        <w:t>临床疗效，即药物治疗后，患者急性肠胃炎症状得</w:t>
      </w:r>
      <w:r>
        <w:rPr>
          <w:sz w:val="20"/>
          <w:szCs w:val="20"/>
          <w:color w:val="231F20"/>
          <w:spacing w:val="2"/>
        </w:rPr>
        <w:t xml:space="preserve"> </w:t>
      </w:r>
      <w:r>
        <w:rPr>
          <w:sz w:val="20"/>
          <w:szCs w:val="20"/>
          <w:color w:val="231F20"/>
        </w:rPr>
        <w:t>到明显控制，患者腹痛、呕吐现象停止，整体状态得 </w:t>
      </w:r>
      <w:r>
        <w:rPr>
          <w:sz w:val="20"/>
          <w:szCs w:val="20"/>
          <w:color w:val="231F20"/>
          <w:spacing w:val="3"/>
        </w:rPr>
        <w:t>以恢复为显效；患者疾病症状得以改善，偶发腹痛、</w:t>
      </w:r>
      <w:r>
        <w:rPr>
          <w:sz w:val="20"/>
          <w:szCs w:val="20"/>
          <w:color w:val="231F20"/>
          <w:spacing w:val="5"/>
        </w:rPr>
        <w:t xml:space="preserve"> </w:t>
      </w:r>
      <w:r>
        <w:rPr>
          <w:sz w:val="20"/>
          <w:szCs w:val="20"/>
          <w:color w:val="231F20"/>
        </w:rPr>
        <w:t>呕吐，精神状态、胃肠功能得以恢复为有效；用药后 </w:t>
      </w:r>
      <w:r>
        <w:rPr>
          <w:sz w:val="20"/>
          <w:szCs w:val="20"/>
          <w:color w:val="231F20"/>
          <w:spacing w:val="9"/>
        </w:rPr>
        <w:t>患者状态未见好转，且病情加剧为无效，治疗有效</w:t>
      </w:r>
      <w:r>
        <w:rPr>
          <w:sz w:val="20"/>
          <w:szCs w:val="20"/>
          <w:color w:val="231F20"/>
          <w:spacing w:val="2"/>
        </w:rPr>
        <w:t xml:space="preserve"> </w:t>
      </w:r>
      <w:r>
        <w:rPr>
          <w:sz w:val="20"/>
          <w:szCs w:val="20"/>
          <w:color w:val="231F20"/>
          <w:spacing w:val="2"/>
        </w:rPr>
        <w:t>率</w:t>
      </w:r>
      <w:r>
        <w:rPr>
          <w:rFonts w:ascii="Times New Roman" w:hAnsi="Times New Roman" w:eastAsia="Times New Roman" w:cs="Times New Roman"/>
          <w:sz w:val="20"/>
          <w:szCs w:val="20"/>
          <w:color w:val="231F20"/>
          <w:spacing w:val="2"/>
        </w:rPr>
        <w:t>=</w:t>
      </w:r>
      <w:r>
        <w:rPr>
          <w:sz w:val="20"/>
          <w:szCs w:val="20"/>
          <w:color w:val="231F20"/>
          <w:spacing w:val="2"/>
        </w:rPr>
        <w:t>（显效</w:t>
      </w:r>
      <w:r>
        <w:rPr>
          <w:rFonts w:ascii="Times New Roman" w:hAnsi="Times New Roman" w:eastAsia="Times New Roman" w:cs="Times New Roman"/>
          <w:sz w:val="20"/>
          <w:szCs w:val="20"/>
          <w:color w:val="231F20"/>
          <w:spacing w:val="2"/>
        </w:rPr>
        <w:t>+</w:t>
      </w:r>
      <w:r>
        <w:rPr>
          <w:sz w:val="20"/>
          <w:szCs w:val="20"/>
          <w:color w:val="231F20"/>
          <w:spacing w:val="2"/>
        </w:rPr>
        <w:t>有效）</w:t>
      </w:r>
      <w:r>
        <w:rPr>
          <w:rFonts w:ascii="Times New Roman" w:hAnsi="Times New Roman" w:eastAsia="Times New Roman" w:cs="Times New Roman"/>
          <w:sz w:val="20"/>
          <w:szCs w:val="20"/>
          <w:color w:val="231F20"/>
          <w:spacing w:val="2"/>
        </w:rPr>
        <w:t>/</w:t>
      </w:r>
      <w:r>
        <w:rPr>
          <w:sz w:val="20"/>
          <w:szCs w:val="20"/>
          <w:color w:val="231F20"/>
          <w:spacing w:val="2"/>
        </w:rPr>
        <w:t>本组总例数</w:t>
      </w:r>
      <w:r>
        <w:rPr>
          <w:rFonts w:ascii="Times New Roman" w:hAnsi="Times New Roman" w:eastAsia="Times New Roman" w:cs="Times New Roman"/>
          <w:sz w:val="20"/>
          <w:szCs w:val="20"/>
          <w:color w:val="231F20"/>
          <w:spacing w:val="2"/>
        </w:rPr>
        <w:t>×100%</w:t>
      </w:r>
      <w:r>
        <w:rPr>
          <w:rFonts w:ascii="Times New Roman" w:hAnsi="Times New Roman" w:eastAsia="Times New Roman" w:cs="Times New Roman"/>
          <w:sz w:val="20"/>
          <w:szCs w:val="20"/>
          <w:color w:val="231F20"/>
          <w:spacing w:val="-6"/>
        </w:rPr>
        <w:t xml:space="preserve"> </w:t>
      </w:r>
      <w:r>
        <w:rPr>
          <w:sz w:val="20"/>
          <w:szCs w:val="20"/>
          <w:color w:val="231F20"/>
          <w:spacing w:val="2"/>
        </w:rPr>
        <w:t>。</w:t>
      </w:r>
      <w:r>
        <w:rPr>
          <w:sz w:val="20"/>
          <w:szCs w:val="20"/>
          <w:color w:val="231F20"/>
          <w:spacing w:val="-57"/>
        </w:rPr>
        <w:t xml:space="preserve"> </w:t>
      </w:r>
      <w:r>
        <w:rPr>
          <w:sz w:val="20"/>
          <w:szCs w:val="20"/>
          <w:color w:val="231F20"/>
          <w:spacing w:val="2"/>
        </w:rPr>
        <w:t>比较两组治</w:t>
      </w:r>
      <w:r>
        <w:rPr>
          <w:sz w:val="20"/>
          <w:szCs w:val="20"/>
          <w:color w:val="231F20"/>
        </w:rPr>
        <w:t xml:space="preserve"> </w:t>
      </w:r>
      <w:r>
        <w:rPr>
          <w:sz w:val="20"/>
          <w:szCs w:val="20"/>
          <w:color w:val="231F20"/>
          <w:spacing w:val="9"/>
        </w:rPr>
        <w:t>疗时效，采用急性肠胃炎临床治疗时效对照表统计</w:t>
      </w:r>
      <w:r>
        <w:rPr>
          <w:sz w:val="20"/>
          <w:szCs w:val="20"/>
          <w:color w:val="231F20"/>
          <w:spacing w:val="2"/>
        </w:rPr>
        <w:t xml:space="preserve"> </w:t>
      </w:r>
      <w:r>
        <w:rPr>
          <w:sz w:val="20"/>
          <w:szCs w:val="20"/>
          <w:color w:val="231F20"/>
        </w:rPr>
        <w:t>患者病情状态、消化系统功能、治疗时间、住院时间 </w:t>
      </w:r>
      <w:r>
        <w:rPr>
          <w:sz w:val="20"/>
          <w:szCs w:val="20"/>
          <w:color w:val="231F20"/>
          <w:spacing w:val="6"/>
        </w:rPr>
        <w:t>等，病情状态、消化系统功能采取评分制，满分</w:t>
      </w:r>
      <w:r>
        <w:rPr>
          <w:sz w:val="20"/>
          <w:szCs w:val="20"/>
          <w:color w:val="231F20"/>
          <w:spacing w:val="-38"/>
        </w:rPr>
        <w:t xml:space="preserve"> </w:t>
      </w:r>
      <w:r>
        <w:rPr>
          <w:rFonts w:ascii="Times New Roman" w:hAnsi="Times New Roman" w:eastAsia="Times New Roman" w:cs="Times New Roman"/>
          <w:sz w:val="20"/>
          <w:szCs w:val="20"/>
          <w:color w:val="231F20"/>
          <w:spacing w:val="6"/>
        </w:rPr>
        <w:t>20</w:t>
      </w:r>
      <w:r>
        <w:rPr>
          <w:rFonts w:ascii="Times New Roman" w:hAnsi="Times New Roman" w:eastAsia="Times New Roman" w:cs="Times New Roman"/>
          <w:sz w:val="20"/>
          <w:szCs w:val="20"/>
          <w:color w:val="231F20"/>
        </w:rPr>
        <w:t xml:space="preserve">  </w:t>
      </w:r>
      <w:r>
        <w:rPr>
          <w:sz w:val="20"/>
          <w:szCs w:val="20"/>
          <w:color w:val="231F20"/>
        </w:rPr>
        <w:t>分，分数越高表明治疗效果越高，治疗时间、住院时 </w:t>
      </w:r>
      <w:r>
        <w:rPr>
          <w:sz w:val="20"/>
          <w:szCs w:val="20"/>
          <w:color w:val="231F20"/>
          <w:spacing w:val="9"/>
        </w:rPr>
        <w:t>间是以患者治疗时间为准，以此观察两组临床药物</w:t>
      </w:r>
      <w:r>
        <w:rPr>
          <w:sz w:val="20"/>
          <w:szCs w:val="20"/>
          <w:color w:val="231F20"/>
          <w:spacing w:val="2"/>
        </w:rPr>
        <w:t xml:space="preserve"> </w:t>
      </w:r>
      <w:r>
        <w:rPr>
          <w:sz w:val="20"/>
          <w:szCs w:val="20"/>
          <w:color w:val="231F20"/>
          <w:spacing w:val="6"/>
        </w:rPr>
        <w:t>治疗时效。</w:t>
      </w:r>
    </w:p>
    <w:p>
      <w:pPr>
        <w:pStyle w:val="BodyText"/>
        <w:ind w:left="85" w:right="73" w:firstLine="17"/>
        <w:spacing w:before="47" w:line="270" w:lineRule="auto"/>
        <w:rPr>
          <w:sz w:val="20"/>
          <w:szCs w:val="20"/>
        </w:rPr>
      </w:pPr>
      <w:r>
        <w:pict>
          <v:shape id="_x0000_s12" style="position:absolute;margin-left:100.831pt;margin-top:18.0063pt;mso-position-vertical-relative:text;mso-position-horizontal-relative:text;width:4.7pt;height:0.4pt;z-index:251660288;" filled="false" strokecolor="#231F20" strokeweight="0.37pt" coordsize="93,8" coordorigin="0,0" path="m0,3l93,3e">
            <v:stroke joinstyle="miter" miterlimit="4"/>
          </v:shape>
        </w:pict>
      </w:r>
      <w:r>
        <w:rPr>
          <w:rFonts w:ascii="Times New Roman" w:hAnsi="Times New Roman" w:eastAsia="Times New Roman" w:cs="Times New Roman"/>
          <w:sz w:val="20"/>
          <w:szCs w:val="20"/>
          <w:color w:val="231F20"/>
          <w:spacing w:val="11"/>
        </w:rPr>
        <w:t>1.4    </w:t>
      </w:r>
      <w:r>
        <w:rPr>
          <w:sz w:val="20"/>
          <w:szCs w:val="20"/>
          <w:color w:val="231F20"/>
          <w:spacing w:val="11"/>
        </w:rPr>
        <w:t>统计学方法  采用</w:t>
      </w:r>
      <w:r>
        <w:rPr>
          <w:sz w:val="20"/>
          <w:szCs w:val="20"/>
          <w:color w:val="231F20"/>
          <w:spacing w:val="-57"/>
        </w:rPr>
        <w:t xml:space="preserve"> </w:t>
      </w:r>
      <w:r>
        <w:rPr>
          <w:rFonts w:ascii="Times New Roman" w:hAnsi="Times New Roman" w:eastAsia="Times New Roman" w:cs="Times New Roman"/>
          <w:sz w:val="20"/>
          <w:szCs w:val="20"/>
          <w:color w:val="231F20"/>
        </w:rPr>
        <w:t>SPSS</w:t>
      </w:r>
      <w:r>
        <w:rPr>
          <w:rFonts w:ascii="Times New Roman" w:hAnsi="Times New Roman" w:eastAsia="Times New Roman" w:cs="Times New Roman"/>
          <w:sz w:val="20"/>
          <w:szCs w:val="20"/>
          <w:color w:val="231F20"/>
          <w:spacing w:val="11"/>
        </w:rPr>
        <w:t>21.0</w:t>
      </w:r>
      <w:r>
        <w:rPr>
          <w:sz w:val="20"/>
          <w:szCs w:val="20"/>
          <w:color w:val="231F20"/>
          <w:spacing w:val="11"/>
        </w:rPr>
        <w:t>统计软件进</w:t>
      </w:r>
      <w:r>
        <w:rPr>
          <w:sz w:val="20"/>
          <w:szCs w:val="20"/>
          <w:color w:val="231F20"/>
          <w:spacing w:val="10"/>
        </w:rPr>
        <w:t>行数</w:t>
      </w:r>
      <w:r>
        <w:rPr>
          <w:sz w:val="20"/>
          <w:szCs w:val="20"/>
          <w:color w:val="231F20"/>
        </w:rPr>
        <w:t xml:space="preserve"> </w:t>
      </w:r>
      <w:r>
        <w:rPr>
          <w:sz w:val="20"/>
          <w:szCs w:val="20"/>
          <w:color w:val="231F20"/>
          <w:spacing w:val="-8"/>
        </w:rPr>
        <w:t>据分析，计量资料以</w:t>
      </w:r>
      <w:r>
        <w:rPr>
          <w:sz w:val="20"/>
          <w:szCs w:val="20"/>
          <w:color w:val="231F20"/>
          <w:spacing w:val="-8"/>
        </w:rPr>
        <w:t>“</w:t>
      </w:r>
      <w:r>
        <w:rPr>
          <w:rFonts w:ascii="Times New Roman" w:hAnsi="Times New Roman" w:eastAsia="Times New Roman" w:cs="Times New Roman"/>
          <w:sz w:val="20"/>
          <w:szCs w:val="20"/>
          <w:i/>
          <w:iCs/>
          <w:color w:val="231F20"/>
          <w:spacing w:val="-8"/>
        </w:rPr>
        <w:t>x</w:t>
      </w:r>
      <w:r>
        <w:rPr>
          <w:rFonts w:ascii="Times New Roman" w:hAnsi="Times New Roman" w:eastAsia="Times New Roman" w:cs="Times New Roman"/>
          <w:sz w:val="20"/>
          <w:szCs w:val="20"/>
          <w:color w:val="231F20"/>
          <w:spacing w:val="-8"/>
        </w:rPr>
        <w:t>±</w:t>
      </w:r>
      <w:r>
        <w:rPr>
          <w:rFonts w:ascii="Times New Roman" w:hAnsi="Times New Roman" w:eastAsia="Times New Roman" w:cs="Times New Roman"/>
          <w:sz w:val="20"/>
          <w:szCs w:val="20"/>
          <w:i/>
          <w:iCs/>
          <w:color w:val="231F20"/>
          <w:spacing w:val="-8"/>
        </w:rPr>
        <w:t>s</w:t>
      </w:r>
      <w:r>
        <w:rPr>
          <w:sz w:val="20"/>
          <w:szCs w:val="20"/>
          <w:color w:val="231F20"/>
          <w:spacing w:val="-8"/>
        </w:rPr>
        <w:t>”表示，比较采用</w:t>
      </w:r>
      <w:r>
        <w:rPr>
          <w:sz w:val="20"/>
          <w:szCs w:val="20"/>
          <w:color w:val="231F20"/>
          <w:spacing w:val="-60"/>
        </w:rPr>
        <w:t xml:space="preserve"> </w:t>
      </w:r>
      <w:r>
        <w:rPr>
          <w:rFonts w:ascii="Times New Roman" w:hAnsi="Times New Roman" w:eastAsia="Times New Roman" w:cs="Times New Roman"/>
          <w:sz w:val="20"/>
          <w:szCs w:val="20"/>
          <w:i/>
          <w:iCs/>
          <w:color w:val="231F20"/>
          <w:spacing w:val="-8"/>
        </w:rPr>
        <w:t>t</w:t>
      </w:r>
      <w:r>
        <w:rPr>
          <w:rFonts w:ascii="Times New Roman" w:hAnsi="Times New Roman" w:eastAsia="Times New Roman" w:cs="Times New Roman"/>
          <w:sz w:val="20"/>
          <w:szCs w:val="20"/>
          <w:i/>
          <w:iCs/>
          <w:color w:val="231F20"/>
          <w:spacing w:val="-14"/>
        </w:rPr>
        <w:t xml:space="preserve"> </w:t>
      </w:r>
      <w:r>
        <w:rPr>
          <w:sz w:val="20"/>
          <w:szCs w:val="20"/>
          <w:color w:val="231F20"/>
          <w:spacing w:val="-8"/>
        </w:rPr>
        <w:t>检验，计</w:t>
      </w:r>
      <w:r>
        <w:rPr>
          <w:sz w:val="20"/>
          <w:szCs w:val="20"/>
          <w:color w:val="231F20"/>
        </w:rPr>
        <w:t xml:space="preserve"> </w:t>
      </w:r>
      <w:r>
        <w:rPr>
          <w:sz w:val="20"/>
          <w:szCs w:val="20"/>
          <w:color w:val="231F20"/>
          <w:spacing w:val="-4"/>
        </w:rPr>
        <w:t>数资料以</w:t>
      </w:r>
      <w:r>
        <w:rPr>
          <w:rFonts w:ascii="Times New Roman" w:hAnsi="Times New Roman" w:eastAsia="Times New Roman" w:cs="Times New Roman"/>
          <w:sz w:val="20"/>
          <w:szCs w:val="20"/>
          <w:color w:val="231F20"/>
          <w:spacing w:val="-4"/>
        </w:rPr>
        <w:t>[</w:t>
      </w:r>
      <w:r>
        <w:rPr>
          <w:rFonts w:ascii="Times New Roman" w:hAnsi="Times New Roman" w:eastAsia="Times New Roman" w:cs="Times New Roman"/>
          <w:sz w:val="20"/>
          <w:szCs w:val="20"/>
          <w:i/>
          <w:iCs/>
          <w:color w:val="231F20"/>
          <w:spacing w:val="-4"/>
        </w:rPr>
        <w:t>n</w:t>
      </w:r>
      <w:r>
        <w:rPr>
          <w:sz w:val="20"/>
          <w:szCs w:val="20"/>
          <w:color w:val="231F20"/>
          <w:spacing w:val="-4"/>
        </w:rPr>
        <w:t>（</w:t>
      </w:r>
      <w:r>
        <w:rPr>
          <w:rFonts w:ascii="Times New Roman" w:hAnsi="Times New Roman" w:eastAsia="Times New Roman" w:cs="Times New Roman"/>
          <w:sz w:val="20"/>
          <w:szCs w:val="20"/>
          <w:color w:val="231F20"/>
          <w:spacing w:val="-4"/>
        </w:rPr>
        <w:t>%</w:t>
      </w:r>
      <w:r>
        <w:rPr>
          <w:sz w:val="20"/>
          <w:szCs w:val="20"/>
          <w:color w:val="231F20"/>
          <w:spacing w:val="-4"/>
        </w:rPr>
        <w:t>）</w:t>
      </w:r>
      <w:r>
        <w:rPr>
          <w:rFonts w:ascii="Times New Roman" w:hAnsi="Times New Roman" w:eastAsia="Times New Roman" w:cs="Times New Roman"/>
          <w:sz w:val="20"/>
          <w:szCs w:val="20"/>
          <w:color w:val="231F20"/>
          <w:spacing w:val="-4"/>
        </w:rPr>
        <w:t>]</w:t>
      </w:r>
      <w:r>
        <w:rPr>
          <w:sz w:val="20"/>
          <w:szCs w:val="20"/>
          <w:color w:val="231F20"/>
          <w:spacing w:val="-4"/>
        </w:rPr>
        <w:t>表示，比较采用</w:t>
      </w:r>
      <w:r>
        <w:rPr>
          <w:sz w:val="20"/>
          <w:szCs w:val="20"/>
          <w:color w:val="231F20"/>
          <w:spacing w:val="-42"/>
        </w:rPr>
        <w:t xml:space="preserve"> </w:t>
      </w:r>
      <w:r>
        <w:rPr>
          <w:rFonts w:ascii="Arial" w:hAnsi="Arial" w:eastAsia="Arial" w:cs="Arial"/>
          <w:sz w:val="21"/>
          <w:szCs w:val="21"/>
          <w:i/>
          <w:iCs/>
          <w:color w:val="231F20"/>
          <w:spacing w:val="-4"/>
        </w:rPr>
        <w:t>χ</w:t>
      </w:r>
      <w:r>
        <w:rPr>
          <w:rFonts w:ascii="Times New Roman" w:hAnsi="Times New Roman" w:eastAsia="Times New Roman" w:cs="Times New Roman"/>
          <w:sz w:val="10"/>
          <w:szCs w:val="10"/>
          <w:color w:val="231F20"/>
          <w:spacing w:val="-4"/>
          <w:position w:val="8"/>
        </w:rPr>
        <w:t>2 </w:t>
      </w:r>
      <w:r>
        <w:rPr>
          <w:sz w:val="20"/>
          <w:szCs w:val="20"/>
          <w:color w:val="231F20"/>
          <w:spacing w:val="-4"/>
        </w:rPr>
        <w:t>检验，以</w:t>
      </w:r>
      <w:r>
        <w:rPr>
          <w:rFonts w:ascii="Times New Roman" w:hAnsi="Times New Roman" w:eastAsia="Times New Roman" w:cs="Times New Roman"/>
          <w:sz w:val="20"/>
          <w:szCs w:val="20"/>
          <w:i/>
          <w:iCs/>
          <w:color w:val="231F20"/>
          <w:spacing w:val="-4"/>
        </w:rPr>
        <w:t>P</w:t>
      </w:r>
      <w:r>
        <w:rPr>
          <w:sz w:val="20"/>
          <w:szCs w:val="20"/>
          <w:color w:val="231F20"/>
          <w:spacing w:val="-4"/>
        </w:rPr>
        <w:t>＜</w:t>
      </w:r>
      <w:r>
        <w:rPr>
          <w:rFonts w:ascii="Times New Roman" w:hAnsi="Times New Roman" w:eastAsia="Times New Roman" w:cs="Times New Roman"/>
          <w:sz w:val="20"/>
          <w:szCs w:val="20"/>
          <w:color w:val="231F20"/>
          <w:spacing w:val="-4"/>
        </w:rPr>
        <w:t>0.05</w:t>
      </w:r>
      <w:r>
        <w:rPr>
          <w:rFonts w:ascii="Times New Roman" w:hAnsi="Times New Roman" w:eastAsia="Times New Roman" w:cs="Times New Roman"/>
          <w:sz w:val="20"/>
          <w:szCs w:val="20"/>
          <w:color w:val="231F20"/>
        </w:rPr>
        <w:t xml:space="preserve"> </w:t>
      </w:r>
      <w:r>
        <w:rPr>
          <w:sz w:val="20"/>
          <w:szCs w:val="20"/>
          <w:color w:val="231F20"/>
          <w:spacing w:val="8"/>
        </w:rPr>
        <w:t>为差异有统计学意义。</w:t>
      </w:r>
    </w:p>
    <w:p>
      <w:pPr>
        <w:ind w:left="84"/>
        <w:spacing w:before="154" w:line="276" w:lineRule="exact"/>
        <w:outlineLvl w:val="1"/>
        <w:rPr>
          <w:rFonts w:ascii="SimHei" w:hAnsi="SimHei" w:eastAsia="SimHei" w:cs="SimHei"/>
          <w:sz w:val="20"/>
          <w:szCs w:val="20"/>
        </w:rPr>
      </w:pPr>
      <w:r>
        <w:rPr>
          <w:rFonts w:ascii="SimHei" w:hAnsi="SimHei" w:eastAsia="SimHei" w:cs="SimHei"/>
          <w:sz w:val="20"/>
          <w:szCs w:val="20"/>
          <w:color w:val="231F20"/>
          <w:spacing w:val="5"/>
          <w:position w:val="1"/>
        </w:rPr>
        <w:t>2</w:t>
      </w:r>
      <w:r>
        <w:rPr>
          <w:rFonts w:ascii="SimHei" w:hAnsi="SimHei" w:eastAsia="SimHei" w:cs="SimHei"/>
          <w:sz w:val="20"/>
          <w:szCs w:val="20"/>
          <w:color w:val="231F20"/>
          <w:spacing w:val="30"/>
          <w:position w:val="1"/>
        </w:rPr>
        <w:t xml:space="preserve"> </w:t>
      </w:r>
      <w:r>
        <w:rPr>
          <w:rFonts w:ascii="SimHei" w:hAnsi="SimHei" w:eastAsia="SimHei" w:cs="SimHei"/>
          <w:sz w:val="20"/>
          <w:szCs w:val="20"/>
          <w:color w:val="231F20"/>
          <w:spacing w:val="5"/>
          <w:position w:val="1"/>
        </w:rPr>
        <w:t>结果</w:t>
      </w:r>
    </w:p>
    <w:p>
      <w:pPr>
        <w:pStyle w:val="BodyText"/>
        <w:ind w:left="86" w:right="73" w:hanging="4"/>
        <w:spacing w:before="146" w:line="295" w:lineRule="auto"/>
        <w:jc w:val="both"/>
        <w:rPr>
          <w:sz w:val="20"/>
          <w:szCs w:val="20"/>
        </w:rPr>
      </w:pPr>
      <w:r>
        <w:rPr>
          <w:rFonts w:ascii="Times New Roman" w:hAnsi="Times New Roman" w:eastAsia="Times New Roman" w:cs="Times New Roman"/>
          <w:sz w:val="20"/>
          <w:szCs w:val="20"/>
          <w:color w:val="231F20"/>
          <w:spacing w:val="-2"/>
        </w:rPr>
        <w:t>2.1    </w:t>
      </w:r>
      <w:r>
        <w:rPr>
          <w:sz w:val="20"/>
          <w:szCs w:val="20"/>
          <w:color w:val="231F20"/>
          <w:spacing w:val="-2"/>
        </w:rPr>
        <w:t>两组临床症状评分比较  治疗后，实验组恶心呕</w:t>
      </w:r>
      <w:r>
        <w:rPr>
          <w:sz w:val="20"/>
          <w:szCs w:val="20"/>
          <w:color w:val="231F20"/>
          <w:spacing w:val="11"/>
        </w:rPr>
        <w:t xml:space="preserve"> </w:t>
      </w:r>
      <w:r>
        <w:rPr>
          <w:sz w:val="20"/>
          <w:szCs w:val="20"/>
          <w:color w:val="231F20"/>
          <w:spacing w:val="-9"/>
        </w:rPr>
        <w:t>吐、食欲不振、腹痛腹泻评分均显著高于常规组，差异</w:t>
      </w:r>
      <w:r>
        <w:rPr>
          <w:sz w:val="20"/>
          <w:szCs w:val="20"/>
          <w:color w:val="231F20"/>
          <w:spacing w:val="14"/>
        </w:rPr>
        <w:t xml:space="preserve"> </w:t>
      </w:r>
      <w:r>
        <w:rPr>
          <w:sz w:val="20"/>
          <w:szCs w:val="20"/>
          <w:color w:val="231F20"/>
          <w:spacing w:val="4"/>
        </w:rPr>
        <w:t>有统计学意义（</w:t>
      </w:r>
      <w:r>
        <w:rPr>
          <w:rFonts w:ascii="Times New Roman" w:hAnsi="Times New Roman" w:eastAsia="Times New Roman" w:cs="Times New Roman"/>
          <w:sz w:val="20"/>
          <w:szCs w:val="20"/>
          <w:i/>
          <w:iCs/>
          <w:color w:val="231F20"/>
          <w:spacing w:val="4"/>
        </w:rPr>
        <w:t>P</w:t>
      </w:r>
      <w:r>
        <w:rPr>
          <w:sz w:val="20"/>
          <w:szCs w:val="20"/>
          <w:color w:val="231F20"/>
          <w:spacing w:val="4"/>
        </w:rPr>
        <w:t>＜</w:t>
      </w:r>
      <w:r>
        <w:rPr>
          <w:rFonts w:ascii="Times New Roman" w:hAnsi="Times New Roman" w:eastAsia="Times New Roman" w:cs="Times New Roman"/>
          <w:sz w:val="20"/>
          <w:szCs w:val="20"/>
          <w:color w:val="231F20"/>
          <w:spacing w:val="4"/>
        </w:rPr>
        <w:t>0.05</w:t>
      </w:r>
      <w:r>
        <w:rPr>
          <w:sz w:val="20"/>
          <w:szCs w:val="20"/>
          <w:color w:val="231F20"/>
          <w:spacing w:val="-32"/>
          <w:w w:val="61"/>
        </w:rPr>
        <w:t>），</w:t>
      </w:r>
      <w:r>
        <w:rPr>
          <w:sz w:val="20"/>
          <w:szCs w:val="20"/>
          <w:color w:val="231F20"/>
          <w:spacing w:val="4"/>
        </w:rPr>
        <w:t>见表</w:t>
      </w:r>
      <w:r>
        <w:rPr>
          <w:rFonts w:ascii="Times New Roman" w:hAnsi="Times New Roman" w:eastAsia="Times New Roman" w:cs="Times New Roman"/>
          <w:sz w:val="20"/>
          <w:szCs w:val="20"/>
          <w:color w:val="231F20"/>
          <w:spacing w:val="4"/>
        </w:rPr>
        <w:t>1</w:t>
      </w:r>
      <w:r>
        <w:rPr>
          <w:sz w:val="20"/>
          <w:szCs w:val="20"/>
          <w:color w:val="231F20"/>
          <w:spacing w:val="4"/>
        </w:rPr>
        <w:t>。</w:t>
      </w:r>
    </w:p>
    <w:p>
      <w:pPr>
        <w:spacing w:line="251" w:lineRule="auto"/>
        <w:rPr>
          <w:rFonts w:ascii="Arial"/>
          <w:sz w:val="21"/>
        </w:rPr>
      </w:pPr>
      <w:r/>
    </w:p>
    <w:p>
      <w:pPr>
        <w:pStyle w:val="BodyText"/>
        <w:ind w:left="1069"/>
        <w:spacing w:before="49" w:line="206" w:lineRule="exact"/>
        <w:rPr/>
      </w:pPr>
      <w:r>
        <w:pict>
          <v:shape id="_x0000_s14" style="position:absolute;margin-left:158.192pt;margin-top:2.59062pt;mso-position-vertical-relative:text;mso-position-horizontal-relative:text;width:3.6pt;height:0.4pt;z-index:251659264;" filled="false" strokecolor="#231F20" strokeweight="0.37pt" coordsize="71,8" coordorigin="0,0" path="m0,3l71,3e">
            <v:stroke joinstyle="miter" miterlimit="4"/>
          </v:shape>
        </w:pict>
      </w:r>
      <w:r>
        <w:rPr>
          <w:color w:val="231F20"/>
          <w:spacing w:val="-1"/>
          <w:position w:val="1"/>
        </w:rPr>
        <w:t>表</w:t>
      </w:r>
      <w:r>
        <w:rPr>
          <w:color w:val="231F20"/>
          <w:spacing w:val="-34"/>
          <w:position w:val="1"/>
        </w:rPr>
        <w:t xml:space="preserve"> </w:t>
      </w:r>
      <w:r>
        <w:rPr>
          <w:rFonts w:ascii="Times New Roman" w:hAnsi="Times New Roman" w:eastAsia="Times New Roman" w:cs="Times New Roman"/>
          <w:color w:val="231F20"/>
          <w:spacing w:val="-1"/>
          <w:position w:val="1"/>
        </w:rPr>
        <w:t>1    </w:t>
      </w:r>
      <w:r>
        <w:rPr>
          <w:color w:val="231F20"/>
          <w:spacing w:val="-1"/>
          <w:position w:val="1"/>
        </w:rPr>
        <w:t>两组临床症状评分比较（</w:t>
      </w:r>
      <w:r>
        <w:rPr>
          <w:rFonts w:ascii="Times New Roman" w:hAnsi="Times New Roman" w:eastAsia="Times New Roman" w:cs="Times New Roman"/>
          <w:i/>
          <w:iCs/>
          <w:color w:val="231F20"/>
          <w:spacing w:val="-1"/>
          <w:position w:val="1"/>
        </w:rPr>
        <w:t>x</w:t>
      </w:r>
      <w:r>
        <w:rPr>
          <w:rFonts w:ascii="Times New Roman" w:hAnsi="Times New Roman" w:eastAsia="Times New Roman" w:cs="Times New Roman"/>
          <w:color w:val="231F20"/>
          <w:spacing w:val="-1"/>
          <w:position w:val="1"/>
        </w:rPr>
        <w:t>±</w:t>
      </w:r>
      <w:r>
        <w:rPr>
          <w:rFonts w:ascii="Times New Roman" w:hAnsi="Times New Roman" w:eastAsia="Times New Roman" w:cs="Times New Roman"/>
          <w:i/>
          <w:iCs/>
          <w:color w:val="231F20"/>
          <w:spacing w:val="-1"/>
          <w:position w:val="1"/>
        </w:rPr>
        <w:t>s</w:t>
      </w:r>
      <w:r>
        <w:rPr>
          <w:color w:val="231F20"/>
          <w:spacing w:val="-1"/>
          <w:position w:val="1"/>
        </w:rPr>
        <w:t>，分）</w:t>
      </w:r>
    </w:p>
    <w:p>
      <w:pPr>
        <w:spacing w:line="61" w:lineRule="exact"/>
        <w:rPr/>
      </w:pPr>
      <w:r/>
    </w:p>
    <w:tbl>
      <w:tblPr>
        <w:tblStyle w:val="TableNormal"/>
        <w:tblW w:w="4595" w:type="dxa"/>
        <w:tblInd w:w="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3"/>
        <w:gridCol w:w="616"/>
        <w:gridCol w:w="1102"/>
        <w:gridCol w:w="1140"/>
        <w:gridCol w:w="1144"/>
      </w:tblGrid>
      <w:tr>
        <w:trPr>
          <w:trHeight w:val="243" w:hRule="atLeast"/>
        </w:trPr>
        <w:tc>
          <w:tcPr>
            <w:tcW w:w="593" w:type="dxa"/>
            <w:vAlign w:val="top"/>
            <w:tcBorders>
              <w:bottom w:val="single" w:color="000000" w:sz="2" w:space="0"/>
              <w:top w:val="single" w:color="000000" w:sz="4" w:space="0"/>
            </w:tcBorders>
          </w:tcPr>
          <w:p>
            <w:pPr>
              <w:ind w:left="11"/>
              <w:spacing w:before="38" w:line="233" w:lineRule="auto"/>
              <w:rPr>
                <w:rFonts w:ascii="SimSun" w:hAnsi="SimSun" w:eastAsia="SimSun" w:cs="SimSun"/>
                <w:sz w:val="15"/>
                <w:szCs w:val="15"/>
              </w:rPr>
            </w:pPr>
            <w:r>
              <w:rPr>
                <w:rFonts w:ascii="SimSun" w:hAnsi="SimSun" w:eastAsia="SimSun" w:cs="SimSun"/>
                <w:sz w:val="15"/>
                <w:szCs w:val="15"/>
                <w:color w:val="231F20"/>
                <w:spacing w:val="5"/>
              </w:rPr>
              <w:t>组别</w:t>
            </w:r>
          </w:p>
        </w:tc>
        <w:tc>
          <w:tcPr>
            <w:tcW w:w="616" w:type="dxa"/>
            <w:vAlign w:val="top"/>
            <w:tcBorders>
              <w:bottom w:val="single" w:color="000000" w:sz="2" w:space="0"/>
              <w:top w:val="single" w:color="000000" w:sz="4" w:space="0"/>
            </w:tcBorders>
          </w:tcPr>
          <w:p>
            <w:pPr>
              <w:ind w:left="135"/>
              <w:spacing w:before="38" w:line="232" w:lineRule="auto"/>
              <w:rPr>
                <w:rFonts w:ascii="SimSun" w:hAnsi="SimSun" w:eastAsia="SimSun" w:cs="SimSun"/>
                <w:sz w:val="15"/>
                <w:szCs w:val="15"/>
              </w:rPr>
            </w:pPr>
            <w:r>
              <w:rPr>
                <w:rFonts w:ascii="SimSun" w:hAnsi="SimSun" w:eastAsia="SimSun" w:cs="SimSun"/>
                <w:sz w:val="15"/>
                <w:szCs w:val="15"/>
                <w:color w:val="231F20"/>
                <w:spacing w:val="6"/>
              </w:rPr>
              <w:t>例数</w:t>
            </w:r>
          </w:p>
        </w:tc>
        <w:tc>
          <w:tcPr>
            <w:tcW w:w="1102" w:type="dxa"/>
            <w:vAlign w:val="top"/>
            <w:tcBorders>
              <w:bottom w:val="single" w:color="000000" w:sz="2" w:space="0"/>
              <w:top w:val="single" w:color="000000" w:sz="4" w:space="0"/>
            </w:tcBorders>
          </w:tcPr>
          <w:p>
            <w:pPr>
              <w:ind w:left="220"/>
              <w:spacing w:before="38" w:line="239" w:lineRule="auto"/>
              <w:rPr>
                <w:rFonts w:ascii="SimSun" w:hAnsi="SimSun" w:eastAsia="SimSun" w:cs="SimSun"/>
                <w:sz w:val="15"/>
                <w:szCs w:val="15"/>
              </w:rPr>
            </w:pPr>
            <w:r>
              <w:rPr>
                <w:rFonts w:ascii="SimSun" w:hAnsi="SimSun" w:eastAsia="SimSun" w:cs="SimSun"/>
                <w:sz w:val="15"/>
                <w:szCs w:val="15"/>
                <w:color w:val="231F20"/>
                <w:spacing w:val="8"/>
              </w:rPr>
              <w:t>恶心呕吐</w:t>
            </w:r>
          </w:p>
        </w:tc>
        <w:tc>
          <w:tcPr>
            <w:tcW w:w="1140" w:type="dxa"/>
            <w:vAlign w:val="top"/>
            <w:tcBorders>
              <w:bottom w:val="single" w:color="000000" w:sz="2" w:space="0"/>
              <w:top w:val="single" w:color="000000" w:sz="4" w:space="0"/>
            </w:tcBorders>
          </w:tcPr>
          <w:p>
            <w:pPr>
              <w:ind w:left="258"/>
              <w:spacing w:before="38" w:line="233" w:lineRule="auto"/>
              <w:rPr>
                <w:rFonts w:ascii="SimSun" w:hAnsi="SimSun" w:eastAsia="SimSun" w:cs="SimSun"/>
                <w:sz w:val="15"/>
                <w:szCs w:val="15"/>
              </w:rPr>
            </w:pPr>
            <w:r>
              <w:rPr>
                <w:rFonts w:ascii="SimSun" w:hAnsi="SimSun" w:eastAsia="SimSun" w:cs="SimSun"/>
                <w:sz w:val="15"/>
                <w:szCs w:val="15"/>
                <w:color w:val="231F20"/>
                <w:spacing w:val="8"/>
              </w:rPr>
              <w:t>食欲不振</w:t>
            </w:r>
          </w:p>
        </w:tc>
        <w:tc>
          <w:tcPr>
            <w:tcW w:w="1144" w:type="dxa"/>
            <w:vAlign w:val="top"/>
            <w:tcBorders>
              <w:bottom w:val="single" w:color="000000" w:sz="2" w:space="0"/>
              <w:top w:val="single" w:color="000000" w:sz="4" w:space="0"/>
            </w:tcBorders>
          </w:tcPr>
          <w:p>
            <w:pPr>
              <w:ind w:left="260"/>
              <w:spacing w:before="38" w:line="232" w:lineRule="auto"/>
              <w:rPr>
                <w:rFonts w:ascii="SimSun" w:hAnsi="SimSun" w:eastAsia="SimSun" w:cs="SimSun"/>
                <w:sz w:val="15"/>
                <w:szCs w:val="15"/>
              </w:rPr>
            </w:pPr>
            <w:r>
              <w:rPr>
                <w:rFonts w:ascii="SimSun" w:hAnsi="SimSun" w:eastAsia="SimSun" w:cs="SimSun"/>
                <w:sz w:val="15"/>
                <w:szCs w:val="15"/>
                <w:color w:val="231F20"/>
                <w:spacing w:val="8"/>
              </w:rPr>
              <w:t>腹痛腹泻</w:t>
            </w:r>
          </w:p>
        </w:tc>
      </w:tr>
      <w:tr>
        <w:trPr>
          <w:trHeight w:val="240" w:hRule="atLeast"/>
        </w:trPr>
        <w:tc>
          <w:tcPr>
            <w:tcW w:w="593" w:type="dxa"/>
            <w:vAlign w:val="top"/>
            <w:tcBorders>
              <w:top w:val="single" w:color="000000" w:sz="2" w:space="0"/>
            </w:tcBorders>
          </w:tcPr>
          <w:p>
            <w:pPr>
              <w:ind w:left="13"/>
              <w:spacing w:before="39" w:line="233" w:lineRule="auto"/>
              <w:rPr>
                <w:rFonts w:ascii="SimSun" w:hAnsi="SimSun" w:eastAsia="SimSun" w:cs="SimSun"/>
                <w:sz w:val="15"/>
                <w:szCs w:val="15"/>
              </w:rPr>
            </w:pPr>
            <w:r>
              <w:rPr>
                <w:rFonts w:ascii="SimSun" w:hAnsi="SimSun" w:eastAsia="SimSun" w:cs="SimSun"/>
                <w:sz w:val="15"/>
                <w:szCs w:val="15"/>
                <w:color w:val="231F20"/>
                <w:spacing w:val="6"/>
              </w:rPr>
              <w:t>常规组</w:t>
            </w:r>
          </w:p>
        </w:tc>
        <w:tc>
          <w:tcPr>
            <w:tcW w:w="616" w:type="dxa"/>
            <w:vAlign w:val="top"/>
            <w:tcBorders>
              <w:top w:val="single" w:color="000000" w:sz="2" w:space="0"/>
            </w:tcBorders>
          </w:tcPr>
          <w:p>
            <w:pPr>
              <w:pStyle w:val="TableText"/>
              <w:ind w:left="187"/>
              <w:spacing w:before="34" w:line="177" w:lineRule="exact"/>
              <w:rPr/>
            </w:pPr>
            <w:r>
              <w:rPr>
                <w:color w:val="231F20"/>
                <w:spacing w:val="-1"/>
              </w:rPr>
              <w:t>100</w:t>
            </w:r>
          </w:p>
        </w:tc>
        <w:tc>
          <w:tcPr>
            <w:tcW w:w="1102" w:type="dxa"/>
            <w:vAlign w:val="top"/>
            <w:tcBorders>
              <w:top w:val="single" w:color="000000" w:sz="2" w:space="0"/>
            </w:tcBorders>
          </w:tcPr>
          <w:p>
            <w:pPr>
              <w:pStyle w:val="TableText"/>
              <w:ind w:left="188"/>
              <w:spacing w:before="34" w:line="177" w:lineRule="exact"/>
              <w:rPr/>
            </w:pPr>
            <w:r>
              <w:rPr>
                <w:color w:val="231F20"/>
                <w:spacing w:val="2"/>
              </w:rPr>
              <w:t>14.54±3.25</w:t>
            </w:r>
          </w:p>
        </w:tc>
        <w:tc>
          <w:tcPr>
            <w:tcW w:w="1140" w:type="dxa"/>
            <w:vAlign w:val="top"/>
            <w:tcBorders>
              <w:top w:val="single" w:color="000000" w:sz="2" w:space="0"/>
            </w:tcBorders>
          </w:tcPr>
          <w:p>
            <w:pPr>
              <w:pStyle w:val="TableText"/>
              <w:ind w:left="227"/>
              <w:spacing w:before="34" w:line="177" w:lineRule="exact"/>
              <w:rPr/>
            </w:pPr>
            <w:r>
              <w:rPr>
                <w:color w:val="231F20"/>
                <w:spacing w:val="2"/>
              </w:rPr>
              <w:t>12.42±1.83</w:t>
            </w:r>
          </w:p>
        </w:tc>
        <w:tc>
          <w:tcPr>
            <w:tcW w:w="1144" w:type="dxa"/>
            <w:vAlign w:val="top"/>
            <w:tcBorders>
              <w:top w:val="single" w:color="000000" w:sz="2" w:space="0"/>
            </w:tcBorders>
          </w:tcPr>
          <w:p>
            <w:pPr>
              <w:pStyle w:val="TableText"/>
              <w:ind w:left="228"/>
              <w:spacing w:before="34" w:line="177" w:lineRule="exact"/>
              <w:rPr/>
            </w:pPr>
            <w:r>
              <w:rPr>
                <w:color w:val="231F20"/>
                <w:spacing w:val="2"/>
              </w:rPr>
              <w:t>15.61±2.94</w:t>
            </w:r>
          </w:p>
        </w:tc>
      </w:tr>
      <w:tr>
        <w:trPr>
          <w:trHeight w:val="250" w:hRule="atLeast"/>
        </w:trPr>
        <w:tc>
          <w:tcPr>
            <w:tcW w:w="593" w:type="dxa"/>
            <w:vAlign w:val="top"/>
          </w:tcPr>
          <w:p>
            <w:pPr>
              <w:ind w:left="13"/>
              <w:spacing w:before="49" w:line="233" w:lineRule="auto"/>
              <w:rPr>
                <w:rFonts w:ascii="SimSun" w:hAnsi="SimSun" w:eastAsia="SimSun" w:cs="SimSun"/>
                <w:sz w:val="15"/>
                <w:szCs w:val="15"/>
              </w:rPr>
            </w:pPr>
            <w:r>
              <w:rPr>
                <w:rFonts w:ascii="SimSun" w:hAnsi="SimSun" w:eastAsia="SimSun" w:cs="SimSun"/>
                <w:sz w:val="15"/>
                <w:szCs w:val="15"/>
                <w:color w:val="231F20"/>
                <w:spacing w:val="6"/>
              </w:rPr>
              <w:t>实验组</w:t>
            </w:r>
          </w:p>
        </w:tc>
        <w:tc>
          <w:tcPr>
            <w:tcW w:w="616" w:type="dxa"/>
            <w:vAlign w:val="top"/>
            <w:tcBorders>
              <w:bottom w:val="single" w:color="000000" w:sz="2" w:space="0"/>
            </w:tcBorders>
          </w:tcPr>
          <w:p>
            <w:pPr>
              <w:pStyle w:val="TableText"/>
              <w:ind w:left="187"/>
              <w:spacing w:before="44" w:line="177" w:lineRule="exact"/>
              <w:rPr/>
            </w:pPr>
            <w:r>
              <w:rPr>
                <w:color w:val="231F20"/>
                <w:spacing w:val="-1"/>
              </w:rPr>
              <w:t>100</w:t>
            </w:r>
          </w:p>
        </w:tc>
        <w:tc>
          <w:tcPr>
            <w:tcW w:w="1102" w:type="dxa"/>
            <w:vAlign w:val="top"/>
            <w:tcBorders>
              <w:bottom w:val="single" w:color="000000" w:sz="2" w:space="0"/>
            </w:tcBorders>
          </w:tcPr>
          <w:p>
            <w:pPr>
              <w:pStyle w:val="TableText"/>
              <w:ind w:left="172"/>
              <w:spacing w:before="44" w:line="177" w:lineRule="exact"/>
              <w:rPr/>
            </w:pPr>
            <w:r>
              <w:rPr>
                <w:color w:val="231F20"/>
                <w:spacing w:val="4"/>
              </w:rPr>
              <w:t>22.93±2.47</w:t>
            </w:r>
          </w:p>
        </w:tc>
        <w:tc>
          <w:tcPr>
            <w:tcW w:w="1140" w:type="dxa"/>
            <w:vAlign w:val="top"/>
            <w:tcBorders>
              <w:bottom w:val="single" w:color="000000" w:sz="2" w:space="0"/>
            </w:tcBorders>
          </w:tcPr>
          <w:p>
            <w:pPr>
              <w:pStyle w:val="TableText"/>
              <w:ind w:left="212"/>
              <w:spacing w:before="44" w:line="177" w:lineRule="exact"/>
              <w:rPr/>
            </w:pPr>
            <w:r>
              <w:rPr>
                <w:color w:val="231F20"/>
                <w:spacing w:val="4"/>
              </w:rPr>
              <w:t>20.64±3.98</w:t>
            </w:r>
          </w:p>
        </w:tc>
        <w:tc>
          <w:tcPr>
            <w:tcW w:w="1144" w:type="dxa"/>
            <w:vAlign w:val="top"/>
            <w:tcBorders>
              <w:bottom w:val="single" w:color="000000" w:sz="2" w:space="0"/>
            </w:tcBorders>
          </w:tcPr>
          <w:p>
            <w:pPr>
              <w:pStyle w:val="TableText"/>
              <w:ind w:left="213"/>
              <w:spacing w:before="44" w:line="177" w:lineRule="exact"/>
              <w:rPr/>
            </w:pPr>
            <w:r>
              <w:rPr>
                <w:color w:val="231F20"/>
                <w:spacing w:val="4"/>
              </w:rPr>
              <w:t>25.62±2.78</w:t>
            </w:r>
          </w:p>
        </w:tc>
      </w:tr>
      <w:tr>
        <w:trPr>
          <w:trHeight w:val="240" w:hRule="atLeast"/>
        </w:trPr>
        <w:tc>
          <w:tcPr>
            <w:tcW w:w="593" w:type="dxa"/>
            <w:vAlign w:val="top"/>
          </w:tcPr>
          <w:p>
            <w:pPr>
              <w:pStyle w:val="TableText"/>
              <w:ind w:left="10"/>
              <w:spacing w:before="43" w:line="229" w:lineRule="auto"/>
              <w:rPr>
                <w:rFonts w:ascii="SimSun" w:hAnsi="SimSun" w:eastAsia="SimSun" w:cs="SimSun"/>
              </w:rPr>
            </w:pPr>
            <w:r>
              <w:rPr>
                <w:i/>
                <w:iCs/>
                <w:color w:val="231F20"/>
                <w:spacing w:val="1"/>
              </w:rPr>
              <w:t>t</w:t>
            </w:r>
            <w:r>
              <w:rPr>
                <w:i/>
                <w:iCs/>
                <w:color w:val="231F20"/>
                <w:spacing w:val="-15"/>
              </w:rPr>
              <w:t xml:space="preserve"> </w:t>
            </w:r>
            <w:r>
              <w:rPr>
                <w:rFonts w:ascii="SimSun" w:hAnsi="SimSun" w:eastAsia="SimSun" w:cs="SimSun"/>
                <w:color w:val="231F20"/>
                <w:spacing w:val="1"/>
              </w:rPr>
              <w:t>值</w:t>
            </w:r>
          </w:p>
        </w:tc>
        <w:tc>
          <w:tcPr>
            <w:tcW w:w="616" w:type="dxa"/>
            <w:vAlign w:val="top"/>
            <w:tcBorders>
              <w:top w:val="single" w:color="000000" w:sz="2" w:space="0"/>
            </w:tcBorders>
          </w:tcPr>
          <w:p>
            <w:pPr>
              <w:spacing w:line="230" w:lineRule="exact"/>
              <w:rPr>
                <w:rFonts w:ascii="Arial"/>
                <w:sz w:val="20"/>
              </w:rPr>
            </w:pPr>
            <w:r/>
          </w:p>
        </w:tc>
        <w:tc>
          <w:tcPr>
            <w:tcW w:w="1102" w:type="dxa"/>
            <w:vAlign w:val="top"/>
            <w:tcBorders>
              <w:top w:val="single" w:color="000000" w:sz="2" w:space="0"/>
            </w:tcBorders>
          </w:tcPr>
          <w:p>
            <w:pPr>
              <w:pStyle w:val="TableText"/>
              <w:ind w:left="256"/>
              <w:spacing w:before="38" w:line="177" w:lineRule="exact"/>
              <w:rPr/>
            </w:pPr>
            <w:r>
              <w:rPr>
                <w:color w:val="231F20"/>
                <w:spacing w:val="3"/>
              </w:rPr>
              <w:t>20.553 2</w:t>
            </w:r>
          </w:p>
        </w:tc>
        <w:tc>
          <w:tcPr>
            <w:tcW w:w="1140" w:type="dxa"/>
            <w:vAlign w:val="top"/>
            <w:tcBorders>
              <w:top w:val="single" w:color="000000" w:sz="2" w:space="0"/>
            </w:tcBorders>
          </w:tcPr>
          <w:p>
            <w:pPr>
              <w:pStyle w:val="TableText"/>
              <w:ind w:left="311"/>
              <w:spacing w:before="38" w:line="177" w:lineRule="exact"/>
              <w:rPr/>
            </w:pPr>
            <w:r>
              <w:rPr>
                <w:color w:val="231F20"/>
                <w:spacing w:val="1"/>
              </w:rPr>
              <w:t>18.764</w:t>
            </w:r>
            <w:r>
              <w:rPr>
                <w:color w:val="231F20"/>
                <w:spacing w:val="9"/>
              </w:rPr>
              <w:t xml:space="preserve"> </w:t>
            </w:r>
            <w:r>
              <w:rPr>
                <w:color w:val="231F20"/>
                <w:spacing w:val="1"/>
              </w:rPr>
              <w:t>7</w:t>
            </w:r>
          </w:p>
        </w:tc>
        <w:tc>
          <w:tcPr>
            <w:tcW w:w="1144" w:type="dxa"/>
            <w:vAlign w:val="top"/>
            <w:tcBorders>
              <w:top w:val="single" w:color="000000" w:sz="2" w:space="0"/>
            </w:tcBorders>
          </w:tcPr>
          <w:p>
            <w:pPr>
              <w:pStyle w:val="TableText"/>
              <w:ind w:left="297"/>
              <w:spacing w:before="38" w:line="177" w:lineRule="exact"/>
              <w:rPr/>
            </w:pPr>
            <w:r>
              <w:rPr>
                <w:color w:val="231F20"/>
                <w:spacing w:val="3"/>
              </w:rPr>
              <w:t>24.739</w:t>
            </w:r>
            <w:r>
              <w:rPr>
                <w:color w:val="231F20"/>
                <w:spacing w:val="10"/>
                <w:w w:val="101"/>
              </w:rPr>
              <w:t xml:space="preserve"> </w:t>
            </w:r>
            <w:r>
              <w:rPr>
                <w:color w:val="231F20"/>
                <w:spacing w:val="3"/>
              </w:rPr>
              <w:t>0</w:t>
            </w:r>
          </w:p>
        </w:tc>
      </w:tr>
      <w:tr>
        <w:trPr>
          <w:trHeight w:val="254" w:hRule="atLeast"/>
        </w:trPr>
        <w:tc>
          <w:tcPr>
            <w:tcW w:w="593" w:type="dxa"/>
            <w:vAlign w:val="top"/>
            <w:tcBorders>
              <w:bottom w:val="single" w:color="000000" w:sz="4" w:space="0"/>
            </w:tcBorders>
          </w:tcPr>
          <w:p>
            <w:pPr>
              <w:pStyle w:val="TableText"/>
              <w:spacing w:before="53" w:line="232" w:lineRule="auto"/>
              <w:rPr>
                <w:rFonts w:ascii="SimSun" w:hAnsi="SimSun" w:eastAsia="SimSun" w:cs="SimSun"/>
              </w:rPr>
            </w:pPr>
            <w:r>
              <w:rPr>
                <w:i/>
                <w:iCs/>
                <w:color w:val="231F20"/>
                <w:spacing w:val="19"/>
              </w:rPr>
              <w:t>P</w:t>
            </w:r>
            <w:r>
              <w:rPr>
                <w:rFonts w:ascii="SimSun" w:hAnsi="SimSun" w:eastAsia="SimSun" w:cs="SimSun"/>
                <w:color w:val="231F20"/>
                <w:spacing w:val="19"/>
              </w:rPr>
              <w:t>值</w:t>
            </w:r>
          </w:p>
        </w:tc>
        <w:tc>
          <w:tcPr>
            <w:tcW w:w="616" w:type="dxa"/>
            <w:vAlign w:val="top"/>
            <w:tcBorders>
              <w:bottom w:val="single" w:color="000000" w:sz="4" w:space="0"/>
            </w:tcBorders>
          </w:tcPr>
          <w:p>
            <w:pPr>
              <w:rPr>
                <w:rFonts w:ascii="Arial"/>
                <w:sz w:val="21"/>
              </w:rPr>
            </w:pPr>
            <w:r/>
          </w:p>
        </w:tc>
        <w:tc>
          <w:tcPr>
            <w:tcW w:w="1102" w:type="dxa"/>
            <w:vAlign w:val="top"/>
            <w:tcBorders>
              <w:bottom w:val="single" w:color="000000" w:sz="4" w:space="0"/>
            </w:tcBorders>
          </w:tcPr>
          <w:p>
            <w:pPr>
              <w:pStyle w:val="TableText"/>
              <w:ind w:left="339"/>
              <w:spacing w:before="48" w:line="177" w:lineRule="exact"/>
              <w:rPr/>
            </w:pPr>
            <w:r>
              <w:rPr>
                <w:color w:val="231F20"/>
                <w:spacing w:val="2"/>
              </w:rPr>
              <w:t>0.000</w:t>
            </w:r>
            <w:r>
              <w:rPr>
                <w:color w:val="231F20"/>
                <w:spacing w:val="11"/>
                <w:w w:val="102"/>
              </w:rPr>
              <w:t xml:space="preserve"> </w:t>
            </w:r>
            <w:r>
              <w:rPr>
                <w:color w:val="231F20"/>
                <w:spacing w:val="2"/>
              </w:rPr>
              <w:t>0</w:t>
            </w:r>
          </w:p>
        </w:tc>
        <w:tc>
          <w:tcPr>
            <w:tcW w:w="1140" w:type="dxa"/>
            <w:vAlign w:val="top"/>
            <w:tcBorders>
              <w:bottom w:val="single" w:color="000000" w:sz="4" w:space="0"/>
            </w:tcBorders>
          </w:tcPr>
          <w:p>
            <w:pPr>
              <w:pStyle w:val="TableText"/>
              <w:ind w:left="378"/>
              <w:spacing w:before="48" w:line="177" w:lineRule="exact"/>
              <w:rPr/>
            </w:pPr>
            <w:r>
              <w:rPr>
                <w:color w:val="231F20"/>
                <w:spacing w:val="2"/>
              </w:rPr>
              <w:t>0.000</w:t>
            </w:r>
            <w:r>
              <w:rPr>
                <w:color w:val="231F20"/>
                <w:spacing w:val="11"/>
                <w:w w:val="102"/>
              </w:rPr>
              <w:t xml:space="preserve"> </w:t>
            </w:r>
            <w:r>
              <w:rPr>
                <w:color w:val="231F20"/>
                <w:spacing w:val="2"/>
              </w:rPr>
              <w:t>0</w:t>
            </w:r>
          </w:p>
        </w:tc>
        <w:tc>
          <w:tcPr>
            <w:tcW w:w="1144" w:type="dxa"/>
            <w:vAlign w:val="top"/>
            <w:tcBorders>
              <w:bottom w:val="single" w:color="000000" w:sz="4" w:space="0"/>
            </w:tcBorders>
          </w:tcPr>
          <w:p>
            <w:pPr>
              <w:pStyle w:val="TableText"/>
              <w:ind w:left="379"/>
              <w:spacing w:before="48" w:line="177" w:lineRule="exact"/>
              <w:rPr/>
            </w:pPr>
            <w:r>
              <w:rPr>
                <w:color w:val="231F20"/>
                <w:spacing w:val="2"/>
              </w:rPr>
              <w:t>0.000</w:t>
            </w:r>
            <w:r>
              <w:rPr>
                <w:color w:val="231F20"/>
                <w:spacing w:val="11"/>
                <w:w w:val="102"/>
              </w:rPr>
              <w:t xml:space="preserve"> </w:t>
            </w:r>
            <w:r>
              <w:rPr>
                <w:color w:val="231F20"/>
                <w:spacing w:val="2"/>
              </w:rPr>
              <w:t>0</w:t>
            </w:r>
          </w:p>
        </w:tc>
      </w:tr>
    </w:tbl>
    <w:p>
      <w:pPr>
        <w:pStyle w:val="BodyText"/>
        <w:ind w:right="73" w:firstLine="82"/>
        <w:spacing w:before="198" w:line="295" w:lineRule="auto"/>
        <w:jc w:val="both"/>
        <w:rPr>
          <w:sz w:val="20"/>
          <w:szCs w:val="20"/>
        </w:rPr>
      </w:pPr>
      <w:r>
        <w:rPr>
          <w:rFonts w:ascii="Times New Roman" w:hAnsi="Times New Roman" w:eastAsia="Times New Roman" w:cs="Times New Roman"/>
          <w:sz w:val="20"/>
          <w:szCs w:val="20"/>
          <w:color w:val="231F20"/>
          <w:spacing w:val="13"/>
        </w:rPr>
        <w:t>2.2    </w:t>
      </w:r>
      <w:r>
        <w:rPr>
          <w:sz w:val="20"/>
          <w:szCs w:val="20"/>
          <w:color w:val="231F20"/>
          <w:spacing w:val="13"/>
        </w:rPr>
        <w:t>两组用药不良反应发生率比较  实验组不良</w:t>
      </w:r>
      <w:r>
        <w:rPr>
          <w:sz w:val="20"/>
          <w:szCs w:val="20"/>
          <w:color w:val="231F20"/>
          <w:spacing w:val="2"/>
        </w:rPr>
        <w:t xml:space="preserve"> </w:t>
      </w:r>
      <w:r>
        <w:rPr>
          <w:sz w:val="20"/>
          <w:szCs w:val="20"/>
          <w:color w:val="231F20"/>
          <w:spacing w:val="23"/>
        </w:rPr>
        <w:t>反应发生率显著低于常规组，差异有统计学意义</w:t>
      </w:r>
      <w:r>
        <w:rPr>
          <w:sz w:val="20"/>
          <w:szCs w:val="20"/>
          <w:color w:val="231F20"/>
          <w:spacing w:val="2"/>
        </w:rPr>
        <w:t xml:space="preserve"> </w:t>
      </w:r>
      <w:r>
        <w:rPr>
          <w:sz w:val="20"/>
          <w:szCs w:val="20"/>
          <w:color w:val="231F20"/>
          <w:spacing w:val="11"/>
        </w:rPr>
        <w:t>（</w:t>
      </w:r>
      <w:r>
        <w:rPr>
          <w:rFonts w:ascii="Times New Roman" w:hAnsi="Times New Roman" w:eastAsia="Times New Roman" w:cs="Times New Roman"/>
          <w:sz w:val="20"/>
          <w:szCs w:val="20"/>
          <w:i/>
          <w:iCs/>
          <w:color w:val="231F20"/>
          <w:spacing w:val="11"/>
        </w:rPr>
        <w:t>P</w:t>
      </w:r>
      <w:r>
        <w:rPr>
          <w:sz w:val="20"/>
          <w:szCs w:val="20"/>
          <w:color w:val="231F20"/>
          <w:spacing w:val="11"/>
        </w:rPr>
        <w:t>＜</w:t>
      </w:r>
      <w:r>
        <w:rPr>
          <w:rFonts w:ascii="Times New Roman" w:hAnsi="Times New Roman" w:eastAsia="Times New Roman" w:cs="Times New Roman"/>
          <w:sz w:val="20"/>
          <w:szCs w:val="20"/>
          <w:color w:val="231F20"/>
          <w:spacing w:val="11"/>
        </w:rPr>
        <w:t>0.05</w:t>
      </w:r>
      <w:r>
        <w:rPr>
          <w:sz w:val="20"/>
          <w:szCs w:val="20"/>
          <w:color w:val="231F20"/>
          <w:spacing w:val="-33"/>
          <w:w w:val="63"/>
        </w:rPr>
        <w:t>），</w:t>
      </w:r>
      <w:r>
        <w:rPr>
          <w:sz w:val="20"/>
          <w:szCs w:val="20"/>
          <w:color w:val="231F20"/>
          <w:spacing w:val="11"/>
        </w:rPr>
        <w:t>见表</w:t>
      </w:r>
      <w:r>
        <w:rPr>
          <w:rFonts w:ascii="Times New Roman" w:hAnsi="Times New Roman" w:eastAsia="Times New Roman" w:cs="Times New Roman"/>
          <w:sz w:val="20"/>
          <w:szCs w:val="20"/>
          <w:color w:val="231F20"/>
          <w:spacing w:val="11"/>
        </w:rPr>
        <w:t>2</w:t>
      </w:r>
      <w:r>
        <w:rPr>
          <w:sz w:val="20"/>
          <w:szCs w:val="20"/>
          <w:color w:val="231F20"/>
          <w:spacing w:val="11"/>
        </w:rPr>
        <w:t>。</w:t>
      </w:r>
    </w:p>
    <w:p>
      <w:pPr>
        <w:spacing w:line="251" w:lineRule="auto"/>
        <w:rPr>
          <w:rFonts w:ascii="Arial"/>
          <w:sz w:val="21"/>
        </w:rPr>
      </w:pPr>
      <w:r/>
    </w:p>
    <w:p>
      <w:pPr>
        <w:pStyle w:val="BodyText"/>
        <w:ind w:left="1138"/>
        <w:spacing w:before="49" w:line="205" w:lineRule="exact"/>
        <w:outlineLvl w:val="2"/>
        <w:rPr/>
      </w:pPr>
      <w:r>
        <w:rPr>
          <w:color w:val="231F20"/>
          <w:spacing w:val="8"/>
          <w:position w:val="1"/>
        </w:rPr>
        <w:t>表</w:t>
      </w:r>
      <w:r>
        <w:rPr>
          <w:rFonts w:ascii="Times New Roman" w:hAnsi="Times New Roman" w:eastAsia="Times New Roman" w:cs="Times New Roman"/>
          <w:color w:val="231F20"/>
          <w:spacing w:val="8"/>
          <w:position w:val="1"/>
        </w:rPr>
        <w:t>2    </w:t>
      </w:r>
      <w:r>
        <w:rPr>
          <w:color w:val="231F20"/>
          <w:spacing w:val="8"/>
          <w:position w:val="1"/>
        </w:rPr>
        <w:t>两组用药不良反应发生率比较</w:t>
      </w:r>
    </w:p>
    <w:p>
      <w:pPr>
        <w:spacing w:line="61" w:lineRule="exact"/>
        <w:rPr/>
      </w:pPr>
      <w:r/>
    </w:p>
    <w:tbl>
      <w:tblPr>
        <w:tblStyle w:val="TableNormal"/>
        <w:tblW w:w="4595" w:type="dxa"/>
        <w:tblInd w:w="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2"/>
        <w:gridCol w:w="619"/>
        <w:gridCol w:w="575"/>
        <w:gridCol w:w="857"/>
        <w:gridCol w:w="742"/>
        <w:gridCol w:w="1250"/>
      </w:tblGrid>
      <w:tr>
        <w:trPr>
          <w:trHeight w:val="242" w:hRule="atLeast"/>
        </w:trPr>
        <w:tc>
          <w:tcPr>
            <w:tcW w:w="552" w:type="dxa"/>
            <w:vAlign w:val="top"/>
            <w:tcBorders>
              <w:bottom w:val="single" w:color="000000" w:sz="2" w:space="0"/>
              <w:top w:val="single" w:color="000000" w:sz="4" w:space="0"/>
            </w:tcBorders>
          </w:tcPr>
          <w:p>
            <w:pPr>
              <w:ind w:left="11"/>
              <w:spacing w:before="38" w:line="233" w:lineRule="auto"/>
              <w:rPr>
                <w:rFonts w:ascii="SimSun" w:hAnsi="SimSun" w:eastAsia="SimSun" w:cs="SimSun"/>
                <w:sz w:val="15"/>
                <w:szCs w:val="15"/>
              </w:rPr>
            </w:pPr>
            <w:r>
              <w:rPr>
                <w:rFonts w:ascii="SimSun" w:hAnsi="SimSun" w:eastAsia="SimSun" w:cs="SimSun"/>
                <w:sz w:val="15"/>
                <w:szCs w:val="15"/>
                <w:color w:val="231F20"/>
                <w:spacing w:val="5"/>
              </w:rPr>
              <w:t>组别</w:t>
            </w:r>
          </w:p>
        </w:tc>
        <w:tc>
          <w:tcPr>
            <w:tcW w:w="619" w:type="dxa"/>
            <w:vAlign w:val="top"/>
            <w:tcBorders>
              <w:bottom w:val="single" w:color="000000" w:sz="2" w:space="0"/>
              <w:top w:val="single" w:color="000000" w:sz="4" w:space="0"/>
            </w:tcBorders>
          </w:tcPr>
          <w:p>
            <w:pPr>
              <w:ind w:left="172"/>
              <w:spacing w:before="38" w:line="232" w:lineRule="auto"/>
              <w:rPr>
                <w:rFonts w:ascii="SimSun" w:hAnsi="SimSun" w:eastAsia="SimSun" w:cs="SimSun"/>
                <w:sz w:val="15"/>
                <w:szCs w:val="15"/>
              </w:rPr>
            </w:pPr>
            <w:r>
              <w:rPr>
                <w:rFonts w:ascii="SimSun" w:hAnsi="SimSun" w:eastAsia="SimSun" w:cs="SimSun"/>
                <w:sz w:val="15"/>
                <w:szCs w:val="15"/>
                <w:color w:val="231F20"/>
                <w:spacing w:val="6"/>
              </w:rPr>
              <w:t>例数</w:t>
            </w:r>
          </w:p>
        </w:tc>
        <w:tc>
          <w:tcPr>
            <w:tcW w:w="575" w:type="dxa"/>
            <w:vAlign w:val="top"/>
            <w:tcBorders>
              <w:bottom w:val="single" w:color="000000" w:sz="2" w:space="0"/>
              <w:top w:val="single" w:color="000000" w:sz="4" w:space="0"/>
            </w:tcBorders>
          </w:tcPr>
          <w:p>
            <w:pPr>
              <w:ind w:left="138"/>
              <w:spacing w:before="38" w:line="233" w:lineRule="auto"/>
              <w:rPr>
                <w:rFonts w:ascii="SimSun" w:hAnsi="SimSun" w:eastAsia="SimSun" w:cs="SimSun"/>
                <w:sz w:val="15"/>
                <w:szCs w:val="15"/>
              </w:rPr>
            </w:pPr>
            <w:r>
              <w:rPr>
                <w:rFonts w:ascii="SimSun" w:hAnsi="SimSun" w:eastAsia="SimSun" w:cs="SimSun"/>
                <w:sz w:val="15"/>
                <w:szCs w:val="15"/>
                <w:color w:val="231F20"/>
                <w:spacing w:val="3"/>
              </w:rPr>
              <w:t>嗜睡</w:t>
            </w:r>
          </w:p>
        </w:tc>
        <w:tc>
          <w:tcPr>
            <w:tcW w:w="857" w:type="dxa"/>
            <w:vAlign w:val="top"/>
            <w:tcBorders>
              <w:bottom w:val="single" w:color="000000" w:sz="2" w:space="0"/>
              <w:top w:val="single" w:color="000000" w:sz="4" w:space="0"/>
            </w:tcBorders>
          </w:tcPr>
          <w:p>
            <w:pPr>
              <w:ind w:left="133"/>
              <w:spacing w:before="38" w:line="232" w:lineRule="auto"/>
              <w:rPr>
                <w:rFonts w:ascii="SimSun" w:hAnsi="SimSun" w:eastAsia="SimSun" w:cs="SimSun"/>
                <w:sz w:val="15"/>
                <w:szCs w:val="15"/>
              </w:rPr>
            </w:pPr>
            <w:r>
              <w:rPr>
                <w:rFonts w:ascii="SimSun" w:hAnsi="SimSun" w:eastAsia="SimSun" w:cs="SimSun"/>
                <w:sz w:val="15"/>
                <w:szCs w:val="15"/>
                <w:color w:val="231F20"/>
                <w:spacing w:val="8"/>
              </w:rPr>
              <w:t>肢体乏力</w:t>
            </w:r>
          </w:p>
        </w:tc>
        <w:tc>
          <w:tcPr>
            <w:tcW w:w="1992" w:type="dxa"/>
            <w:vAlign w:val="top"/>
            <w:gridSpan w:val="2"/>
            <w:tcBorders>
              <w:bottom w:val="single" w:color="000000" w:sz="2" w:space="0"/>
              <w:top w:val="single" w:color="000000" w:sz="4" w:space="0"/>
            </w:tcBorders>
          </w:tcPr>
          <w:p>
            <w:pPr>
              <w:pStyle w:val="TableText"/>
              <w:ind w:left="104"/>
              <w:spacing w:before="33" w:line="235" w:lineRule="auto"/>
              <w:rPr/>
            </w:pPr>
            <w:r>
              <w:rPr>
                <w:rFonts w:ascii="SimSun" w:hAnsi="SimSun" w:eastAsia="SimSun" w:cs="SimSun"/>
                <w:color w:val="231F20"/>
                <w:spacing w:val="-3"/>
              </w:rPr>
              <w:t>头痛头晕 总发生率</w:t>
            </w:r>
            <w:r>
              <w:rPr>
                <w:color w:val="231F20"/>
                <w:spacing w:val="-3"/>
              </w:rPr>
              <w:t>[</w:t>
            </w:r>
            <w:r>
              <w:rPr>
                <w:i/>
                <w:iCs/>
                <w:color w:val="231F20"/>
                <w:spacing w:val="-3"/>
              </w:rPr>
              <w:t>n</w:t>
            </w:r>
            <w:r>
              <w:rPr>
                <w:rFonts w:ascii="SimSun" w:hAnsi="SimSun" w:eastAsia="SimSun" w:cs="SimSun"/>
                <w:color w:val="231F20"/>
                <w:spacing w:val="-3"/>
              </w:rPr>
              <w:t>（</w:t>
            </w:r>
            <w:r>
              <w:rPr>
                <w:color w:val="231F20"/>
                <w:spacing w:val="-3"/>
              </w:rPr>
              <w:t>%</w:t>
            </w:r>
            <w:r>
              <w:rPr>
                <w:rFonts w:ascii="SimSun" w:hAnsi="SimSun" w:eastAsia="SimSun" w:cs="SimSun"/>
                <w:color w:val="231F20"/>
                <w:spacing w:val="-3"/>
              </w:rPr>
              <w:t>）</w:t>
            </w:r>
            <w:r>
              <w:rPr>
                <w:color w:val="231F20"/>
                <w:spacing w:val="-3"/>
              </w:rPr>
              <w:t>]</w:t>
            </w:r>
          </w:p>
        </w:tc>
      </w:tr>
      <w:tr>
        <w:trPr>
          <w:trHeight w:val="240" w:hRule="atLeast"/>
        </w:trPr>
        <w:tc>
          <w:tcPr>
            <w:tcW w:w="552" w:type="dxa"/>
            <w:vAlign w:val="top"/>
            <w:tcBorders>
              <w:top w:val="single" w:color="000000" w:sz="2" w:space="0"/>
            </w:tcBorders>
          </w:tcPr>
          <w:p>
            <w:pPr>
              <w:ind w:left="13"/>
              <w:spacing w:before="40" w:line="233" w:lineRule="auto"/>
              <w:rPr>
                <w:rFonts w:ascii="SimSun" w:hAnsi="SimSun" w:eastAsia="SimSun" w:cs="SimSun"/>
                <w:sz w:val="15"/>
                <w:szCs w:val="15"/>
              </w:rPr>
            </w:pPr>
            <w:r>
              <w:rPr>
                <w:rFonts w:ascii="SimSun" w:hAnsi="SimSun" w:eastAsia="SimSun" w:cs="SimSun"/>
                <w:sz w:val="15"/>
                <w:szCs w:val="15"/>
                <w:color w:val="231F20"/>
                <w:spacing w:val="6"/>
              </w:rPr>
              <w:t>常规组</w:t>
            </w:r>
          </w:p>
        </w:tc>
        <w:tc>
          <w:tcPr>
            <w:tcW w:w="619" w:type="dxa"/>
            <w:vAlign w:val="top"/>
            <w:tcBorders>
              <w:top w:val="single" w:color="000000" w:sz="2" w:space="0"/>
            </w:tcBorders>
          </w:tcPr>
          <w:p>
            <w:pPr>
              <w:pStyle w:val="TableText"/>
              <w:ind w:left="225"/>
              <w:spacing w:before="35" w:line="177" w:lineRule="exact"/>
              <w:rPr/>
            </w:pPr>
            <w:r>
              <w:rPr>
                <w:color w:val="231F20"/>
                <w:spacing w:val="-1"/>
              </w:rPr>
              <w:t>100</w:t>
            </w:r>
          </w:p>
        </w:tc>
        <w:tc>
          <w:tcPr>
            <w:tcW w:w="575" w:type="dxa"/>
            <w:vAlign w:val="top"/>
            <w:tcBorders>
              <w:top w:val="single" w:color="000000" w:sz="2" w:space="0"/>
            </w:tcBorders>
          </w:tcPr>
          <w:p>
            <w:pPr>
              <w:pStyle w:val="TableText"/>
              <w:ind w:left="224"/>
              <w:spacing w:before="35" w:line="177" w:lineRule="exact"/>
              <w:rPr/>
            </w:pPr>
            <w:r>
              <w:rPr>
                <w:color w:val="231F20"/>
                <w:spacing w:val="-3"/>
              </w:rPr>
              <w:t>12</w:t>
            </w:r>
          </w:p>
        </w:tc>
        <w:tc>
          <w:tcPr>
            <w:tcW w:w="857" w:type="dxa"/>
            <w:vAlign w:val="top"/>
            <w:tcBorders>
              <w:top w:val="single" w:color="000000" w:sz="2" w:space="0"/>
            </w:tcBorders>
          </w:tcPr>
          <w:p>
            <w:pPr>
              <w:pStyle w:val="TableText"/>
              <w:ind w:left="369"/>
              <w:spacing w:before="35" w:line="177" w:lineRule="exact"/>
              <w:rPr/>
            </w:pPr>
            <w:r>
              <w:rPr>
                <w:color w:val="231F20"/>
                <w:spacing w:val="3"/>
              </w:rPr>
              <w:t>23</w:t>
            </w:r>
          </w:p>
        </w:tc>
        <w:tc>
          <w:tcPr>
            <w:tcW w:w="742" w:type="dxa"/>
            <w:vAlign w:val="top"/>
            <w:tcBorders>
              <w:top w:val="single" w:color="000000" w:sz="2" w:space="0"/>
            </w:tcBorders>
          </w:tcPr>
          <w:p>
            <w:pPr>
              <w:pStyle w:val="TableText"/>
              <w:ind w:left="385"/>
              <w:spacing w:before="35" w:line="177" w:lineRule="exact"/>
              <w:rPr/>
            </w:pPr>
            <w:r>
              <w:rPr>
                <w:color w:val="231F20"/>
              </w:rPr>
              <w:t>8</w:t>
            </w:r>
          </w:p>
        </w:tc>
        <w:tc>
          <w:tcPr>
            <w:tcW w:w="1250" w:type="dxa"/>
            <w:vAlign w:val="top"/>
            <w:tcBorders>
              <w:top w:val="single" w:color="000000" w:sz="2" w:space="0"/>
            </w:tcBorders>
          </w:tcPr>
          <w:p>
            <w:pPr>
              <w:pStyle w:val="TableText"/>
              <w:ind w:left="296"/>
              <w:spacing w:before="35" w:line="239" w:lineRule="auto"/>
              <w:rPr>
                <w:rFonts w:ascii="SimSun" w:hAnsi="SimSun" w:eastAsia="SimSun" w:cs="SimSun"/>
              </w:rPr>
            </w:pPr>
            <w:r>
              <w:rPr>
                <w:color w:val="231F20"/>
                <w:spacing w:val="-5"/>
              </w:rPr>
              <w:t>43</w:t>
            </w:r>
            <w:r>
              <w:rPr>
                <w:rFonts w:ascii="SimSun" w:hAnsi="SimSun" w:eastAsia="SimSun" w:cs="SimSun"/>
                <w:color w:val="231F20"/>
                <w:spacing w:val="-5"/>
              </w:rPr>
              <w:t>（</w:t>
            </w:r>
            <w:r>
              <w:rPr>
                <w:color w:val="231F20"/>
                <w:spacing w:val="-5"/>
              </w:rPr>
              <w:t>43.00</w:t>
            </w:r>
            <w:r>
              <w:rPr>
                <w:rFonts w:ascii="SimSun" w:hAnsi="SimSun" w:eastAsia="SimSun" w:cs="SimSun"/>
                <w:color w:val="231F20"/>
                <w:spacing w:val="-5"/>
              </w:rPr>
              <w:t>）</w:t>
            </w:r>
          </w:p>
        </w:tc>
      </w:tr>
      <w:tr>
        <w:trPr>
          <w:trHeight w:val="250" w:hRule="atLeast"/>
        </w:trPr>
        <w:tc>
          <w:tcPr>
            <w:tcW w:w="552" w:type="dxa"/>
            <w:vAlign w:val="top"/>
          </w:tcPr>
          <w:p>
            <w:pPr>
              <w:ind w:left="13"/>
              <w:spacing w:before="50" w:line="233" w:lineRule="auto"/>
              <w:rPr>
                <w:rFonts w:ascii="SimSun" w:hAnsi="SimSun" w:eastAsia="SimSun" w:cs="SimSun"/>
                <w:sz w:val="15"/>
                <w:szCs w:val="15"/>
              </w:rPr>
            </w:pPr>
            <w:r>
              <w:rPr>
                <w:rFonts w:ascii="SimSun" w:hAnsi="SimSun" w:eastAsia="SimSun" w:cs="SimSun"/>
                <w:sz w:val="15"/>
                <w:szCs w:val="15"/>
                <w:color w:val="231F20"/>
                <w:spacing w:val="6"/>
              </w:rPr>
              <w:t>实验组</w:t>
            </w:r>
          </w:p>
        </w:tc>
        <w:tc>
          <w:tcPr>
            <w:tcW w:w="619" w:type="dxa"/>
            <w:vAlign w:val="top"/>
            <w:tcBorders>
              <w:bottom w:val="single" w:color="000000" w:sz="2" w:space="0"/>
            </w:tcBorders>
          </w:tcPr>
          <w:p>
            <w:pPr>
              <w:pStyle w:val="TableText"/>
              <w:ind w:left="225"/>
              <w:spacing w:before="45" w:line="177" w:lineRule="exact"/>
              <w:rPr/>
            </w:pPr>
            <w:r>
              <w:rPr>
                <w:color w:val="231F20"/>
                <w:spacing w:val="-1"/>
              </w:rPr>
              <w:t>100</w:t>
            </w:r>
          </w:p>
        </w:tc>
        <w:tc>
          <w:tcPr>
            <w:tcW w:w="575" w:type="dxa"/>
            <w:vAlign w:val="top"/>
            <w:tcBorders>
              <w:bottom w:val="single" w:color="000000" w:sz="2" w:space="0"/>
            </w:tcBorders>
          </w:tcPr>
          <w:p>
            <w:pPr>
              <w:pStyle w:val="TableText"/>
              <w:ind w:left="292"/>
              <w:spacing w:before="45" w:line="177" w:lineRule="exact"/>
              <w:rPr/>
            </w:pPr>
            <w:r>
              <w:rPr>
                <w:color w:val="231F20"/>
              </w:rPr>
              <w:t>3</w:t>
            </w:r>
          </w:p>
        </w:tc>
        <w:tc>
          <w:tcPr>
            <w:tcW w:w="857" w:type="dxa"/>
            <w:vAlign w:val="top"/>
            <w:tcBorders>
              <w:bottom w:val="single" w:color="000000" w:sz="2" w:space="0"/>
            </w:tcBorders>
          </w:tcPr>
          <w:p>
            <w:pPr>
              <w:pStyle w:val="TableText"/>
              <w:ind w:left="453"/>
              <w:spacing w:before="45" w:line="177" w:lineRule="exact"/>
              <w:rPr/>
            </w:pPr>
            <w:r>
              <w:rPr>
                <w:color w:val="231F20"/>
              </w:rPr>
              <w:t>6</w:t>
            </w:r>
          </w:p>
        </w:tc>
        <w:tc>
          <w:tcPr>
            <w:tcW w:w="742" w:type="dxa"/>
            <w:vAlign w:val="top"/>
            <w:tcBorders>
              <w:bottom w:val="single" w:color="000000" w:sz="2" w:space="0"/>
            </w:tcBorders>
          </w:tcPr>
          <w:p>
            <w:pPr>
              <w:pStyle w:val="TableText"/>
              <w:ind w:left="394"/>
              <w:spacing w:before="45" w:line="177" w:lineRule="exact"/>
              <w:rPr/>
            </w:pPr>
            <w:r>
              <w:rPr>
                <w:color w:val="231F20"/>
              </w:rPr>
              <w:t>1</w:t>
            </w:r>
          </w:p>
        </w:tc>
        <w:tc>
          <w:tcPr>
            <w:tcW w:w="1250" w:type="dxa"/>
            <w:vAlign w:val="top"/>
            <w:tcBorders>
              <w:bottom w:val="single" w:color="000000" w:sz="2" w:space="0"/>
            </w:tcBorders>
          </w:tcPr>
          <w:p>
            <w:pPr>
              <w:pStyle w:val="TableText"/>
              <w:ind w:left="312"/>
              <w:spacing w:before="45"/>
              <w:rPr>
                <w:rFonts w:ascii="SimSun" w:hAnsi="SimSun" w:eastAsia="SimSun" w:cs="SimSun"/>
              </w:rPr>
            </w:pPr>
            <w:r>
              <w:rPr>
                <w:color w:val="231F20"/>
                <w:spacing w:val="-7"/>
              </w:rPr>
              <w:t>10</w:t>
            </w:r>
            <w:r>
              <w:rPr>
                <w:rFonts w:ascii="SimSun" w:hAnsi="SimSun" w:eastAsia="SimSun" w:cs="SimSun"/>
                <w:color w:val="231F20"/>
                <w:spacing w:val="-7"/>
              </w:rPr>
              <w:t>（</w:t>
            </w:r>
            <w:r>
              <w:rPr>
                <w:color w:val="231F20"/>
                <w:spacing w:val="-7"/>
              </w:rPr>
              <w:t>10.00</w:t>
            </w:r>
            <w:r>
              <w:rPr>
                <w:rFonts w:ascii="SimSun" w:hAnsi="SimSun" w:eastAsia="SimSun" w:cs="SimSun"/>
                <w:color w:val="231F20"/>
                <w:spacing w:val="-7"/>
              </w:rPr>
              <w:t>）</w:t>
            </w:r>
          </w:p>
        </w:tc>
      </w:tr>
      <w:tr>
        <w:trPr>
          <w:trHeight w:val="250" w:hRule="atLeast"/>
        </w:trPr>
        <w:tc>
          <w:tcPr>
            <w:tcW w:w="552" w:type="dxa"/>
            <w:vAlign w:val="top"/>
          </w:tcPr>
          <w:p>
            <w:pPr>
              <w:pStyle w:val="TableText"/>
              <w:ind w:left="11"/>
              <w:spacing w:before="43" w:line="228" w:lineRule="auto"/>
              <w:rPr>
                <w:rFonts w:ascii="SimSun" w:hAnsi="SimSun" w:eastAsia="SimSun" w:cs="SimSun"/>
              </w:rPr>
            </w:pPr>
            <w:r>
              <w:rPr>
                <w:rFonts w:ascii="Arial" w:hAnsi="Arial" w:eastAsia="Arial" w:cs="Arial"/>
                <w:sz w:val="16"/>
                <w:szCs w:val="16"/>
                <w:i/>
                <w:iCs/>
                <w:color w:val="231F20"/>
                <w:spacing w:val="4"/>
                <w:position w:val="-1"/>
              </w:rPr>
              <w:t>χ</w:t>
            </w:r>
            <w:r>
              <w:rPr>
                <w:sz w:val="7"/>
                <w:szCs w:val="7"/>
                <w:color w:val="231F20"/>
                <w:spacing w:val="4"/>
                <w:position w:val="5"/>
              </w:rPr>
              <w:t>2</w:t>
            </w:r>
            <w:r>
              <w:rPr>
                <w:rFonts w:ascii="SimSun" w:hAnsi="SimSun" w:eastAsia="SimSun" w:cs="SimSun"/>
                <w:color w:val="231F20"/>
                <w:spacing w:val="4"/>
                <w:position w:val="-1"/>
              </w:rPr>
              <w:t>值</w:t>
            </w:r>
          </w:p>
        </w:tc>
        <w:tc>
          <w:tcPr>
            <w:tcW w:w="619" w:type="dxa"/>
            <w:vAlign w:val="top"/>
            <w:tcBorders>
              <w:top w:val="single" w:color="000000" w:sz="2" w:space="0"/>
            </w:tcBorders>
          </w:tcPr>
          <w:p>
            <w:pPr>
              <w:spacing w:line="240" w:lineRule="exact"/>
              <w:rPr>
                <w:rFonts w:ascii="Arial"/>
                <w:sz w:val="20"/>
              </w:rPr>
            </w:pPr>
            <w:r/>
          </w:p>
        </w:tc>
        <w:tc>
          <w:tcPr>
            <w:tcW w:w="575" w:type="dxa"/>
            <w:vAlign w:val="top"/>
            <w:tcBorders>
              <w:top w:val="single" w:color="000000" w:sz="2" w:space="0"/>
            </w:tcBorders>
          </w:tcPr>
          <w:p>
            <w:pPr>
              <w:spacing w:line="240" w:lineRule="exact"/>
              <w:rPr>
                <w:rFonts w:ascii="Arial"/>
                <w:sz w:val="20"/>
              </w:rPr>
            </w:pPr>
            <w:r/>
          </w:p>
        </w:tc>
        <w:tc>
          <w:tcPr>
            <w:tcW w:w="857" w:type="dxa"/>
            <w:vAlign w:val="top"/>
            <w:tcBorders>
              <w:top w:val="single" w:color="000000" w:sz="2" w:space="0"/>
            </w:tcBorders>
          </w:tcPr>
          <w:p>
            <w:pPr>
              <w:spacing w:line="240" w:lineRule="exact"/>
              <w:rPr>
                <w:rFonts w:ascii="Arial"/>
                <w:sz w:val="20"/>
              </w:rPr>
            </w:pPr>
            <w:r/>
          </w:p>
        </w:tc>
        <w:tc>
          <w:tcPr>
            <w:tcW w:w="742" w:type="dxa"/>
            <w:vAlign w:val="top"/>
            <w:tcBorders>
              <w:top w:val="single" w:color="000000" w:sz="2" w:space="0"/>
            </w:tcBorders>
          </w:tcPr>
          <w:p>
            <w:pPr>
              <w:spacing w:line="240" w:lineRule="exact"/>
              <w:rPr>
                <w:rFonts w:ascii="Arial"/>
                <w:sz w:val="20"/>
              </w:rPr>
            </w:pPr>
            <w:r/>
          </w:p>
        </w:tc>
        <w:tc>
          <w:tcPr>
            <w:tcW w:w="1250" w:type="dxa"/>
            <w:vAlign w:val="top"/>
            <w:tcBorders>
              <w:top w:val="single" w:color="000000" w:sz="2" w:space="0"/>
            </w:tcBorders>
          </w:tcPr>
          <w:p>
            <w:pPr>
              <w:pStyle w:val="TableText"/>
              <w:ind w:left="356"/>
              <w:spacing w:before="39" w:line="177" w:lineRule="exact"/>
              <w:rPr/>
            </w:pPr>
            <w:r>
              <w:rPr>
                <w:color w:val="231F20"/>
                <w:spacing w:val="3"/>
              </w:rPr>
              <w:t>27.955</w:t>
            </w:r>
            <w:r>
              <w:rPr>
                <w:color w:val="231F20"/>
                <w:spacing w:val="11"/>
              </w:rPr>
              <w:t xml:space="preserve"> </w:t>
            </w:r>
            <w:r>
              <w:rPr>
                <w:color w:val="231F20"/>
                <w:spacing w:val="3"/>
              </w:rPr>
              <w:t>3</w:t>
            </w:r>
          </w:p>
        </w:tc>
      </w:tr>
      <w:tr>
        <w:trPr>
          <w:trHeight w:val="245" w:hRule="atLeast"/>
        </w:trPr>
        <w:tc>
          <w:tcPr>
            <w:tcW w:w="552" w:type="dxa"/>
            <w:vAlign w:val="top"/>
            <w:tcBorders>
              <w:bottom w:val="single" w:color="000000" w:sz="4" w:space="0"/>
            </w:tcBorders>
          </w:tcPr>
          <w:p>
            <w:pPr>
              <w:pStyle w:val="TableText"/>
              <w:spacing w:before="44" w:line="232" w:lineRule="auto"/>
              <w:rPr>
                <w:rFonts w:ascii="SimSun" w:hAnsi="SimSun" w:eastAsia="SimSun" w:cs="SimSun"/>
              </w:rPr>
            </w:pPr>
            <w:r>
              <w:rPr>
                <w:i/>
                <w:iCs/>
                <w:color w:val="231F20"/>
                <w:spacing w:val="19"/>
              </w:rPr>
              <w:t>P</w:t>
            </w:r>
            <w:r>
              <w:rPr>
                <w:rFonts w:ascii="SimSun" w:hAnsi="SimSun" w:eastAsia="SimSun" w:cs="SimSun"/>
                <w:color w:val="231F20"/>
                <w:spacing w:val="19"/>
              </w:rPr>
              <w:t>值</w:t>
            </w:r>
          </w:p>
        </w:tc>
        <w:tc>
          <w:tcPr>
            <w:tcW w:w="619" w:type="dxa"/>
            <w:vAlign w:val="top"/>
            <w:tcBorders>
              <w:bottom w:val="single" w:color="000000" w:sz="4" w:space="0"/>
            </w:tcBorders>
          </w:tcPr>
          <w:p>
            <w:pPr>
              <w:spacing w:line="235" w:lineRule="exact"/>
              <w:rPr>
                <w:rFonts w:ascii="Arial"/>
                <w:sz w:val="20"/>
              </w:rPr>
            </w:pPr>
            <w:r/>
          </w:p>
        </w:tc>
        <w:tc>
          <w:tcPr>
            <w:tcW w:w="575" w:type="dxa"/>
            <w:vAlign w:val="top"/>
            <w:tcBorders>
              <w:bottom w:val="single" w:color="000000" w:sz="4" w:space="0"/>
            </w:tcBorders>
          </w:tcPr>
          <w:p>
            <w:pPr>
              <w:spacing w:line="235" w:lineRule="exact"/>
              <w:rPr>
                <w:rFonts w:ascii="Arial"/>
                <w:sz w:val="20"/>
              </w:rPr>
            </w:pPr>
            <w:r/>
          </w:p>
        </w:tc>
        <w:tc>
          <w:tcPr>
            <w:tcW w:w="857" w:type="dxa"/>
            <w:vAlign w:val="top"/>
            <w:tcBorders>
              <w:bottom w:val="single" w:color="000000" w:sz="4" w:space="0"/>
            </w:tcBorders>
          </w:tcPr>
          <w:p>
            <w:pPr>
              <w:spacing w:line="235" w:lineRule="exact"/>
              <w:rPr>
                <w:rFonts w:ascii="Arial"/>
                <w:sz w:val="20"/>
              </w:rPr>
            </w:pPr>
            <w:r/>
          </w:p>
        </w:tc>
        <w:tc>
          <w:tcPr>
            <w:tcW w:w="742" w:type="dxa"/>
            <w:vAlign w:val="top"/>
            <w:tcBorders>
              <w:bottom w:val="single" w:color="000000" w:sz="4" w:space="0"/>
            </w:tcBorders>
          </w:tcPr>
          <w:p>
            <w:pPr>
              <w:spacing w:line="235" w:lineRule="exact"/>
              <w:rPr>
                <w:rFonts w:ascii="Arial"/>
                <w:sz w:val="20"/>
              </w:rPr>
            </w:pPr>
            <w:r/>
          </w:p>
        </w:tc>
        <w:tc>
          <w:tcPr>
            <w:tcW w:w="1250" w:type="dxa"/>
            <w:vAlign w:val="top"/>
            <w:tcBorders>
              <w:bottom w:val="single" w:color="000000" w:sz="4" w:space="0"/>
            </w:tcBorders>
          </w:tcPr>
          <w:p>
            <w:pPr>
              <w:pStyle w:val="TableText"/>
              <w:ind w:left="439"/>
              <w:spacing w:before="39" w:line="177" w:lineRule="exact"/>
              <w:rPr/>
            </w:pPr>
            <w:r>
              <w:rPr>
                <w:color w:val="231F20"/>
                <w:spacing w:val="2"/>
              </w:rPr>
              <w:t>0.000</w:t>
            </w:r>
            <w:r>
              <w:rPr>
                <w:color w:val="231F20"/>
                <w:spacing w:val="11"/>
                <w:w w:val="102"/>
              </w:rPr>
              <w:t xml:space="preserve"> </w:t>
            </w:r>
            <w:r>
              <w:rPr>
                <w:color w:val="231F20"/>
                <w:spacing w:val="2"/>
              </w:rPr>
              <w:t>0</w:t>
            </w:r>
          </w:p>
        </w:tc>
      </w:tr>
    </w:tbl>
    <w:p>
      <w:pPr>
        <w:spacing w:line="51" w:lineRule="exact"/>
        <w:rPr>
          <w:rFonts w:ascii="Arial"/>
          <w:sz w:val="4"/>
        </w:rPr>
      </w:pPr>
      <w:r/>
    </w:p>
    <w:p>
      <w:pPr>
        <w:spacing w:line="51" w:lineRule="exact"/>
        <w:sectPr>
          <w:type w:val="continuous"/>
          <w:pgSz w:w="11906" w:h="16838"/>
          <w:pgMar w:top="1341" w:right="1060" w:bottom="826" w:left="407" w:header="1028" w:footer="560" w:gutter="0"/>
          <w:cols w:equalWidth="0" w:num="2">
            <w:col w:w="5577" w:space="100"/>
            <w:col w:w="4761" w:space="0"/>
          </w:cols>
        </w:sectPr>
        <w:rPr>
          <w:rFonts w:ascii="Arial" w:hAnsi="Arial" w:eastAsia="Arial" w:cs="Arial"/>
          <w:sz w:val="4"/>
          <w:szCs w:val="4"/>
        </w:rPr>
      </w:pPr>
    </w:p>
    <w:p>
      <w:pPr>
        <w:spacing w:line="190" w:lineRule="exact"/>
        <w:rPr/>
      </w:pPr>
      <w:r/>
    </w:p>
    <w:p>
      <w:pPr>
        <w:spacing w:line="190" w:lineRule="exact"/>
        <w:sectPr>
          <w:headerReference w:type="default" r:id="rId5"/>
          <w:footerReference w:type="default" r:id="rId6"/>
          <w:pgSz w:w="11906" w:h="16838"/>
          <w:pgMar w:top="1341" w:right="1068" w:bottom="826" w:left="407" w:header="1028" w:footer="560" w:gutter="0"/>
          <w:cols w:equalWidth="0" w:num="1">
            <w:col w:w="10429" w:space="0"/>
          </w:cols>
        </w:sectPr>
        <w:rPr/>
      </w:pPr>
    </w:p>
    <w:p>
      <w:pPr>
        <w:pStyle w:val="BodyText"/>
        <w:ind w:left="739" w:right="327" w:hanging="9"/>
        <w:spacing w:before="47" w:line="290" w:lineRule="auto"/>
        <w:rPr>
          <w:sz w:val="20"/>
          <w:szCs w:val="20"/>
        </w:rPr>
      </w:pPr>
      <w:r>
        <w:rPr>
          <w:rFonts w:ascii="Times New Roman" w:hAnsi="Times New Roman" w:eastAsia="Times New Roman" w:cs="Times New Roman"/>
          <w:sz w:val="20"/>
          <w:szCs w:val="20"/>
          <w:color w:val="231F20"/>
          <w:spacing w:val="5"/>
        </w:rPr>
        <w:t>2.3    </w:t>
      </w:r>
      <w:r>
        <w:rPr>
          <w:sz w:val="20"/>
          <w:szCs w:val="20"/>
          <w:color w:val="231F20"/>
          <w:spacing w:val="5"/>
        </w:rPr>
        <w:t>两组临床疗效比较  实验组治疗总有效率显著</w:t>
      </w:r>
      <w:r>
        <w:rPr>
          <w:sz w:val="20"/>
          <w:szCs w:val="20"/>
          <w:color w:val="231F20"/>
          <w:spacing w:val="13"/>
        </w:rPr>
        <w:t xml:space="preserve"> </w:t>
      </w:r>
      <w:r>
        <w:rPr>
          <w:sz w:val="20"/>
          <w:szCs w:val="20"/>
          <w:color w:val="231F20"/>
          <w:spacing w:val="2"/>
        </w:rPr>
        <w:t>高于常规组，差异有统计学意义（</w:t>
      </w:r>
      <w:r>
        <w:rPr>
          <w:rFonts w:ascii="Times New Roman" w:hAnsi="Times New Roman" w:eastAsia="Times New Roman" w:cs="Times New Roman"/>
          <w:sz w:val="20"/>
          <w:szCs w:val="20"/>
          <w:i/>
          <w:iCs/>
          <w:color w:val="231F20"/>
          <w:spacing w:val="2"/>
        </w:rPr>
        <w:t>P</w:t>
      </w:r>
      <w:r>
        <w:rPr>
          <w:sz w:val="20"/>
          <w:szCs w:val="20"/>
          <w:color w:val="231F20"/>
          <w:spacing w:val="2"/>
        </w:rPr>
        <w:t>＜</w:t>
      </w:r>
      <w:r>
        <w:rPr>
          <w:rFonts w:ascii="Times New Roman" w:hAnsi="Times New Roman" w:eastAsia="Times New Roman" w:cs="Times New Roman"/>
          <w:sz w:val="20"/>
          <w:szCs w:val="20"/>
          <w:color w:val="231F20"/>
          <w:spacing w:val="2"/>
        </w:rPr>
        <w:t>0.</w:t>
      </w:r>
      <w:r>
        <w:rPr>
          <w:rFonts w:ascii="Times New Roman" w:hAnsi="Times New Roman" w:eastAsia="Times New Roman" w:cs="Times New Roman"/>
          <w:sz w:val="20"/>
          <w:szCs w:val="20"/>
          <w:color w:val="231F20"/>
          <w:spacing w:val="1"/>
        </w:rPr>
        <w:t>05</w:t>
      </w:r>
      <w:r>
        <w:rPr>
          <w:sz w:val="20"/>
          <w:szCs w:val="20"/>
          <w:color w:val="231F20"/>
          <w:spacing w:val="-31"/>
          <w:w w:val="59"/>
        </w:rPr>
        <w:t>），</w:t>
      </w:r>
      <w:r>
        <w:rPr>
          <w:sz w:val="20"/>
          <w:szCs w:val="20"/>
          <w:color w:val="231F20"/>
          <w:spacing w:val="1"/>
        </w:rPr>
        <w:t>见表</w:t>
      </w:r>
      <w:r>
        <w:rPr>
          <w:rFonts w:ascii="Times New Roman" w:hAnsi="Times New Roman" w:eastAsia="Times New Roman" w:cs="Times New Roman"/>
          <w:sz w:val="20"/>
          <w:szCs w:val="20"/>
          <w:color w:val="231F20"/>
          <w:spacing w:val="1"/>
        </w:rPr>
        <w:t>3</w:t>
      </w:r>
      <w:r>
        <w:rPr>
          <w:sz w:val="20"/>
          <w:szCs w:val="20"/>
          <w:color w:val="231F20"/>
          <w:spacing w:val="1"/>
        </w:rPr>
        <w:t>。</w:t>
      </w:r>
    </w:p>
    <w:p>
      <w:pPr>
        <w:spacing w:line="371" w:lineRule="auto"/>
        <w:rPr>
          <w:rFonts w:ascii="Arial"/>
          <w:sz w:val="21"/>
        </w:rPr>
      </w:pPr>
      <w:r/>
    </w:p>
    <w:p>
      <w:pPr>
        <w:pStyle w:val="BodyText"/>
        <w:ind w:left="2185"/>
        <w:spacing w:before="49" w:line="206" w:lineRule="exact"/>
        <w:outlineLvl w:val="2"/>
        <w:rPr/>
      </w:pPr>
      <w:r>
        <w:rPr>
          <w:color w:val="231F20"/>
          <w:spacing w:val="8"/>
          <w:position w:val="1"/>
        </w:rPr>
        <w:t>表</w:t>
      </w:r>
      <w:r>
        <w:rPr>
          <w:rFonts w:ascii="Times New Roman" w:hAnsi="Times New Roman" w:eastAsia="Times New Roman" w:cs="Times New Roman"/>
          <w:color w:val="231F20"/>
          <w:spacing w:val="8"/>
          <w:position w:val="1"/>
        </w:rPr>
        <w:t>3    </w:t>
      </w:r>
      <w:r>
        <w:rPr>
          <w:color w:val="231F20"/>
          <w:spacing w:val="8"/>
          <w:position w:val="1"/>
        </w:rPr>
        <w:t>两组临床疗效比较</w:t>
      </w:r>
    </w:p>
    <w:p>
      <w:pPr>
        <w:spacing w:line="60" w:lineRule="exact"/>
        <w:rPr/>
      </w:pPr>
      <w:r/>
    </w:p>
    <w:tbl>
      <w:tblPr>
        <w:tblStyle w:val="TableNormal"/>
        <w:tblW w:w="4595" w:type="dxa"/>
        <w:tblInd w:w="7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40"/>
        <w:gridCol w:w="560"/>
        <w:gridCol w:w="632"/>
        <w:gridCol w:w="642"/>
        <w:gridCol w:w="643"/>
        <w:gridCol w:w="1478"/>
      </w:tblGrid>
      <w:tr>
        <w:trPr>
          <w:trHeight w:val="242" w:hRule="atLeast"/>
        </w:trPr>
        <w:tc>
          <w:tcPr>
            <w:tcW w:w="640" w:type="dxa"/>
            <w:vAlign w:val="top"/>
            <w:tcBorders>
              <w:bottom w:val="single" w:color="000000" w:sz="2" w:space="0"/>
              <w:top w:val="single" w:color="000000" w:sz="4" w:space="0"/>
            </w:tcBorders>
          </w:tcPr>
          <w:p>
            <w:pPr>
              <w:ind w:left="11"/>
              <w:spacing w:before="38" w:line="233" w:lineRule="auto"/>
              <w:rPr>
                <w:rFonts w:ascii="SimSun" w:hAnsi="SimSun" w:eastAsia="SimSun" w:cs="SimSun"/>
                <w:sz w:val="15"/>
                <w:szCs w:val="15"/>
              </w:rPr>
            </w:pPr>
            <w:r>
              <w:rPr>
                <w:rFonts w:ascii="SimSun" w:hAnsi="SimSun" w:eastAsia="SimSun" w:cs="SimSun"/>
                <w:sz w:val="15"/>
                <w:szCs w:val="15"/>
                <w:color w:val="231F20"/>
                <w:spacing w:val="5"/>
              </w:rPr>
              <w:t>组别</w:t>
            </w:r>
          </w:p>
        </w:tc>
        <w:tc>
          <w:tcPr>
            <w:tcW w:w="560" w:type="dxa"/>
            <w:vAlign w:val="top"/>
            <w:tcBorders>
              <w:bottom w:val="single" w:color="000000" w:sz="2" w:space="0"/>
              <w:top w:val="single" w:color="000000" w:sz="4" w:space="0"/>
            </w:tcBorders>
          </w:tcPr>
          <w:p>
            <w:pPr>
              <w:ind w:left="101"/>
              <w:spacing w:before="38" w:line="232" w:lineRule="auto"/>
              <w:rPr>
                <w:rFonts w:ascii="SimSun" w:hAnsi="SimSun" w:eastAsia="SimSun" w:cs="SimSun"/>
                <w:sz w:val="15"/>
                <w:szCs w:val="15"/>
              </w:rPr>
            </w:pPr>
            <w:r>
              <w:rPr>
                <w:rFonts w:ascii="SimSun" w:hAnsi="SimSun" w:eastAsia="SimSun" w:cs="SimSun"/>
                <w:sz w:val="15"/>
                <w:szCs w:val="15"/>
                <w:color w:val="231F20"/>
                <w:spacing w:val="6"/>
              </w:rPr>
              <w:t>例数</w:t>
            </w:r>
          </w:p>
        </w:tc>
        <w:tc>
          <w:tcPr>
            <w:tcW w:w="632" w:type="dxa"/>
            <w:vAlign w:val="top"/>
            <w:tcBorders>
              <w:bottom w:val="single" w:color="000000" w:sz="2" w:space="0"/>
              <w:top w:val="single" w:color="000000" w:sz="4" w:space="0"/>
            </w:tcBorders>
          </w:tcPr>
          <w:p>
            <w:pPr>
              <w:ind w:left="152"/>
              <w:spacing w:before="38" w:line="233" w:lineRule="auto"/>
              <w:rPr>
                <w:rFonts w:ascii="SimSun" w:hAnsi="SimSun" w:eastAsia="SimSun" w:cs="SimSun"/>
                <w:sz w:val="15"/>
                <w:szCs w:val="15"/>
              </w:rPr>
            </w:pPr>
            <w:r>
              <w:rPr>
                <w:rFonts w:ascii="SimSun" w:hAnsi="SimSun" w:eastAsia="SimSun" w:cs="SimSun"/>
                <w:sz w:val="15"/>
                <w:szCs w:val="15"/>
                <w:color w:val="231F20"/>
                <w:spacing w:val="4"/>
              </w:rPr>
              <w:t>显效</w:t>
            </w:r>
          </w:p>
        </w:tc>
        <w:tc>
          <w:tcPr>
            <w:tcW w:w="642" w:type="dxa"/>
            <w:vAlign w:val="top"/>
            <w:tcBorders>
              <w:bottom w:val="single" w:color="000000" w:sz="2" w:space="0"/>
              <w:top w:val="single" w:color="000000" w:sz="4" w:space="0"/>
            </w:tcBorders>
          </w:tcPr>
          <w:p>
            <w:pPr>
              <w:ind w:left="176"/>
              <w:spacing w:before="38" w:line="233" w:lineRule="auto"/>
              <w:rPr>
                <w:rFonts w:ascii="SimSun" w:hAnsi="SimSun" w:eastAsia="SimSun" w:cs="SimSun"/>
                <w:sz w:val="15"/>
                <w:szCs w:val="15"/>
              </w:rPr>
            </w:pPr>
            <w:r>
              <w:rPr>
                <w:rFonts w:ascii="SimSun" w:hAnsi="SimSun" w:eastAsia="SimSun" w:cs="SimSun"/>
                <w:sz w:val="15"/>
                <w:szCs w:val="15"/>
                <w:color w:val="231F20"/>
                <w:spacing w:val="6"/>
              </w:rPr>
              <w:t>有效</w:t>
            </w:r>
          </w:p>
        </w:tc>
        <w:tc>
          <w:tcPr>
            <w:tcW w:w="643" w:type="dxa"/>
            <w:vAlign w:val="top"/>
            <w:tcBorders>
              <w:bottom w:val="single" w:color="000000" w:sz="2" w:space="0"/>
              <w:top w:val="single" w:color="000000" w:sz="4" w:space="0"/>
            </w:tcBorders>
          </w:tcPr>
          <w:p>
            <w:pPr>
              <w:ind w:left="158"/>
              <w:spacing w:before="38" w:line="233" w:lineRule="auto"/>
              <w:rPr>
                <w:rFonts w:ascii="SimSun" w:hAnsi="SimSun" w:eastAsia="SimSun" w:cs="SimSun"/>
                <w:sz w:val="15"/>
                <w:szCs w:val="15"/>
              </w:rPr>
            </w:pPr>
            <w:r>
              <w:rPr>
                <w:rFonts w:ascii="SimSun" w:hAnsi="SimSun" w:eastAsia="SimSun" w:cs="SimSun"/>
                <w:sz w:val="15"/>
                <w:szCs w:val="15"/>
                <w:color w:val="231F20"/>
                <w:spacing w:val="6"/>
              </w:rPr>
              <w:t>无效</w:t>
            </w:r>
          </w:p>
        </w:tc>
        <w:tc>
          <w:tcPr>
            <w:tcW w:w="1478" w:type="dxa"/>
            <w:vAlign w:val="top"/>
            <w:tcBorders>
              <w:bottom w:val="single" w:color="000000" w:sz="2" w:space="0"/>
              <w:top w:val="single" w:color="000000" w:sz="4" w:space="0"/>
            </w:tcBorders>
          </w:tcPr>
          <w:p>
            <w:pPr>
              <w:pStyle w:val="TableText"/>
              <w:ind w:left="179"/>
              <w:spacing w:before="33" w:line="235" w:lineRule="auto"/>
              <w:rPr/>
            </w:pPr>
            <w:r>
              <w:rPr>
                <w:rFonts w:ascii="SimSun" w:hAnsi="SimSun" w:eastAsia="SimSun" w:cs="SimSun"/>
                <w:color w:val="231F20"/>
                <w:spacing w:val="-9"/>
              </w:rPr>
              <w:t>总有效率</w:t>
            </w:r>
            <w:r>
              <w:rPr>
                <w:color w:val="231F20"/>
                <w:spacing w:val="-9"/>
              </w:rPr>
              <w:t>[</w:t>
            </w:r>
            <w:r>
              <w:rPr>
                <w:i/>
                <w:iCs/>
                <w:color w:val="231F20"/>
                <w:spacing w:val="-9"/>
              </w:rPr>
              <w:t>n</w:t>
            </w:r>
            <w:r>
              <w:rPr>
                <w:rFonts w:ascii="SimSun" w:hAnsi="SimSun" w:eastAsia="SimSun" w:cs="SimSun"/>
                <w:color w:val="231F20"/>
                <w:spacing w:val="-9"/>
              </w:rPr>
              <w:t>（</w:t>
            </w:r>
            <w:r>
              <w:rPr>
                <w:color w:val="231F20"/>
                <w:spacing w:val="-9"/>
              </w:rPr>
              <w:t>%</w:t>
            </w:r>
            <w:r>
              <w:rPr>
                <w:rFonts w:ascii="SimSun" w:hAnsi="SimSun" w:eastAsia="SimSun" w:cs="SimSun"/>
                <w:color w:val="231F20"/>
                <w:spacing w:val="-9"/>
              </w:rPr>
              <w:t>）</w:t>
            </w:r>
            <w:r>
              <w:rPr>
                <w:color w:val="231F20"/>
                <w:spacing w:val="-9"/>
              </w:rPr>
              <w:t>]</w:t>
            </w:r>
          </w:p>
        </w:tc>
      </w:tr>
      <w:tr>
        <w:trPr>
          <w:trHeight w:val="240" w:hRule="atLeast"/>
        </w:trPr>
        <w:tc>
          <w:tcPr>
            <w:tcW w:w="640" w:type="dxa"/>
            <w:vAlign w:val="top"/>
            <w:tcBorders>
              <w:top w:val="single" w:color="000000" w:sz="2" w:space="0"/>
            </w:tcBorders>
          </w:tcPr>
          <w:p>
            <w:pPr>
              <w:ind w:left="13"/>
              <w:spacing w:before="40" w:line="233" w:lineRule="auto"/>
              <w:rPr>
                <w:rFonts w:ascii="SimSun" w:hAnsi="SimSun" w:eastAsia="SimSun" w:cs="SimSun"/>
                <w:sz w:val="15"/>
                <w:szCs w:val="15"/>
              </w:rPr>
            </w:pPr>
            <w:r>
              <w:rPr>
                <w:rFonts w:ascii="SimSun" w:hAnsi="SimSun" w:eastAsia="SimSun" w:cs="SimSun"/>
                <w:sz w:val="15"/>
                <w:szCs w:val="15"/>
                <w:color w:val="231F20"/>
                <w:spacing w:val="6"/>
              </w:rPr>
              <w:t>常规组</w:t>
            </w:r>
          </w:p>
        </w:tc>
        <w:tc>
          <w:tcPr>
            <w:tcW w:w="560" w:type="dxa"/>
            <w:vAlign w:val="top"/>
            <w:tcBorders>
              <w:top w:val="single" w:color="000000" w:sz="2" w:space="0"/>
            </w:tcBorders>
          </w:tcPr>
          <w:p>
            <w:pPr>
              <w:pStyle w:val="TableText"/>
              <w:ind w:left="153"/>
              <w:spacing w:before="35" w:line="177" w:lineRule="exact"/>
              <w:rPr/>
            </w:pPr>
            <w:r>
              <w:rPr>
                <w:color w:val="231F20"/>
                <w:spacing w:val="-1"/>
              </w:rPr>
              <w:t>100</w:t>
            </w:r>
          </w:p>
        </w:tc>
        <w:tc>
          <w:tcPr>
            <w:tcW w:w="632" w:type="dxa"/>
            <w:vAlign w:val="top"/>
            <w:tcBorders>
              <w:top w:val="single" w:color="000000" w:sz="2" w:space="0"/>
            </w:tcBorders>
          </w:tcPr>
          <w:p>
            <w:pPr>
              <w:pStyle w:val="TableText"/>
              <w:ind w:left="228"/>
              <w:spacing w:before="35" w:line="177" w:lineRule="exact"/>
              <w:rPr/>
            </w:pPr>
            <w:r>
              <w:rPr>
                <w:color w:val="231F20"/>
                <w:spacing w:val="1"/>
              </w:rPr>
              <w:t>34</w:t>
            </w:r>
          </w:p>
        </w:tc>
        <w:tc>
          <w:tcPr>
            <w:tcW w:w="642" w:type="dxa"/>
            <w:vAlign w:val="top"/>
            <w:tcBorders>
              <w:top w:val="single" w:color="000000" w:sz="2" w:space="0"/>
            </w:tcBorders>
          </w:tcPr>
          <w:p>
            <w:pPr>
              <w:pStyle w:val="TableText"/>
              <w:ind w:left="252"/>
              <w:spacing w:before="35" w:line="177" w:lineRule="exact"/>
              <w:rPr/>
            </w:pPr>
            <w:r>
              <w:rPr>
                <w:color w:val="231F20"/>
                <w:spacing w:val="3"/>
              </w:rPr>
              <w:t>42</w:t>
            </w:r>
          </w:p>
        </w:tc>
        <w:tc>
          <w:tcPr>
            <w:tcW w:w="643" w:type="dxa"/>
            <w:vAlign w:val="top"/>
            <w:tcBorders>
              <w:top w:val="single" w:color="000000" w:sz="2" w:space="0"/>
            </w:tcBorders>
          </w:tcPr>
          <w:p>
            <w:pPr>
              <w:pStyle w:val="TableText"/>
              <w:ind w:left="234"/>
              <w:spacing w:before="35" w:line="177" w:lineRule="exact"/>
              <w:rPr/>
            </w:pPr>
            <w:r>
              <w:rPr>
                <w:color w:val="231F20"/>
                <w:spacing w:val="3"/>
              </w:rPr>
              <w:t>24</w:t>
            </w:r>
          </w:p>
        </w:tc>
        <w:tc>
          <w:tcPr>
            <w:tcW w:w="1478" w:type="dxa"/>
            <w:vAlign w:val="top"/>
            <w:tcBorders>
              <w:top w:val="single" w:color="000000" w:sz="2" w:space="0"/>
            </w:tcBorders>
          </w:tcPr>
          <w:p>
            <w:pPr>
              <w:pStyle w:val="TableText"/>
              <w:ind w:left="397"/>
              <w:spacing w:before="35" w:line="239" w:lineRule="auto"/>
              <w:rPr>
                <w:rFonts w:ascii="SimSun" w:hAnsi="SimSun" w:eastAsia="SimSun" w:cs="SimSun"/>
              </w:rPr>
            </w:pPr>
            <w:r>
              <w:rPr>
                <w:color w:val="231F20"/>
                <w:spacing w:val="-5"/>
              </w:rPr>
              <w:t>76</w:t>
            </w:r>
            <w:r>
              <w:rPr>
                <w:rFonts w:ascii="SimSun" w:hAnsi="SimSun" w:eastAsia="SimSun" w:cs="SimSun"/>
                <w:color w:val="231F20"/>
                <w:spacing w:val="-5"/>
              </w:rPr>
              <w:t>（</w:t>
            </w:r>
            <w:r>
              <w:rPr>
                <w:color w:val="231F20"/>
                <w:spacing w:val="-5"/>
              </w:rPr>
              <w:t>76.00</w:t>
            </w:r>
            <w:r>
              <w:rPr>
                <w:rFonts w:ascii="SimSun" w:hAnsi="SimSun" w:eastAsia="SimSun" w:cs="SimSun"/>
                <w:color w:val="231F20"/>
                <w:spacing w:val="-5"/>
              </w:rPr>
              <w:t>）</w:t>
            </w:r>
          </w:p>
        </w:tc>
      </w:tr>
      <w:tr>
        <w:trPr>
          <w:trHeight w:val="250" w:hRule="atLeast"/>
        </w:trPr>
        <w:tc>
          <w:tcPr>
            <w:tcW w:w="640" w:type="dxa"/>
            <w:vAlign w:val="top"/>
          </w:tcPr>
          <w:p>
            <w:pPr>
              <w:ind w:left="13"/>
              <w:spacing w:before="50" w:line="233" w:lineRule="auto"/>
              <w:rPr>
                <w:rFonts w:ascii="SimSun" w:hAnsi="SimSun" w:eastAsia="SimSun" w:cs="SimSun"/>
                <w:sz w:val="15"/>
                <w:szCs w:val="15"/>
              </w:rPr>
            </w:pPr>
            <w:r>
              <w:rPr>
                <w:rFonts w:ascii="SimSun" w:hAnsi="SimSun" w:eastAsia="SimSun" w:cs="SimSun"/>
                <w:sz w:val="15"/>
                <w:szCs w:val="15"/>
                <w:color w:val="231F20"/>
                <w:spacing w:val="6"/>
              </w:rPr>
              <w:t>实验组</w:t>
            </w:r>
          </w:p>
        </w:tc>
        <w:tc>
          <w:tcPr>
            <w:tcW w:w="560" w:type="dxa"/>
            <w:vAlign w:val="top"/>
            <w:tcBorders>
              <w:bottom w:val="single" w:color="000000" w:sz="2" w:space="0"/>
            </w:tcBorders>
          </w:tcPr>
          <w:p>
            <w:pPr>
              <w:pStyle w:val="TableText"/>
              <w:ind w:left="153"/>
              <w:spacing w:before="45" w:line="177" w:lineRule="exact"/>
              <w:rPr/>
            </w:pPr>
            <w:r>
              <w:rPr>
                <w:color w:val="231F20"/>
                <w:spacing w:val="-1"/>
              </w:rPr>
              <w:t>100</w:t>
            </w:r>
          </w:p>
        </w:tc>
        <w:tc>
          <w:tcPr>
            <w:tcW w:w="632" w:type="dxa"/>
            <w:vAlign w:val="top"/>
            <w:tcBorders>
              <w:bottom w:val="single" w:color="000000" w:sz="2" w:space="0"/>
            </w:tcBorders>
          </w:tcPr>
          <w:p>
            <w:pPr>
              <w:pStyle w:val="TableText"/>
              <w:ind w:left="229"/>
              <w:spacing w:before="45" w:line="177" w:lineRule="exact"/>
              <w:rPr/>
            </w:pPr>
            <w:r>
              <w:rPr>
                <w:color w:val="231F20"/>
                <w:spacing w:val="1"/>
              </w:rPr>
              <w:t>52</w:t>
            </w:r>
          </w:p>
        </w:tc>
        <w:tc>
          <w:tcPr>
            <w:tcW w:w="642" w:type="dxa"/>
            <w:vAlign w:val="top"/>
            <w:tcBorders>
              <w:bottom w:val="single" w:color="000000" w:sz="2" w:space="0"/>
            </w:tcBorders>
          </w:tcPr>
          <w:p>
            <w:pPr>
              <w:pStyle w:val="TableText"/>
              <w:ind w:left="252"/>
              <w:spacing w:before="45" w:line="177" w:lineRule="exact"/>
              <w:rPr/>
            </w:pPr>
            <w:r>
              <w:rPr>
                <w:color w:val="231F20"/>
                <w:spacing w:val="3"/>
              </w:rPr>
              <w:t>46</w:t>
            </w:r>
          </w:p>
        </w:tc>
        <w:tc>
          <w:tcPr>
            <w:tcW w:w="643" w:type="dxa"/>
            <w:vAlign w:val="top"/>
            <w:tcBorders>
              <w:bottom w:val="single" w:color="000000" w:sz="2" w:space="0"/>
            </w:tcBorders>
          </w:tcPr>
          <w:p>
            <w:pPr>
              <w:pStyle w:val="TableText"/>
              <w:ind w:left="314"/>
              <w:spacing w:before="45" w:line="177" w:lineRule="exact"/>
              <w:rPr/>
            </w:pPr>
            <w:r>
              <w:rPr>
                <w:color w:val="231F20"/>
                <w:spacing w:val="1"/>
              </w:rPr>
              <w:t>2</w:t>
            </w:r>
          </w:p>
        </w:tc>
        <w:tc>
          <w:tcPr>
            <w:tcW w:w="1478" w:type="dxa"/>
            <w:vAlign w:val="top"/>
            <w:tcBorders>
              <w:bottom w:val="single" w:color="000000" w:sz="2" w:space="0"/>
            </w:tcBorders>
          </w:tcPr>
          <w:p>
            <w:pPr>
              <w:pStyle w:val="TableText"/>
              <w:ind w:left="397"/>
              <w:spacing w:before="45"/>
              <w:rPr>
                <w:rFonts w:ascii="SimSun" w:hAnsi="SimSun" w:eastAsia="SimSun" w:cs="SimSun"/>
              </w:rPr>
            </w:pPr>
            <w:r>
              <w:rPr>
                <w:color w:val="231F20"/>
                <w:spacing w:val="-5"/>
              </w:rPr>
              <w:t>98</w:t>
            </w:r>
            <w:r>
              <w:rPr>
                <w:rFonts w:ascii="SimSun" w:hAnsi="SimSun" w:eastAsia="SimSun" w:cs="SimSun"/>
                <w:color w:val="231F20"/>
                <w:spacing w:val="-5"/>
              </w:rPr>
              <w:t>（</w:t>
            </w:r>
            <w:r>
              <w:rPr>
                <w:color w:val="231F20"/>
                <w:spacing w:val="-5"/>
              </w:rPr>
              <w:t>98.00</w:t>
            </w:r>
            <w:r>
              <w:rPr>
                <w:rFonts w:ascii="SimSun" w:hAnsi="SimSun" w:eastAsia="SimSun" w:cs="SimSun"/>
                <w:color w:val="231F20"/>
                <w:spacing w:val="-5"/>
              </w:rPr>
              <w:t>）</w:t>
            </w:r>
          </w:p>
        </w:tc>
      </w:tr>
      <w:tr>
        <w:trPr>
          <w:trHeight w:val="250" w:hRule="atLeast"/>
        </w:trPr>
        <w:tc>
          <w:tcPr>
            <w:tcW w:w="640" w:type="dxa"/>
            <w:vAlign w:val="top"/>
          </w:tcPr>
          <w:p>
            <w:pPr>
              <w:pStyle w:val="TableText"/>
              <w:ind w:left="11"/>
              <w:spacing w:before="43" w:line="228" w:lineRule="auto"/>
              <w:rPr>
                <w:rFonts w:ascii="SimSun" w:hAnsi="SimSun" w:eastAsia="SimSun" w:cs="SimSun"/>
              </w:rPr>
            </w:pPr>
            <w:r>
              <w:rPr>
                <w:rFonts w:ascii="Arial" w:hAnsi="Arial" w:eastAsia="Arial" w:cs="Arial"/>
                <w:sz w:val="16"/>
                <w:szCs w:val="16"/>
                <w:i/>
                <w:iCs/>
                <w:color w:val="231F20"/>
                <w:spacing w:val="4"/>
                <w:position w:val="-1"/>
              </w:rPr>
              <w:t>χ</w:t>
            </w:r>
            <w:r>
              <w:rPr>
                <w:sz w:val="7"/>
                <w:szCs w:val="7"/>
                <w:color w:val="231F20"/>
                <w:spacing w:val="4"/>
                <w:position w:val="5"/>
              </w:rPr>
              <w:t>2</w:t>
            </w:r>
            <w:r>
              <w:rPr>
                <w:rFonts w:ascii="SimSun" w:hAnsi="SimSun" w:eastAsia="SimSun" w:cs="SimSun"/>
                <w:color w:val="231F20"/>
                <w:spacing w:val="4"/>
                <w:position w:val="-1"/>
              </w:rPr>
              <w:t>值</w:t>
            </w:r>
          </w:p>
        </w:tc>
        <w:tc>
          <w:tcPr>
            <w:tcW w:w="560" w:type="dxa"/>
            <w:vAlign w:val="top"/>
            <w:tcBorders>
              <w:top w:val="single" w:color="000000" w:sz="2" w:space="0"/>
            </w:tcBorders>
          </w:tcPr>
          <w:p>
            <w:pPr>
              <w:spacing w:line="240" w:lineRule="exact"/>
              <w:rPr>
                <w:rFonts w:ascii="Arial"/>
                <w:sz w:val="20"/>
              </w:rPr>
            </w:pPr>
            <w:r/>
          </w:p>
        </w:tc>
        <w:tc>
          <w:tcPr>
            <w:tcW w:w="632" w:type="dxa"/>
            <w:vAlign w:val="top"/>
            <w:tcBorders>
              <w:top w:val="single" w:color="000000" w:sz="2" w:space="0"/>
            </w:tcBorders>
          </w:tcPr>
          <w:p>
            <w:pPr>
              <w:spacing w:line="240" w:lineRule="exact"/>
              <w:rPr>
                <w:rFonts w:ascii="Arial"/>
                <w:sz w:val="20"/>
              </w:rPr>
            </w:pPr>
            <w:r/>
          </w:p>
        </w:tc>
        <w:tc>
          <w:tcPr>
            <w:tcW w:w="642" w:type="dxa"/>
            <w:vAlign w:val="top"/>
            <w:tcBorders>
              <w:top w:val="single" w:color="000000" w:sz="2" w:space="0"/>
            </w:tcBorders>
          </w:tcPr>
          <w:p>
            <w:pPr>
              <w:spacing w:line="240" w:lineRule="exact"/>
              <w:rPr>
                <w:rFonts w:ascii="Arial"/>
                <w:sz w:val="20"/>
              </w:rPr>
            </w:pPr>
            <w:r/>
          </w:p>
        </w:tc>
        <w:tc>
          <w:tcPr>
            <w:tcW w:w="643" w:type="dxa"/>
            <w:vAlign w:val="top"/>
            <w:tcBorders>
              <w:top w:val="single" w:color="000000" w:sz="2" w:space="0"/>
            </w:tcBorders>
          </w:tcPr>
          <w:p>
            <w:pPr>
              <w:spacing w:line="240" w:lineRule="exact"/>
              <w:rPr>
                <w:rFonts w:ascii="Arial"/>
                <w:sz w:val="20"/>
              </w:rPr>
            </w:pPr>
            <w:r/>
          </w:p>
        </w:tc>
        <w:tc>
          <w:tcPr>
            <w:tcW w:w="1478" w:type="dxa"/>
            <w:vAlign w:val="top"/>
            <w:tcBorders>
              <w:top w:val="single" w:color="000000" w:sz="2" w:space="0"/>
            </w:tcBorders>
          </w:tcPr>
          <w:p>
            <w:pPr>
              <w:pStyle w:val="TableText"/>
              <w:ind w:left="454"/>
              <w:spacing w:before="39" w:line="177" w:lineRule="exact"/>
              <w:rPr/>
            </w:pPr>
            <w:r>
              <w:rPr>
                <w:color w:val="231F20"/>
                <w:spacing w:val="3"/>
              </w:rPr>
              <w:t>21.397</w:t>
            </w:r>
            <w:r>
              <w:rPr>
                <w:color w:val="231F20"/>
                <w:spacing w:val="10"/>
                <w:w w:val="101"/>
              </w:rPr>
              <w:t xml:space="preserve"> </w:t>
            </w:r>
            <w:r>
              <w:rPr>
                <w:color w:val="231F20"/>
                <w:spacing w:val="3"/>
              </w:rPr>
              <w:t>0</w:t>
            </w:r>
          </w:p>
        </w:tc>
      </w:tr>
      <w:tr>
        <w:trPr>
          <w:trHeight w:val="245" w:hRule="atLeast"/>
        </w:trPr>
        <w:tc>
          <w:tcPr>
            <w:tcW w:w="640" w:type="dxa"/>
            <w:vAlign w:val="top"/>
            <w:tcBorders>
              <w:bottom w:val="single" w:color="000000" w:sz="4" w:space="0"/>
            </w:tcBorders>
          </w:tcPr>
          <w:p>
            <w:pPr>
              <w:pStyle w:val="TableText"/>
              <w:spacing w:before="44" w:line="232" w:lineRule="auto"/>
              <w:rPr>
                <w:rFonts w:ascii="SimSun" w:hAnsi="SimSun" w:eastAsia="SimSun" w:cs="SimSun"/>
              </w:rPr>
            </w:pPr>
            <w:r>
              <w:rPr>
                <w:i/>
                <w:iCs/>
                <w:color w:val="231F20"/>
                <w:spacing w:val="19"/>
              </w:rPr>
              <w:t>P</w:t>
            </w:r>
            <w:r>
              <w:rPr>
                <w:rFonts w:ascii="SimSun" w:hAnsi="SimSun" w:eastAsia="SimSun" w:cs="SimSun"/>
                <w:color w:val="231F20"/>
                <w:spacing w:val="19"/>
              </w:rPr>
              <w:t>值</w:t>
            </w:r>
          </w:p>
        </w:tc>
        <w:tc>
          <w:tcPr>
            <w:tcW w:w="560" w:type="dxa"/>
            <w:vAlign w:val="top"/>
            <w:tcBorders>
              <w:bottom w:val="single" w:color="000000" w:sz="4" w:space="0"/>
            </w:tcBorders>
          </w:tcPr>
          <w:p>
            <w:pPr>
              <w:spacing w:line="235" w:lineRule="exact"/>
              <w:rPr>
                <w:rFonts w:ascii="Arial"/>
                <w:sz w:val="20"/>
              </w:rPr>
            </w:pPr>
            <w:r/>
          </w:p>
        </w:tc>
        <w:tc>
          <w:tcPr>
            <w:tcW w:w="632" w:type="dxa"/>
            <w:vAlign w:val="top"/>
            <w:tcBorders>
              <w:bottom w:val="single" w:color="000000" w:sz="4" w:space="0"/>
            </w:tcBorders>
          </w:tcPr>
          <w:p>
            <w:pPr>
              <w:spacing w:line="235" w:lineRule="exact"/>
              <w:rPr>
                <w:rFonts w:ascii="Arial"/>
                <w:sz w:val="20"/>
              </w:rPr>
            </w:pPr>
            <w:r/>
          </w:p>
        </w:tc>
        <w:tc>
          <w:tcPr>
            <w:tcW w:w="642" w:type="dxa"/>
            <w:vAlign w:val="top"/>
            <w:tcBorders>
              <w:bottom w:val="single" w:color="000000" w:sz="4" w:space="0"/>
            </w:tcBorders>
          </w:tcPr>
          <w:p>
            <w:pPr>
              <w:spacing w:line="235" w:lineRule="exact"/>
              <w:rPr>
                <w:rFonts w:ascii="Arial"/>
                <w:sz w:val="20"/>
              </w:rPr>
            </w:pPr>
            <w:r/>
          </w:p>
        </w:tc>
        <w:tc>
          <w:tcPr>
            <w:tcW w:w="643" w:type="dxa"/>
            <w:vAlign w:val="top"/>
            <w:tcBorders>
              <w:bottom w:val="single" w:color="000000" w:sz="4" w:space="0"/>
            </w:tcBorders>
          </w:tcPr>
          <w:p>
            <w:pPr>
              <w:spacing w:line="235" w:lineRule="exact"/>
              <w:rPr>
                <w:rFonts w:ascii="Arial"/>
                <w:sz w:val="20"/>
              </w:rPr>
            </w:pPr>
            <w:r/>
          </w:p>
        </w:tc>
        <w:tc>
          <w:tcPr>
            <w:tcW w:w="1478" w:type="dxa"/>
            <w:vAlign w:val="top"/>
            <w:tcBorders>
              <w:bottom w:val="single" w:color="000000" w:sz="4" w:space="0"/>
            </w:tcBorders>
          </w:tcPr>
          <w:p>
            <w:pPr>
              <w:pStyle w:val="TableText"/>
              <w:ind w:left="537"/>
              <w:spacing w:before="39" w:line="177" w:lineRule="exact"/>
              <w:rPr/>
            </w:pPr>
            <w:r>
              <w:rPr>
                <w:color w:val="231F20"/>
                <w:spacing w:val="2"/>
              </w:rPr>
              <w:t>0.000</w:t>
            </w:r>
            <w:r>
              <w:rPr>
                <w:color w:val="231F20"/>
                <w:spacing w:val="11"/>
                <w:w w:val="102"/>
              </w:rPr>
              <w:t xml:space="preserve"> </w:t>
            </w:r>
            <w:r>
              <w:rPr>
                <w:color w:val="231F20"/>
                <w:spacing w:val="2"/>
              </w:rPr>
              <w:t>0</w:t>
            </w:r>
          </w:p>
        </w:tc>
      </w:tr>
    </w:tbl>
    <w:p>
      <w:pPr>
        <w:pStyle w:val="BodyText"/>
        <w:ind w:left="733" w:right="327" w:hanging="3"/>
        <w:spacing w:before="195" w:line="296" w:lineRule="auto"/>
        <w:jc w:val="both"/>
        <w:rPr>
          <w:sz w:val="20"/>
          <w:szCs w:val="20"/>
        </w:rPr>
      </w:pPr>
      <w:r>
        <w:rPr>
          <w:rFonts w:ascii="Times New Roman" w:hAnsi="Times New Roman" w:eastAsia="Times New Roman" w:cs="Times New Roman"/>
          <w:sz w:val="20"/>
          <w:szCs w:val="20"/>
          <w:color w:val="231F20"/>
          <w:spacing w:val="5"/>
        </w:rPr>
        <w:t>2.4    </w:t>
      </w:r>
      <w:r>
        <w:rPr>
          <w:sz w:val="20"/>
          <w:szCs w:val="20"/>
          <w:color w:val="231F20"/>
          <w:spacing w:val="5"/>
        </w:rPr>
        <w:t>两组治疗时效比较  实验组病情状态、消化系</w:t>
      </w:r>
      <w:r>
        <w:rPr>
          <w:sz w:val="20"/>
          <w:szCs w:val="20"/>
          <w:color w:val="231F20"/>
          <w:spacing w:val="13"/>
        </w:rPr>
        <w:t xml:space="preserve"> </w:t>
      </w:r>
      <w:r>
        <w:rPr>
          <w:sz w:val="20"/>
          <w:szCs w:val="20"/>
          <w:color w:val="231F20"/>
          <w:spacing w:val="9"/>
        </w:rPr>
        <w:t>统功能评分均显著高于常规组，治疗时间、住院时</w:t>
      </w:r>
      <w:r>
        <w:rPr>
          <w:sz w:val="20"/>
          <w:szCs w:val="20"/>
          <w:color w:val="231F20"/>
          <w:spacing w:val="2"/>
        </w:rPr>
        <w:t xml:space="preserve"> </w:t>
      </w:r>
      <w:r>
        <w:rPr>
          <w:sz w:val="20"/>
          <w:szCs w:val="20"/>
          <w:color w:val="231F20"/>
          <w:spacing w:val="18"/>
        </w:rPr>
        <w:t>间均</w:t>
      </w:r>
      <w:r>
        <w:rPr>
          <w:sz w:val="20"/>
          <w:szCs w:val="20"/>
          <w:color w:val="231F20"/>
          <w:spacing w:val="-48"/>
        </w:rPr>
        <w:t xml:space="preserve"> </w:t>
      </w:r>
      <w:r>
        <w:rPr>
          <w:sz w:val="20"/>
          <w:szCs w:val="20"/>
          <w:color w:val="231F20"/>
          <w:spacing w:val="18"/>
        </w:rPr>
        <w:t>显著短于</w:t>
      </w:r>
      <w:r>
        <w:rPr>
          <w:sz w:val="20"/>
          <w:szCs w:val="20"/>
          <w:color w:val="231F20"/>
          <w:spacing w:val="-59"/>
        </w:rPr>
        <w:t xml:space="preserve"> </w:t>
      </w:r>
      <w:r>
        <w:rPr>
          <w:sz w:val="20"/>
          <w:szCs w:val="20"/>
          <w:color w:val="231F20"/>
          <w:spacing w:val="18"/>
        </w:rPr>
        <w:t>常规组，差异有</w:t>
      </w:r>
      <w:r>
        <w:rPr>
          <w:sz w:val="20"/>
          <w:szCs w:val="20"/>
          <w:color w:val="231F20"/>
          <w:spacing w:val="-60"/>
        </w:rPr>
        <w:t xml:space="preserve"> </w:t>
      </w:r>
      <w:r>
        <w:rPr>
          <w:sz w:val="20"/>
          <w:szCs w:val="20"/>
          <w:color w:val="231F20"/>
          <w:spacing w:val="18"/>
        </w:rPr>
        <w:t>统计学</w:t>
      </w:r>
      <w:r>
        <w:rPr>
          <w:sz w:val="20"/>
          <w:szCs w:val="20"/>
          <w:color w:val="231F20"/>
          <w:spacing w:val="-59"/>
        </w:rPr>
        <w:t xml:space="preserve"> </w:t>
      </w:r>
      <w:r>
        <w:rPr>
          <w:sz w:val="20"/>
          <w:szCs w:val="20"/>
          <w:color w:val="231F20"/>
          <w:spacing w:val="18"/>
        </w:rPr>
        <w:t>意义（</w:t>
      </w:r>
      <w:r>
        <w:rPr>
          <w:rFonts w:ascii="Times New Roman" w:hAnsi="Times New Roman" w:eastAsia="Times New Roman" w:cs="Times New Roman"/>
          <w:sz w:val="20"/>
          <w:szCs w:val="20"/>
          <w:i/>
          <w:iCs/>
          <w:color w:val="231F20"/>
          <w:spacing w:val="18"/>
        </w:rPr>
        <w:t>P</w:t>
      </w:r>
      <w:r>
        <w:rPr>
          <w:sz w:val="20"/>
          <w:szCs w:val="20"/>
          <w:color w:val="231F20"/>
          <w:spacing w:val="18"/>
        </w:rPr>
        <w:t>&lt;</w:t>
      </w:r>
      <w:r>
        <w:rPr>
          <w:sz w:val="20"/>
          <w:szCs w:val="20"/>
          <w:color w:val="231F20"/>
        </w:rPr>
        <w:t xml:space="preserve"> </w:t>
      </w:r>
      <w:r>
        <w:rPr>
          <w:rFonts w:ascii="Times New Roman" w:hAnsi="Times New Roman" w:eastAsia="Times New Roman" w:cs="Times New Roman"/>
          <w:sz w:val="20"/>
          <w:szCs w:val="20"/>
          <w:color w:val="231F20"/>
          <w:spacing w:val="12"/>
        </w:rPr>
        <w:t>0.05</w:t>
      </w:r>
      <w:r>
        <w:rPr>
          <w:sz w:val="20"/>
          <w:szCs w:val="20"/>
          <w:color w:val="231F20"/>
          <w:spacing w:val="-31"/>
          <w:w w:val="59"/>
        </w:rPr>
        <w:t>），</w:t>
      </w:r>
      <w:r>
        <w:rPr>
          <w:sz w:val="20"/>
          <w:szCs w:val="20"/>
          <w:color w:val="231F20"/>
          <w:spacing w:val="12"/>
        </w:rPr>
        <w:t>见表</w:t>
      </w:r>
      <w:r>
        <w:rPr>
          <w:rFonts w:ascii="Times New Roman" w:hAnsi="Times New Roman" w:eastAsia="Times New Roman" w:cs="Times New Roman"/>
          <w:sz w:val="20"/>
          <w:szCs w:val="20"/>
          <w:color w:val="231F20"/>
          <w:spacing w:val="12"/>
        </w:rPr>
        <w:t>4</w:t>
      </w:r>
      <w:r>
        <w:rPr>
          <w:sz w:val="20"/>
          <w:szCs w:val="20"/>
          <w:color w:val="231F20"/>
          <w:spacing w:val="12"/>
        </w:rPr>
        <w:t>。</w:t>
      </w:r>
    </w:p>
    <w:p>
      <w:pPr>
        <w:spacing w:line="245" w:lineRule="auto"/>
        <w:rPr>
          <w:rFonts w:ascii="Arial"/>
          <w:sz w:val="21"/>
        </w:rPr>
      </w:pPr>
      <w:r/>
    </w:p>
    <w:p>
      <w:pPr>
        <w:pStyle w:val="BodyText"/>
        <w:ind w:left="1997"/>
        <w:spacing w:before="49" w:line="206" w:lineRule="exact"/>
        <w:rPr/>
      </w:pPr>
      <w:r>
        <w:pict>
          <v:shape id="_x0000_s20" style="position:absolute;margin-left:188.578pt;margin-top:2.6021pt;mso-position-vertical-relative:text;mso-position-horizontal-relative:text;width:3.6pt;height:0.4pt;z-index:251661312;" filled="false" strokecolor="#231F20" strokeweight="0.37pt" coordsize="71,8" coordorigin="0,0" path="m0,3l71,3e">
            <v:stroke joinstyle="miter" miterlimit="4"/>
          </v:shape>
        </w:pict>
      </w:r>
      <w:r>
        <w:rPr>
          <w:color w:val="231F20"/>
          <w:spacing w:val="3"/>
          <w:position w:val="1"/>
        </w:rPr>
        <w:t>表</w:t>
      </w:r>
      <w:r>
        <w:rPr>
          <w:rFonts w:ascii="Times New Roman" w:hAnsi="Times New Roman" w:eastAsia="Times New Roman" w:cs="Times New Roman"/>
          <w:color w:val="231F20"/>
          <w:spacing w:val="3"/>
          <w:position w:val="1"/>
        </w:rPr>
        <w:t>4    </w:t>
      </w:r>
      <w:r>
        <w:rPr>
          <w:color w:val="231F20"/>
          <w:spacing w:val="3"/>
          <w:position w:val="1"/>
        </w:rPr>
        <w:t>两组治疗时效比较（</w:t>
      </w:r>
      <w:r>
        <w:rPr>
          <w:rFonts w:ascii="Times New Roman" w:hAnsi="Times New Roman" w:eastAsia="Times New Roman" w:cs="Times New Roman"/>
          <w:i/>
          <w:iCs/>
          <w:color w:val="231F20"/>
          <w:spacing w:val="3"/>
          <w:position w:val="1"/>
        </w:rPr>
        <w:t>x</w:t>
      </w:r>
      <w:r>
        <w:rPr>
          <w:rFonts w:ascii="Times New Roman" w:hAnsi="Times New Roman" w:eastAsia="Times New Roman" w:cs="Times New Roman"/>
          <w:color w:val="231F20"/>
          <w:spacing w:val="3"/>
          <w:position w:val="1"/>
        </w:rPr>
        <w:t>±</w:t>
      </w:r>
      <w:r>
        <w:rPr>
          <w:rFonts w:ascii="Times New Roman" w:hAnsi="Times New Roman" w:eastAsia="Times New Roman" w:cs="Times New Roman"/>
          <w:i/>
          <w:iCs/>
          <w:color w:val="231F20"/>
          <w:spacing w:val="3"/>
          <w:position w:val="1"/>
        </w:rPr>
        <w:t>s</w:t>
      </w:r>
      <w:r>
        <w:rPr>
          <w:color w:val="231F20"/>
          <w:spacing w:val="3"/>
          <w:position w:val="1"/>
        </w:rPr>
        <w:t>）</w:t>
      </w:r>
    </w:p>
    <w:p>
      <w:pPr>
        <w:spacing w:line="60" w:lineRule="exact"/>
        <w:rPr/>
      </w:pPr>
      <w:r/>
    </w:p>
    <w:tbl>
      <w:tblPr>
        <w:tblStyle w:val="TableNormal"/>
        <w:tblW w:w="4595" w:type="dxa"/>
        <w:tblInd w:w="7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45"/>
        <w:gridCol w:w="384"/>
        <w:gridCol w:w="883"/>
        <w:gridCol w:w="887"/>
        <w:gridCol w:w="967"/>
        <w:gridCol w:w="929"/>
      </w:tblGrid>
      <w:tr>
        <w:trPr>
          <w:trHeight w:val="462" w:hRule="atLeast"/>
        </w:trPr>
        <w:tc>
          <w:tcPr>
            <w:tcW w:w="545" w:type="dxa"/>
            <w:vAlign w:val="top"/>
            <w:tcBorders>
              <w:bottom w:val="single" w:color="000000" w:sz="2" w:space="0"/>
              <w:top w:val="single" w:color="000000" w:sz="4" w:space="0"/>
            </w:tcBorders>
          </w:tcPr>
          <w:p>
            <w:pPr>
              <w:ind w:left="11"/>
              <w:spacing w:before="148" w:line="233" w:lineRule="auto"/>
              <w:rPr>
                <w:rFonts w:ascii="SimSun" w:hAnsi="SimSun" w:eastAsia="SimSun" w:cs="SimSun"/>
                <w:sz w:val="15"/>
                <w:szCs w:val="15"/>
              </w:rPr>
            </w:pPr>
            <w:r>
              <w:rPr>
                <w:rFonts w:ascii="SimSun" w:hAnsi="SimSun" w:eastAsia="SimSun" w:cs="SimSun"/>
                <w:sz w:val="15"/>
                <w:szCs w:val="15"/>
                <w:color w:val="231F20"/>
                <w:spacing w:val="5"/>
              </w:rPr>
              <w:t>组别</w:t>
            </w:r>
          </w:p>
        </w:tc>
        <w:tc>
          <w:tcPr>
            <w:tcW w:w="384" w:type="dxa"/>
            <w:vAlign w:val="top"/>
            <w:tcBorders>
              <w:bottom w:val="single" w:color="000000" w:sz="2" w:space="0"/>
              <w:top w:val="single" w:color="000000" w:sz="4" w:space="0"/>
            </w:tcBorders>
          </w:tcPr>
          <w:p>
            <w:pPr>
              <w:ind w:left="11"/>
              <w:spacing w:before="148" w:line="232" w:lineRule="auto"/>
              <w:rPr>
                <w:rFonts w:ascii="SimSun" w:hAnsi="SimSun" w:eastAsia="SimSun" w:cs="SimSun"/>
                <w:sz w:val="15"/>
                <w:szCs w:val="15"/>
              </w:rPr>
            </w:pPr>
            <w:r>
              <w:rPr>
                <w:rFonts w:ascii="SimSun" w:hAnsi="SimSun" w:eastAsia="SimSun" w:cs="SimSun"/>
                <w:sz w:val="15"/>
                <w:szCs w:val="15"/>
                <w:color w:val="231F20"/>
                <w:spacing w:val="6"/>
              </w:rPr>
              <w:t>例数</w:t>
            </w:r>
          </w:p>
        </w:tc>
        <w:tc>
          <w:tcPr>
            <w:tcW w:w="883" w:type="dxa"/>
            <w:vAlign w:val="top"/>
            <w:tcBorders>
              <w:bottom w:val="single" w:color="000000" w:sz="2" w:space="0"/>
              <w:top w:val="single" w:color="000000" w:sz="4" w:space="0"/>
            </w:tcBorders>
          </w:tcPr>
          <w:p>
            <w:pPr>
              <w:ind w:left="97"/>
              <w:spacing w:before="53" w:line="232" w:lineRule="auto"/>
              <w:rPr>
                <w:rFonts w:ascii="SimSun" w:hAnsi="SimSun" w:eastAsia="SimSun" w:cs="SimSun"/>
                <w:sz w:val="15"/>
                <w:szCs w:val="15"/>
              </w:rPr>
            </w:pPr>
            <w:r>
              <w:rPr>
                <w:rFonts w:ascii="SimSun" w:hAnsi="SimSun" w:eastAsia="SimSun" w:cs="SimSun"/>
                <w:sz w:val="15"/>
                <w:szCs w:val="15"/>
                <w:color w:val="231F20"/>
                <w:spacing w:val="8"/>
              </w:rPr>
              <w:t>病情状态</w:t>
            </w:r>
          </w:p>
          <w:p>
            <w:pPr>
              <w:ind w:left="193"/>
              <w:spacing w:before="2" w:line="233" w:lineRule="auto"/>
              <w:rPr>
                <w:rFonts w:ascii="SimSun" w:hAnsi="SimSun" w:eastAsia="SimSun" w:cs="SimSun"/>
                <w:sz w:val="15"/>
                <w:szCs w:val="15"/>
              </w:rPr>
            </w:pPr>
            <w:r>
              <w:rPr>
                <w:rFonts w:ascii="SimSun" w:hAnsi="SimSun" w:eastAsia="SimSun" w:cs="SimSun"/>
                <w:sz w:val="15"/>
                <w:szCs w:val="15"/>
                <w:color w:val="231F20"/>
                <w:spacing w:val="-1"/>
              </w:rPr>
              <w:t>（分）</w:t>
            </w:r>
          </w:p>
        </w:tc>
        <w:tc>
          <w:tcPr>
            <w:tcW w:w="887" w:type="dxa"/>
            <w:vAlign w:val="top"/>
            <w:tcBorders>
              <w:bottom w:val="single" w:color="000000" w:sz="2" w:space="0"/>
              <w:top w:val="single" w:color="000000" w:sz="4" w:space="0"/>
            </w:tcBorders>
          </w:tcPr>
          <w:p>
            <w:pPr>
              <w:ind w:left="147" w:right="50"/>
              <w:spacing w:before="53" w:line="237" w:lineRule="auto"/>
              <w:rPr>
                <w:rFonts w:ascii="SimSun" w:hAnsi="SimSun" w:eastAsia="SimSun" w:cs="SimSun"/>
                <w:sz w:val="15"/>
                <w:szCs w:val="15"/>
              </w:rPr>
            </w:pPr>
            <w:r>
              <w:rPr>
                <w:rFonts w:ascii="SimSun" w:hAnsi="SimSun" w:eastAsia="SimSun" w:cs="SimSun"/>
                <w:sz w:val="15"/>
                <w:szCs w:val="15"/>
                <w:color w:val="231F20"/>
                <w:spacing w:val="7"/>
              </w:rPr>
              <w:t>消化系统</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功能（分）</w:t>
            </w:r>
          </w:p>
        </w:tc>
        <w:tc>
          <w:tcPr>
            <w:tcW w:w="1896" w:type="dxa"/>
            <w:vAlign w:val="top"/>
            <w:gridSpan w:val="2"/>
            <w:tcBorders>
              <w:bottom w:val="single" w:color="000000" w:sz="2" w:space="0"/>
              <w:top w:val="single" w:color="000000" w:sz="4" w:space="0"/>
            </w:tcBorders>
          </w:tcPr>
          <w:p>
            <w:pPr>
              <w:pStyle w:val="TableText"/>
              <w:spacing w:before="143" w:line="207" w:lineRule="exact"/>
              <w:jc w:val="right"/>
              <w:rPr>
                <w:rFonts w:ascii="SimSun" w:hAnsi="SimSun" w:eastAsia="SimSun" w:cs="SimSun"/>
              </w:rPr>
            </w:pPr>
            <w:r>
              <w:rPr>
                <w:rFonts w:ascii="SimSun" w:hAnsi="SimSun" w:eastAsia="SimSun" w:cs="SimSun"/>
                <w:color w:val="231F20"/>
                <w:spacing w:val="-9"/>
                <w:position w:val="1"/>
              </w:rPr>
              <w:t>治疗时间（</w:t>
            </w:r>
            <w:r>
              <w:rPr>
                <w:color w:val="231F20"/>
                <w:spacing w:val="-9"/>
                <w:position w:val="1"/>
              </w:rPr>
              <w:t>d</w:t>
            </w:r>
            <w:r>
              <w:rPr>
                <w:rFonts w:ascii="SimSun" w:hAnsi="SimSun" w:eastAsia="SimSun" w:cs="SimSun"/>
                <w:color w:val="231F20"/>
                <w:spacing w:val="-9"/>
                <w:position w:val="1"/>
              </w:rPr>
              <w:t>）住院时间（</w:t>
            </w:r>
            <w:r>
              <w:rPr>
                <w:color w:val="231F20"/>
                <w:spacing w:val="-9"/>
                <w:position w:val="1"/>
              </w:rPr>
              <w:t>d</w:t>
            </w:r>
            <w:r>
              <w:rPr>
                <w:rFonts w:ascii="SimSun" w:hAnsi="SimSun" w:eastAsia="SimSun" w:cs="SimSun"/>
                <w:color w:val="231F20"/>
                <w:spacing w:val="-9"/>
                <w:position w:val="1"/>
              </w:rPr>
              <w:t>）</w:t>
            </w:r>
          </w:p>
        </w:tc>
      </w:tr>
      <w:tr>
        <w:trPr>
          <w:trHeight w:val="240" w:hRule="atLeast"/>
        </w:trPr>
        <w:tc>
          <w:tcPr>
            <w:tcW w:w="545" w:type="dxa"/>
            <w:vAlign w:val="top"/>
            <w:tcBorders>
              <w:top w:val="single" w:color="000000" w:sz="2" w:space="0"/>
            </w:tcBorders>
          </w:tcPr>
          <w:p>
            <w:pPr>
              <w:ind w:left="13"/>
              <w:spacing w:before="42" w:line="231" w:lineRule="auto"/>
              <w:rPr>
                <w:rFonts w:ascii="SimSun" w:hAnsi="SimSun" w:eastAsia="SimSun" w:cs="SimSun"/>
                <w:sz w:val="15"/>
                <w:szCs w:val="15"/>
              </w:rPr>
            </w:pPr>
            <w:r>
              <w:rPr>
                <w:rFonts w:ascii="SimSun" w:hAnsi="SimSun" w:eastAsia="SimSun" w:cs="SimSun"/>
                <w:sz w:val="15"/>
                <w:szCs w:val="15"/>
                <w:color w:val="231F20"/>
                <w:spacing w:val="6"/>
              </w:rPr>
              <w:t>常规组</w:t>
            </w:r>
          </w:p>
        </w:tc>
        <w:tc>
          <w:tcPr>
            <w:tcW w:w="384" w:type="dxa"/>
            <w:vAlign w:val="top"/>
            <w:tcBorders>
              <w:top w:val="single" w:color="000000" w:sz="2" w:space="0"/>
            </w:tcBorders>
          </w:tcPr>
          <w:p>
            <w:pPr>
              <w:pStyle w:val="TableText"/>
              <w:ind w:left="64"/>
              <w:spacing w:before="36" w:line="178" w:lineRule="exact"/>
              <w:rPr/>
            </w:pPr>
            <w:r>
              <w:rPr>
                <w:color w:val="231F20"/>
                <w:spacing w:val="-1"/>
              </w:rPr>
              <w:t>100</w:t>
            </w:r>
          </w:p>
        </w:tc>
        <w:tc>
          <w:tcPr>
            <w:tcW w:w="883" w:type="dxa"/>
            <w:vAlign w:val="top"/>
            <w:tcBorders>
              <w:top w:val="single" w:color="000000" w:sz="2" w:space="0"/>
            </w:tcBorders>
          </w:tcPr>
          <w:p>
            <w:pPr>
              <w:pStyle w:val="TableText"/>
              <w:ind w:left="66"/>
              <w:spacing w:before="36" w:line="178" w:lineRule="exact"/>
              <w:rPr/>
            </w:pPr>
            <w:r>
              <w:rPr>
                <w:color w:val="231F20"/>
                <w:spacing w:val="2"/>
              </w:rPr>
              <w:t>10.52±1.34</w:t>
            </w:r>
          </w:p>
        </w:tc>
        <w:tc>
          <w:tcPr>
            <w:tcW w:w="887" w:type="dxa"/>
            <w:vAlign w:val="top"/>
            <w:tcBorders>
              <w:top w:val="single" w:color="000000" w:sz="2" w:space="0"/>
            </w:tcBorders>
          </w:tcPr>
          <w:p>
            <w:pPr>
              <w:pStyle w:val="TableText"/>
              <w:ind w:left="116"/>
              <w:spacing w:before="36" w:line="178" w:lineRule="exact"/>
              <w:rPr/>
            </w:pPr>
            <w:r>
              <w:rPr>
                <w:color w:val="231F20"/>
                <w:spacing w:val="2"/>
              </w:rPr>
              <w:t>11.20±1.03</w:t>
            </w:r>
          </w:p>
        </w:tc>
        <w:tc>
          <w:tcPr>
            <w:tcW w:w="967" w:type="dxa"/>
            <w:vAlign w:val="top"/>
            <w:tcBorders>
              <w:top w:val="single" w:color="000000" w:sz="2" w:space="0"/>
            </w:tcBorders>
          </w:tcPr>
          <w:p>
            <w:pPr>
              <w:pStyle w:val="TableText"/>
              <w:ind w:left="184"/>
              <w:spacing w:before="36" w:line="178" w:lineRule="exact"/>
              <w:rPr/>
            </w:pPr>
            <w:r>
              <w:rPr>
                <w:color w:val="231F20"/>
                <w:spacing w:val="1"/>
              </w:rPr>
              <w:t>6.</w:t>
            </w:r>
            <w:r>
              <w:rPr>
                <w:color w:val="231F20"/>
                <w:spacing w:val="-14"/>
              </w:rPr>
              <w:t xml:space="preserve"> </w:t>
            </w:r>
            <w:r>
              <w:rPr>
                <w:color w:val="231F20"/>
                <w:spacing w:val="1"/>
              </w:rPr>
              <w:t>18±2.55</w:t>
            </w:r>
          </w:p>
        </w:tc>
        <w:tc>
          <w:tcPr>
            <w:tcW w:w="929" w:type="dxa"/>
            <w:vAlign w:val="top"/>
            <w:tcBorders>
              <w:top w:val="single" w:color="000000" w:sz="2" w:space="0"/>
            </w:tcBorders>
          </w:tcPr>
          <w:p>
            <w:pPr>
              <w:pStyle w:val="TableText"/>
              <w:ind w:left="150"/>
              <w:spacing w:before="36" w:line="178" w:lineRule="exact"/>
              <w:rPr/>
            </w:pPr>
            <w:r>
              <w:rPr>
                <w:color w:val="231F20"/>
                <w:spacing w:val="3"/>
              </w:rPr>
              <w:t>8.64±1.97</w:t>
            </w:r>
          </w:p>
        </w:tc>
      </w:tr>
      <w:tr>
        <w:trPr>
          <w:trHeight w:val="250" w:hRule="atLeast"/>
        </w:trPr>
        <w:tc>
          <w:tcPr>
            <w:tcW w:w="545" w:type="dxa"/>
            <w:vAlign w:val="top"/>
          </w:tcPr>
          <w:p>
            <w:pPr>
              <w:ind w:left="13"/>
              <w:spacing w:before="51" w:line="232" w:lineRule="auto"/>
              <w:rPr>
                <w:rFonts w:ascii="SimSun" w:hAnsi="SimSun" w:eastAsia="SimSun" w:cs="SimSun"/>
                <w:sz w:val="15"/>
                <w:szCs w:val="15"/>
              </w:rPr>
            </w:pPr>
            <w:r>
              <w:rPr>
                <w:rFonts w:ascii="SimSun" w:hAnsi="SimSun" w:eastAsia="SimSun" w:cs="SimSun"/>
                <w:sz w:val="15"/>
                <w:szCs w:val="15"/>
                <w:color w:val="231F20"/>
                <w:spacing w:val="6"/>
              </w:rPr>
              <w:t>实验组</w:t>
            </w:r>
          </w:p>
        </w:tc>
        <w:tc>
          <w:tcPr>
            <w:tcW w:w="384" w:type="dxa"/>
            <w:vAlign w:val="top"/>
            <w:tcBorders>
              <w:bottom w:val="single" w:color="000000" w:sz="2" w:space="0"/>
            </w:tcBorders>
          </w:tcPr>
          <w:p>
            <w:pPr>
              <w:pStyle w:val="TableText"/>
              <w:ind w:left="64"/>
              <w:spacing w:before="46" w:line="177" w:lineRule="exact"/>
              <w:rPr/>
            </w:pPr>
            <w:r>
              <w:rPr>
                <w:color w:val="231F20"/>
                <w:spacing w:val="-1"/>
              </w:rPr>
              <w:t>100</w:t>
            </w:r>
          </w:p>
        </w:tc>
        <w:tc>
          <w:tcPr>
            <w:tcW w:w="883" w:type="dxa"/>
            <w:vAlign w:val="top"/>
            <w:tcBorders>
              <w:bottom w:val="single" w:color="000000" w:sz="2" w:space="0"/>
            </w:tcBorders>
          </w:tcPr>
          <w:p>
            <w:pPr>
              <w:pStyle w:val="TableText"/>
              <w:ind w:left="66"/>
              <w:spacing w:before="46" w:line="177" w:lineRule="exact"/>
              <w:rPr/>
            </w:pPr>
            <w:r>
              <w:rPr>
                <w:color w:val="231F20"/>
                <w:spacing w:val="2"/>
              </w:rPr>
              <w:t>16.80±2.64</w:t>
            </w:r>
          </w:p>
        </w:tc>
        <w:tc>
          <w:tcPr>
            <w:tcW w:w="887" w:type="dxa"/>
            <w:vAlign w:val="top"/>
            <w:tcBorders>
              <w:bottom w:val="single" w:color="000000" w:sz="2" w:space="0"/>
            </w:tcBorders>
          </w:tcPr>
          <w:p>
            <w:pPr>
              <w:pStyle w:val="TableText"/>
              <w:ind w:left="113"/>
              <w:spacing w:before="46" w:line="177" w:lineRule="exact"/>
              <w:rPr/>
            </w:pPr>
            <w:r>
              <w:rPr>
                <w:color w:val="231F20"/>
                <w:spacing w:val="2"/>
              </w:rPr>
              <w:t>17.91±1.17</w:t>
            </w:r>
          </w:p>
        </w:tc>
        <w:tc>
          <w:tcPr>
            <w:tcW w:w="967" w:type="dxa"/>
            <w:vAlign w:val="top"/>
            <w:tcBorders>
              <w:bottom w:val="single" w:color="000000" w:sz="2" w:space="0"/>
            </w:tcBorders>
          </w:tcPr>
          <w:p>
            <w:pPr>
              <w:pStyle w:val="TableText"/>
              <w:ind w:left="180"/>
              <w:spacing w:before="46" w:line="177" w:lineRule="exact"/>
              <w:rPr/>
            </w:pPr>
            <w:r>
              <w:rPr>
                <w:color w:val="231F20"/>
                <w:spacing w:val="4"/>
              </w:rPr>
              <w:t>4.51±0.72</w:t>
            </w:r>
          </w:p>
        </w:tc>
        <w:tc>
          <w:tcPr>
            <w:tcW w:w="929" w:type="dxa"/>
            <w:vAlign w:val="top"/>
            <w:tcBorders>
              <w:bottom w:val="single" w:color="000000" w:sz="2" w:space="0"/>
            </w:tcBorders>
          </w:tcPr>
          <w:p>
            <w:pPr>
              <w:pStyle w:val="TableText"/>
              <w:ind w:left="148"/>
              <w:spacing w:before="46" w:line="177" w:lineRule="exact"/>
              <w:rPr/>
            </w:pPr>
            <w:r>
              <w:rPr>
                <w:color w:val="231F20"/>
                <w:spacing w:val="3"/>
              </w:rPr>
              <w:t>5.47±0.30</w:t>
            </w:r>
          </w:p>
        </w:tc>
      </w:tr>
      <w:tr>
        <w:trPr>
          <w:trHeight w:val="241" w:hRule="atLeast"/>
        </w:trPr>
        <w:tc>
          <w:tcPr>
            <w:tcW w:w="545" w:type="dxa"/>
            <w:vAlign w:val="top"/>
          </w:tcPr>
          <w:p>
            <w:pPr>
              <w:pStyle w:val="TableText"/>
              <w:ind w:left="10"/>
              <w:spacing w:before="45" w:line="228" w:lineRule="auto"/>
              <w:rPr>
                <w:rFonts w:ascii="SimSun" w:hAnsi="SimSun" w:eastAsia="SimSun" w:cs="SimSun"/>
              </w:rPr>
            </w:pPr>
            <w:r>
              <w:rPr>
                <w:i/>
                <w:iCs/>
                <w:color w:val="231F20"/>
                <w:spacing w:val="1"/>
              </w:rPr>
              <w:t>t</w:t>
            </w:r>
            <w:r>
              <w:rPr>
                <w:i/>
                <w:iCs/>
                <w:color w:val="231F20"/>
                <w:spacing w:val="-15"/>
              </w:rPr>
              <w:t xml:space="preserve"> </w:t>
            </w:r>
            <w:r>
              <w:rPr>
                <w:rFonts w:ascii="SimSun" w:hAnsi="SimSun" w:eastAsia="SimSun" w:cs="SimSun"/>
                <w:color w:val="231F20"/>
                <w:spacing w:val="1"/>
              </w:rPr>
              <w:t>值</w:t>
            </w:r>
          </w:p>
        </w:tc>
        <w:tc>
          <w:tcPr>
            <w:tcW w:w="384" w:type="dxa"/>
            <w:vAlign w:val="top"/>
            <w:tcBorders>
              <w:top w:val="single" w:color="000000" w:sz="2" w:space="0"/>
            </w:tcBorders>
          </w:tcPr>
          <w:p>
            <w:pPr>
              <w:spacing w:line="230" w:lineRule="exact"/>
              <w:rPr>
                <w:rFonts w:ascii="Arial"/>
                <w:sz w:val="20"/>
              </w:rPr>
            </w:pPr>
            <w:r/>
          </w:p>
        </w:tc>
        <w:tc>
          <w:tcPr>
            <w:tcW w:w="883" w:type="dxa"/>
            <w:vAlign w:val="top"/>
            <w:tcBorders>
              <w:top w:val="single" w:color="000000" w:sz="2" w:space="0"/>
            </w:tcBorders>
          </w:tcPr>
          <w:p>
            <w:pPr>
              <w:pStyle w:val="TableText"/>
              <w:ind w:left="135"/>
              <w:spacing w:before="40" w:line="177" w:lineRule="exact"/>
              <w:rPr/>
            </w:pPr>
            <w:r>
              <w:rPr>
                <w:color w:val="231F20"/>
                <w:spacing w:val="2"/>
              </w:rPr>
              <w:t>21.211</w:t>
            </w:r>
            <w:r>
              <w:rPr>
                <w:color w:val="231F20"/>
                <w:spacing w:val="15"/>
                <w:w w:val="101"/>
              </w:rPr>
              <w:t xml:space="preserve"> </w:t>
            </w:r>
            <w:r>
              <w:rPr>
                <w:color w:val="231F20"/>
                <w:spacing w:val="2"/>
              </w:rPr>
              <w:t>8</w:t>
            </w:r>
          </w:p>
        </w:tc>
        <w:tc>
          <w:tcPr>
            <w:tcW w:w="887" w:type="dxa"/>
            <w:vAlign w:val="top"/>
            <w:tcBorders>
              <w:top w:val="single" w:color="000000" w:sz="2" w:space="0"/>
            </w:tcBorders>
          </w:tcPr>
          <w:p>
            <w:pPr>
              <w:pStyle w:val="TableText"/>
              <w:ind w:left="181"/>
              <w:spacing w:before="40" w:line="177" w:lineRule="exact"/>
              <w:rPr/>
            </w:pPr>
            <w:r>
              <w:rPr>
                <w:color w:val="231F20"/>
                <w:spacing w:val="4"/>
              </w:rPr>
              <w:t>43.046 4</w:t>
            </w:r>
          </w:p>
        </w:tc>
        <w:tc>
          <w:tcPr>
            <w:tcW w:w="967" w:type="dxa"/>
            <w:vAlign w:val="top"/>
            <w:tcBorders>
              <w:top w:val="single" w:color="000000" w:sz="2" w:space="0"/>
            </w:tcBorders>
          </w:tcPr>
          <w:p>
            <w:pPr>
              <w:pStyle w:val="TableText"/>
              <w:ind w:left="268"/>
              <w:spacing w:before="40" w:line="177" w:lineRule="exact"/>
              <w:rPr/>
            </w:pPr>
            <w:r>
              <w:rPr>
                <w:color w:val="231F20"/>
                <w:spacing w:val="2"/>
              </w:rPr>
              <w:t>6.302</w:t>
            </w:r>
            <w:r>
              <w:rPr>
                <w:color w:val="231F20"/>
                <w:spacing w:val="11"/>
                <w:w w:val="102"/>
              </w:rPr>
              <w:t xml:space="preserve"> </w:t>
            </w:r>
            <w:r>
              <w:rPr>
                <w:color w:val="231F20"/>
                <w:spacing w:val="2"/>
              </w:rPr>
              <w:t>6</w:t>
            </w:r>
          </w:p>
        </w:tc>
        <w:tc>
          <w:tcPr>
            <w:tcW w:w="929" w:type="dxa"/>
            <w:vAlign w:val="top"/>
            <w:tcBorders>
              <w:top w:val="single" w:color="000000" w:sz="2" w:space="0"/>
            </w:tcBorders>
          </w:tcPr>
          <w:p>
            <w:pPr>
              <w:pStyle w:val="TableText"/>
              <w:ind w:left="203"/>
              <w:spacing w:before="40" w:line="177" w:lineRule="exact"/>
              <w:rPr/>
            </w:pPr>
            <w:r>
              <w:rPr>
                <w:color w:val="231F20"/>
                <w:spacing w:val="1"/>
              </w:rPr>
              <w:t>15.907</w:t>
            </w:r>
            <w:r>
              <w:rPr>
                <w:color w:val="231F20"/>
                <w:spacing w:val="9"/>
                <w:w w:val="101"/>
              </w:rPr>
              <w:t xml:space="preserve"> </w:t>
            </w:r>
            <w:r>
              <w:rPr>
                <w:color w:val="231F20"/>
                <w:spacing w:val="1"/>
              </w:rPr>
              <w:t>9</w:t>
            </w:r>
          </w:p>
        </w:tc>
      </w:tr>
      <w:tr>
        <w:trPr>
          <w:trHeight w:val="255" w:hRule="atLeast"/>
        </w:trPr>
        <w:tc>
          <w:tcPr>
            <w:tcW w:w="545" w:type="dxa"/>
            <w:vAlign w:val="top"/>
            <w:tcBorders>
              <w:bottom w:val="single" w:color="000000" w:sz="4" w:space="0"/>
            </w:tcBorders>
          </w:tcPr>
          <w:p>
            <w:pPr>
              <w:pStyle w:val="TableText"/>
              <w:spacing w:before="54" w:line="232" w:lineRule="auto"/>
              <w:rPr>
                <w:rFonts w:ascii="SimSun" w:hAnsi="SimSun" w:eastAsia="SimSun" w:cs="SimSun"/>
              </w:rPr>
            </w:pPr>
            <w:r>
              <w:rPr>
                <w:i/>
                <w:iCs/>
                <w:color w:val="231F20"/>
                <w:spacing w:val="19"/>
              </w:rPr>
              <w:t>P</w:t>
            </w:r>
            <w:r>
              <w:rPr>
                <w:rFonts w:ascii="SimSun" w:hAnsi="SimSun" w:eastAsia="SimSun" w:cs="SimSun"/>
                <w:color w:val="231F20"/>
                <w:spacing w:val="19"/>
              </w:rPr>
              <w:t>值</w:t>
            </w:r>
          </w:p>
        </w:tc>
        <w:tc>
          <w:tcPr>
            <w:tcW w:w="384" w:type="dxa"/>
            <w:vAlign w:val="top"/>
            <w:tcBorders>
              <w:bottom w:val="single" w:color="000000" w:sz="4" w:space="0"/>
            </w:tcBorders>
          </w:tcPr>
          <w:p>
            <w:pPr>
              <w:rPr>
                <w:rFonts w:ascii="Arial"/>
                <w:sz w:val="21"/>
              </w:rPr>
            </w:pPr>
            <w:r/>
          </w:p>
        </w:tc>
        <w:tc>
          <w:tcPr>
            <w:tcW w:w="883" w:type="dxa"/>
            <w:vAlign w:val="top"/>
            <w:tcBorders>
              <w:bottom w:val="single" w:color="000000" w:sz="4" w:space="0"/>
            </w:tcBorders>
          </w:tcPr>
          <w:p>
            <w:pPr>
              <w:pStyle w:val="TableText"/>
              <w:ind w:left="217"/>
              <w:spacing w:before="49" w:line="177" w:lineRule="exact"/>
              <w:rPr/>
            </w:pPr>
            <w:r>
              <w:rPr>
                <w:color w:val="231F20"/>
                <w:spacing w:val="2"/>
              </w:rPr>
              <w:t>0.000</w:t>
            </w:r>
            <w:r>
              <w:rPr>
                <w:color w:val="231F20"/>
                <w:spacing w:val="11"/>
                <w:w w:val="102"/>
              </w:rPr>
              <w:t xml:space="preserve"> </w:t>
            </w:r>
            <w:r>
              <w:rPr>
                <w:color w:val="231F20"/>
                <w:spacing w:val="2"/>
              </w:rPr>
              <w:t>0</w:t>
            </w:r>
          </w:p>
        </w:tc>
        <w:tc>
          <w:tcPr>
            <w:tcW w:w="887" w:type="dxa"/>
            <w:vAlign w:val="top"/>
            <w:tcBorders>
              <w:bottom w:val="single" w:color="000000" w:sz="4" w:space="0"/>
            </w:tcBorders>
          </w:tcPr>
          <w:p>
            <w:pPr>
              <w:pStyle w:val="TableText"/>
              <w:ind w:left="264"/>
              <w:spacing w:before="49" w:line="177" w:lineRule="exact"/>
              <w:rPr/>
            </w:pPr>
            <w:r>
              <w:rPr>
                <w:color w:val="231F20"/>
                <w:spacing w:val="2"/>
              </w:rPr>
              <w:t>0.000</w:t>
            </w:r>
            <w:r>
              <w:rPr>
                <w:color w:val="231F20"/>
                <w:spacing w:val="11"/>
                <w:w w:val="102"/>
              </w:rPr>
              <w:t xml:space="preserve"> </w:t>
            </w:r>
            <w:r>
              <w:rPr>
                <w:color w:val="231F20"/>
                <w:spacing w:val="2"/>
              </w:rPr>
              <w:t>0</w:t>
            </w:r>
          </w:p>
        </w:tc>
        <w:tc>
          <w:tcPr>
            <w:tcW w:w="967" w:type="dxa"/>
            <w:vAlign w:val="top"/>
            <w:tcBorders>
              <w:bottom w:val="single" w:color="000000" w:sz="4" w:space="0"/>
            </w:tcBorders>
          </w:tcPr>
          <w:p>
            <w:pPr>
              <w:pStyle w:val="TableText"/>
              <w:ind w:left="267"/>
              <w:spacing w:before="49" w:line="177" w:lineRule="exact"/>
              <w:rPr/>
            </w:pPr>
            <w:r>
              <w:rPr>
                <w:color w:val="231F20"/>
                <w:spacing w:val="2"/>
              </w:rPr>
              <w:t>0.000</w:t>
            </w:r>
            <w:r>
              <w:rPr>
                <w:color w:val="231F20"/>
                <w:spacing w:val="11"/>
                <w:w w:val="102"/>
              </w:rPr>
              <w:t xml:space="preserve"> </w:t>
            </w:r>
            <w:r>
              <w:rPr>
                <w:color w:val="231F20"/>
                <w:spacing w:val="2"/>
              </w:rPr>
              <w:t>0</w:t>
            </w:r>
          </w:p>
        </w:tc>
        <w:tc>
          <w:tcPr>
            <w:tcW w:w="929" w:type="dxa"/>
            <w:vAlign w:val="top"/>
            <w:tcBorders>
              <w:bottom w:val="single" w:color="000000" w:sz="4" w:space="0"/>
            </w:tcBorders>
          </w:tcPr>
          <w:p>
            <w:pPr>
              <w:pStyle w:val="TableText"/>
              <w:ind w:left="270"/>
              <w:spacing w:before="49" w:line="177" w:lineRule="exact"/>
              <w:rPr/>
            </w:pPr>
            <w:r>
              <w:rPr>
                <w:color w:val="231F20"/>
                <w:spacing w:val="2"/>
              </w:rPr>
              <w:t>0.000</w:t>
            </w:r>
            <w:r>
              <w:rPr>
                <w:color w:val="231F20"/>
                <w:spacing w:val="11"/>
                <w:w w:val="102"/>
              </w:rPr>
              <w:t xml:space="preserve"> </w:t>
            </w:r>
            <w:r>
              <w:rPr>
                <w:color w:val="231F20"/>
                <w:spacing w:val="2"/>
              </w:rPr>
              <w:t>0</w:t>
            </w:r>
          </w:p>
        </w:tc>
      </w:tr>
    </w:tbl>
    <w:p>
      <w:pPr>
        <w:ind w:left="730"/>
        <w:spacing w:before="196" w:line="273" w:lineRule="exact"/>
        <w:outlineLvl w:val="1"/>
        <w:rPr>
          <w:rFonts w:ascii="SimHei" w:hAnsi="SimHei" w:eastAsia="SimHei" w:cs="SimHei"/>
          <w:sz w:val="20"/>
          <w:szCs w:val="20"/>
        </w:rPr>
      </w:pPr>
      <w:r>
        <w:rPr>
          <w:rFonts w:ascii="SimHei" w:hAnsi="SimHei" w:eastAsia="SimHei" w:cs="SimHei"/>
          <w:sz w:val="20"/>
          <w:szCs w:val="20"/>
          <w:color w:val="231F20"/>
          <w:spacing w:val="8"/>
          <w:position w:val="1"/>
        </w:rPr>
        <w:t>3</w:t>
      </w:r>
      <w:r>
        <w:rPr>
          <w:rFonts w:ascii="SimHei" w:hAnsi="SimHei" w:eastAsia="SimHei" w:cs="SimHei"/>
          <w:sz w:val="20"/>
          <w:szCs w:val="20"/>
          <w:color w:val="231F20"/>
          <w:spacing w:val="23"/>
          <w:position w:val="1"/>
        </w:rPr>
        <w:t xml:space="preserve"> </w:t>
      </w:r>
      <w:r>
        <w:rPr>
          <w:rFonts w:ascii="SimHei" w:hAnsi="SimHei" w:eastAsia="SimHei" w:cs="SimHei"/>
          <w:sz w:val="20"/>
          <w:szCs w:val="20"/>
          <w:color w:val="231F20"/>
          <w:spacing w:val="8"/>
          <w:position w:val="1"/>
        </w:rPr>
        <w:t>讨论</w:t>
      </w:r>
    </w:p>
    <w:p>
      <w:pPr>
        <w:pStyle w:val="BodyText"/>
        <w:ind w:left="734" w:right="327" w:firstLine="426"/>
        <w:spacing w:before="149" w:line="291" w:lineRule="auto"/>
        <w:jc w:val="both"/>
        <w:rPr>
          <w:sz w:val="20"/>
          <w:szCs w:val="20"/>
        </w:rPr>
      </w:pPr>
      <w:r>
        <w:rPr>
          <w:sz w:val="20"/>
          <w:szCs w:val="20"/>
          <w:color w:val="231F20"/>
          <w:spacing w:val="8"/>
        </w:rPr>
        <w:t>急性肠胃炎在胃肠道疾病中发病率较高，发病</w:t>
      </w:r>
      <w:r>
        <w:rPr>
          <w:sz w:val="20"/>
          <w:szCs w:val="20"/>
          <w:color w:val="231F20"/>
          <w:spacing w:val="13"/>
        </w:rPr>
        <w:t xml:space="preserve"> </w:t>
      </w:r>
      <w:r>
        <w:rPr>
          <w:sz w:val="20"/>
          <w:szCs w:val="20"/>
          <w:color w:val="231F20"/>
          <w:spacing w:val="9"/>
        </w:rPr>
        <w:t>原因多与患者自身身体机能有关，且易受外界因素</w:t>
      </w:r>
      <w:r>
        <w:rPr>
          <w:sz w:val="20"/>
          <w:szCs w:val="20"/>
          <w:color w:val="231F20"/>
          <w:spacing w:val="1"/>
        </w:rPr>
        <w:t xml:space="preserve"> </w:t>
      </w:r>
      <w:r>
        <w:rPr>
          <w:sz w:val="20"/>
          <w:szCs w:val="20"/>
          <w:color w:val="231F20"/>
          <w:spacing w:val="9"/>
        </w:rPr>
        <w:t>影响，引起患者急性发病。急性肠胃炎发作会使患</w:t>
      </w:r>
      <w:r>
        <w:rPr>
          <w:sz w:val="20"/>
          <w:szCs w:val="20"/>
          <w:color w:val="231F20"/>
          <w:spacing w:val="1"/>
        </w:rPr>
        <w:t xml:space="preserve"> </w:t>
      </w:r>
      <w:r>
        <w:rPr>
          <w:sz w:val="20"/>
          <w:szCs w:val="20"/>
          <w:color w:val="231F20"/>
          <w:spacing w:val="9"/>
        </w:rPr>
        <w:t>者出现呕吐、腹泻、腹部位置疼痛、进食障碍等状</w:t>
      </w:r>
      <w:r>
        <w:rPr>
          <w:sz w:val="20"/>
          <w:szCs w:val="20"/>
          <w:color w:val="231F20"/>
          <w:spacing w:val="1"/>
        </w:rPr>
        <w:t xml:space="preserve"> </w:t>
      </w:r>
      <w:r>
        <w:rPr>
          <w:sz w:val="20"/>
          <w:szCs w:val="20"/>
          <w:color w:val="231F20"/>
          <w:spacing w:val="9"/>
        </w:rPr>
        <w:t>况，增加患者痛苦，极易造成患者发生机体微循环</w:t>
      </w:r>
      <w:r>
        <w:rPr>
          <w:sz w:val="20"/>
          <w:szCs w:val="20"/>
          <w:color w:val="231F20"/>
          <w:spacing w:val="1"/>
        </w:rPr>
        <w:t xml:space="preserve"> </w:t>
      </w:r>
      <w:r>
        <w:rPr>
          <w:sz w:val="20"/>
          <w:szCs w:val="20"/>
          <w:color w:val="231F20"/>
          <w:spacing w:val="9"/>
        </w:rPr>
        <w:t>紊乱及酸碱失衡、脱水现象，严重影响患者工作与</w:t>
      </w:r>
      <w:r>
        <w:rPr>
          <w:sz w:val="20"/>
          <w:szCs w:val="20"/>
          <w:color w:val="231F20"/>
          <w:spacing w:val="1"/>
        </w:rPr>
        <w:t xml:space="preserve"> </w:t>
      </w:r>
      <w:r>
        <w:rPr>
          <w:sz w:val="20"/>
          <w:szCs w:val="20"/>
          <w:color w:val="231F20"/>
          <w:spacing w:val="14"/>
        </w:rPr>
        <w:t>生活</w:t>
      </w:r>
      <w:r>
        <w:rPr>
          <w:rFonts w:ascii="Times New Roman" w:hAnsi="Times New Roman" w:eastAsia="Times New Roman" w:cs="Times New Roman"/>
          <w:sz w:val="10"/>
          <w:szCs w:val="10"/>
          <w:color w:val="231F20"/>
          <w:spacing w:val="14"/>
          <w:position w:val="8"/>
        </w:rPr>
        <w:t>[3-4] </w:t>
      </w:r>
      <w:r>
        <w:rPr>
          <w:sz w:val="20"/>
          <w:szCs w:val="20"/>
          <w:color w:val="231F20"/>
          <w:spacing w:val="14"/>
        </w:rPr>
        <w:t>。临床上对急性肠胃炎的治疗多以静脉注</w:t>
      </w:r>
      <w:r>
        <w:rPr>
          <w:sz w:val="20"/>
          <w:szCs w:val="20"/>
          <w:color w:val="231F20"/>
          <w:spacing w:val="10"/>
        </w:rPr>
        <w:t xml:space="preserve"> </w:t>
      </w:r>
      <w:r>
        <w:rPr>
          <w:sz w:val="20"/>
          <w:szCs w:val="20"/>
          <w:color w:val="231F20"/>
          <w:spacing w:val="9"/>
        </w:rPr>
        <w:t>射和口服药物制剂两种形式，针对性的调节并控制</w:t>
      </w:r>
      <w:r>
        <w:rPr>
          <w:sz w:val="20"/>
          <w:szCs w:val="20"/>
          <w:color w:val="231F20"/>
          <w:spacing w:val="1"/>
        </w:rPr>
        <w:t xml:space="preserve"> </w:t>
      </w:r>
      <w:r>
        <w:rPr>
          <w:sz w:val="20"/>
          <w:szCs w:val="20"/>
          <w:color w:val="231F20"/>
          <w:spacing w:val="9"/>
        </w:rPr>
        <w:t>患者胃肠道功能紊乱现象，降低患者胃肠道菌群紊</w:t>
      </w:r>
      <w:r>
        <w:rPr>
          <w:sz w:val="20"/>
          <w:szCs w:val="20"/>
          <w:color w:val="231F20"/>
          <w:spacing w:val="1"/>
        </w:rPr>
        <w:t xml:space="preserve"> </w:t>
      </w:r>
      <w:r>
        <w:rPr>
          <w:sz w:val="20"/>
          <w:szCs w:val="20"/>
          <w:color w:val="231F20"/>
          <w:spacing w:val="9"/>
        </w:rPr>
        <w:t>乱现象，以此减轻患者痛苦感受，有效治疗患者急</w:t>
      </w:r>
    </w:p>
    <w:p>
      <w:pPr>
        <w:pStyle w:val="BodyText"/>
        <w:ind w:left="734"/>
        <w:spacing w:before="1" w:line="230" w:lineRule="auto"/>
        <w:rPr>
          <w:sz w:val="20"/>
          <w:szCs w:val="20"/>
        </w:rPr>
      </w:pPr>
      <w:r>
        <w:rPr>
          <w:sz w:val="20"/>
          <w:szCs w:val="20"/>
          <w:color w:val="231F20"/>
          <w:spacing w:val="4"/>
          <w:position w:val="-2"/>
        </w:rPr>
        <w:t>性肠胃炎</w:t>
      </w:r>
      <w:r>
        <w:rPr>
          <w:rFonts w:ascii="Times New Roman" w:hAnsi="Times New Roman" w:eastAsia="Times New Roman" w:cs="Times New Roman"/>
          <w:sz w:val="10"/>
          <w:szCs w:val="10"/>
          <w:color w:val="231F20"/>
          <w:spacing w:val="4"/>
          <w:position w:val="6"/>
        </w:rPr>
        <w:t>[5-6]</w:t>
      </w:r>
      <w:r>
        <w:rPr>
          <w:sz w:val="20"/>
          <w:szCs w:val="20"/>
          <w:color w:val="231F20"/>
          <w:spacing w:val="4"/>
          <w:position w:val="-2"/>
        </w:rPr>
        <w:t>。</w:t>
      </w:r>
    </w:p>
    <w:p>
      <w:pPr>
        <w:pStyle w:val="BodyText"/>
        <w:ind w:left="732" w:right="327" w:firstLine="427"/>
        <w:spacing w:before="72" w:line="283" w:lineRule="auto"/>
        <w:jc w:val="both"/>
        <w:rPr>
          <w:sz w:val="20"/>
          <w:szCs w:val="20"/>
        </w:rPr>
      </w:pPr>
      <w:r>
        <w:rPr>
          <w:sz w:val="20"/>
          <w:szCs w:val="20"/>
          <w:color w:val="231F20"/>
          <w:spacing w:val="19"/>
        </w:rPr>
        <w:t>复方嗜酸乳杆菌片通过分解糖类产生乳酸提</w:t>
      </w:r>
      <w:r>
        <w:rPr>
          <w:sz w:val="20"/>
          <w:szCs w:val="20"/>
          <w:color w:val="231F20"/>
          <w:spacing w:val="13"/>
        </w:rPr>
        <w:t xml:space="preserve"> </w:t>
      </w:r>
      <w:r>
        <w:rPr>
          <w:sz w:val="20"/>
          <w:szCs w:val="20"/>
          <w:color w:val="231F20"/>
          <w:spacing w:val="9"/>
        </w:rPr>
        <w:t>高患者肠道酸度，对患者胃肠道致病菌群具有抑制</w:t>
      </w:r>
      <w:r>
        <w:rPr>
          <w:sz w:val="20"/>
          <w:szCs w:val="20"/>
          <w:color w:val="231F20"/>
          <w:spacing w:val="3"/>
        </w:rPr>
        <w:t xml:space="preserve"> </w:t>
      </w:r>
      <w:r>
        <w:rPr>
          <w:sz w:val="20"/>
          <w:szCs w:val="20"/>
          <w:color w:val="231F20"/>
          <w:spacing w:val="19"/>
        </w:rPr>
        <w:t>作用，从而显著改善肠道功能紊乱及急性腹泻状</w:t>
      </w:r>
      <w:r>
        <w:rPr>
          <w:sz w:val="20"/>
          <w:szCs w:val="20"/>
          <w:color w:val="231F20"/>
          <w:spacing w:val="2"/>
        </w:rPr>
        <w:t xml:space="preserve"> </w:t>
      </w:r>
      <w:r>
        <w:rPr>
          <w:sz w:val="20"/>
          <w:szCs w:val="20"/>
          <w:color w:val="231F20"/>
          <w:spacing w:val="10"/>
        </w:rPr>
        <w:t>态</w:t>
      </w:r>
      <w:r>
        <w:rPr>
          <w:rFonts w:ascii="Times New Roman" w:hAnsi="Times New Roman" w:eastAsia="Times New Roman" w:cs="Times New Roman"/>
          <w:sz w:val="10"/>
          <w:szCs w:val="10"/>
          <w:color w:val="231F20"/>
          <w:spacing w:val="10"/>
          <w:position w:val="8"/>
        </w:rPr>
        <w:t>[7] </w:t>
      </w:r>
      <w:r>
        <w:rPr>
          <w:sz w:val="20"/>
          <w:szCs w:val="20"/>
          <w:color w:val="231F20"/>
          <w:spacing w:val="10"/>
        </w:rPr>
        <w:t>。奥美拉唑肠溶片作为质子泵抑制剂，可在高</w:t>
      </w:r>
      <w:r>
        <w:rPr>
          <w:sz w:val="20"/>
          <w:szCs w:val="20"/>
          <w:color w:val="231F20"/>
          <w:spacing w:val="9"/>
        </w:rPr>
        <w:t xml:space="preserve"> </w:t>
      </w:r>
      <w:r>
        <w:rPr>
          <w:sz w:val="20"/>
          <w:szCs w:val="20"/>
          <w:color w:val="231F20"/>
          <w:spacing w:val="9"/>
        </w:rPr>
        <w:t>浓度酸性环境发挥药效，转化为亚磺酰胺，通过与</w:t>
      </w:r>
      <w:r>
        <w:rPr>
          <w:sz w:val="20"/>
          <w:szCs w:val="20"/>
          <w:color w:val="231F20"/>
          <w:spacing w:val="3"/>
        </w:rPr>
        <w:t xml:space="preserve"> </w:t>
      </w:r>
      <w:r>
        <w:rPr>
          <w:sz w:val="20"/>
          <w:szCs w:val="20"/>
          <w:color w:val="231F20"/>
          <w:spacing w:val="9"/>
        </w:rPr>
        <w:t>质子泵巯基间的不可逆组合，形成聚硫酰胺与质子</w:t>
      </w:r>
      <w:r>
        <w:rPr>
          <w:sz w:val="20"/>
          <w:szCs w:val="20"/>
          <w:color w:val="231F20"/>
          <w:spacing w:val="3"/>
        </w:rPr>
        <w:t xml:space="preserve"> </w:t>
      </w:r>
      <w:r>
        <w:rPr>
          <w:sz w:val="20"/>
          <w:szCs w:val="20"/>
          <w:color w:val="231F20"/>
          <w:spacing w:val="9"/>
        </w:rPr>
        <w:t>泵复合物，以此阻断胃酸过度分泌，且奥美拉唑肠</w:t>
      </w:r>
      <w:r>
        <w:rPr>
          <w:sz w:val="20"/>
          <w:szCs w:val="20"/>
          <w:color w:val="231F20"/>
          <w:spacing w:val="3"/>
        </w:rPr>
        <w:t xml:space="preserve"> </w:t>
      </w:r>
      <w:r>
        <w:rPr>
          <w:sz w:val="20"/>
          <w:szCs w:val="20"/>
          <w:color w:val="231F20"/>
          <w:spacing w:val="9"/>
        </w:rPr>
        <w:t>溶片采用肠道吸收的方式给药，经血液循环，到达</w:t>
      </w:r>
      <w:r>
        <w:rPr>
          <w:sz w:val="20"/>
          <w:szCs w:val="20"/>
          <w:color w:val="231F20"/>
          <w:spacing w:val="3"/>
        </w:rPr>
        <w:t xml:space="preserve"> </w:t>
      </w:r>
      <w:r>
        <w:rPr>
          <w:sz w:val="20"/>
          <w:szCs w:val="20"/>
          <w:color w:val="231F20"/>
          <w:spacing w:val="6"/>
        </w:rPr>
        <w:t>患者病灶，药物起效速度更快</w:t>
      </w:r>
      <w:r>
        <w:rPr>
          <w:rFonts w:ascii="Times New Roman" w:hAnsi="Times New Roman" w:eastAsia="Times New Roman" w:cs="Times New Roman"/>
          <w:sz w:val="10"/>
          <w:szCs w:val="10"/>
          <w:color w:val="231F20"/>
          <w:spacing w:val="6"/>
          <w:position w:val="8"/>
        </w:rPr>
        <w:t>[8-9] </w:t>
      </w:r>
      <w:r>
        <w:rPr>
          <w:sz w:val="20"/>
          <w:szCs w:val="20"/>
          <w:color w:val="231F20"/>
          <w:spacing w:val="6"/>
        </w:rPr>
        <w:t>。在对急性肠胃炎</w:t>
      </w:r>
      <w:r>
        <w:rPr>
          <w:sz w:val="20"/>
          <w:szCs w:val="20"/>
          <w:color w:val="231F20"/>
          <w:spacing w:val="14"/>
        </w:rPr>
        <w:t xml:space="preserve"> </w:t>
      </w:r>
      <w:r>
        <w:rPr>
          <w:sz w:val="20"/>
          <w:szCs w:val="20"/>
          <w:color w:val="231F20"/>
          <w:spacing w:val="9"/>
        </w:rPr>
        <w:t>患者治疗过程中，采用复方嗜酸乳杆菌片联合奥美</w:t>
      </w:r>
      <w:r>
        <w:rPr>
          <w:sz w:val="20"/>
          <w:szCs w:val="20"/>
          <w:color w:val="231F20"/>
          <w:spacing w:val="3"/>
        </w:rPr>
        <w:t xml:space="preserve"> </w:t>
      </w:r>
      <w:r>
        <w:rPr>
          <w:sz w:val="20"/>
          <w:szCs w:val="20"/>
          <w:color w:val="231F20"/>
          <w:spacing w:val="9"/>
        </w:rPr>
        <w:t>拉唑肠溶片进行治疗，能显著减轻患者急性肠胃炎</w:t>
      </w:r>
      <w:r>
        <w:rPr>
          <w:sz w:val="20"/>
          <w:szCs w:val="20"/>
          <w:color w:val="231F20"/>
          <w:spacing w:val="3"/>
        </w:rPr>
        <w:t xml:space="preserve"> </w:t>
      </w:r>
      <w:r>
        <w:rPr>
          <w:sz w:val="20"/>
          <w:szCs w:val="20"/>
          <w:color w:val="231F20"/>
        </w:rPr>
        <w:t>症状，降低患者痛苦感受，增强患者胃肠道功能，促</w:t>
      </w:r>
      <w:r>
        <w:rPr>
          <w:sz w:val="20"/>
          <w:szCs w:val="20"/>
          <w:color w:val="231F20"/>
          <w:spacing w:val="1"/>
        </w:rPr>
        <w:t xml:space="preserve"> </w:t>
      </w:r>
      <w:r>
        <w:rPr>
          <w:sz w:val="20"/>
          <w:szCs w:val="20"/>
          <w:color w:val="231F20"/>
          <w:spacing w:val="3"/>
        </w:rPr>
        <w:t>进胃肠道恢复效率，在治疗中药用效果显著</w:t>
      </w:r>
      <w:r>
        <w:rPr>
          <w:rFonts w:ascii="Times New Roman" w:hAnsi="Times New Roman" w:eastAsia="Times New Roman" w:cs="Times New Roman"/>
          <w:sz w:val="10"/>
          <w:szCs w:val="10"/>
          <w:color w:val="231F20"/>
          <w:spacing w:val="3"/>
          <w:position w:val="8"/>
        </w:rPr>
        <w:t>[10]</w:t>
      </w:r>
      <w:r>
        <w:rPr>
          <w:sz w:val="20"/>
          <w:szCs w:val="20"/>
          <w:color w:val="231F20"/>
          <w:spacing w:val="3"/>
        </w:rPr>
        <w:t>。</w:t>
      </w:r>
    </w:p>
    <w:p>
      <w:pPr>
        <w:spacing w:line="14" w:lineRule="auto"/>
        <w:rPr>
          <w:rFonts w:ascii="Arial"/>
          <w:sz w:val="2"/>
        </w:rPr>
      </w:pPr>
      <w:r>
        <w:rPr>
          <w:rFonts w:ascii="Arial" w:hAnsi="Arial" w:eastAsia="Arial" w:cs="Arial"/>
          <w:sz w:val="2"/>
          <w:szCs w:val="2"/>
        </w:rPr>
        <w:br w:type="column"/>
      </w:r>
    </w:p>
    <w:p>
      <w:pPr>
        <w:pStyle w:val="BodyText"/>
        <w:ind w:firstLine="421"/>
        <w:spacing w:before="49" w:line="290" w:lineRule="auto"/>
        <w:jc w:val="both"/>
        <w:rPr>
          <w:sz w:val="20"/>
          <w:szCs w:val="20"/>
        </w:rPr>
      </w:pPr>
      <w:r>
        <w:rPr>
          <w:sz w:val="20"/>
          <w:szCs w:val="20"/>
          <w:color w:val="231F20"/>
          <w:spacing w:val="-10"/>
        </w:rPr>
        <w:t>本研究结果显示，治疗后，实验组恶心呕吐、</w:t>
      </w:r>
      <w:r>
        <w:rPr>
          <w:sz w:val="20"/>
          <w:szCs w:val="20"/>
          <w:color w:val="231F20"/>
          <w:spacing w:val="-11"/>
        </w:rPr>
        <w:t>食欲</w:t>
      </w:r>
      <w:r>
        <w:rPr>
          <w:sz w:val="20"/>
          <w:szCs w:val="20"/>
          <w:color w:val="231F20"/>
        </w:rPr>
        <w:t xml:space="preserve"> </w:t>
      </w:r>
      <w:r>
        <w:rPr>
          <w:sz w:val="20"/>
          <w:szCs w:val="20"/>
          <w:color w:val="231F20"/>
          <w:spacing w:val="3"/>
        </w:rPr>
        <w:t>不振、腹痛腹泻等临床症状评分均显著高于</w:t>
      </w:r>
      <w:r>
        <w:rPr>
          <w:sz w:val="20"/>
          <w:szCs w:val="20"/>
          <w:color w:val="231F20"/>
          <w:spacing w:val="2"/>
        </w:rPr>
        <w:t>常规组，</w:t>
      </w:r>
      <w:r>
        <w:rPr>
          <w:sz w:val="20"/>
          <w:szCs w:val="20"/>
          <w:color w:val="231F20"/>
        </w:rPr>
        <w:t xml:space="preserve"> </w:t>
      </w:r>
      <w:r>
        <w:rPr>
          <w:sz w:val="20"/>
          <w:szCs w:val="20"/>
          <w:color w:val="231F20"/>
          <w:spacing w:val="6"/>
        </w:rPr>
        <w:t>差异有统计学意义（</w:t>
      </w:r>
      <w:r>
        <w:rPr>
          <w:rFonts w:ascii="Times New Roman" w:hAnsi="Times New Roman" w:eastAsia="Times New Roman" w:cs="Times New Roman"/>
          <w:sz w:val="20"/>
          <w:szCs w:val="20"/>
          <w:i/>
          <w:iCs/>
          <w:color w:val="231F20"/>
          <w:spacing w:val="6"/>
        </w:rPr>
        <w:t>P</w:t>
      </w:r>
      <w:r>
        <w:rPr>
          <w:sz w:val="20"/>
          <w:szCs w:val="20"/>
          <w:color w:val="231F20"/>
          <w:spacing w:val="6"/>
        </w:rPr>
        <w:t>＜</w:t>
      </w:r>
      <w:r>
        <w:rPr>
          <w:rFonts w:ascii="Times New Roman" w:hAnsi="Times New Roman" w:eastAsia="Times New Roman" w:cs="Times New Roman"/>
          <w:sz w:val="20"/>
          <w:szCs w:val="20"/>
          <w:color w:val="231F20"/>
          <w:spacing w:val="6"/>
        </w:rPr>
        <w:t>0.05</w:t>
      </w:r>
      <w:r>
        <w:rPr>
          <w:sz w:val="20"/>
          <w:szCs w:val="20"/>
          <w:color w:val="231F20"/>
          <w:spacing w:val="-34"/>
          <w:w w:val="63"/>
        </w:rPr>
        <w:t>）；</w:t>
      </w:r>
      <w:r>
        <w:rPr>
          <w:sz w:val="20"/>
          <w:szCs w:val="20"/>
          <w:color w:val="231F20"/>
          <w:spacing w:val="6"/>
        </w:rPr>
        <w:t>实验组不良反应发生</w:t>
      </w:r>
      <w:r>
        <w:rPr>
          <w:sz w:val="20"/>
          <w:szCs w:val="20"/>
          <w:color w:val="231F20"/>
        </w:rPr>
        <w:t xml:space="preserve"> </w:t>
      </w:r>
      <w:r>
        <w:rPr>
          <w:sz w:val="20"/>
          <w:szCs w:val="20"/>
          <w:color w:val="231F20"/>
          <w:spacing w:val="-2"/>
        </w:rPr>
        <w:t>率显著低于常规组，差异有统计学意义（</w:t>
      </w:r>
      <w:r>
        <w:rPr>
          <w:rFonts w:ascii="Times New Roman" w:hAnsi="Times New Roman" w:eastAsia="Times New Roman" w:cs="Times New Roman"/>
          <w:sz w:val="20"/>
          <w:szCs w:val="20"/>
          <w:i/>
          <w:iCs/>
          <w:color w:val="231F20"/>
          <w:spacing w:val="-2"/>
        </w:rPr>
        <w:t>P</w:t>
      </w:r>
      <w:r>
        <w:rPr>
          <w:sz w:val="20"/>
          <w:szCs w:val="20"/>
          <w:color w:val="231F20"/>
          <w:spacing w:val="-2"/>
        </w:rPr>
        <w:t>＜</w:t>
      </w:r>
      <w:r>
        <w:rPr>
          <w:rFonts w:ascii="Times New Roman" w:hAnsi="Times New Roman" w:eastAsia="Times New Roman" w:cs="Times New Roman"/>
          <w:sz w:val="20"/>
          <w:szCs w:val="20"/>
          <w:color w:val="231F20"/>
          <w:spacing w:val="-2"/>
        </w:rPr>
        <w:t>0.05</w:t>
      </w:r>
      <w:r>
        <w:rPr>
          <w:sz w:val="20"/>
          <w:szCs w:val="20"/>
          <w:color w:val="231F20"/>
          <w:spacing w:val="-32"/>
          <w:w w:val="60"/>
        </w:rPr>
        <w:t>）；</w:t>
      </w:r>
      <w:r>
        <w:rPr>
          <w:sz w:val="20"/>
          <w:szCs w:val="20"/>
          <w:color w:val="231F20"/>
          <w:spacing w:val="-2"/>
        </w:rPr>
        <w:t>实</w:t>
      </w:r>
      <w:r>
        <w:rPr>
          <w:sz w:val="20"/>
          <w:szCs w:val="20"/>
          <w:color w:val="231F20"/>
          <w:spacing w:val="2"/>
        </w:rPr>
        <w:t xml:space="preserve"> </w:t>
      </w:r>
      <w:r>
        <w:rPr>
          <w:sz w:val="20"/>
          <w:szCs w:val="20"/>
          <w:color w:val="231F20"/>
        </w:rPr>
        <w:t>验组治疗总有效率显著高于常规组，差异有统计学意 </w:t>
      </w:r>
      <w:r>
        <w:rPr>
          <w:sz w:val="20"/>
          <w:szCs w:val="20"/>
          <w:color w:val="231F20"/>
          <w:spacing w:val="-2"/>
        </w:rPr>
        <w:t>义（</w:t>
      </w:r>
      <w:r>
        <w:rPr>
          <w:rFonts w:ascii="Times New Roman" w:hAnsi="Times New Roman" w:eastAsia="Times New Roman" w:cs="Times New Roman"/>
          <w:sz w:val="20"/>
          <w:szCs w:val="20"/>
          <w:i/>
          <w:iCs/>
          <w:color w:val="231F20"/>
          <w:spacing w:val="-2"/>
        </w:rPr>
        <w:t>P</w:t>
      </w:r>
      <w:r>
        <w:rPr>
          <w:sz w:val="20"/>
          <w:szCs w:val="20"/>
          <w:color w:val="231F20"/>
          <w:spacing w:val="-2"/>
        </w:rPr>
        <w:t>＜</w:t>
      </w:r>
      <w:r>
        <w:rPr>
          <w:rFonts w:ascii="Times New Roman" w:hAnsi="Times New Roman" w:eastAsia="Times New Roman" w:cs="Times New Roman"/>
          <w:sz w:val="20"/>
          <w:szCs w:val="20"/>
          <w:color w:val="231F20"/>
          <w:spacing w:val="-2"/>
        </w:rPr>
        <w:t>0.05</w:t>
      </w:r>
      <w:r>
        <w:rPr>
          <w:sz w:val="20"/>
          <w:szCs w:val="20"/>
          <w:color w:val="231F20"/>
          <w:spacing w:val="-32"/>
          <w:w w:val="60"/>
        </w:rPr>
        <w:t>）；</w:t>
      </w:r>
      <w:r>
        <w:rPr>
          <w:sz w:val="20"/>
          <w:szCs w:val="20"/>
          <w:color w:val="231F20"/>
          <w:spacing w:val="-2"/>
        </w:rPr>
        <w:t>实验组病情状态、消化系统功能评分均</w:t>
      </w:r>
      <w:r>
        <w:rPr>
          <w:sz w:val="20"/>
          <w:szCs w:val="20"/>
          <w:color w:val="231F20"/>
          <w:spacing w:val="2"/>
        </w:rPr>
        <w:t xml:space="preserve"> </w:t>
      </w:r>
      <w:r>
        <w:rPr>
          <w:sz w:val="20"/>
          <w:szCs w:val="20"/>
          <w:color w:val="231F20"/>
        </w:rPr>
        <w:t>显著高于常规组，治疗时间、住院时间均显著短于常 </w:t>
      </w:r>
      <w:r>
        <w:rPr>
          <w:sz w:val="20"/>
          <w:szCs w:val="20"/>
          <w:color w:val="231F20"/>
          <w:spacing w:val="-2"/>
        </w:rPr>
        <w:t>规组，差异有统计学意义（</w:t>
      </w:r>
      <w:r>
        <w:rPr>
          <w:rFonts w:ascii="Times New Roman" w:hAnsi="Times New Roman" w:eastAsia="Times New Roman" w:cs="Times New Roman"/>
          <w:sz w:val="20"/>
          <w:szCs w:val="20"/>
          <w:i/>
          <w:iCs/>
          <w:color w:val="231F20"/>
          <w:spacing w:val="-2"/>
        </w:rPr>
        <w:t>P</w:t>
      </w:r>
      <w:r>
        <w:rPr>
          <w:sz w:val="20"/>
          <w:szCs w:val="20"/>
          <w:color w:val="231F20"/>
          <w:spacing w:val="-2"/>
        </w:rPr>
        <w:t>＜</w:t>
      </w:r>
      <w:r>
        <w:rPr>
          <w:rFonts w:ascii="Times New Roman" w:hAnsi="Times New Roman" w:eastAsia="Times New Roman" w:cs="Times New Roman"/>
          <w:sz w:val="20"/>
          <w:szCs w:val="20"/>
          <w:color w:val="231F20"/>
          <w:spacing w:val="-2"/>
        </w:rPr>
        <w:t>0.05</w:t>
      </w:r>
      <w:r>
        <w:rPr>
          <w:sz w:val="20"/>
          <w:szCs w:val="20"/>
          <w:color w:val="231F20"/>
          <w:spacing w:val="-32"/>
          <w:w w:val="60"/>
        </w:rPr>
        <w:t>），</w:t>
      </w:r>
      <w:r>
        <w:rPr>
          <w:sz w:val="20"/>
          <w:szCs w:val="20"/>
          <w:color w:val="231F20"/>
          <w:spacing w:val="-2"/>
        </w:rPr>
        <w:t>表明复方嗜酸乳</w:t>
      </w:r>
      <w:r>
        <w:rPr>
          <w:sz w:val="20"/>
          <w:szCs w:val="20"/>
          <w:color w:val="231F20"/>
          <w:spacing w:val="2"/>
        </w:rPr>
        <w:t xml:space="preserve"> </w:t>
      </w:r>
      <w:r>
        <w:rPr>
          <w:sz w:val="20"/>
          <w:szCs w:val="20"/>
          <w:color w:val="231F20"/>
          <w:spacing w:val="3"/>
        </w:rPr>
        <w:t>杆菌片与奥美拉唑肠溶片联合治疗急性肠胃</w:t>
      </w:r>
      <w:r>
        <w:rPr>
          <w:sz w:val="20"/>
          <w:szCs w:val="20"/>
          <w:color w:val="231F20"/>
          <w:spacing w:val="2"/>
        </w:rPr>
        <w:t>炎患者，</w:t>
      </w:r>
      <w:r>
        <w:rPr>
          <w:sz w:val="20"/>
          <w:szCs w:val="20"/>
          <w:color w:val="231F20"/>
        </w:rPr>
        <w:t xml:space="preserve"> </w:t>
      </w:r>
      <w:r>
        <w:rPr>
          <w:sz w:val="20"/>
          <w:szCs w:val="20"/>
          <w:color w:val="231F20"/>
          <w:spacing w:val="3"/>
        </w:rPr>
        <w:t>可有效控制患者病情，保障治疗时效性。</w:t>
      </w:r>
    </w:p>
    <w:p>
      <w:pPr>
        <w:pStyle w:val="BodyText"/>
        <w:ind w:right="65" w:firstLine="423"/>
        <w:spacing w:before="11" w:line="291" w:lineRule="auto"/>
        <w:jc w:val="both"/>
        <w:rPr>
          <w:sz w:val="20"/>
          <w:szCs w:val="20"/>
        </w:rPr>
      </w:pPr>
      <w:r>
        <w:rPr>
          <w:sz w:val="20"/>
          <w:szCs w:val="20"/>
          <w:color w:val="231F20"/>
          <w:spacing w:val="-1"/>
        </w:rPr>
        <w:t>综上所述，复方嗜酸乳杆菌片联合奥美拉唑</w:t>
      </w:r>
      <w:r>
        <w:rPr>
          <w:sz w:val="20"/>
          <w:szCs w:val="20"/>
          <w:color w:val="231F20"/>
          <w:spacing w:val="-2"/>
        </w:rPr>
        <w:t>肠溶</w:t>
      </w:r>
      <w:r>
        <w:rPr>
          <w:sz w:val="20"/>
          <w:szCs w:val="20"/>
          <w:color w:val="231F20"/>
        </w:rPr>
        <w:t xml:space="preserve"> </w:t>
      </w:r>
      <w:r>
        <w:rPr>
          <w:sz w:val="20"/>
          <w:szCs w:val="20"/>
          <w:color w:val="231F20"/>
        </w:rPr>
        <w:t>片治疗急性肠胃炎患者，能有效控制患者胃肠道功能 </w:t>
      </w:r>
      <w:r>
        <w:rPr>
          <w:sz w:val="20"/>
          <w:szCs w:val="20"/>
          <w:color w:val="231F20"/>
        </w:rPr>
        <w:t>紊乱现象，缩短患者治疗时间，显著促进患者恢复治 </w:t>
      </w:r>
      <w:r>
        <w:rPr>
          <w:sz w:val="20"/>
          <w:szCs w:val="20"/>
          <w:color w:val="231F20"/>
        </w:rPr>
        <w:t>疗效率及治疗时效性，对保障患者预后生活质量及身 </w:t>
      </w:r>
      <w:r>
        <w:rPr>
          <w:sz w:val="20"/>
          <w:szCs w:val="20"/>
          <w:color w:val="231F20"/>
          <w:spacing w:val="3"/>
        </w:rPr>
        <w:t>体机能具有重要意义，值得临床推广应用。</w:t>
      </w:r>
    </w:p>
    <w:p>
      <w:pPr>
        <w:spacing w:before="305" w:line="271" w:lineRule="exact"/>
        <w:rPr>
          <w:rFonts w:ascii="SimHei" w:hAnsi="SimHei" w:eastAsia="SimHei" w:cs="SimHei"/>
          <w:sz w:val="20"/>
          <w:szCs w:val="20"/>
        </w:rPr>
      </w:pPr>
      <w:r>
        <w:rPr>
          <w:rFonts w:ascii="SimHei" w:hAnsi="SimHei" w:eastAsia="SimHei" w:cs="SimHei"/>
          <w:sz w:val="20"/>
          <w:szCs w:val="20"/>
          <w:color w:val="231F20"/>
          <w:spacing w:val="7"/>
          <w:position w:val="1"/>
        </w:rPr>
        <w:t>参考文献</w:t>
      </w:r>
    </w:p>
    <w:p>
      <w:pPr>
        <w:pStyle w:val="BodyText"/>
        <w:ind w:left="353" w:right="65" w:hanging="348"/>
        <w:spacing w:before="47" w:line="279" w:lineRule="auto"/>
        <w:rPr>
          <w:rFonts w:ascii="Times New Roman" w:hAnsi="Times New Roman" w:eastAsia="Times New Roman" w:cs="Times New Roman"/>
        </w:rPr>
      </w:pPr>
      <w:r>
        <w:rPr>
          <w:rFonts w:ascii="Times New Roman" w:hAnsi="Times New Roman" w:eastAsia="Times New Roman" w:cs="Times New Roman"/>
          <w:color w:val="231F20"/>
          <w:spacing w:val="9"/>
        </w:rPr>
        <w:t>[1]    </w:t>
      </w:r>
      <w:r>
        <w:rPr>
          <w:color w:val="231F20"/>
          <w:spacing w:val="9"/>
        </w:rPr>
        <w:t>齐鑫</w:t>
      </w:r>
      <w:r>
        <w:rPr>
          <w:rFonts w:ascii="Times New Roman" w:hAnsi="Times New Roman" w:eastAsia="Times New Roman" w:cs="Times New Roman"/>
          <w:color w:val="231F20"/>
          <w:spacing w:val="9"/>
        </w:rPr>
        <w:t>,</w:t>
      </w:r>
      <w:r>
        <w:rPr>
          <w:color w:val="231F20"/>
          <w:spacing w:val="9"/>
        </w:rPr>
        <w:t>吴芳</w:t>
      </w:r>
      <w:r>
        <w:rPr>
          <w:color w:val="231F20"/>
          <w:spacing w:val="-42"/>
        </w:rPr>
        <w:t xml:space="preserve"> </w:t>
      </w:r>
      <w:r>
        <w:rPr>
          <w:rFonts w:ascii="Times New Roman" w:hAnsi="Times New Roman" w:eastAsia="Times New Roman" w:cs="Times New Roman"/>
          <w:color w:val="231F20"/>
          <w:spacing w:val="9"/>
        </w:rPr>
        <w:t>.</w:t>
      </w:r>
      <w:r>
        <w:rPr>
          <w:rFonts w:ascii="Times New Roman" w:hAnsi="Times New Roman" w:eastAsia="Times New Roman" w:cs="Times New Roman"/>
          <w:color w:val="231F20"/>
          <w:spacing w:val="-5"/>
        </w:rPr>
        <w:t xml:space="preserve"> </w:t>
      </w:r>
      <w:r>
        <w:rPr>
          <w:color w:val="231F20"/>
          <w:spacing w:val="9"/>
        </w:rPr>
        <w:t>奥美拉唑治疗消化性溃疡</w:t>
      </w:r>
      <w:r>
        <w:rPr>
          <w:rFonts w:ascii="Times New Roman" w:hAnsi="Times New Roman" w:eastAsia="Times New Roman" w:cs="Times New Roman"/>
          <w:color w:val="231F20"/>
          <w:spacing w:val="9"/>
        </w:rPr>
        <w:t>25</w:t>
      </w:r>
      <w:r>
        <w:rPr>
          <w:color w:val="231F20"/>
          <w:spacing w:val="9"/>
        </w:rPr>
        <w:t>例临床</w:t>
      </w:r>
      <w:r>
        <w:rPr>
          <w:color w:val="231F20"/>
          <w:spacing w:val="8"/>
        </w:rPr>
        <w:t>分析</w:t>
      </w:r>
      <w:r>
        <w:rPr>
          <w:rFonts w:ascii="Times New Roman" w:hAnsi="Times New Roman" w:eastAsia="Times New Roman" w:cs="Times New Roman"/>
          <w:color w:val="231F20"/>
          <w:spacing w:val="8"/>
        </w:rPr>
        <w:t>[J].</w:t>
      </w:r>
      <w:r>
        <w:rPr>
          <w:color w:val="231F20"/>
          <w:spacing w:val="8"/>
        </w:rPr>
        <w:t>当代医</w:t>
      </w:r>
      <w:r>
        <w:rPr>
          <w:color w:val="231F20"/>
        </w:rPr>
        <w:t xml:space="preserve"> </w:t>
      </w:r>
      <w:r>
        <w:rPr>
          <w:color w:val="231F20"/>
          <w:spacing w:val="3"/>
        </w:rPr>
        <w:t>学</w:t>
      </w:r>
      <w:r>
        <w:rPr>
          <w:rFonts w:ascii="Times New Roman" w:hAnsi="Times New Roman" w:eastAsia="Times New Roman" w:cs="Times New Roman"/>
          <w:color w:val="231F20"/>
          <w:spacing w:val="3"/>
        </w:rPr>
        <w:t>,2018,24(1):112-113.</w:t>
      </w:r>
    </w:p>
    <w:p>
      <w:pPr>
        <w:pStyle w:val="BodyText"/>
        <w:ind w:left="5"/>
        <w:spacing w:before="76" w:line="235" w:lineRule="auto"/>
        <w:rPr>
          <w:rFonts w:ascii="Times New Roman" w:hAnsi="Times New Roman" w:eastAsia="Times New Roman" w:cs="Times New Roman"/>
        </w:rPr>
      </w:pPr>
      <w:r>
        <w:rPr>
          <w:rFonts w:ascii="Times New Roman" w:hAnsi="Times New Roman" w:eastAsia="Times New Roman" w:cs="Times New Roman"/>
          <w:color w:val="231F20"/>
          <w:spacing w:val="6"/>
        </w:rPr>
        <w:t>[2]    </w:t>
      </w:r>
      <w:r>
        <w:rPr>
          <w:color w:val="231F20"/>
          <w:spacing w:val="6"/>
        </w:rPr>
        <w:t>杨琴</w:t>
      </w:r>
      <w:r>
        <w:rPr>
          <w:color w:val="231F20"/>
          <w:spacing w:val="-28"/>
        </w:rPr>
        <w:t xml:space="preserve"> </w:t>
      </w:r>
      <w:r>
        <w:rPr>
          <w:rFonts w:ascii="Times New Roman" w:hAnsi="Times New Roman" w:eastAsia="Times New Roman" w:cs="Times New Roman"/>
          <w:color w:val="231F20"/>
          <w:spacing w:val="6"/>
        </w:rPr>
        <w:t>.</w:t>
      </w:r>
      <w:r>
        <w:rPr>
          <w:rFonts w:ascii="Times New Roman" w:hAnsi="Times New Roman" w:eastAsia="Times New Roman" w:cs="Times New Roman"/>
          <w:color w:val="231F20"/>
          <w:spacing w:val="-12"/>
        </w:rPr>
        <w:t xml:space="preserve"> </w:t>
      </w:r>
      <w:r>
        <w:rPr>
          <w:color w:val="231F20"/>
          <w:spacing w:val="6"/>
        </w:rPr>
        <w:t>对比奥美拉唑与阿莫西林对于胃溃疡治疗的临床效果</w:t>
      </w:r>
      <w:r>
        <w:rPr>
          <w:rFonts w:ascii="Times New Roman" w:hAnsi="Times New Roman" w:eastAsia="Times New Roman" w:cs="Times New Roman"/>
          <w:color w:val="231F20"/>
          <w:spacing w:val="6"/>
        </w:rPr>
        <w:t>[J].</w:t>
      </w:r>
    </w:p>
    <w:p>
      <w:pPr>
        <w:pStyle w:val="BodyText"/>
        <w:ind w:left="360"/>
        <w:spacing w:before="74" w:line="232" w:lineRule="auto"/>
        <w:rPr>
          <w:rFonts w:ascii="Times New Roman" w:hAnsi="Times New Roman" w:eastAsia="Times New Roman" w:cs="Times New Roman"/>
        </w:rPr>
      </w:pPr>
      <w:r>
        <w:rPr>
          <w:color w:val="231F20"/>
          <w:spacing w:val="5"/>
        </w:rPr>
        <w:t>当代医学</w:t>
      </w:r>
      <w:r>
        <w:rPr>
          <w:rFonts w:ascii="Times New Roman" w:hAnsi="Times New Roman" w:eastAsia="Times New Roman" w:cs="Times New Roman"/>
          <w:color w:val="231F20"/>
          <w:spacing w:val="5"/>
        </w:rPr>
        <w:t>,2017,23(33):36</w:t>
      </w:r>
      <w:r>
        <w:rPr>
          <w:rFonts w:ascii="Times New Roman" w:hAnsi="Times New Roman" w:eastAsia="Times New Roman" w:cs="Times New Roman"/>
          <w:color w:val="231F20"/>
          <w:spacing w:val="4"/>
        </w:rPr>
        <w:t>-38.</w:t>
      </w:r>
    </w:p>
    <w:p>
      <w:pPr>
        <w:pStyle w:val="BodyText"/>
        <w:ind w:left="347" w:right="65" w:hanging="342"/>
        <w:spacing w:before="76" w:line="315" w:lineRule="auto"/>
        <w:rPr>
          <w:rFonts w:ascii="Times New Roman" w:hAnsi="Times New Roman" w:eastAsia="Times New Roman" w:cs="Times New Roman"/>
        </w:rPr>
      </w:pPr>
      <w:r>
        <w:rPr>
          <w:rFonts w:ascii="Times New Roman" w:hAnsi="Times New Roman" w:eastAsia="Times New Roman" w:cs="Times New Roman"/>
          <w:color w:val="231F20"/>
          <w:spacing w:val="8"/>
        </w:rPr>
        <w:t>[3]    </w:t>
      </w:r>
      <w:r>
        <w:rPr>
          <w:color w:val="231F20"/>
          <w:spacing w:val="8"/>
        </w:rPr>
        <w:t>陈永超</w:t>
      </w:r>
      <w:r>
        <w:rPr>
          <w:color w:val="231F20"/>
          <w:spacing w:val="-42"/>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11"/>
        </w:rPr>
        <w:t xml:space="preserve"> </w:t>
      </w:r>
      <w:r>
        <w:rPr>
          <w:color w:val="231F20"/>
          <w:spacing w:val="8"/>
        </w:rPr>
        <w:t>采用奥美拉唑肠溶片与复方嗜酸乳杆菌片联合方式对</w:t>
      </w:r>
      <w:r>
        <w:rPr>
          <w:color w:val="231F20"/>
        </w:rPr>
        <w:t xml:space="preserve"> </w:t>
      </w:r>
      <w:r>
        <w:rPr>
          <w:color w:val="231F20"/>
          <w:spacing w:val="9"/>
        </w:rPr>
        <w:t>急性肠胃炎患者实施治疗的效果分析</w:t>
      </w:r>
      <w:r>
        <w:rPr>
          <w:rFonts w:ascii="Times New Roman" w:hAnsi="Times New Roman" w:eastAsia="Times New Roman" w:cs="Times New Roman"/>
          <w:color w:val="231F20"/>
          <w:spacing w:val="9"/>
        </w:rPr>
        <w:t>[J].</w:t>
      </w:r>
      <w:r>
        <w:rPr>
          <w:color w:val="231F20"/>
          <w:spacing w:val="9"/>
        </w:rPr>
        <w:t>医学信息</w:t>
      </w:r>
      <w:r>
        <w:rPr>
          <w:rFonts w:ascii="Times New Roman" w:hAnsi="Times New Roman" w:eastAsia="Times New Roman" w:cs="Times New Roman"/>
          <w:color w:val="231F20"/>
          <w:spacing w:val="9"/>
        </w:rPr>
        <w:t>,20</w:t>
      </w:r>
      <w:r>
        <w:rPr>
          <w:rFonts w:ascii="Times New Roman" w:hAnsi="Times New Roman" w:eastAsia="Times New Roman" w:cs="Times New Roman"/>
          <w:color w:val="231F20"/>
          <w:spacing w:val="8"/>
        </w:rPr>
        <w:t>16,29(4):</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4"/>
        </w:rPr>
        <w:t>260-261.</w:t>
      </w:r>
    </w:p>
    <w:p>
      <w:pPr>
        <w:pStyle w:val="BodyText"/>
        <w:ind w:left="368" w:right="65" w:hanging="363"/>
        <w:spacing w:before="57" w:line="281" w:lineRule="auto"/>
        <w:rPr>
          <w:rFonts w:ascii="Times New Roman" w:hAnsi="Times New Roman" w:eastAsia="Times New Roman" w:cs="Times New Roman"/>
        </w:rPr>
      </w:pPr>
      <w:r>
        <w:rPr>
          <w:rFonts w:ascii="Times New Roman" w:hAnsi="Times New Roman" w:eastAsia="Times New Roman" w:cs="Times New Roman"/>
          <w:color w:val="231F20"/>
          <w:spacing w:val="8"/>
        </w:rPr>
        <w:t>[4]    </w:t>
      </w:r>
      <w:r>
        <w:rPr>
          <w:color w:val="231F20"/>
          <w:spacing w:val="8"/>
        </w:rPr>
        <w:t>朱珍妮</w:t>
      </w:r>
      <w:r>
        <w:rPr>
          <w:rFonts w:ascii="Times New Roman" w:hAnsi="Times New Roman" w:eastAsia="Times New Roman" w:cs="Times New Roman"/>
          <w:color w:val="231F20"/>
          <w:spacing w:val="8"/>
        </w:rPr>
        <w:t>,</w:t>
      </w:r>
      <w:r>
        <w:rPr>
          <w:color w:val="231F20"/>
          <w:spacing w:val="8"/>
        </w:rPr>
        <w:t>胡赤军</w:t>
      </w:r>
      <w:r>
        <w:rPr>
          <w:rFonts w:ascii="Times New Roman" w:hAnsi="Times New Roman" w:eastAsia="Times New Roman" w:cs="Times New Roman"/>
          <w:color w:val="231F20"/>
          <w:spacing w:val="8"/>
        </w:rPr>
        <w:t>,</w:t>
      </w:r>
      <w:r>
        <w:rPr>
          <w:color w:val="231F20"/>
          <w:spacing w:val="8"/>
        </w:rPr>
        <w:t>鲁明</w:t>
      </w:r>
      <w:r>
        <w:rPr>
          <w:rFonts w:ascii="Times New Roman" w:hAnsi="Times New Roman" w:eastAsia="Times New Roman" w:cs="Times New Roman"/>
          <w:color w:val="231F20"/>
          <w:spacing w:val="8"/>
        </w:rPr>
        <w:t>,</w:t>
      </w:r>
      <w:r>
        <w:rPr>
          <w:color w:val="231F20"/>
          <w:spacing w:val="8"/>
        </w:rPr>
        <w:t>等</w:t>
      </w:r>
      <w:r>
        <w:rPr>
          <w:color w:val="231F20"/>
          <w:spacing w:val="-23"/>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8"/>
        </w:rPr>
        <w:t xml:space="preserve"> </w:t>
      </w:r>
      <w:r>
        <w:rPr>
          <w:color w:val="231F20"/>
          <w:spacing w:val="8"/>
        </w:rPr>
        <w:t>益生菌联合标准治疗方案根除儿童幽</w:t>
      </w:r>
      <w:r>
        <w:rPr>
          <w:color w:val="231F20"/>
        </w:rPr>
        <w:t xml:space="preserve"> </w:t>
      </w:r>
      <w:r>
        <w:rPr>
          <w:color w:val="231F20"/>
          <w:spacing w:val="13"/>
        </w:rPr>
        <w:t>门螺旋杆菌的疗效分析</w:t>
      </w:r>
      <w:r>
        <w:rPr>
          <w:rFonts w:ascii="Times New Roman" w:hAnsi="Times New Roman" w:eastAsia="Times New Roman" w:cs="Times New Roman"/>
          <w:color w:val="231F20"/>
          <w:spacing w:val="13"/>
        </w:rPr>
        <w:t>[J].</w:t>
      </w:r>
      <w:r>
        <w:rPr>
          <w:rFonts w:ascii="Times New Roman" w:hAnsi="Times New Roman" w:eastAsia="Times New Roman" w:cs="Times New Roman"/>
          <w:color w:val="231F20"/>
          <w:spacing w:val="23"/>
          <w:w w:val="102"/>
        </w:rPr>
        <w:t xml:space="preserve"> </w:t>
      </w:r>
      <w:r>
        <w:rPr>
          <w:color w:val="231F20"/>
          <w:spacing w:val="13"/>
        </w:rPr>
        <w:t>中华实用儿科临床杂志</w:t>
      </w:r>
      <w:r>
        <w:rPr>
          <w:rFonts w:ascii="Times New Roman" w:hAnsi="Times New Roman" w:eastAsia="Times New Roman" w:cs="Times New Roman"/>
          <w:color w:val="231F20"/>
          <w:spacing w:val="13"/>
        </w:rPr>
        <w:t>,</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color w:val="231F20"/>
          <w:spacing w:val="13"/>
        </w:rPr>
        <w:t>2019,</w:t>
      </w:r>
      <w:r>
        <w:rPr>
          <w:rFonts w:ascii="Times New Roman" w:hAnsi="Times New Roman" w:eastAsia="Times New Roman" w:cs="Times New Roman"/>
          <w:color w:val="231F20"/>
          <w:spacing w:val="-19"/>
        </w:rPr>
        <w:t xml:space="preserve"> </w:t>
      </w:r>
      <w:r>
        <w:rPr>
          <w:rFonts w:ascii="Times New Roman" w:hAnsi="Times New Roman" w:eastAsia="Times New Roman" w:cs="Times New Roman"/>
          <w:color w:val="231F20"/>
          <w:spacing w:val="13"/>
        </w:rPr>
        <w:t>34</w:t>
      </w:r>
    </w:p>
    <w:p>
      <w:pPr>
        <w:ind w:left="351"/>
        <w:spacing w:before="74" w:line="17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4"/>
          <w:position w:val="2"/>
        </w:rPr>
        <w:t>(19):1454-1457.</w:t>
      </w:r>
    </w:p>
    <w:p>
      <w:pPr>
        <w:pStyle w:val="BodyText"/>
        <w:ind w:left="353" w:right="65" w:hanging="348"/>
        <w:spacing w:before="87" w:line="315" w:lineRule="auto"/>
        <w:rPr>
          <w:rFonts w:ascii="Times New Roman" w:hAnsi="Times New Roman" w:eastAsia="Times New Roman" w:cs="Times New Roman"/>
        </w:rPr>
      </w:pPr>
      <w:r>
        <w:rPr>
          <w:rFonts w:ascii="Times New Roman" w:hAnsi="Times New Roman" w:eastAsia="Times New Roman" w:cs="Times New Roman"/>
          <w:color w:val="231F20"/>
          <w:spacing w:val="11"/>
        </w:rPr>
        <w:t>[5]    </w:t>
      </w:r>
      <w:r>
        <w:rPr>
          <w:color w:val="231F20"/>
          <w:spacing w:val="11"/>
        </w:rPr>
        <w:t>李建芝</w:t>
      </w:r>
      <w:r>
        <w:rPr>
          <w:rFonts w:ascii="Times New Roman" w:hAnsi="Times New Roman" w:eastAsia="Times New Roman" w:cs="Times New Roman"/>
          <w:color w:val="231F20"/>
          <w:spacing w:val="11"/>
        </w:rPr>
        <w:t>,</w:t>
      </w:r>
      <w:r>
        <w:rPr>
          <w:rFonts w:ascii="Times New Roman" w:hAnsi="Times New Roman" w:eastAsia="Times New Roman" w:cs="Times New Roman"/>
          <w:color w:val="231F20"/>
          <w:spacing w:val="-22"/>
        </w:rPr>
        <w:t xml:space="preserve"> </w:t>
      </w:r>
      <w:r>
        <w:rPr>
          <w:color w:val="231F20"/>
          <w:spacing w:val="11"/>
        </w:rPr>
        <w:t>高鹏</w:t>
      </w:r>
      <w:r>
        <w:rPr>
          <w:color w:val="231F20"/>
          <w:spacing w:val="-38"/>
        </w:rPr>
        <w:t xml:space="preserve"> </w:t>
      </w:r>
      <w:r>
        <w:rPr>
          <w:rFonts w:ascii="Times New Roman" w:hAnsi="Times New Roman" w:eastAsia="Times New Roman" w:cs="Times New Roman"/>
          <w:color w:val="231F20"/>
          <w:spacing w:val="11"/>
        </w:rPr>
        <w:t>.</w:t>
      </w:r>
      <w:r>
        <w:rPr>
          <w:rFonts w:ascii="Times New Roman" w:hAnsi="Times New Roman" w:eastAsia="Times New Roman" w:cs="Times New Roman"/>
          <w:color w:val="231F20"/>
          <w:spacing w:val="-7"/>
        </w:rPr>
        <w:t xml:space="preserve"> </w:t>
      </w:r>
      <w:r>
        <w:rPr>
          <w:color w:val="231F20"/>
          <w:spacing w:val="11"/>
        </w:rPr>
        <w:t>枫蓼肠胃康片联</w:t>
      </w:r>
      <w:r>
        <w:rPr>
          <w:color w:val="231F20"/>
          <w:spacing w:val="10"/>
        </w:rPr>
        <w:t>合奥美拉唑和复方嗜酸乳杆菌</w:t>
      </w:r>
      <w:r>
        <w:rPr>
          <w:color w:val="231F20"/>
        </w:rPr>
        <w:t xml:space="preserve"> </w:t>
      </w:r>
      <w:r>
        <w:rPr>
          <w:color w:val="231F20"/>
          <w:spacing w:val="13"/>
        </w:rPr>
        <w:t>治疗急性胃肠炎的临床研究</w:t>
      </w:r>
      <w:r>
        <w:rPr>
          <w:rFonts w:ascii="Times New Roman" w:hAnsi="Times New Roman" w:eastAsia="Times New Roman" w:cs="Times New Roman"/>
          <w:color w:val="231F20"/>
          <w:spacing w:val="13"/>
        </w:rPr>
        <w:t>[J].</w:t>
      </w:r>
      <w:r>
        <w:rPr>
          <w:color w:val="231F20"/>
          <w:spacing w:val="13"/>
        </w:rPr>
        <w:t>现代药物与临</w:t>
      </w:r>
      <w:r>
        <w:rPr>
          <w:color w:val="231F20"/>
          <w:spacing w:val="12"/>
        </w:rPr>
        <w:t>床</w:t>
      </w:r>
      <w:r>
        <w:rPr>
          <w:rFonts w:ascii="Times New Roman" w:hAnsi="Times New Roman" w:eastAsia="Times New Roman" w:cs="Times New Roman"/>
          <w:color w:val="231F20"/>
          <w:spacing w:val="12"/>
        </w:rPr>
        <w:t>,2016,</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spacing w:val="12"/>
        </w:rPr>
        <w:t>31(8):</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3"/>
        </w:rPr>
        <w:t>1201-1204.</w:t>
      </w:r>
    </w:p>
    <w:p>
      <w:pPr>
        <w:pStyle w:val="BodyText"/>
        <w:ind w:left="349" w:right="65" w:hanging="344"/>
        <w:spacing w:before="58" w:line="279" w:lineRule="auto"/>
        <w:rPr>
          <w:rFonts w:ascii="Times New Roman" w:hAnsi="Times New Roman" w:eastAsia="Times New Roman" w:cs="Times New Roman"/>
        </w:rPr>
      </w:pPr>
      <w:r>
        <w:rPr>
          <w:rFonts w:ascii="Times New Roman" w:hAnsi="Times New Roman" w:eastAsia="Times New Roman" w:cs="Times New Roman"/>
          <w:color w:val="231F20"/>
          <w:spacing w:val="8"/>
        </w:rPr>
        <w:t>[6]    </w:t>
      </w:r>
      <w:r>
        <w:rPr>
          <w:color w:val="231F20"/>
          <w:spacing w:val="8"/>
        </w:rPr>
        <w:t>秦旭</w:t>
      </w:r>
      <w:r>
        <w:rPr>
          <w:color w:val="231F20"/>
          <w:spacing w:val="-43"/>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6"/>
        </w:rPr>
        <w:t xml:space="preserve"> </w:t>
      </w:r>
      <w:r>
        <w:rPr>
          <w:color w:val="231F20"/>
          <w:spacing w:val="8"/>
        </w:rPr>
        <w:t>奥美拉唑肠溶片与复方嗜酸乳杆菌片联合用药</w:t>
      </w:r>
      <w:r>
        <w:rPr>
          <w:color w:val="231F20"/>
          <w:spacing w:val="7"/>
        </w:rPr>
        <w:t>治疗急性</w:t>
      </w:r>
      <w:r>
        <w:rPr>
          <w:color w:val="231F20"/>
        </w:rPr>
        <w:t xml:space="preserve"> </w:t>
      </w:r>
      <w:r>
        <w:rPr>
          <w:color w:val="231F20"/>
          <w:spacing w:val="6"/>
        </w:rPr>
        <w:t>肠胃炎的疗效评价</w:t>
      </w:r>
      <w:r>
        <w:rPr>
          <w:rFonts w:ascii="Times New Roman" w:hAnsi="Times New Roman" w:eastAsia="Times New Roman" w:cs="Times New Roman"/>
          <w:color w:val="231F20"/>
          <w:spacing w:val="6"/>
        </w:rPr>
        <w:t>[J].</w:t>
      </w:r>
      <w:r>
        <w:rPr>
          <w:color w:val="231F20"/>
          <w:spacing w:val="6"/>
        </w:rPr>
        <w:t>医学食疗与健康</w:t>
      </w:r>
      <w:r>
        <w:rPr>
          <w:rFonts w:ascii="Times New Roman" w:hAnsi="Times New Roman" w:eastAsia="Times New Roman" w:cs="Times New Roman"/>
          <w:color w:val="231F20"/>
          <w:spacing w:val="6"/>
        </w:rPr>
        <w:t>,2020,</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6"/>
        </w:rPr>
        <w:t>18(23):68-69.</w:t>
      </w:r>
    </w:p>
    <w:p>
      <w:pPr>
        <w:pStyle w:val="BodyText"/>
        <w:ind w:left="347" w:right="65" w:hanging="342"/>
        <w:spacing w:before="76" w:line="302" w:lineRule="auto"/>
        <w:rPr>
          <w:rFonts w:ascii="Times New Roman" w:hAnsi="Times New Roman" w:eastAsia="Times New Roman" w:cs="Times New Roman"/>
        </w:rPr>
      </w:pPr>
      <w:r>
        <w:rPr>
          <w:rFonts w:ascii="Times New Roman" w:hAnsi="Times New Roman" w:eastAsia="Times New Roman" w:cs="Times New Roman"/>
          <w:color w:val="231F20"/>
          <w:spacing w:val="7"/>
        </w:rPr>
        <w:t>[7]    </w:t>
      </w:r>
      <w:r>
        <w:rPr>
          <w:color w:val="231F20"/>
          <w:spacing w:val="7"/>
        </w:rPr>
        <w:t>秦晓纲</w:t>
      </w:r>
      <w:r>
        <w:rPr>
          <w:color w:val="231F20"/>
          <w:spacing w:val="-35"/>
        </w:rPr>
        <w:t xml:space="preserve"> </w:t>
      </w:r>
      <w:r>
        <w:rPr>
          <w:rFonts w:ascii="Times New Roman" w:hAnsi="Times New Roman" w:eastAsia="Times New Roman" w:cs="Times New Roman"/>
          <w:color w:val="231F20"/>
          <w:spacing w:val="7"/>
        </w:rPr>
        <w:t>.</w:t>
      </w:r>
      <w:r>
        <w:rPr>
          <w:rFonts w:ascii="Times New Roman" w:hAnsi="Times New Roman" w:eastAsia="Times New Roman" w:cs="Times New Roman"/>
          <w:color w:val="231F20"/>
          <w:spacing w:val="16"/>
          <w:w w:val="102"/>
        </w:rPr>
        <w:t xml:space="preserve"> </w:t>
      </w:r>
      <w:r>
        <w:rPr>
          <w:color w:val="231F20"/>
          <w:spacing w:val="7"/>
        </w:rPr>
        <w:t>自拟疏肝清胃方联合奥美拉唑肠溶片对非糜烂性反流</w:t>
      </w:r>
      <w:r>
        <w:rPr>
          <w:color w:val="231F20"/>
        </w:rPr>
        <w:t xml:space="preserve"> </w:t>
      </w:r>
      <w:r>
        <w:rPr>
          <w:color w:val="231F20"/>
          <w:spacing w:val="14"/>
        </w:rPr>
        <w:t>病患者胃肠激素及生存质量的影响</w:t>
      </w:r>
      <w:r>
        <w:rPr>
          <w:rFonts w:ascii="Times New Roman" w:hAnsi="Times New Roman" w:eastAsia="Times New Roman" w:cs="Times New Roman"/>
          <w:color w:val="231F20"/>
          <w:spacing w:val="14"/>
        </w:rPr>
        <w:t>[J].</w:t>
      </w:r>
      <w:r>
        <w:rPr>
          <w:color w:val="231F20"/>
          <w:spacing w:val="14"/>
        </w:rPr>
        <w:t>现代中西医结合杂志</w:t>
      </w:r>
      <w:r>
        <w:rPr>
          <w:rFonts w:ascii="Times New Roman" w:hAnsi="Times New Roman" w:eastAsia="Times New Roman" w:cs="Times New Roman"/>
          <w:color w:val="231F20"/>
          <w:spacing w:val="14"/>
        </w:rPr>
        <w:t>,</w:t>
      </w:r>
      <w:r>
        <w:rPr>
          <w:rFonts w:ascii="Times New Roman" w:hAnsi="Times New Roman" w:eastAsia="Times New Roman" w:cs="Times New Roman"/>
          <w:color w:val="231F20"/>
          <w:spacing w:val="13"/>
        </w:rPr>
        <w:t xml:space="preserve"> </w:t>
      </w:r>
      <w:r>
        <w:rPr>
          <w:rFonts w:ascii="Times New Roman" w:hAnsi="Times New Roman" w:eastAsia="Times New Roman" w:cs="Times New Roman"/>
          <w:color w:val="231F20"/>
          <w:spacing w:val="4"/>
        </w:rPr>
        <w:t>2018,27(35):3945-3947.</w:t>
      </w:r>
    </w:p>
    <w:p>
      <w:pPr>
        <w:pStyle w:val="BodyText"/>
        <w:ind w:left="353" w:right="65" w:hanging="348"/>
        <w:spacing w:before="87" w:line="315" w:lineRule="auto"/>
        <w:rPr>
          <w:rFonts w:ascii="Times New Roman" w:hAnsi="Times New Roman" w:eastAsia="Times New Roman" w:cs="Times New Roman"/>
        </w:rPr>
      </w:pPr>
      <w:r>
        <w:rPr>
          <w:rFonts w:ascii="Times New Roman" w:hAnsi="Times New Roman" w:eastAsia="Times New Roman" w:cs="Times New Roman"/>
          <w:color w:val="231F20"/>
          <w:spacing w:val="11"/>
        </w:rPr>
        <w:t>[8]    </w:t>
      </w:r>
      <w:r>
        <w:rPr>
          <w:color w:val="231F20"/>
          <w:spacing w:val="11"/>
        </w:rPr>
        <w:t>李建芝</w:t>
      </w:r>
      <w:r>
        <w:rPr>
          <w:rFonts w:ascii="Times New Roman" w:hAnsi="Times New Roman" w:eastAsia="Times New Roman" w:cs="Times New Roman"/>
          <w:color w:val="231F20"/>
          <w:spacing w:val="11"/>
        </w:rPr>
        <w:t>,</w:t>
      </w:r>
      <w:r>
        <w:rPr>
          <w:rFonts w:ascii="Times New Roman" w:hAnsi="Times New Roman" w:eastAsia="Times New Roman" w:cs="Times New Roman"/>
          <w:color w:val="231F20"/>
          <w:spacing w:val="-22"/>
        </w:rPr>
        <w:t xml:space="preserve"> </w:t>
      </w:r>
      <w:r>
        <w:rPr>
          <w:color w:val="231F20"/>
          <w:spacing w:val="11"/>
        </w:rPr>
        <w:t>高鹏</w:t>
      </w:r>
      <w:r>
        <w:rPr>
          <w:color w:val="231F20"/>
          <w:spacing w:val="-38"/>
        </w:rPr>
        <w:t xml:space="preserve"> </w:t>
      </w:r>
      <w:r>
        <w:rPr>
          <w:rFonts w:ascii="Times New Roman" w:hAnsi="Times New Roman" w:eastAsia="Times New Roman" w:cs="Times New Roman"/>
          <w:color w:val="231F20"/>
          <w:spacing w:val="11"/>
        </w:rPr>
        <w:t>.</w:t>
      </w:r>
      <w:r>
        <w:rPr>
          <w:rFonts w:ascii="Times New Roman" w:hAnsi="Times New Roman" w:eastAsia="Times New Roman" w:cs="Times New Roman"/>
          <w:color w:val="231F20"/>
          <w:spacing w:val="-7"/>
        </w:rPr>
        <w:t xml:space="preserve"> </w:t>
      </w:r>
      <w:r>
        <w:rPr>
          <w:color w:val="231F20"/>
          <w:spacing w:val="11"/>
        </w:rPr>
        <w:t>枫蓼肠胃康片联</w:t>
      </w:r>
      <w:r>
        <w:rPr>
          <w:color w:val="231F20"/>
          <w:spacing w:val="10"/>
        </w:rPr>
        <w:t>合奥美拉唑和复方嗜酸乳杆菌</w:t>
      </w:r>
      <w:r>
        <w:rPr>
          <w:color w:val="231F20"/>
        </w:rPr>
        <w:t xml:space="preserve"> </w:t>
      </w:r>
      <w:r>
        <w:rPr>
          <w:color w:val="231F20"/>
          <w:spacing w:val="13"/>
        </w:rPr>
        <w:t>治疗急性胃肠炎的临床研究</w:t>
      </w:r>
      <w:r>
        <w:rPr>
          <w:rFonts w:ascii="Times New Roman" w:hAnsi="Times New Roman" w:eastAsia="Times New Roman" w:cs="Times New Roman"/>
          <w:color w:val="231F20"/>
          <w:spacing w:val="13"/>
        </w:rPr>
        <w:t>[J].</w:t>
      </w:r>
      <w:r>
        <w:rPr>
          <w:color w:val="231F20"/>
          <w:spacing w:val="13"/>
        </w:rPr>
        <w:t>现代药物与临</w:t>
      </w:r>
      <w:r>
        <w:rPr>
          <w:color w:val="231F20"/>
          <w:spacing w:val="12"/>
        </w:rPr>
        <w:t>床</w:t>
      </w:r>
      <w:r>
        <w:rPr>
          <w:rFonts w:ascii="Times New Roman" w:hAnsi="Times New Roman" w:eastAsia="Times New Roman" w:cs="Times New Roman"/>
          <w:color w:val="231F20"/>
          <w:spacing w:val="12"/>
        </w:rPr>
        <w:t>,2016,</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spacing w:val="12"/>
        </w:rPr>
        <w:t>31(8):</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3"/>
        </w:rPr>
        <w:t>1201-1204.</w:t>
      </w:r>
    </w:p>
    <w:p>
      <w:pPr>
        <w:pStyle w:val="BodyText"/>
        <w:ind w:left="353" w:right="65" w:hanging="348"/>
        <w:spacing w:before="57" w:line="279" w:lineRule="auto"/>
        <w:rPr>
          <w:rFonts w:ascii="Times New Roman" w:hAnsi="Times New Roman" w:eastAsia="Times New Roman" w:cs="Times New Roman"/>
        </w:rPr>
      </w:pPr>
      <w:r>
        <w:rPr>
          <w:rFonts w:ascii="Times New Roman" w:hAnsi="Times New Roman" w:eastAsia="Times New Roman" w:cs="Times New Roman"/>
          <w:color w:val="231F20"/>
          <w:spacing w:val="11"/>
        </w:rPr>
        <w:t>[9]    </w:t>
      </w:r>
      <w:r>
        <w:rPr>
          <w:color w:val="231F20"/>
          <w:spacing w:val="11"/>
        </w:rPr>
        <w:t>周长怀</w:t>
      </w:r>
      <w:r>
        <w:rPr>
          <w:rFonts w:ascii="Times New Roman" w:hAnsi="Times New Roman" w:eastAsia="Times New Roman" w:cs="Times New Roman"/>
          <w:color w:val="231F20"/>
          <w:spacing w:val="11"/>
        </w:rPr>
        <w:t>,</w:t>
      </w:r>
      <w:r>
        <w:rPr>
          <w:color w:val="231F20"/>
          <w:spacing w:val="11"/>
        </w:rPr>
        <w:t>石光莲</w:t>
      </w:r>
      <w:r>
        <w:rPr>
          <w:color w:val="231F20"/>
          <w:spacing w:val="-38"/>
        </w:rPr>
        <w:t xml:space="preserve"> </w:t>
      </w:r>
      <w:r>
        <w:rPr>
          <w:rFonts w:ascii="Times New Roman" w:hAnsi="Times New Roman" w:eastAsia="Times New Roman" w:cs="Times New Roman"/>
          <w:color w:val="231F20"/>
          <w:spacing w:val="11"/>
        </w:rPr>
        <w:t>. </w:t>
      </w:r>
      <w:r>
        <w:rPr>
          <w:color w:val="231F20"/>
          <w:spacing w:val="11"/>
        </w:rPr>
        <w:t>四联方案</w:t>
      </w:r>
      <w:r>
        <w:rPr>
          <w:color w:val="231F20"/>
          <w:spacing w:val="10"/>
        </w:rPr>
        <w:t>对小儿幽门螺杆菌阳性胃炎近期疗</w:t>
      </w:r>
      <w:r>
        <w:rPr>
          <w:color w:val="231F20"/>
        </w:rPr>
        <w:t xml:space="preserve"> </w:t>
      </w:r>
      <w:r>
        <w:rPr>
          <w:color w:val="231F20"/>
          <w:spacing w:val="5"/>
        </w:rPr>
        <w:t>效的研究</w:t>
      </w:r>
      <w:r>
        <w:rPr>
          <w:rFonts w:ascii="Times New Roman" w:hAnsi="Times New Roman" w:eastAsia="Times New Roman" w:cs="Times New Roman"/>
          <w:color w:val="231F20"/>
          <w:spacing w:val="5"/>
        </w:rPr>
        <w:t>[J]. </w:t>
      </w:r>
      <w:r>
        <w:rPr>
          <w:color w:val="231F20"/>
          <w:spacing w:val="5"/>
        </w:rPr>
        <w:t>中国医师进修杂志</w:t>
      </w:r>
      <w:r>
        <w:rPr>
          <w:rFonts w:ascii="Times New Roman" w:hAnsi="Times New Roman" w:eastAsia="Times New Roman" w:cs="Times New Roman"/>
          <w:color w:val="231F20"/>
          <w:spacing w:val="5"/>
        </w:rPr>
        <w:t>,2018,41(11):964-967.</w:t>
      </w:r>
    </w:p>
    <w:p>
      <w:pPr>
        <w:pStyle w:val="BodyText"/>
        <w:ind w:left="353" w:right="65" w:hanging="348"/>
        <w:spacing w:before="77" w:line="279" w:lineRule="auto"/>
        <w:rPr>
          <w:rFonts w:ascii="Times New Roman" w:hAnsi="Times New Roman" w:eastAsia="Times New Roman" w:cs="Times New Roman"/>
        </w:rPr>
      </w:pPr>
      <w:r>
        <w:rPr>
          <w:rFonts w:ascii="Times New Roman" w:hAnsi="Times New Roman" w:eastAsia="Times New Roman" w:cs="Times New Roman"/>
          <w:color w:val="231F20"/>
          <w:spacing w:val="8"/>
        </w:rPr>
        <w:t>[10]  </w:t>
      </w:r>
      <w:r>
        <w:rPr>
          <w:color w:val="231F20"/>
          <w:spacing w:val="8"/>
        </w:rPr>
        <w:t>施建锋</w:t>
      </w:r>
      <w:r>
        <w:rPr>
          <w:color w:val="231F20"/>
          <w:spacing w:val="-34"/>
        </w:rPr>
        <w:t xml:space="preserve"> </w:t>
      </w:r>
      <w:r>
        <w:rPr>
          <w:rFonts w:ascii="Times New Roman" w:hAnsi="Times New Roman" w:eastAsia="Times New Roman" w:cs="Times New Roman"/>
          <w:color w:val="231F20"/>
          <w:spacing w:val="8"/>
        </w:rPr>
        <w:t>.</w:t>
      </w:r>
      <w:r>
        <w:rPr>
          <w:rFonts w:ascii="Times New Roman" w:hAnsi="Times New Roman" w:eastAsia="Times New Roman" w:cs="Times New Roman"/>
          <w:color w:val="231F20"/>
          <w:spacing w:val="-11"/>
        </w:rPr>
        <w:t xml:space="preserve"> </w:t>
      </w:r>
      <w:r>
        <w:rPr>
          <w:color w:val="231F20"/>
          <w:spacing w:val="8"/>
        </w:rPr>
        <w:t>抑酸剂联合嗜酸乳杆菌胶囊治疗急性肠胃炎的疗效和</w:t>
      </w:r>
      <w:r>
        <w:rPr>
          <w:color w:val="231F20"/>
        </w:rPr>
        <w:t xml:space="preserve"> </w:t>
      </w:r>
      <w:r>
        <w:rPr>
          <w:color w:val="231F20"/>
          <w:spacing w:val="7"/>
        </w:rPr>
        <w:t>安全性</w:t>
      </w:r>
      <w:r>
        <w:rPr>
          <w:rFonts w:ascii="Times New Roman" w:hAnsi="Times New Roman" w:eastAsia="Times New Roman" w:cs="Times New Roman"/>
          <w:color w:val="231F20"/>
          <w:spacing w:val="7"/>
        </w:rPr>
        <w:t>[J].</w:t>
      </w:r>
      <w:r>
        <w:rPr>
          <w:color w:val="231F20"/>
          <w:spacing w:val="7"/>
        </w:rPr>
        <w:t>现代消化及介入诊疗</w:t>
      </w:r>
      <w:r>
        <w:rPr>
          <w:rFonts w:ascii="Times New Roman" w:hAnsi="Times New Roman" w:eastAsia="Times New Roman" w:cs="Times New Roman"/>
          <w:color w:val="231F20"/>
          <w:spacing w:val="7"/>
        </w:rPr>
        <w:t>,201</w:t>
      </w:r>
      <w:r>
        <w:rPr>
          <w:rFonts w:ascii="Times New Roman" w:hAnsi="Times New Roman" w:eastAsia="Times New Roman" w:cs="Times New Roman"/>
          <w:color w:val="231F20"/>
          <w:spacing w:val="6"/>
        </w:rPr>
        <w:t>8,23(3):392-394.</w:t>
      </w:r>
    </w:p>
    <w:sectPr>
      <w:type w:val="continuous"/>
      <w:pgSz w:w="11906" w:h="16838"/>
      <w:pgMar w:top="1341" w:right="1068" w:bottom="826" w:left="407" w:header="1028" w:footer="560" w:gutter="0"/>
      <w:cols w:equalWidth="0" w:num="2">
        <w:col w:w="5663" w:space="100"/>
        <w:col w:w="466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50"/>
      <w:spacing w:line="17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3"/>
      </w:rPr>
      <w:t xml:space="preserve">    </w:t>
    </w:r>
    <w:r>
      <w:rPr>
        <w:rFonts w:ascii="NSimSun" w:hAnsi="NSimSun" w:eastAsia="NSimSun" w:cs="NSimSun"/>
        <w:sz w:val="20"/>
        <w:szCs w:val="20"/>
        <w:color w:val="231F20"/>
        <w:spacing w:val="-3"/>
      </w:rPr>
      <w:t>181</w:t>
    </w:r>
    <w:r>
      <w:rPr>
        <w:rFonts w:ascii="NSimSun" w:hAnsi="NSimSun" w:eastAsia="NSimSun" w:cs="NSimSun"/>
        <w:sz w:val="20"/>
        <w:szCs w:val="20"/>
        <w:color w:val="231F20"/>
        <w:spacing w:val="13"/>
      </w:rPr>
      <w:t xml:space="preserve">  </w:t>
    </w:r>
    <w:r>
      <w:rPr>
        <w:rFonts w:ascii="Microsoft YaHei" w:hAnsi="Microsoft YaHei" w:eastAsia="Microsoft YaHei" w:cs="Microsoft YaHei"/>
        <w:sz w:val="20"/>
        <w:szCs w:val="20"/>
        <w:color w:val="231F20"/>
        <w:spacing w:val="-3"/>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50"/>
      <w:spacing w:line="17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3"/>
      </w:rPr>
      <w:t xml:space="preserve">    </w:t>
    </w:r>
    <w:r>
      <w:rPr>
        <w:rFonts w:ascii="NSimSun" w:hAnsi="NSimSun" w:eastAsia="NSimSun" w:cs="NSimSun"/>
        <w:sz w:val="20"/>
        <w:szCs w:val="20"/>
        <w:color w:val="231F20"/>
        <w:spacing w:val="-3"/>
      </w:rPr>
      <w:t>182</w:t>
    </w:r>
    <w:r>
      <w:rPr>
        <w:rFonts w:ascii="NSimSun" w:hAnsi="NSimSun" w:eastAsia="NSimSun" w:cs="NSimSun"/>
        <w:sz w:val="20"/>
        <w:szCs w:val="20"/>
        <w:color w:val="231F20"/>
        <w:spacing w:val="13"/>
      </w:rPr>
      <w:t xml:space="preserve">  </w:t>
    </w:r>
    <w:r>
      <w:rPr>
        <w:rFonts w:ascii="Microsoft YaHei" w:hAnsi="Microsoft YaHei" w:eastAsia="Microsoft YaHei" w:cs="Microsoft YaHei"/>
        <w:sz w:val="20"/>
        <w:szCs w:val="20"/>
        <w:color w:val="231F20"/>
        <w:spacing w:val="-3"/>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50"/>
      <w:spacing w:line="17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3"/>
      </w:rPr>
      <w:t xml:space="preserve">    </w:t>
    </w:r>
    <w:r>
      <w:rPr>
        <w:rFonts w:ascii="NSimSun" w:hAnsi="NSimSun" w:eastAsia="NSimSun" w:cs="NSimSun"/>
        <w:sz w:val="20"/>
        <w:szCs w:val="20"/>
        <w:color w:val="231F20"/>
        <w:spacing w:val="-3"/>
      </w:rPr>
      <w:t>183</w:t>
    </w:r>
    <w:r>
      <w:rPr>
        <w:rFonts w:ascii="NSimSun" w:hAnsi="NSimSun" w:eastAsia="NSimSun" w:cs="NSimSun"/>
        <w:sz w:val="20"/>
        <w:szCs w:val="20"/>
        <w:color w:val="231F20"/>
        <w:spacing w:val="13"/>
      </w:rPr>
      <w:t xml:space="preserve">  </w:t>
    </w:r>
    <w:r>
      <w:rPr>
        <w:rFonts w:ascii="Microsoft YaHei" w:hAnsi="Microsoft YaHei" w:eastAsia="Microsoft YaHei" w:cs="Microsoft YaHei"/>
        <w:sz w:val="20"/>
        <w:szCs w:val="20"/>
        <w:color w:val="231F20"/>
        <w:spacing w:val="-3"/>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0"/>
      <w:spacing w:before="34" w:line="200" w:lineRule="auto"/>
      <w:rPr>
        <w:rFonts w:ascii="Times New Roman" w:hAnsi="Times New Roman" w:eastAsia="Times New Roman" w:cs="Times New Roman"/>
        <w:sz w:val="15"/>
        <w:szCs w:val="15"/>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ict>
        <v:shape id="_x0000_s4" style="position:absolute;margin-left:55.8595pt;margin-top:65.0131pt;mso-position-vertical-relative:page;mso-position-horizontal-relative:page;width:482.75pt;height:0.4pt;z-index:251659264;" o:allowincell="f" filled="false" strokecolor="#231F20" strokeweight="0.37pt" coordsize="9655,8" coordorigin="0,0" path="m0,3l9637,3m16,3l9654,3e">
          <v:stroke joinstyle="miter" miterlimit="4"/>
        </v:shape>
      </w:pict>
    </w:r>
    <w:r>
      <w:rPr>
        <w:rFonts w:ascii="Microsoft YaHei" w:hAnsi="Microsoft YaHei" w:eastAsia="Microsoft YaHei" w:cs="Microsoft YaHei"/>
        <w:sz w:val="15"/>
        <w:szCs w:val="15"/>
        <w:color w:val="231F20"/>
        <w:spacing w:val="7"/>
      </w:rPr>
      <w:t>当代医学    </w:t>
    </w:r>
    <w:r>
      <w:rPr>
        <w:rFonts w:ascii="Times New Roman" w:hAnsi="Times New Roman" w:eastAsia="Times New Roman" w:cs="Times New Roman"/>
        <w:sz w:val="15"/>
        <w:szCs w:val="15"/>
        <w:color w:val="231F20"/>
        <w:spacing w:val="7"/>
      </w:rPr>
      <w:t>2022</w:t>
    </w:r>
    <w:r>
      <w:rPr>
        <w:rFonts w:ascii="Microsoft YaHei" w:hAnsi="Microsoft YaHei" w:eastAsia="Microsoft YaHei" w:cs="Microsoft YaHei"/>
        <w:sz w:val="15"/>
        <w:szCs w:val="15"/>
        <w:color w:val="231F20"/>
        <w:spacing w:val="7"/>
      </w:rPr>
      <w:t>年</w:t>
    </w:r>
    <w:r>
      <w:rPr>
        <w:rFonts w:ascii="Microsoft YaHei" w:hAnsi="Microsoft YaHei" w:eastAsia="Microsoft YaHei" w:cs="Microsoft YaHei"/>
        <w:sz w:val="15"/>
        <w:szCs w:val="15"/>
        <w:color w:val="231F20"/>
        <w:spacing w:val="-6"/>
      </w:rPr>
      <w:t xml:space="preserve"> </w:t>
    </w:r>
    <w:r>
      <w:rPr>
        <w:rFonts w:ascii="Times New Roman" w:hAnsi="Times New Roman" w:eastAsia="Times New Roman" w:cs="Times New Roman"/>
        <w:sz w:val="15"/>
        <w:szCs w:val="15"/>
        <w:color w:val="231F20"/>
        <w:spacing w:val="7"/>
      </w:rPr>
      <w:t>1</w:t>
    </w:r>
    <w:r>
      <w:rPr>
        <w:rFonts w:ascii="Microsoft YaHei" w:hAnsi="Microsoft YaHei" w:eastAsia="Microsoft YaHei" w:cs="Microsoft YaHei"/>
        <w:sz w:val="15"/>
        <w:szCs w:val="15"/>
        <w:color w:val="231F20"/>
        <w:spacing w:val="7"/>
      </w:rPr>
      <w:t>月第</w:t>
    </w:r>
    <w:r>
      <w:rPr>
        <w:rFonts w:ascii="Microsoft YaHei" w:hAnsi="Microsoft YaHei" w:eastAsia="Microsoft YaHei" w:cs="Microsoft YaHei"/>
        <w:sz w:val="15"/>
        <w:szCs w:val="15"/>
        <w:color w:val="231F20"/>
        <w:spacing w:val="-22"/>
      </w:rPr>
      <w:t xml:space="preserve"> </w:t>
    </w:r>
    <w:r>
      <w:rPr>
        <w:rFonts w:ascii="Times New Roman" w:hAnsi="Times New Roman" w:eastAsia="Times New Roman" w:cs="Times New Roman"/>
        <w:sz w:val="15"/>
        <w:szCs w:val="15"/>
        <w:color w:val="231F20"/>
        <w:spacing w:val="7"/>
      </w:rPr>
      <w:t>28</w:t>
    </w:r>
    <w:r>
      <w:rPr>
        <w:rFonts w:ascii="Microsoft YaHei" w:hAnsi="Microsoft YaHei" w:eastAsia="Microsoft YaHei" w:cs="Microsoft YaHei"/>
        <w:sz w:val="15"/>
        <w:szCs w:val="15"/>
        <w:color w:val="231F20"/>
        <w:spacing w:val="7"/>
      </w:rPr>
      <w:t>卷第</w:t>
    </w:r>
    <w:r>
      <w:rPr>
        <w:rFonts w:ascii="Microsoft YaHei" w:hAnsi="Microsoft YaHei" w:eastAsia="Microsoft YaHei" w:cs="Microsoft YaHei"/>
        <w:sz w:val="15"/>
        <w:szCs w:val="15"/>
        <w:color w:val="231F20"/>
        <w:spacing w:val="-18"/>
      </w:rPr>
      <w:t xml:space="preserve"> </w:t>
    </w:r>
    <w:r>
      <w:rPr>
        <w:rFonts w:ascii="Times New Roman" w:hAnsi="Times New Roman" w:eastAsia="Times New Roman" w:cs="Times New Roman"/>
        <w:sz w:val="15"/>
        <w:szCs w:val="15"/>
        <w:color w:val="231F20"/>
        <w:spacing w:val="7"/>
      </w:rPr>
      <w:t>3</w:t>
    </w:r>
    <w:r>
      <w:rPr>
        <w:rFonts w:ascii="Microsoft YaHei" w:hAnsi="Microsoft YaHei" w:eastAsia="Microsoft YaHei" w:cs="Microsoft YaHei"/>
        <w:sz w:val="15"/>
        <w:szCs w:val="15"/>
        <w:color w:val="231F20"/>
        <w:spacing w:val="7"/>
      </w:rPr>
      <w:t>期总第</w:t>
    </w:r>
    <w:r>
      <w:rPr>
        <w:rFonts w:ascii="Microsoft YaHei" w:hAnsi="Microsoft YaHei" w:eastAsia="Microsoft YaHei" w:cs="Microsoft YaHei"/>
        <w:sz w:val="15"/>
        <w:szCs w:val="15"/>
        <w:color w:val="231F20"/>
        <w:spacing w:val="-17"/>
      </w:rPr>
      <w:t xml:space="preserve"> </w:t>
    </w:r>
    <w:r>
      <w:rPr>
        <w:rFonts w:ascii="Times New Roman" w:hAnsi="Times New Roman" w:eastAsia="Times New Roman" w:cs="Times New Roman"/>
        <w:sz w:val="15"/>
        <w:szCs w:val="15"/>
        <w:color w:val="231F20"/>
        <w:spacing w:val="7"/>
      </w:rPr>
      <w:t>626</w:t>
    </w:r>
    <w:r>
      <w:rPr>
        <w:rFonts w:ascii="Microsoft YaHei" w:hAnsi="Microsoft YaHei" w:eastAsia="Microsoft YaHei" w:cs="Microsoft YaHei"/>
        <w:sz w:val="15"/>
        <w:szCs w:val="15"/>
        <w:color w:val="231F20"/>
        <w:spacing w:val="7"/>
      </w:rPr>
      <w:t>期   </w:t>
    </w:r>
    <w:r>
      <w:rPr>
        <w:rFonts w:ascii="Times New Roman" w:hAnsi="Times New Roman" w:eastAsia="Times New Roman" w:cs="Times New Roman"/>
        <w:sz w:val="15"/>
        <w:szCs w:val="15"/>
        <w:color w:val="231F20"/>
      </w:rPr>
      <w:t>Contemporary</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Medicine</w:t>
    </w:r>
    <w:r>
      <w:rPr>
        <w:rFonts w:ascii="Microsoft YaHei" w:hAnsi="Microsoft YaHei" w:eastAsia="Microsoft YaHei" w:cs="Microsoft YaHei"/>
        <w:sz w:val="15"/>
        <w:szCs w:val="15"/>
        <w:color w:val="231F20"/>
        <w:spacing w:val="7"/>
      </w:rPr>
      <w:t>，</w:t>
    </w:r>
    <w:r>
      <w:rPr>
        <w:rFonts w:ascii="Times New Roman" w:hAnsi="Times New Roman" w:eastAsia="Times New Roman" w:cs="Times New Roman"/>
        <w:sz w:val="15"/>
        <w:szCs w:val="15"/>
        <w:color w:val="231F20"/>
      </w:rPr>
      <w:t>Jan</w:t>
    </w:r>
    <w:r>
      <w:rPr>
        <w:rFonts w:ascii="Times New Roman" w:hAnsi="Times New Roman" w:eastAsia="Times New Roman" w:cs="Times New Roman"/>
        <w:sz w:val="15"/>
        <w:szCs w:val="15"/>
        <w:color w:val="231F20"/>
        <w:spacing w:val="7"/>
      </w:rPr>
      <w:t>.2022</w:t>
    </w:r>
    <w:r>
      <w:rPr>
        <w:rFonts w:ascii="Microsoft YaHei" w:hAnsi="Microsoft YaHei" w:eastAsia="Microsoft YaHei" w:cs="Microsoft YaHei"/>
        <w:sz w:val="15"/>
        <w:szCs w:val="15"/>
        <w:color w:val="231F20"/>
        <w:spacing w:val="7"/>
      </w:rPr>
      <w:t>，</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7"/>
      </w:rPr>
      <w:t>.28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7"/>
      </w:rPr>
      <w:t>.3 </w:t>
    </w:r>
    <w:r>
      <w:rPr>
        <w:rFonts w:ascii="Times New Roman" w:hAnsi="Times New Roman" w:eastAsia="Times New Roman" w:cs="Times New Roman"/>
        <w:sz w:val="15"/>
        <w:szCs w:val="15"/>
        <w:color w:val="231F20"/>
      </w:rPr>
      <w:t>Issue</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7"/>
      </w:rPr>
      <w:t>.626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0"/>
      <w:spacing w:before="34" w:line="200" w:lineRule="auto"/>
      <w:rPr>
        <w:rFonts w:ascii="Times New Roman" w:hAnsi="Times New Roman" w:eastAsia="Times New Roman" w:cs="Times New Roman"/>
        <w:sz w:val="15"/>
        <w:szCs w:val="15"/>
      </w:rPr>
    </w:pPr>
    <w:r>
      <w:pict>
        <v:shape id="WordPictureWatermark8" style="position:absolute;margin-left:20.4pt;margin-top:814.49pt;mso-position-vertical-relative:page;mso-position-horizontal-relative:page;width:475.5pt;height:9.7pt;z-index:-251656192;" o:allowincell="f" filled="false" stroked="false" type="#_x0000_t75">
          <v:imagedata o:title="" r:id="rId1"/>
        </v:shape>
      </w:pict>
    </w:r>
    <w:r>
      <w:pict>
        <v:shape id="_x0000_s10" style="position:absolute;margin-left:56.6929pt;margin-top:65.0131pt;mso-position-vertical-relative:page;mso-position-horizontal-relative:page;width:481.9pt;height:0.4pt;z-index:251661312;" o:allowincell="f" filled="false" strokecolor="#231F20" strokeweight="0.37pt" coordsize="9637,8" coordorigin="0,0" path="m0,3l9637,3m0,3l9637,3e">
          <v:stroke joinstyle="miter" miterlimit="4"/>
        </v:shape>
      </w:pict>
    </w:r>
    <w:r>
      <w:rPr>
        <w:rFonts w:ascii="Microsoft YaHei" w:hAnsi="Microsoft YaHei" w:eastAsia="Microsoft YaHei" w:cs="Microsoft YaHei"/>
        <w:sz w:val="15"/>
        <w:szCs w:val="15"/>
        <w:color w:val="231F20"/>
        <w:spacing w:val="7"/>
      </w:rPr>
      <w:t>当代医学    </w:t>
    </w:r>
    <w:r>
      <w:rPr>
        <w:rFonts w:ascii="Times New Roman" w:hAnsi="Times New Roman" w:eastAsia="Times New Roman" w:cs="Times New Roman"/>
        <w:sz w:val="15"/>
        <w:szCs w:val="15"/>
        <w:color w:val="231F20"/>
        <w:spacing w:val="7"/>
      </w:rPr>
      <w:t>2022</w:t>
    </w:r>
    <w:r>
      <w:rPr>
        <w:rFonts w:ascii="Microsoft YaHei" w:hAnsi="Microsoft YaHei" w:eastAsia="Microsoft YaHei" w:cs="Microsoft YaHei"/>
        <w:sz w:val="15"/>
        <w:szCs w:val="15"/>
        <w:color w:val="231F20"/>
        <w:spacing w:val="7"/>
      </w:rPr>
      <w:t>年</w:t>
    </w:r>
    <w:r>
      <w:rPr>
        <w:rFonts w:ascii="Microsoft YaHei" w:hAnsi="Microsoft YaHei" w:eastAsia="Microsoft YaHei" w:cs="Microsoft YaHei"/>
        <w:sz w:val="15"/>
        <w:szCs w:val="15"/>
        <w:color w:val="231F20"/>
        <w:spacing w:val="-6"/>
      </w:rPr>
      <w:t xml:space="preserve"> </w:t>
    </w:r>
    <w:r>
      <w:rPr>
        <w:rFonts w:ascii="Times New Roman" w:hAnsi="Times New Roman" w:eastAsia="Times New Roman" w:cs="Times New Roman"/>
        <w:sz w:val="15"/>
        <w:szCs w:val="15"/>
        <w:color w:val="231F20"/>
        <w:spacing w:val="7"/>
      </w:rPr>
      <w:t>1</w:t>
    </w:r>
    <w:r>
      <w:rPr>
        <w:rFonts w:ascii="Microsoft YaHei" w:hAnsi="Microsoft YaHei" w:eastAsia="Microsoft YaHei" w:cs="Microsoft YaHei"/>
        <w:sz w:val="15"/>
        <w:szCs w:val="15"/>
        <w:color w:val="231F20"/>
        <w:spacing w:val="7"/>
      </w:rPr>
      <w:t>月第</w:t>
    </w:r>
    <w:r>
      <w:rPr>
        <w:rFonts w:ascii="Microsoft YaHei" w:hAnsi="Microsoft YaHei" w:eastAsia="Microsoft YaHei" w:cs="Microsoft YaHei"/>
        <w:sz w:val="15"/>
        <w:szCs w:val="15"/>
        <w:color w:val="231F20"/>
        <w:spacing w:val="-22"/>
      </w:rPr>
      <w:t xml:space="preserve"> </w:t>
    </w:r>
    <w:r>
      <w:rPr>
        <w:rFonts w:ascii="Times New Roman" w:hAnsi="Times New Roman" w:eastAsia="Times New Roman" w:cs="Times New Roman"/>
        <w:sz w:val="15"/>
        <w:szCs w:val="15"/>
        <w:color w:val="231F20"/>
        <w:spacing w:val="7"/>
      </w:rPr>
      <w:t>28</w:t>
    </w:r>
    <w:r>
      <w:rPr>
        <w:rFonts w:ascii="Microsoft YaHei" w:hAnsi="Microsoft YaHei" w:eastAsia="Microsoft YaHei" w:cs="Microsoft YaHei"/>
        <w:sz w:val="15"/>
        <w:szCs w:val="15"/>
        <w:color w:val="231F20"/>
        <w:spacing w:val="7"/>
      </w:rPr>
      <w:t>卷第</w:t>
    </w:r>
    <w:r>
      <w:rPr>
        <w:rFonts w:ascii="Microsoft YaHei" w:hAnsi="Microsoft YaHei" w:eastAsia="Microsoft YaHei" w:cs="Microsoft YaHei"/>
        <w:sz w:val="15"/>
        <w:szCs w:val="15"/>
        <w:color w:val="231F20"/>
        <w:spacing w:val="-18"/>
      </w:rPr>
      <w:t xml:space="preserve"> </w:t>
    </w:r>
    <w:r>
      <w:rPr>
        <w:rFonts w:ascii="Times New Roman" w:hAnsi="Times New Roman" w:eastAsia="Times New Roman" w:cs="Times New Roman"/>
        <w:sz w:val="15"/>
        <w:szCs w:val="15"/>
        <w:color w:val="231F20"/>
        <w:spacing w:val="7"/>
      </w:rPr>
      <w:t>3</w:t>
    </w:r>
    <w:r>
      <w:rPr>
        <w:rFonts w:ascii="Microsoft YaHei" w:hAnsi="Microsoft YaHei" w:eastAsia="Microsoft YaHei" w:cs="Microsoft YaHei"/>
        <w:sz w:val="15"/>
        <w:szCs w:val="15"/>
        <w:color w:val="231F20"/>
        <w:spacing w:val="7"/>
      </w:rPr>
      <w:t>期总第</w:t>
    </w:r>
    <w:r>
      <w:rPr>
        <w:rFonts w:ascii="Microsoft YaHei" w:hAnsi="Microsoft YaHei" w:eastAsia="Microsoft YaHei" w:cs="Microsoft YaHei"/>
        <w:sz w:val="15"/>
        <w:szCs w:val="15"/>
        <w:color w:val="231F20"/>
        <w:spacing w:val="-17"/>
      </w:rPr>
      <w:t xml:space="preserve"> </w:t>
    </w:r>
    <w:r>
      <w:rPr>
        <w:rFonts w:ascii="Times New Roman" w:hAnsi="Times New Roman" w:eastAsia="Times New Roman" w:cs="Times New Roman"/>
        <w:sz w:val="15"/>
        <w:szCs w:val="15"/>
        <w:color w:val="231F20"/>
        <w:spacing w:val="7"/>
      </w:rPr>
      <w:t>626</w:t>
    </w:r>
    <w:r>
      <w:rPr>
        <w:rFonts w:ascii="Microsoft YaHei" w:hAnsi="Microsoft YaHei" w:eastAsia="Microsoft YaHei" w:cs="Microsoft YaHei"/>
        <w:sz w:val="15"/>
        <w:szCs w:val="15"/>
        <w:color w:val="231F20"/>
        <w:spacing w:val="7"/>
      </w:rPr>
      <w:t>期   </w:t>
    </w:r>
    <w:r>
      <w:rPr>
        <w:rFonts w:ascii="Times New Roman" w:hAnsi="Times New Roman" w:eastAsia="Times New Roman" w:cs="Times New Roman"/>
        <w:sz w:val="15"/>
        <w:szCs w:val="15"/>
        <w:color w:val="231F20"/>
      </w:rPr>
      <w:t>Contemporary</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Medicine</w:t>
    </w:r>
    <w:r>
      <w:rPr>
        <w:rFonts w:ascii="Microsoft YaHei" w:hAnsi="Microsoft YaHei" w:eastAsia="Microsoft YaHei" w:cs="Microsoft YaHei"/>
        <w:sz w:val="15"/>
        <w:szCs w:val="15"/>
        <w:color w:val="231F20"/>
        <w:spacing w:val="7"/>
      </w:rPr>
      <w:t>，</w:t>
    </w:r>
    <w:r>
      <w:rPr>
        <w:rFonts w:ascii="Times New Roman" w:hAnsi="Times New Roman" w:eastAsia="Times New Roman" w:cs="Times New Roman"/>
        <w:sz w:val="15"/>
        <w:szCs w:val="15"/>
        <w:color w:val="231F20"/>
      </w:rPr>
      <w:t>Jan</w:t>
    </w:r>
    <w:r>
      <w:rPr>
        <w:rFonts w:ascii="Times New Roman" w:hAnsi="Times New Roman" w:eastAsia="Times New Roman" w:cs="Times New Roman"/>
        <w:sz w:val="15"/>
        <w:szCs w:val="15"/>
        <w:color w:val="231F20"/>
        <w:spacing w:val="7"/>
      </w:rPr>
      <w:t>.2022</w:t>
    </w:r>
    <w:r>
      <w:rPr>
        <w:rFonts w:ascii="Microsoft YaHei" w:hAnsi="Microsoft YaHei" w:eastAsia="Microsoft YaHei" w:cs="Microsoft YaHei"/>
        <w:sz w:val="15"/>
        <w:szCs w:val="15"/>
        <w:color w:val="231F20"/>
        <w:spacing w:val="7"/>
      </w:rPr>
      <w:t>，</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7"/>
      </w:rPr>
      <w:t>.28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7"/>
      </w:rPr>
      <w:t>.3 </w:t>
    </w:r>
    <w:r>
      <w:rPr>
        <w:rFonts w:ascii="Times New Roman" w:hAnsi="Times New Roman" w:eastAsia="Times New Roman" w:cs="Times New Roman"/>
        <w:sz w:val="15"/>
        <w:szCs w:val="15"/>
        <w:color w:val="231F20"/>
      </w:rPr>
      <w:t>Issue</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7"/>
      </w:rPr>
      <w:t>.626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0"/>
      <w:spacing w:before="34" w:line="200" w:lineRule="auto"/>
      <w:rPr>
        <w:rFonts w:ascii="Times New Roman" w:hAnsi="Times New Roman" w:eastAsia="Times New Roman" w:cs="Times New Roman"/>
        <w:sz w:val="15"/>
        <w:szCs w:val="15"/>
      </w:rPr>
    </w:pPr>
    <w:r>
      <w:pict>
        <v:shape id="WordPictureWatermark16" style="position:absolute;margin-left:20.4pt;margin-top:814.49pt;mso-position-vertical-relative:page;mso-position-horizontal-relative:page;width:475.5pt;height:9.7pt;z-index:-251654144;" o:allowincell="f" filled="false" stroked="false" type="#_x0000_t75">
          <v:imagedata o:title="" r:id="rId1"/>
        </v:shape>
      </w:pict>
    </w:r>
    <w:r>
      <w:pict>
        <v:shape id="_x0000_s18" style="position:absolute;margin-left:55.8595pt;margin-top:65.0131pt;mso-position-vertical-relative:page;mso-position-horizontal-relative:page;width:482.75pt;height:0.4pt;z-index:251663360;" o:allowincell="f" filled="false" strokecolor="#231F20" strokeweight="0.37pt" coordsize="9655,8" coordorigin="0,0" path="m0,3l9637,3m16,3l9654,3e">
          <v:stroke joinstyle="miter" miterlimit="4"/>
        </v:shape>
      </w:pict>
    </w:r>
    <w:r>
      <w:rPr>
        <w:rFonts w:ascii="Microsoft YaHei" w:hAnsi="Microsoft YaHei" w:eastAsia="Microsoft YaHei" w:cs="Microsoft YaHei"/>
        <w:sz w:val="15"/>
        <w:szCs w:val="15"/>
        <w:color w:val="231F20"/>
        <w:spacing w:val="7"/>
      </w:rPr>
      <w:t>当代医学    </w:t>
    </w:r>
    <w:r>
      <w:rPr>
        <w:rFonts w:ascii="Times New Roman" w:hAnsi="Times New Roman" w:eastAsia="Times New Roman" w:cs="Times New Roman"/>
        <w:sz w:val="15"/>
        <w:szCs w:val="15"/>
        <w:color w:val="231F20"/>
        <w:spacing w:val="7"/>
      </w:rPr>
      <w:t>2022</w:t>
    </w:r>
    <w:r>
      <w:rPr>
        <w:rFonts w:ascii="Microsoft YaHei" w:hAnsi="Microsoft YaHei" w:eastAsia="Microsoft YaHei" w:cs="Microsoft YaHei"/>
        <w:sz w:val="15"/>
        <w:szCs w:val="15"/>
        <w:color w:val="231F20"/>
        <w:spacing w:val="7"/>
      </w:rPr>
      <w:t>年</w:t>
    </w:r>
    <w:r>
      <w:rPr>
        <w:rFonts w:ascii="Microsoft YaHei" w:hAnsi="Microsoft YaHei" w:eastAsia="Microsoft YaHei" w:cs="Microsoft YaHei"/>
        <w:sz w:val="15"/>
        <w:szCs w:val="15"/>
        <w:color w:val="231F20"/>
        <w:spacing w:val="-6"/>
      </w:rPr>
      <w:t xml:space="preserve"> </w:t>
    </w:r>
    <w:r>
      <w:rPr>
        <w:rFonts w:ascii="Times New Roman" w:hAnsi="Times New Roman" w:eastAsia="Times New Roman" w:cs="Times New Roman"/>
        <w:sz w:val="15"/>
        <w:szCs w:val="15"/>
        <w:color w:val="231F20"/>
        <w:spacing w:val="7"/>
      </w:rPr>
      <w:t>1</w:t>
    </w:r>
    <w:r>
      <w:rPr>
        <w:rFonts w:ascii="Microsoft YaHei" w:hAnsi="Microsoft YaHei" w:eastAsia="Microsoft YaHei" w:cs="Microsoft YaHei"/>
        <w:sz w:val="15"/>
        <w:szCs w:val="15"/>
        <w:color w:val="231F20"/>
        <w:spacing w:val="7"/>
      </w:rPr>
      <w:t>月第</w:t>
    </w:r>
    <w:r>
      <w:rPr>
        <w:rFonts w:ascii="Microsoft YaHei" w:hAnsi="Microsoft YaHei" w:eastAsia="Microsoft YaHei" w:cs="Microsoft YaHei"/>
        <w:sz w:val="15"/>
        <w:szCs w:val="15"/>
        <w:color w:val="231F20"/>
        <w:spacing w:val="-22"/>
      </w:rPr>
      <w:t xml:space="preserve"> </w:t>
    </w:r>
    <w:r>
      <w:rPr>
        <w:rFonts w:ascii="Times New Roman" w:hAnsi="Times New Roman" w:eastAsia="Times New Roman" w:cs="Times New Roman"/>
        <w:sz w:val="15"/>
        <w:szCs w:val="15"/>
        <w:color w:val="231F20"/>
        <w:spacing w:val="7"/>
      </w:rPr>
      <w:t>28</w:t>
    </w:r>
    <w:r>
      <w:rPr>
        <w:rFonts w:ascii="Microsoft YaHei" w:hAnsi="Microsoft YaHei" w:eastAsia="Microsoft YaHei" w:cs="Microsoft YaHei"/>
        <w:sz w:val="15"/>
        <w:szCs w:val="15"/>
        <w:color w:val="231F20"/>
        <w:spacing w:val="7"/>
      </w:rPr>
      <w:t>卷第</w:t>
    </w:r>
    <w:r>
      <w:rPr>
        <w:rFonts w:ascii="Microsoft YaHei" w:hAnsi="Microsoft YaHei" w:eastAsia="Microsoft YaHei" w:cs="Microsoft YaHei"/>
        <w:sz w:val="15"/>
        <w:szCs w:val="15"/>
        <w:color w:val="231F20"/>
        <w:spacing w:val="-18"/>
      </w:rPr>
      <w:t xml:space="preserve"> </w:t>
    </w:r>
    <w:r>
      <w:rPr>
        <w:rFonts w:ascii="Times New Roman" w:hAnsi="Times New Roman" w:eastAsia="Times New Roman" w:cs="Times New Roman"/>
        <w:sz w:val="15"/>
        <w:szCs w:val="15"/>
        <w:color w:val="231F20"/>
        <w:spacing w:val="7"/>
      </w:rPr>
      <w:t>3</w:t>
    </w:r>
    <w:r>
      <w:rPr>
        <w:rFonts w:ascii="Microsoft YaHei" w:hAnsi="Microsoft YaHei" w:eastAsia="Microsoft YaHei" w:cs="Microsoft YaHei"/>
        <w:sz w:val="15"/>
        <w:szCs w:val="15"/>
        <w:color w:val="231F20"/>
        <w:spacing w:val="7"/>
      </w:rPr>
      <w:t>期总第</w:t>
    </w:r>
    <w:r>
      <w:rPr>
        <w:rFonts w:ascii="Microsoft YaHei" w:hAnsi="Microsoft YaHei" w:eastAsia="Microsoft YaHei" w:cs="Microsoft YaHei"/>
        <w:sz w:val="15"/>
        <w:szCs w:val="15"/>
        <w:color w:val="231F20"/>
        <w:spacing w:val="-17"/>
      </w:rPr>
      <w:t xml:space="preserve"> </w:t>
    </w:r>
    <w:r>
      <w:rPr>
        <w:rFonts w:ascii="Times New Roman" w:hAnsi="Times New Roman" w:eastAsia="Times New Roman" w:cs="Times New Roman"/>
        <w:sz w:val="15"/>
        <w:szCs w:val="15"/>
        <w:color w:val="231F20"/>
        <w:spacing w:val="7"/>
      </w:rPr>
      <w:t>626</w:t>
    </w:r>
    <w:r>
      <w:rPr>
        <w:rFonts w:ascii="Microsoft YaHei" w:hAnsi="Microsoft YaHei" w:eastAsia="Microsoft YaHei" w:cs="Microsoft YaHei"/>
        <w:sz w:val="15"/>
        <w:szCs w:val="15"/>
        <w:color w:val="231F20"/>
        <w:spacing w:val="7"/>
      </w:rPr>
      <w:t>期   </w:t>
    </w:r>
    <w:r>
      <w:rPr>
        <w:rFonts w:ascii="Times New Roman" w:hAnsi="Times New Roman" w:eastAsia="Times New Roman" w:cs="Times New Roman"/>
        <w:sz w:val="15"/>
        <w:szCs w:val="15"/>
        <w:color w:val="231F20"/>
      </w:rPr>
      <w:t>Contemporary</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Medicine</w:t>
    </w:r>
    <w:r>
      <w:rPr>
        <w:rFonts w:ascii="Microsoft YaHei" w:hAnsi="Microsoft YaHei" w:eastAsia="Microsoft YaHei" w:cs="Microsoft YaHei"/>
        <w:sz w:val="15"/>
        <w:szCs w:val="15"/>
        <w:color w:val="231F20"/>
        <w:spacing w:val="7"/>
      </w:rPr>
      <w:t>，</w:t>
    </w:r>
    <w:r>
      <w:rPr>
        <w:rFonts w:ascii="Times New Roman" w:hAnsi="Times New Roman" w:eastAsia="Times New Roman" w:cs="Times New Roman"/>
        <w:sz w:val="15"/>
        <w:szCs w:val="15"/>
        <w:color w:val="231F20"/>
      </w:rPr>
      <w:t>Jan</w:t>
    </w:r>
    <w:r>
      <w:rPr>
        <w:rFonts w:ascii="Times New Roman" w:hAnsi="Times New Roman" w:eastAsia="Times New Roman" w:cs="Times New Roman"/>
        <w:sz w:val="15"/>
        <w:szCs w:val="15"/>
        <w:color w:val="231F20"/>
        <w:spacing w:val="7"/>
      </w:rPr>
      <w:t>.2022</w:t>
    </w:r>
    <w:r>
      <w:rPr>
        <w:rFonts w:ascii="Microsoft YaHei" w:hAnsi="Microsoft YaHei" w:eastAsia="Microsoft YaHei" w:cs="Microsoft YaHei"/>
        <w:sz w:val="15"/>
        <w:szCs w:val="15"/>
        <w:color w:val="231F20"/>
        <w:spacing w:val="7"/>
      </w:rPr>
      <w:t>，</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7"/>
      </w:rPr>
      <w:t>.28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7"/>
      </w:rPr>
      <w:t>.3 </w:t>
    </w:r>
    <w:r>
      <w:rPr>
        <w:rFonts w:ascii="Times New Roman" w:hAnsi="Times New Roman" w:eastAsia="Times New Roman" w:cs="Times New Roman"/>
        <w:sz w:val="15"/>
        <w:szCs w:val="15"/>
        <w:color w:val="231F20"/>
      </w:rPr>
      <w:t>Issue</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7"/>
      </w:rPr>
      <w:t>.626</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5"/>
      <w:szCs w:val="15"/>
      <w:lang w:val="en-US" w:eastAsia="en-US" w:bidi="ar-SA"/>
    </w:rPr>
  </w:style>
  <w:style w:type="paragraph" w:styleId="TableText">
    <w:name w:val="Table Text"/>
    <w:basedOn w:val="Normal"/>
    <w:semiHidden/>
    <w:qFormat/>
    <w:pPr/>
    <w:rPr>
      <w:rFonts w:ascii="Times New Roman" w:hAnsi="Times New Roman" w:eastAsia="Times New Roman" w:cs="Times New Roma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oter" Target="footer3.xml"/><Relationship Id="rId5" Type="http://schemas.openxmlformats.org/officeDocument/2006/relationships/header" Target="header3.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2023-05-24T03:50:17Z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2025-10-28T21:31:22</vt:filetime>
  </property>
</Properties>
</file>