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2172"/>
        <w:spacing w:before="154" w:line="179" w:lineRule="auto"/>
        <w:outlineLvl w:val="0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4"/>
        </w:rPr>
        <w:t>急性肠胃炎应用左氧氟沙星治疗的疗效分析</w:t>
      </w:r>
    </w:p>
    <w:p>
      <w:pPr>
        <w:ind w:left="5261"/>
        <w:spacing w:before="311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吴玉应</w:t>
      </w:r>
    </w:p>
    <w:p>
      <w:pPr>
        <w:ind w:left="3653"/>
        <w:spacing w:before="18" w:line="19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（宁化县安远中心卫生院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·福建三明   365404）</w:t>
      </w:r>
    </w:p>
    <w:p>
      <w:pPr>
        <w:ind w:left="1101" w:right="616" w:firstLine="369"/>
        <w:spacing w:before="275" w:line="19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要    目的：探讨急性肠胃炎应用左氧氟沙星治疗的疗效。方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法：选取 2020 年 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月 1 号～ 2022 年 6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月期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间我院治疗的 60 例急性肠胃炎患者，随机将其分为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2 组，给予对照组常规治疗，研究组在此基础上加以左氧氟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沙星治疗，对比两组临床疗效、症状消退时间、住院时间和安全性，并分析数据。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结果：总有效率：研究组的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96.67%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比对照组的 80.00% 更高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（P ＜ 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各症状消退时间、住院时间：研究组均更短（P ＜ 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不良反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应发生率：研究组的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6.67% 与对照组的 3.3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3% 无统计学差异（P 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0.05）。结论：针对急性肠胃炎患者，在常规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治疗基础上联合左氧氟沙星治疗可促使疗效得到进一步提升，并可加快患者症状消退，缩短其住院时间，同时该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药不良反应少，安全性高，可推广。</w:t>
      </w:r>
    </w:p>
    <w:p>
      <w:pPr>
        <w:ind w:left="1473"/>
        <w:spacing w:before="1" w:line="19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关键词   急性肠胃炎    左氧氟沙星    常规治疗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临床疗效   症状消退时间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 xml:space="preserve">   住院时间   安全性</w:t>
      </w:r>
    </w:p>
    <w:p>
      <w:pPr>
        <w:spacing w:before="120"/>
        <w:rPr/>
      </w:pPr>
      <w:r/>
    </w:p>
    <w:p>
      <w:pPr>
        <w:sectPr>
          <w:headerReference w:type="default" r:id="rId1"/>
          <w:pgSz w:w="11906" w:h="16158"/>
          <w:pgMar w:top="1307" w:right="885" w:bottom="0" w:left="407" w:header="937" w:footer="0" w:gutter="0"/>
          <w:cols w:equalWidth="0" w:num="1">
            <w:col w:w="10612" w:space="0"/>
          </w:cols>
        </w:sectPr>
        <w:rPr/>
      </w:pPr>
    </w:p>
    <w:p>
      <w:pPr>
        <w:pStyle w:val="BodyText"/>
        <w:ind w:left="533" w:right="268" w:firstLine="374"/>
        <w:spacing w:before="39" w:line="245" w:lineRule="auto"/>
        <w:rPr/>
      </w:pPr>
      <w:r>
        <w:rPr>
          <w:color w:val="231F20"/>
          <w:spacing w:val="-2"/>
        </w:rPr>
        <w:t>急性肠胃炎在临床中很常见，是指胃肠黏膜的急性炎症，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发病率较高，好发于夏秋季，发病无性别差异，其发生多与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饮食不洁、饮食不当、暴饮暴食等有关 </w:t>
      </w:r>
      <w:r>
        <w:rPr>
          <w:sz w:val="10"/>
          <w:szCs w:val="10"/>
          <w:color w:val="231F20"/>
          <w:spacing w:val="2"/>
          <w:position w:val="8"/>
        </w:rPr>
        <w:t>[1]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该病常见症状有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腹泻、发热、恶心、呕吐等，这些症状对患者日常生活造成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了较为严重的不良影响和困扰，同时该病若治疗不及时，病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情严重者可出现脱水、电解质和酸碱平衡紊乱等，甚至可危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及到患者生命，故需及早治疗</w:t>
      </w:r>
      <w:r>
        <w:rPr>
          <w:color w:val="231F20"/>
          <w:spacing w:val="-3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[2]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。目前临床上治疗该病以药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物治疗为主，常用药物较多，主要有肠黏膜保护剂、微生物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制剂、止泻药、镇痛剂、抗生素等，不同药物的作用机制、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疗效、不良反应等各不相同 </w:t>
      </w:r>
      <w:r>
        <w:rPr>
          <w:sz w:val="10"/>
          <w:szCs w:val="10"/>
          <w:color w:val="231F20"/>
          <w:spacing w:val="1"/>
          <w:position w:val="8"/>
        </w:rPr>
        <w:t>[3]</w:t>
      </w:r>
      <w:r>
        <w:rPr>
          <w:sz w:val="10"/>
          <w:szCs w:val="10"/>
          <w:color w:val="231F20"/>
          <w:spacing w:val="-13"/>
          <w:position w:val="8"/>
        </w:rPr>
        <w:t xml:space="preserve"> </w:t>
      </w:r>
      <w:r>
        <w:rPr>
          <w:color w:val="231F20"/>
          <w:spacing w:val="1"/>
        </w:rPr>
        <w:t>。细菌性急性肠胃炎是该病中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常见的一种，该类型主要由细菌感染引起，对于这类患者仅 </w:t>
      </w:r>
      <w:r>
        <w:rPr>
          <w:color w:val="231F20"/>
          <w:spacing w:val="5"/>
        </w:rPr>
        <w:t>采取常规的镇痛、止泻、补液等治疗总体效果仍欠佳，还需 </w:t>
      </w:r>
      <w:r>
        <w:rPr>
          <w:color w:val="231F20"/>
          <w:spacing w:val="5"/>
        </w:rPr>
        <w:t>联合抗生素治疗。左氧氟沙星是临床上常见的一种抗生素，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该药具有良好的抗菌作用，可通过抑制病菌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DNA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的合</w:t>
      </w:r>
      <w:r>
        <w:rPr>
          <w:color w:val="231F20"/>
          <w:spacing w:val="4"/>
        </w:rPr>
        <w:t>成和复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制而发挥抗菌作用，且该药的抗菌谱广，对多种病菌具有抑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制作用，同时该药不良反应少、安全性高</w:t>
      </w:r>
      <w:r>
        <w:rPr>
          <w:color w:val="231F20"/>
          <w:spacing w:val="-7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[4]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。本研究即探讨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了急性肠胃炎应用左氧氟沙星治疗的疗效，如下。</w:t>
      </w:r>
    </w:p>
    <w:p>
      <w:pPr>
        <w:ind w:left="545"/>
        <w:spacing w:line="19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资料与方法</w:t>
      </w:r>
    </w:p>
    <w:p>
      <w:pPr>
        <w:ind w:left="541"/>
        <w:spacing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1.1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临床资料</w:t>
      </w:r>
    </w:p>
    <w:p>
      <w:pPr>
        <w:pStyle w:val="BodyText"/>
        <w:ind w:left="533" w:right="268" w:firstLine="368"/>
        <w:spacing w:before="2" w:line="246" w:lineRule="auto"/>
        <w:jc w:val="both"/>
        <w:rPr/>
      </w:pPr>
      <w:r>
        <w:rPr>
          <w:color w:val="231F20"/>
          <w:spacing w:val="-3"/>
        </w:rPr>
        <w:t>选取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2020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号～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2022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6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月期间我院治疗的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60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例急性肠胃炎患者，随机将其分为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组，分别为对照组（30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例，男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14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例，女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16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例，年龄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20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68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岁，平均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44.18±8.06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岁）和研究组（30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例，男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15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例，女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15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例，年龄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21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6"/>
        </w:rPr>
        <w:t>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6"/>
        </w:rPr>
        <w:t>69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岁，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平均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44.09±8.65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岁）。纳入标准：</w:t>
      </w:r>
      <w:r>
        <w:rPr>
          <w:color w:val="231F20"/>
          <w:spacing w:val="3"/>
        </w:rPr>
        <w:t>①均经确诊；②均为细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菌导致的急性肠胃炎；③无其它消化系统疾病；④同意参与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此研究。排除标准：①存在药物过敏史；②脏器功能衰竭；</w:t>
      </w:r>
    </w:p>
    <w:p>
      <w:pPr>
        <w:pStyle w:val="BodyText"/>
        <w:ind w:left="532" w:right="311"/>
        <w:spacing w:before="1" w:line="231" w:lineRule="auto"/>
        <w:rPr/>
      </w:pPr>
      <w:r>
        <w:rPr>
          <w:color w:val="231F20"/>
          <w:spacing w:val="-3"/>
        </w:rPr>
        <w:t>③合并恶性肿瘤；④合并严重心脑血管疾病；⑤依从性极差；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⑥中途退出研究。两组资料无差异（P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＞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0.05</w:t>
      </w:r>
      <w:r>
        <w:rPr>
          <w:color w:val="231F20"/>
          <w:spacing w:val="-5"/>
        </w:rPr>
        <w:t>），</w:t>
      </w:r>
      <w:r>
        <w:rPr>
          <w:color w:val="231F20"/>
          <w:spacing w:val="-2"/>
        </w:rPr>
        <w:t>可比。</w:t>
      </w:r>
    </w:p>
    <w:p>
      <w:pPr>
        <w:ind w:left="541"/>
        <w:spacing w:before="27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1.2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方法</w:t>
      </w:r>
    </w:p>
    <w:p>
      <w:pPr>
        <w:pStyle w:val="BodyText"/>
        <w:ind w:left="535" w:right="269" w:firstLine="368"/>
        <w:spacing w:before="1" w:line="246" w:lineRule="auto"/>
        <w:rPr/>
      </w:pPr>
      <w:r>
        <w:rPr>
          <w:color w:val="231F20"/>
          <w:spacing w:val="4"/>
        </w:rPr>
        <w:t>给予对照组常规治疗，主要包括卧床休息、去除病因、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止痛解痉、止泻、纠正脱水、维持水电解质平衡、保护胃肠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黏膜等治疗，并应用地衣芽孢杆菌维持肠道微生态平衡。研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49" w:firstLine="7"/>
        <w:spacing w:before="34" w:line="246" w:lineRule="auto"/>
        <w:jc w:val="both"/>
        <w:rPr/>
      </w:pPr>
      <w:r>
        <w:rPr>
          <w:color w:val="231F20"/>
          <w:spacing w:val="5"/>
        </w:rPr>
        <w:t>究组在此基础上加以左氧氟沙星治疗，对于感</w:t>
      </w:r>
      <w:r>
        <w:rPr>
          <w:color w:val="231F20"/>
          <w:spacing w:val="4"/>
        </w:rPr>
        <w:t>染较轻者给予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左氧氟沙星片口服，0.5g/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次，1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次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/d，感染较重者予以盐酸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左氧氟沙星注射液静滴，0.4g/d，分两次</w:t>
      </w:r>
      <w:r>
        <w:rPr>
          <w:color w:val="231F20"/>
          <w:spacing w:val="4"/>
        </w:rPr>
        <w:t>静滴。两组均治疗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5d。在这两组治疗期间均为其提供全面、优质、综合的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护理服务，并做好患者的饮食指导、生活方式指导等。</w:t>
      </w:r>
    </w:p>
    <w:p>
      <w:pPr>
        <w:ind w:left="12"/>
        <w:spacing w:before="1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1.3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观察指标</w:t>
      </w:r>
    </w:p>
    <w:p>
      <w:pPr>
        <w:pStyle w:val="BodyText"/>
        <w:ind w:left="373"/>
        <w:spacing w:line="218" w:lineRule="auto"/>
        <w:rPr/>
      </w:pPr>
      <w:r>
        <w:rPr>
          <w:color w:val="231F20"/>
          <w:spacing w:val="-5"/>
        </w:rPr>
        <w:t>评价两组的以下指标：</w:t>
      </w:r>
    </w:p>
    <w:p>
      <w:pPr>
        <w:pStyle w:val="BodyText"/>
        <w:ind w:left="6" w:firstLine="372"/>
        <w:spacing w:before="6" w:line="245" w:lineRule="auto"/>
        <w:rPr/>
      </w:pPr>
      <w:r>
        <w:rPr>
          <w:color w:val="231F20"/>
          <w:spacing w:val="-3"/>
        </w:rPr>
        <w:t>（1）临床疗效：评价标准 </w:t>
      </w:r>
      <w:r>
        <w:rPr>
          <w:sz w:val="10"/>
          <w:szCs w:val="10"/>
          <w:color w:val="231F20"/>
          <w:spacing w:val="-3"/>
          <w:position w:val="8"/>
        </w:rPr>
        <w:t>[5]</w:t>
      </w:r>
      <w:r>
        <w:rPr>
          <w:sz w:val="10"/>
          <w:szCs w:val="10"/>
          <w:color w:val="231F20"/>
          <w:spacing w:val="-11"/>
          <w:position w:val="8"/>
        </w:rPr>
        <w:t xml:space="preserve"> </w:t>
      </w:r>
      <w:r>
        <w:rPr>
          <w:color w:val="231F20"/>
          <w:spacing w:val="-3"/>
        </w:rPr>
        <w:t>：显效：患者腹泻、腹痛、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恶心、呕吐等症状消失，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实验室检查正常；有效：症状缓</w:t>
      </w:r>
      <w:r>
        <w:rPr>
          <w:color w:val="231F20"/>
          <w:spacing w:val="-7"/>
        </w:rPr>
        <w:t>解，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实验室检查改善；无效：未满足以上标准，计算两组总有效率，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总有效率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=（显效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4"/>
        </w:rPr>
        <w:t>+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4"/>
        </w:rPr>
        <w:t>有效）/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总例数 ×100.00%。</w:t>
      </w:r>
    </w:p>
    <w:p>
      <w:pPr>
        <w:pStyle w:val="BodyText"/>
        <w:ind w:left="379"/>
        <w:spacing w:before="25" w:line="220" w:lineRule="auto"/>
        <w:rPr/>
      </w:pPr>
      <w:r>
        <w:rPr>
          <w:color w:val="231F20"/>
          <w:spacing w:val="-2"/>
        </w:rPr>
        <w:t>（2）症状消退时间：主要观察止泻时间、止吐时间。</w:t>
      </w:r>
    </w:p>
    <w:p>
      <w:pPr>
        <w:pStyle w:val="BodyText"/>
        <w:ind w:left="379"/>
        <w:spacing w:before="26" w:line="220" w:lineRule="auto"/>
        <w:rPr/>
      </w:pPr>
      <w:r>
        <w:rPr>
          <w:color w:val="231F20"/>
          <w:spacing w:val="-5"/>
        </w:rPr>
        <w:t>（3）住院时间。</w:t>
      </w:r>
    </w:p>
    <w:p>
      <w:pPr>
        <w:pStyle w:val="BodyText"/>
        <w:ind w:left="5" w:right="49" w:firstLine="373"/>
        <w:spacing w:before="24" w:line="238" w:lineRule="auto"/>
        <w:rPr/>
      </w:pPr>
      <w:r>
        <w:rPr>
          <w:color w:val="231F20"/>
          <w:spacing w:val="1"/>
        </w:rPr>
        <w:t>（4）安全性：通过药物不良反应评价，常见药物不良反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应有头晕头痛、过敏反应、嗜睡、失眠等，观察并统计两组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发生情况。</w:t>
      </w:r>
    </w:p>
    <w:p>
      <w:pPr>
        <w:ind w:left="12"/>
        <w:spacing w:before="24" w:line="17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1.4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统计学分析</w:t>
      </w:r>
    </w:p>
    <w:p>
      <w:pPr>
        <w:pStyle w:val="BodyText"/>
        <w:ind w:left="19" w:right="49" w:firstLine="356"/>
        <w:spacing w:before="1" w:line="249" w:lineRule="auto"/>
        <w:rPr/>
      </w:pPr>
      <w:r>
        <w:rPr>
          <w:color w:val="231F20"/>
          <w:spacing w:val="-3"/>
        </w:rPr>
        <w:t>数据纳入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SPSS21.0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软件分析，采用 χ</w:t>
      </w:r>
      <w:r>
        <w:rPr>
          <w:sz w:val="10"/>
          <w:szCs w:val="10"/>
          <w:color w:val="231F20"/>
          <w:spacing w:val="-3"/>
          <w:position w:val="8"/>
        </w:rPr>
        <w:t>2 </w:t>
      </w:r>
      <w:r>
        <w:rPr>
          <w:color w:val="231F20"/>
          <w:spacing w:val="-3"/>
        </w:rPr>
        <w:t>检验和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t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检验，P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&lt; 0.05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表示数据有统计学差异。</w:t>
      </w:r>
    </w:p>
    <w:p>
      <w:pPr>
        <w:ind w:left="7"/>
        <w:spacing w:before="1" w:line="198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结果</w:t>
      </w:r>
    </w:p>
    <w:p>
      <w:pPr>
        <w:spacing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2.1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两组临床疗效对比</w:t>
      </w:r>
    </w:p>
    <w:p>
      <w:pPr>
        <w:pStyle w:val="BodyText"/>
        <w:ind w:left="379"/>
        <w:spacing w:line="218" w:lineRule="auto"/>
        <w:rPr/>
      </w:pPr>
      <w:r>
        <w:rPr>
          <w:color w:val="231F20"/>
          <w:spacing w:val="1"/>
        </w:rPr>
        <w:t>总有效率：研究组的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96.67%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比对照组的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80.00%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更高，</w:t>
      </w:r>
    </w:p>
    <w:p>
      <w:pPr>
        <w:pStyle w:val="BodyText"/>
        <w:ind w:left="7"/>
        <w:spacing w:before="27" w:line="220" w:lineRule="auto"/>
        <w:rPr/>
      </w:pPr>
      <w:r>
        <w:rPr>
          <w:color w:val="231F20"/>
          <w:spacing w:val="-3"/>
        </w:rPr>
        <w:t>差异有统计学意义（P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0.05）。详见表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1：</w:t>
      </w:r>
    </w:p>
    <w:p>
      <w:pPr>
        <w:pStyle w:val="BodyText"/>
        <w:ind w:left="1300"/>
        <w:spacing w:before="25" w:line="220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表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-4"/>
        </w:rPr>
        <w:t>1  两组临床疗效比较 [n(%)]</w:t>
      </w:r>
    </w:p>
    <w:p>
      <w:pPr>
        <w:spacing w:line="27" w:lineRule="exact"/>
        <w:rPr/>
      </w:pPr>
      <w:r/>
    </w:p>
    <w:tbl>
      <w:tblPr>
        <w:tblStyle w:val="TableNormal"/>
        <w:tblW w:w="483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5"/>
        <w:gridCol w:w="395"/>
        <w:gridCol w:w="909"/>
        <w:gridCol w:w="806"/>
        <w:gridCol w:w="867"/>
        <w:gridCol w:w="1288"/>
      </w:tblGrid>
      <w:tr>
        <w:trPr>
          <w:trHeight w:val="268" w:hRule="atLeast"/>
        </w:trPr>
        <w:tc>
          <w:tcPr>
            <w:tcW w:w="56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1"/>
              <w:spacing w:before="52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3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6"/>
              <w:spacing w:before="52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9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07"/>
              <w:spacing w:before="52" w:line="220" w:lineRule="auto"/>
              <w:rPr/>
            </w:pPr>
            <w:r>
              <w:rPr>
                <w:color w:val="231F20"/>
                <w:spacing w:val="-3"/>
              </w:rPr>
              <w:t>显效</w:t>
            </w:r>
          </w:p>
        </w:tc>
        <w:tc>
          <w:tcPr>
            <w:tcW w:w="8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1"/>
              <w:spacing w:before="52" w:line="220" w:lineRule="auto"/>
              <w:rPr/>
            </w:pPr>
            <w:r>
              <w:rPr>
                <w:color w:val="231F20"/>
                <w:spacing w:val="-2"/>
              </w:rPr>
              <w:t>有效</w:t>
            </w:r>
          </w:p>
        </w:tc>
        <w:tc>
          <w:tcPr>
            <w:tcW w:w="86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02"/>
              <w:spacing w:before="52" w:line="220" w:lineRule="auto"/>
              <w:rPr/>
            </w:pPr>
            <w:r>
              <w:rPr>
                <w:color w:val="231F20"/>
                <w:spacing w:val="-2"/>
              </w:rPr>
              <w:t>无效</w:t>
            </w:r>
          </w:p>
        </w:tc>
        <w:tc>
          <w:tcPr>
            <w:tcW w:w="128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5"/>
              <w:spacing w:before="52" w:line="220" w:lineRule="auto"/>
              <w:rPr/>
            </w:pPr>
            <w:r>
              <w:rPr>
                <w:color w:val="231F20"/>
                <w:spacing w:val="-3"/>
              </w:rPr>
              <w:t>总有效率（%）</w:t>
            </w:r>
          </w:p>
        </w:tc>
      </w:tr>
      <w:tr>
        <w:trPr>
          <w:trHeight w:val="266" w:hRule="atLeast"/>
        </w:trPr>
        <w:tc>
          <w:tcPr>
            <w:tcW w:w="5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"/>
              <w:spacing w:before="54" w:line="221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3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9"/>
              <w:spacing w:before="54" w:line="232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9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4" w:line="232" w:lineRule="auto"/>
              <w:jc w:val="right"/>
              <w:rPr/>
            </w:pPr>
            <w:r>
              <w:rPr>
                <w:color w:val="231F20"/>
                <w:spacing w:val="-11"/>
              </w:rPr>
              <w:t>16（53.33%）</w:t>
            </w:r>
          </w:p>
        </w:tc>
        <w:tc>
          <w:tcPr>
            <w:tcW w:w="8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4" w:line="232" w:lineRule="auto"/>
              <w:jc w:val="right"/>
              <w:rPr/>
            </w:pPr>
            <w:r>
              <w:rPr>
                <w:color w:val="231F20"/>
                <w:spacing w:val="-13"/>
              </w:rPr>
              <w:t>8（26.67%）</w:t>
            </w:r>
          </w:p>
        </w:tc>
        <w:tc>
          <w:tcPr>
            <w:tcW w:w="8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4" w:line="232" w:lineRule="auto"/>
              <w:jc w:val="right"/>
              <w:rPr/>
            </w:pPr>
            <w:r>
              <w:rPr>
                <w:color w:val="231F20"/>
                <w:spacing w:val="-6"/>
              </w:rPr>
              <w:t>6（20.00%）</w:t>
            </w:r>
          </w:p>
        </w:tc>
        <w:tc>
          <w:tcPr>
            <w:tcW w:w="12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7"/>
              <w:spacing w:before="54" w:line="225" w:lineRule="auto"/>
              <w:rPr/>
            </w:pPr>
            <w:r>
              <w:rPr>
                <w:color w:val="231F20"/>
                <w:spacing w:val="-2"/>
              </w:rPr>
              <w:t>24/30（80.00%）</w:t>
            </w:r>
          </w:p>
        </w:tc>
      </w:tr>
      <w:tr>
        <w:trPr>
          <w:trHeight w:val="269" w:hRule="atLeast"/>
        </w:trPr>
        <w:tc>
          <w:tcPr>
            <w:tcW w:w="565" w:type="dxa"/>
            <w:vAlign w:val="top"/>
          </w:tcPr>
          <w:p>
            <w:pPr>
              <w:pStyle w:val="TableText"/>
              <w:ind w:left="49"/>
              <w:spacing w:before="63" w:line="219" w:lineRule="auto"/>
              <w:rPr/>
            </w:pPr>
            <w:r>
              <w:rPr>
                <w:color w:val="231F20"/>
                <w:spacing w:val="-2"/>
              </w:rPr>
              <w:t>研究组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ind w:left="129"/>
              <w:spacing w:before="63" w:line="226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spacing w:before="63" w:line="226" w:lineRule="auto"/>
              <w:jc w:val="right"/>
              <w:rPr/>
            </w:pPr>
            <w:r>
              <w:rPr>
                <w:color w:val="231F20"/>
                <w:spacing w:val="-10"/>
              </w:rPr>
              <w:t>24（80.00%）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spacing w:before="63" w:line="226" w:lineRule="auto"/>
              <w:jc w:val="right"/>
              <w:rPr/>
            </w:pPr>
            <w:r>
              <w:rPr>
                <w:color w:val="231F20"/>
                <w:spacing w:val="-13"/>
              </w:rPr>
              <w:t>5（16.67%）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72"/>
              <w:spacing w:before="63" w:line="226" w:lineRule="auto"/>
              <w:rPr/>
            </w:pPr>
            <w:r>
              <w:rPr>
                <w:color w:val="231F20"/>
                <w:spacing w:val="-3"/>
              </w:rPr>
              <w:t>1（3.33%）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77"/>
              <w:spacing w:before="63" w:line="225" w:lineRule="auto"/>
              <w:rPr/>
            </w:pPr>
            <w:r>
              <w:rPr>
                <w:color w:val="231F20"/>
                <w:spacing w:val="-2"/>
              </w:rPr>
              <w:t>29/30（96.67%）</w:t>
            </w:r>
          </w:p>
        </w:tc>
      </w:tr>
      <w:tr>
        <w:trPr>
          <w:trHeight w:val="279" w:hRule="atLeast"/>
        </w:trPr>
        <w:tc>
          <w:tcPr>
            <w:tcW w:w="565" w:type="dxa"/>
            <w:vAlign w:val="top"/>
          </w:tcPr>
          <w:p>
            <w:pPr>
              <w:pStyle w:val="TableText"/>
              <w:ind w:left="225"/>
              <w:spacing w:before="49" w:line="219" w:lineRule="exact"/>
              <w:rPr>
                <w:sz w:val="9"/>
                <w:szCs w:val="9"/>
              </w:rPr>
            </w:pPr>
            <w:r>
              <w:rPr>
                <w:color w:val="231F20"/>
                <w:spacing w:val="-46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2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ind w:left="165"/>
              <w:spacing w:before="144" w:line="10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62"/>
              <w:spacing w:before="69" w:line="230" w:lineRule="auto"/>
              <w:rPr/>
            </w:pPr>
            <w:r>
              <w:rPr>
                <w:color w:val="231F20"/>
                <w:spacing w:val="-1"/>
              </w:rPr>
              <w:t>4.800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212"/>
              <w:spacing w:before="69" w:line="230" w:lineRule="auto"/>
              <w:rPr/>
            </w:pPr>
            <w:r>
              <w:rPr>
                <w:color w:val="231F20"/>
                <w:spacing w:val="-2"/>
              </w:rPr>
              <w:t>0.884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0"/>
              <w:spacing w:before="69" w:line="230" w:lineRule="auto"/>
              <w:rPr/>
            </w:pPr>
            <w:r>
              <w:rPr>
                <w:color w:val="231F20"/>
                <w:spacing w:val="-1"/>
              </w:rPr>
              <w:t>4.043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470"/>
              <w:spacing w:before="69" w:line="230" w:lineRule="auto"/>
              <w:rPr/>
            </w:pPr>
            <w:r>
              <w:rPr>
                <w:color w:val="231F20"/>
                <w:spacing w:val="-1"/>
              </w:rPr>
              <w:t>4.043</w:t>
            </w:r>
          </w:p>
        </w:tc>
      </w:tr>
      <w:tr>
        <w:trPr>
          <w:trHeight w:val="277" w:hRule="atLeast"/>
        </w:trPr>
        <w:tc>
          <w:tcPr>
            <w:tcW w:w="56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7"/>
              <w:spacing w:before="91" w:line="182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3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5"/>
              <w:spacing w:before="140" w:line="10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9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4"/>
              <w:spacing w:before="65" w:line="233" w:lineRule="auto"/>
              <w:rPr/>
            </w:pPr>
            <w:r>
              <w:rPr>
                <w:color w:val="231F20"/>
                <w:spacing w:val="-2"/>
              </w:rPr>
              <w:t>0.028</w:t>
            </w:r>
          </w:p>
        </w:tc>
        <w:tc>
          <w:tcPr>
            <w:tcW w:w="8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2"/>
              <w:spacing w:before="65" w:line="233" w:lineRule="auto"/>
              <w:rPr/>
            </w:pPr>
            <w:r>
              <w:rPr>
                <w:color w:val="231F20"/>
                <w:spacing w:val="-2"/>
              </w:rPr>
              <w:t>0.347</w:t>
            </w:r>
          </w:p>
        </w:tc>
        <w:tc>
          <w:tcPr>
            <w:tcW w:w="8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2"/>
              <w:spacing w:before="65" w:line="233" w:lineRule="auto"/>
              <w:rPr/>
            </w:pPr>
            <w:r>
              <w:rPr>
                <w:color w:val="231F20"/>
                <w:spacing w:val="-2"/>
              </w:rPr>
              <w:t>0.044</w:t>
            </w:r>
          </w:p>
        </w:tc>
        <w:tc>
          <w:tcPr>
            <w:tcW w:w="12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2"/>
              <w:spacing w:before="65" w:line="233" w:lineRule="auto"/>
              <w:rPr/>
            </w:pPr>
            <w:r>
              <w:rPr>
                <w:color w:val="231F20"/>
                <w:spacing w:val="-2"/>
              </w:rPr>
              <w:t>0.044</w:t>
            </w:r>
          </w:p>
        </w:tc>
      </w:tr>
    </w:tbl>
    <w:p>
      <w:pPr>
        <w:spacing w:before="56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2.2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两组症状消退时间、住院时间对比</w:t>
      </w:r>
    </w:p>
    <w:p>
      <w:pPr>
        <w:pStyle w:val="BodyText"/>
        <w:ind w:left="376"/>
        <w:spacing w:line="218" w:lineRule="auto"/>
        <w:rPr/>
      </w:pPr>
      <w:r>
        <w:rPr>
          <w:color w:val="231F20"/>
          <w:spacing w:val="5"/>
        </w:rPr>
        <w:t>各症状消退时间、住院时间：研究组均更短，差异有统</w:t>
      </w:r>
    </w:p>
    <w:p>
      <w:pPr>
        <w:spacing w:line="218" w:lineRule="auto"/>
        <w:sectPr>
          <w:type w:val="continuous"/>
          <w:pgSz w:w="11906" w:h="16158"/>
          <w:pgMar w:top="1307" w:right="885" w:bottom="0" w:left="407" w:header="937" w:footer="0" w:gutter="0"/>
          <w:cols w:equalWidth="0" w:num="2">
            <w:col w:w="5631" w:space="100"/>
            <w:col w:w="4882" w:space="0"/>
          </w:cols>
        </w:sectPr>
        <w:rPr/>
      </w:pPr>
    </w:p>
    <w:p>
      <w:pPr>
        <w:ind w:firstLine="522"/>
        <w:spacing w:before="120" w:line="40" w:lineRule="exact"/>
        <w:rPr/>
      </w:pPr>
      <w:r>
        <w:pict>
          <v:shape id="_x0000_s6" style="position:absolute;margin-left:26.5365pt;margin-top:-637.634pt;mso-position-vertical-relative:text;mso-position-horizontal-relative:text;width:501.75pt;height:0.35pt;z-index:251658240;" filled="false" strokecolor="#231F20" strokeweight="0.33pt" coordsize="10035,6" coordorigin="0,0" path="m10034,3l0,3e">
            <v:stroke joinstyle="miter" miterlimit="4"/>
          </v:shape>
        </w:pict>
      </w:r>
      <w:r>
        <w:rPr/>
        <w:drawing>
          <wp:inline distT="0" distB="0" distL="0" distR="0">
            <wp:extent cx="6378727" cy="2534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8727" cy="2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6" w:lineRule="exact"/>
        <w:rPr/>
      </w:pPr>
      <w:r/>
    </w:p>
    <w:p>
      <w:pPr>
        <w:spacing w:line="126" w:lineRule="exact"/>
        <w:sectPr>
          <w:type w:val="continuous"/>
          <w:pgSz w:w="11906" w:h="16158"/>
          <w:pgMar w:top="1307" w:right="885" w:bottom="0" w:left="407" w:header="937" w:footer="0" w:gutter="0"/>
          <w:cols w:equalWidth="0" w:num="1">
            <w:col w:w="10612" w:space="0"/>
          </w:cols>
        </w:sectPr>
        <w:rPr/>
      </w:pPr>
    </w:p>
    <w:p>
      <w:pPr>
        <w:pStyle w:val="BodyText"/>
        <w:ind w:left="943" w:right="300" w:hanging="2"/>
        <w:spacing w:before="32" w:line="30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脑损伤气管切开术后患者护理中的应用效果 [J].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4"/>
        </w:rPr>
        <w:t>黑龙江中医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药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"/>
        </w:rPr>
        <w:t>,2021,50(03):243-244.</w:t>
      </w:r>
    </w:p>
    <w:p>
      <w:pPr>
        <w:pStyle w:val="BodyText"/>
        <w:ind w:left="558"/>
        <w:spacing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[15] 李华菊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</w:rPr>
        <w:t>郭燕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</w:rPr>
        <w:t>.St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Mary’s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</w:rPr>
        <w:t>集束化护理方案对重症颅脑损伤术</w:t>
      </w:r>
    </w:p>
    <w:p>
      <w:pPr>
        <w:pStyle w:val="BodyText"/>
        <w:ind w:left="943"/>
        <w:spacing w:before="80" w:line="18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后气管切开患者的应用效果 [J].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</w:rPr>
        <w:t>河南医学研究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,2021,30(09):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/>
        <w:spacing w:before="31" w:line="23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1725-1727.</w:t>
      </w:r>
    </w:p>
    <w:p>
      <w:pPr>
        <w:pStyle w:val="BodyText"/>
        <w:ind w:left="382" w:right="48" w:hanging="383"/>
        <w:spacing w:before="59" w:line="26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[16]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陈璐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俞丹妮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王芳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, 吕琳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2"/>
        </w:rPr>
        <w:t>陈丹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2"/>
        </w:rPr>
        <w:t>序贯式排痰护理方案在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重型颅脑损伤气管切开病人中的应用 [J].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7"/>
        </w:rPr>
        <w:t>护理研究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,2021,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35(04):712-715.</w:t>
      </w:r>
    </w:p>
    <w:p>
      <w:pPr>
        <w:spacing w:line="266" w:lineRule="auto"/>
        <w:sectPr>
          <w:type w:val="continuous"/>
          <w:pgSz w:w="11906" w:h="16158"/>
          <w:pgMar w:top="1307" w:right="885" w:bottom="0" w:left="407" w:header="937" w:footer="0" w:gutter="0"/>
          <w:cols w:equalWidth="0" w:num="2">
            <w:col w:w="5661" w:space="100"/>
            <w:col w:w="4852" w:space="0"/>
          </w:cols>
        </w:sectPr>
        <w:rPr>
          <w:sz w:val="16"/>
          <w:szCs w:val="16"/>
        </w:rPr>
      </w:pPr>
    </w:p>
    <w:p>
      <w:pPr>
        <w:spacing w:line="160" w:lineRule="exact"/>
        <w:rPr/>
      </w:pPr>
      <w:r>
        <w:pict>
          <v:shape id="_x0000_s12" style="position:absolute;margin-left:46.7696pt;margin-top:63.4405pt;mso-position-vertical-relative:page;mso-position-horizontal-relative:page;width:501.75pt;height:0.35pt;z-index:251659264;" o:allowincell="f" filled="false" strokecolor="#231F20" strokeweight="0.33pt" coordsize="10035,6" coordorigin="0,0" path="m0,3l10034,3e">
            <v:stroke joinstyle="miter" miterlimit="4"/>
          </v:shape>
        </w:pict>
      </w:r>
      <w:r/>
    </w:p>
    <w:p>
      <w:pPr>
        <w:spacing w:line="160" w:lineRule="exact"/>
        <w:sectPr>
          <w:headerReference w:type="default" r:id="rId3"/>
          <w:pgSz w:w="11906" w:h="16158"/>
          <w:pgMar w:top="1307" w:right="871" w:bottom="0" w:left="407" w:header="937" w:footer="0" w:gutter="0"/>
          <w:cols w:equalWidth="0" w:num="1">
            <w:col w:w="10626" w:space="0"/>
          </w:cols>
        </w:sectPr>
        <w:rPr/>
      </w:pPr>
    </w:p>
    <w:p>
      <w:pPr>
        <w:pStyle w:val="BodyText"/>
        <w:ind w:left="534"/>
        <w:spacing w:before="62" w:line="220" w:lineRule="auto"/>
        <w:rPr/>
      </w:pPr>
      <w:r>
        <w:rPr>
          <w:color w:val="231F20"/>
          <w:spacing w:val="-3"/>
        </w:rPr>
        <w:t>计学意义（P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0.05）。详见表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2：</w:t>
      </w:r>
    </w:p>
    <w:p>
      <w:pPr>
        <w:pStyle w:val="BodyText"/>
        <w:ind w:left="1209"/>
        <w:spacing w:before="26" w:line="215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表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1"/>
        </w:rPr>
        <w:t>2  两组症状消退时间、住院时间对比(</w:t>
      </w:r>
      <w:r>
        <w:rPr>
          <w:sz w:val="16"/>
          <w:szCs w:val="16"/>
          <w:color w:val="231F20"/>
          <w:spacing w:val="-51"/>
        </w:rPr>
        <w:t xml:space="preserve"> </w:t>
      </w:r>
      <w:r>
        <w:rPr>
          <w:sz w:val="16"/>
          <w:szCs w:val="16"/>
          <w:position w:val="-2"/>
        </w:rPr>
        <w:drawing>
          <wp:inline distT="0" distB="0" distL="0" distR="0">
            <wp:extent cx="47650" cy="1016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1"/>
        </w:rPr>
        <w:t>±s）</w:t>
      </w:r>
    </w:p>
    <w:p>
      <w:pPr>
        <w:spacing w:line="30" w:lineRule="exact"/>
        <w:rPr/>
      </w:pPr>
      <w:r/>
    </w:p>
    <w:tbl>
      <w:tblPr>
        <w:tblStyle w:val="TableNormal"/>
        <w:tblW w:w="4833" w:type="dxa"/>
        <w:tblInd w:w="5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7"/>
        <w:gridCol w:w="779"/>
        <w:gridCol w:w="1104"/>
        <w:gridCol w:w="966"/>
        <w:gridCol w:w="977"/>
      </w:tblGrid>
      <w:tr>
        <w:trPr>
          <w:trHeight w:val="220" w:hRule="atLeast"/>
        </w:trPr>
        <w:tc>
          <w:tcPr>
            <w:tcW w:w="10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31"/>
              <w:spacing w:before="28" w:line="209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7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89"/>
              <w:spacing w:before="28" w:line="209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1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spacing w:before="28" w:line="209" w:lineRule="auto"/>
              <w:jc w:val="right"/>
              <w:rPr/>
            </w:pPr>
            <w:r>
              <w:rPr>
                <w:color w:val="231F20"/>
                <w:spacing w:val="-17"/>
              </w:rPr>
              <w:t>止泻时间（d）</w:t>
            </w:r>
          </w:p>
        </w:tc>
        <w:tc>
          <w:tcPr>
            <w:tcW w:w="9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spacing w:before="28" w:line="209" w:lineRule="auto"/>
              <w:jc w:val="right"/>
              <w:rPr/>
            </w:pPr>
            <w:r>
              <w:rPr>
                <w:color w:val="231F20"/>
                <w:spacing w:val="-18"/>
              </w:rPr>
              <w:t>止吐时间（d）</w:t>
            </w:r>
          </w:p>
        </w:tc>
        <w:tc>
          <w:tcPr>
            <w:tcW w:w="9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spacing w:before="28" w:line="209" w:lineRule="auto"/>
              <w:jc w:val="right"/>
              <w:rPr/>
            </w:pPr>
            <w:r>
              <w:rPr>
                <w:color w:val="231F20"/>
                <w:spacing w:val="-16"/>
              </w:rPr>
              <w:t>住院时间（d）</w:t>
            </w:r>
          </w:p>
        </w:tc>
      </w:tr>
      <w:tr>
        <w:trPr>
          <w:trHeight w:val="218" w:hRule="atLeast"/>
        </w:trPr>
        <w:tc>
          <w:tcPr>
            <w:tcW w:w="10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8"/>
              <w:spacing w:before="30" w:line="205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7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2"/>
              <w:spacing w:before="30" w:line="205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11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8"/>
              <w:spacing w:before="30" w:line="205" w:lineRule="auto"/>
              <w:rPr/>
            </w:pPr>
            <w:r>
              <w:rPr>
                <w:color w:val="231F20"/>
                <w:spacing w:val="-1"/>
              </w:rPr>
              <w:t>2.38±0.85</w:t>
            </w:r>
          </w:p>
        </w:tc>
        <w:tc>
          <w:tcPr>
            <w:tcW w:w="9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0"/>
              <w:spacing w:before="30" w:line="205" w:lineRule="auto"/>
              <w:rPr/>
            </w:pPr>
            <w:r>
              <w:rPr>
                <w:color w:val="231F20"/>
                <w:spacing w:val="-1"/>
              </w:rPr>
              <w:t>0.88±0.15</w:t>
            </w:r>
          </w:p>
        </w:tc>
        <w:tc>
          <w:tcPr>
            <w:tcW w:w="9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3"/>
              <w:spacing w:before="30" w:line="205" w:lineRule="auto"/>
              <w:rPr/>
            </w:pPr>
            <w:r>
              <w:rPr>
                <w:color w:val="231F20"/>
                <w:spacing w:val="-2"/>
              </w:rPr>
              <w:t>7.78±1.37</w:t>
            </w:r>
          </w:p>
        </w:tc>
      </w:tr>
      <w:tr>
        <w:trPr>
          <w:trHeight w:val="235" w:hRule="atLeast"/>
        </w:trPr>
        <w:tc>
          <w:tcPr>
            <w:tcW w:w="1007" w:type="dxa"/>
            <w:vAlign w:val="top"/>
          </w:tcPr>
          <w:p>
            <w:pPr>
              <w:pStyle w:val="TableText"/>
              <w:ind w:left="249"/>
              <w:spacing w:before="38" w:line="215" w:lineRule="auto"/>
              <w:rPr/>
            </w:pPr>
            <w:r>
              <w:rPr>
                <w:color w:val="231F20"/>
                <w:spacing w:val="-2"/>
              </w:rPr>
              <w:t>研究组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72"/>
              <w:spacing w:before="38" w:line="215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1104" w:type="dxa"/>
            <w:vAlign w:val="top"/>
          </w:tcPr>
          <w:p>
            <w:pPr>
              <w:pStyle w:val="TableText"/>
              <w:ind w:left="248"/>
              <w:spacing w:before="38" w:line="215" w:lineRule="auto"/>
              <w:rPr/>
            </w:pPr>
            <w:r>
              <w:rPr>
                <w:color w:val="231F20"/>
                <w:spacing w:val="-3"/>
              </w:rPr>
              <w:t>1.32±0.27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100"/>
              <w:spacing w:before="38" w:line="215" w:lineRule="auto"/>
              <w:rPr/>
            </w:pPr>
            <w:r>
              <w:rPr>
                <w:color w:val="231F20"/>
                <w:spacing w:val="-1"/>
              </w:rPr>
              <w:t>0.57±0.24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101"/>
              <w:spacing w:before="38" w:line="215" w:lineRule="auto"/>
              <w:rPr/>
            </w:pPr>
            <w:r>
              <w:rPr>
                <w:color w:val="231F20"/>
                <w:spacing w:val="-1"/>
              </w:rPr>
              <w:t>6.01±1.15</w:t>
            </w:r>
          </w:p>
        </w:tc>
      </w:tr>
      <w:tr>
        <w:trPr>
          <w:trHeight w:val="216" w:hRule="atLeast"/>
        </w:trPr>
        <w:tc>
          <w:tcPr>
            <w:tcW w:w="1007" w:type="dxa"/>
            <w:vAlign w:val="top"/>
          </w:tcPr>
          <w:p>
            <w:pPr>
              <w:pStyle w:val="TableText"/>
              <w:ind w:left="453"/>
              <w:spacing w:before="30" w:line="202" w:lineRule="auto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407"/>
              <w:spacing w:before="106" w:line="9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104" w:type="dxa"/>
            <w:vAlign w:val="top"/>
          </w:tcPr>
          <w:p>
            <w:pPr>
              <w:pStyle w:val="TableText"/>
              <w:ind w:left="438"/>
              <w:spacing w:before="30" w:line="202" w:lineRule="auto"/>
              <w:rPr/>
            </w:pPr>
            <w:r>
              <w:rPr>
                <w:color w:val="231F20"/>
                <w:spacing w:val="-2"/>
              </w:rPr>
              <w:t>6.510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302"/>
              <w:spacing w:before="30" w:line="202" w:lineRule="auto"/>
              <w:rPr/>
            </w:pPr>
            <w:r>
              <w:rPr>
                <w:color w:val="231F20"/>
                <w:spacing w:val="-2"/>
              </w:rPr>
              <w:t>5.999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303"/>
              <w:spacing w:before="30" w:line="202" w:lineRule="auto"/>
              <w:rPr/>
            </w:pPr>
            <w:r>
              <w:rPr>
                <w:color w:val="231F20"/>
                <w:spacing w:val="-2"/>
              </w:rPr>
              <w:t>5.420</w:t>
            </w:r>
          </w:p>
        </w:tc>
      </w:tr>
      <w:tr>
        <w:trPr>
          <w:trHeight w:val="229" w:hRule="atLeast"/>
        </w:trPr>
        <w:tc>
          <w:tcPr>
            <w:tcW w:w="10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6"/>
              <w:spacing w:before="68" w:line="174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7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07"/>
              <w:spacing w:before="116" w:line="103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1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8"/>
              <w:spacing w:before="41" w:line="205" w:lineRule="auto"/>
              <w:rPr/>
            </w:pPr>
            <w:r>
              <w:rPr>
                <w:color w:val="231F20"/>
                <w:spacing w:val="-2"/>
              </w:rPr>
              <w:t>0.001</w:t>
            </w:r>
          </w:p>
        </w:tc>
        <w:tc>
          <w:tcPr>
            <w:tcW w:w="96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0"/>
              <w:spacing w:before="41" w:line="205" w:lineRule="auto"/>
              <w:rPr/>
            </w:pPr>
            <w:r>
              <w:rPr>
                <w:color w:val="231F20"/>
                <w:spacing w:val="-2"/>
              </w:rPr>
              <w:t>0.001</w:t>
            </w:r>
          </w:p>
        </w:tc>
        <w:tc>
          <w:tcPr>
            <w:tcW w:w="9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1"/>
              <w:spacing w:before="41" w:line="205" w:lineRule="auto"/>
              <w:rPr/>
            </w:pPr>
            <w:r>
              <w:rPr>
                <w:color w:val="231F20"/>
                <w:spacing w:val="-2"/>
              </w:rPr>
              <w:t>0.001</w:t>
            </w:r>
          </w:p>
        </w:tc>
      </w:tr>
    </w:tbl>
    <w:p>
      <w:pPr>
        <w:ind w:left="528"/>
        <w:spacing w:before="56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2.3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两组不良反应发生率对比</w:t>
      </w:r>
    </w:p>
    <w:p>
      <w:pPr>
        <w:pStyle w:val="BodyText"/>
        <w:ind w:left="538" w:right="275" w:firstLine="367"/>
        <w:spacing w:line="246" w:lineRule="auto"/>
        <w:rPr/>
      </w:pPr>
      <w:r>
        <w:rPr>
          <w:color w:val="231F20"/>
          <w:spacing w:val="3"/>
        </w:rPr>
        <w:t>不良反应发生率：研究组的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6.67%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与对照组的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3.33%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无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统计学差异（P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0.05）。详见表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3：</w:t>
      </w:r>
    </w:p>
    <w:p>
      <w:pPr>
        <w:pStyle w:val="BodyText"/>
        <w:ind w:left="1589"/>
        <w:spacing w:line="219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表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3"/>
        </w:rPr>
        <w:t>3  两组不良反应发生率比较 [n(%)]</w:t>
      </w:r>
    </w:p>
    <w:p>
      <w:pPr>
        <w:spacing w:line="26" w:lineRule="exact"/>
        <w:rPr/>
      </w:pPr>
      <w:r/>
    </w:p>
    <w:tbl>
      <w:tblPr>
        <w:tblStyle w:val="TableNormal"/>
        <w:tblW w:w="4818" w:type="dxa"/>
        <w:tblInd w:w="5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8"/>
        <w:gridCol w:w="485"/>
        <w:gridCol w:w="840"/>
        <w:gridCol w:w="863"/>
        <w:gridCol w:w="920"/>
        <w:gridCol w:w="1032"/>
      </w:tblGrid>
      <w:tr>
        <w:trPr>
          <w:trHeight w:val="210" w:hRule="atLeast"/>
        </w:trPr>
        <w:tc>
          <w:tcPr>
            <w:tcW w:w="67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8"/>
              <w:spacing w:before="23" w:line="204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4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3"/>
              <w:spacing w:before="23" w:line="204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8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1"/>
              <w:spacing w:before="23" w:line="204" w:lineRule="auto"/>
              <w:rPr/>
            </w:pPr>
            <w:r>
              <w:rPr>
                <w:color w:val="231F20"/>
                <w:spacing w:val="-2"/>
              </w:rPr>
              <w:t>头晕头痛</w:t>
            </w:r>
          </w:p>
        </w:tc>
        <w:tc>
          <w:tcPr>
            <w:tcW w:w="86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0"/>
              <w:spacing w:before="23" w:line="204" w:lineRule="auto"/>
              <w:rPr/>
            </w:pPr>
            <w:r>
              <w:rPr>
                <w:color w:val="231F20"/>
                <w:spacing w:val="-2"/>
              </w:rPr>
              <w:t>过敏反应</w:t>
            </w:r>
          </w:p>
        </w:tc>
        <w:tc>
          <w:tcPr>
            <w:tcW w:w="92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"/>
              <w:spacing w:before="23" w:line="204" w:lineRule="auto"/>
              <w:rPr/>
            </w:pPr>
            <w:r>
              <w:rPr>
                <w:color w:val="231F20"/>
                <w:spacing w:val="-2"/>
              </w:rPr>
              <w:t>嗜睡或失眠</w:t>
            </w:r>
          </w:p>
        </w:tc>
        <w:tc>
          <w:tcPr>
            <w:tcW w:w="10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9"/>
              <w:spacing w:before="23" w:line="204" w:lineRule="auto"/>
              <w:rPr/>
            </w:pPr>
            <w:r>
              <w:rPr>
                <w:color w:val="231F20"/>
                <w:spacing w:val="-3"/>
              </w:rPr>
              <w:t>合计（%）</w:t>
            </w:r>
          </w:p>
        </w:tc>
      </w:tr>
      <w:tr>
        <w:trPr>
          <w:trHeight w:val="208" w:hRule="atLeast"/>
        </w:trPr>
        <w:tc>
          <w:tcPr>
            <w:tcW w:w="6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24" w:line="200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4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6"/>
              <w:spacing w:before="24" w:line="200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8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24" w:line="200" w:lineRule="auto"/>
              <w:jc w:val="right"/>
              <w:rPr/>
            </w:pPr>
            <w:r>
              <w:rPr>
                <w:color w:val="231F20"/>
                <w:spacing w:val="-5"/>
              </w:rPr>
              <w:t>1（3.33%）</w:t>
            </w:r>
          </w:p>
        </w:tc>
        <w:tc>
          <w:tcPr>
            <w:tcW w:w="8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6"/>
              <w:spacing w:before="24" w:line="200" w:lineRule="auto"/>
              <w:jc w:val="right"/>
              <w:rPr/>
            </w:pPr>
            <w:r>
              <w:rPr>
                <w:color w:val="231F20"/>
                <w:spacing w:val="-3"/>
              </w:rPr>
              <w:t>0（0.00%）</w:t>
            </w:r>
          </w:p>
        </w:tc>
        <w:tc>
          <w:tcPr>
            <w:tcW w:w="9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"/>
              <w:spacing w:before="24" w:line="200" w:lineRule="auto"/>
              <w:rPr/>
            </w:pPr>
            <w:r>
              <w:rPr>
                <w:color w:val="231F20"/>
                <w:spacing w:val="-2"/>
              </w:rPr>
              <w:t>0（0.00%）</w:t>
            </w:r>
          </w:p>
        </w:tc>
        <w:tc>
          <w:tcPr>
            <w:tcW w:w="10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24" w:line="200" w:lineRule="auto"/>
              <w:rPr/>
            </w:pPr>
            <w:r>
              <w:rPr>
                <w:color w:val="231F20"/>
                <w:spacing w:val="-9"/>
              </w:rPr>
              <w:t>1/30（3.33%）</w:t>
            </w:r>
          </w:p>
        </w:tc>
      </w:tr>
      <w:tr>
        <w:trPr>
          <w:trHeight w:val="211" w:hRule="atLeast"/>
        </w:trPr>
        <w:tc>
          <w:tcPr>
            <w:tcW w:w="678" w:type="dxa"/>
            <w:vAlign w:val="top"/>
          </w:tcPr>
          <w:p>
            <w:pPr>
              <w:pStyle w:val="TableText"/>
              <w:ind w:left="106"/>
              <w:spacing w:before="33" w:line="193" w:lineRule="auto"/>
              <w:rPr/>
            </w:pPr>
            <w:r>
              <w:rPr>
                <w:color w:val="231F20"/>
                <w:spacing w:val="-2"/>
              </w:rPr>
              <w:t>研究组</w:t>
            </w:r>
          </w:p>
        </w:tc>
        <w:tc>
          <w:tcPr>
            <w:tcW w:w="485" w:type="dxa"/>
            <w:vAlign w:val="top"/>
          </w:tcPr>
          <w:p>
            <w:pPr>
              <w:pStyle w:val="TableText"/>
              <w:ind w:left="186"/>
              <w:spacing w:before="33" w:line="193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spacing w:before="33" w:line="193" w:lineRule="auto"/>
              <w:jc w:val="right"/>
              <w:rPr/>
            </w:pPr>
            <w:r>
              <w:rPr>
                <w:color w:val="231F20"/>
                <w:spacing w:val="-5"/>
              </w:rPr>
              <w:t>1（3.33%）</w:t>
            </w:r>
          </w:p>
        </w:tc>
        <w:tc>
          <w:tcPr>
            <w:tcW w:w="863" w:type="dxa"/>
            <w:vAlign w:val="top"/>
          </w:tcPr>
          <w:p>
            <w:pPr>
              <w:pStyle w:val="TableText"/>
              <w:ind w:right="5"/>
              <w:spacing w:before="33" w:line="193" w:lineRule="auto"/>
              <w:jc w:val="right"/>
              <w:rPr/>
            </w:pPr>
            <w:r>
              <w:rPr>
                <w:color w:val="231F20"/>
                <w:spacing w:val="-4"/>
              </w:rPr>
              <w:t>1（3.33%）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86"/>
              <w:spacing w:before="33" w:line="193" w:lineRule="auto"/>
              <w:rPr/>
            </w:pPr>
            <w:r>
              <w:rPr>
                <w:color w:val="231F20"/>
                <w:spacing w:val="-2"/>
              </w:rPr>
              <w:t>0（0.00%）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48"/>
              <w:spacing w:before="33" w:line="193" w:lineRule="auto"/>
              <w:rPr/>
            </w:pPr>
            <w:r>
              <w:rPr>
                <w:color w:val="231F20"/>
                <w:spacing w:val="-8"/>
              </w:rPr>
              <w:t>2/30（6.67%）</w:t>
            </w:r>
          </w:p>
        </w:tc>
      </w:tr>
      <w:tr>
        <w:trPr>
          <w:trHeight w:val="220" w:hRule="atLeast"/>
        </w:trPr>
        <w:tc>
          <w:tcPr>
            <w:tcW w:w="678" w:type="dxa"/>
            <w:vAlign w:val="top"/>
          </w:tcPr>
          <w:p>
            <w:pPr>
              <w:pStyle w:val="TableText"/>
              <w:ind w:left="282"/>
              <w:spacing w:before="19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46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5"/>
              </w:rPr>
              <w:t>2</w:t>
            </w:r>
          </w:p>
        </w:tc>
        <w:tc>
          <w:tcPr>
            <w:tcW w:w="485" w:type="dxa"/>
            <w:vAlign w:val="top"/>
          </w:tcPr>
          <w:p>
            <w:pPr>
              <w:pStyle w:val="TableText"/>
              <w:ind w:left="222"/>
              <w:spacing w:before="114" w:line="96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60"/>
              <w:spacing w:before="39" w:line="197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863" w:type="dxa"/>
            <w:vAlign w:val="top"/>
          </w:tcPr>
          <w:p>
            <w:pPr>
              <w:pStyle w:val="TableText"/>
              <w:ind w:left="281"/>
              <w:spacing w:before="39" w:line="197" w:lineRule="auto"/>
              <w:rPr/>
            </w:pPr>
            <w:r>
              <w:rPr>
                <w:color w:val="231F20"/>
                <w:spacing w:val="-3"/>
              </w:rPr>
              <w:t>1.017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286"/>
              <w:spacing w:before="39" w:line="197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330"/>
              <w:spacing w:before="39" w:line="197" w:lineRule="auto"/>
              <w:rPr/>
            </w:pPr>
            <w:r>
              <w:rPr>
                <w:color w:val="231F20"/>
                <w:spacing w:val="-2"/>
              </w:rPr>
              <w:t>0.351</w:t>
            </w:r>
          </w:p>
        </w:tc>
      </w:tr>
      <w:tr>
        <w:trPr>
          <w:trHeight w:val="219" w:hRule="atLeast"/>
        </w:trPr>
        <w:tc>
          <w:tcPr>
            <w:tcW w:w="67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3"/>
              <w:spacing w:before="62" w:line="169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4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/>
              <w:spacing w:before="111" w:line="98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8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0"/>
              <w:spacing w:before="36" w:line="199" w:lineRule="auto"/>
              <w:rPr/>
            </w:pPr>
            <w:r>
              <w:rPr>
                <w:color w:val="231F20"/>
                <w:spacing w:val="-3"/>
              </w:rPr>
              <w:t>1.000</w:t>
            </w:r>
          </w:p>
        </w:tc>
        <w:tc>
          <w:tcPr>
            <w:tcW w:w="8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0"/>
              <w:spacing w:before="36" w:line="199" w:lineRule="auto"/>
              <w:rPr/>
            </w:pPr>
            <w:r>
              <w:rPr>
                <w:color w:val="231F20"/>
                <w:spacing w:val="-2"/>
              </w:rPr>
              <w:t>0.313</w:t>
            </w:r>
          </w:p>
        </w:tc>
        <w:tc>
          <w:tcPr>
            <w:tcW w:w="9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6"/>
              <w:spacing w:before="36" w:line="199" w:lineRule="auto"/>
              <w:rPr/>
            </w:pPr>
            <w:r>
              <w:rPr>
                <w:color w:val="231F20"/>
                <w:spacing w:val="-3"/>
              </w:rPr>
              <w:t>1.000</w:t>
            </w:r>
          </w:p>
        </w:tc>
        <w:tc>
          <w:tcPr>
            <w:tcW w:w="10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0"/>
              <w:spacing w:before="36" w:line="199" w:lineRule="auto"/>
              <w:rPr/>
            </w:pPr>
            <w:r>
              <w:rPr>
                <w:color w:val="231F20"/>
                <w:spacing w:val="-2"/>
              </w:rPr>
              <w:t>0.554</w:t>
            </w:r>
          </w:p>
        </w:tc>
      </w:tr>
    </w:tbl>
    <w:p>
      <w:pPr>
        <w:ind w:left="534"/>
        <w:spacing w:before="40" w:line="199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讨论</w:t>
      </w:r>
    </w:p>
    <w:p>
      <w:pPr>
        <w:pStyle w:val="BodyText"/>
        <w:ind w:left="534" w:right="211" w:firstLine="374"/>
        <w:spacing w:before="18" w:line="245" w:lineRule="auto"/>
        <w:rPr/>
      </w:pPr>
      <w:r>
        <w:rPr>
          <w:color w:val="231F20"/>
          <w:spacing w:val="5"/>
        </w:rPr>
        <w:t>急性肠胃炎是临床上常见的一种消化系统疾病，是指由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于进食含有病原菌或其它毒素的食物，或饮食不当而引起的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胃肠道黏膜的急性炎症性改变，发病率较高</w:t>
      </w:r>
      <w:r>
        <w:rPr>
          <w:color w:val="231F20"/>
          <w:spacing w:val="-8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[6]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2"/>
        </w:rPr>
        <w:t>。该病根据病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因的不同主要分为感染性和非感染性两种，临床上以感染性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急性胃肠炎更多见，根据病原菌的不同又分为细菌性、病毒性、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寄生虫性等，其中细菌感染性肠胃炎极为常见，诱发该类型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的常见细菌有大肠埃希菌、沙门菌属、痢疾</w:t>
      </w:r>
      <w:r>
        <w:rPr>
          <w:color w:val="231F20"/>
          <w:spacing w:val="-3"/>
        </w:rPr>
        <w:t>杆菌、志贺菌属、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弯曲菌属、副溶血弧菌等，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6"/>
        </w:rPr>
        <w:t>该病有一定自愈几率，但起病急，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胃肠黏膜防御功能下降，可诱发恶心、呕吐、腹痛、腹泻等，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腹泻每日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～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次甚至数十次不等，大便多呈水样，深黄色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或带绿色，恶臭，这些症状对患者日常生活、活动、工作、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学习等造成了严重困扰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[7]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3"/>
        </w:rPr>
        <w:t>。同时该病中严</w:t>
      </w:r>
      <w:r>
        <w:rPr>
          <w:color w:val="231F20"/>
          <w:spacing w:val="2"/>
        </w:rPr>
        <w:t>重者可出现水电解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质紊乱、酸碱失衡、腹部绞痛、脱水等，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甚至可危及患者生命，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故需及早采取治疗，及早治疗可有效改善预后，减轻疾病对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患者造成的危害</w:t>
      </w:r>
      <w:r>
        <w:rPr>
          <w:color w:val="231F20"/>
          <w:spacing w:val="-6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[8]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。当前临床上治疗该病以镇痛解痉、纠正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脱水、保护胃肠黏膜、维持水电解质平衡等常规治疗为主，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常用药物较多，这些治疗虽可有效纠正患者脱水情况，促使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其腹痛得到缓解，维持水电解质平衡，但无法抑制病菌</w:t>
      </w:r>
      <w:r>
        <w:rPr>
          <w:color w:val="231F20"/>
          <w:spacing w:val="-2"/>
        </w:rPr>
        <w:t>增值，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故需联合抗生素治疗</w:t>
      </w:r>
      <w:r>
        <w:rPr>
          <w:color w:val="231F20"/>
          <w:spacing w:val="-20"/>
        </w:rPr>
        <w:t xml:space="preserve"> </w:t>
      </w:r>
      <w:r>
        <w:rPr>
          <w:sz w:val="10"/>
          <w:szCs w:val="10"/>
          <w:color w:val="231F20"/>
          <w:spacing w:val="-2"/>
          <w:position w:val="7"/>
        </w:rPr>
        <w:t>[9]</w:t>
      </w:r>
      <w:r>
        <w:rPr>
          <w:color w:val="231F20"/>
          <w:spacing w:val="-2"/>
        </w:rPr>
        <w:t>。</w:t>
      </w:r>
    </w:p>
    <w:p>
      <w:pPr>
        <w:pStyle w:val="BodyText"/>
        <w:ind w:left="532" w:right="197" w:firstLine="404"/>
        <w:spacing w:before="11" w:line="243" w:lineRule="auto"/>
        <w:rPr/>
      </w:pPr>
      <w:r>
        <w:rPr>
          <w:color w:val="231F20"/>
          <w:spacing w:val="4"/>
        </w:rPr>
        <w:t>目前临床上常用的抗生素较多，左氧氟沙星是其中常见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的一种，该药属于新一代光学活性喹诺酮类抗菌药物，是氧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氟沙星的左旋体，但抗菌活性要明显强于氧氟沙星，其体外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抗菌活性可达氧氟沙星的两倍</w:t>
      </w:r>
      <w:r>
        <w:rPr>
          <w:color w:val="231F20"/>
          <w:spacing w:val="-14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[10]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。左氧氟沙星可对细菌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DNA  </w:t>
      </w:r>
      <w:r>
        <w:rPr>
          <w:color w:val="231F20"/>
          <w:spacing w:val="9"/>
        </w:rPr>
        <w:t>旋转酶（细菌拓扑异构酶Ⅱ)活性产生抑制，特异</w:t>
      </w:r>
      <w:r>
        <w:rPr>
          <w:color w:val="231F20"/>
          <w:spacing w:val="8"/>
        </w:rPr>
        <w:t>性地阻碍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细菌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DNA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合成和复制，导致细菌死亡，进而发挥积极有效的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抗菌作用，该药具有抗菌谱广、抗菌作用强、不良反应少、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安全性高等优点，对多种病菌引起的感染性疾病均具有显著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效果，如大肠埃希菌、沙雷菌属、志贺菌属、沙门菌属、枸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橼酸杆菌、克雷白菌等以及流感嗜血杆菌、淋球菌、铜绿假  </w:t>
      </w:r>
      <w:r>
        <w:rPr>
          <w:color w:val="231F20"/>
          <w:spacing w:val="2"/>
        </w:rPr>
        <w:t>单胞菌等革兰阴性杆菌等引起的疾病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[11-12]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。同</w:t>
      </w:r>
      <w:r>
        <w:rPr>
          <w:color w:val="231F20"/>
          <w:spacing w:val="1"/>
        </w:rPr>
        <w:t>时该药对部分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甲氧西林敏感葡萄球菌、化脓性链球菌、肺炎链球菌、溶血  </w:t>
      </w:r>
      <w:r>
        <w:rPr>
          <w:color w:val="231F20"/>
          <w:spacing w:val="5"/>
        </w:rPr>
        <w:t>性链球菌等革兰阳性菌和支原体、衣原体、军团菌也有良好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</w:rPr>
        <w:t>的抗菌作用</w:t>
      </w:r>
      <w:r>
        <w:rPr>
          <w:color w:val="231F20"/>
          <w:spacing w:val="-19"/>
        </w:rPr>
        <w:t xml:space="preserve"> </w:t>
      </w:r>
      <w:r>
        <w:rPr>
          <w:sz w:val="10"/>
          <w:szCs w:val="10"/>
          <w:color w:val="231F20"/>
          <w:spacing w:val="1"/>
          <w:position w:val="8"/>
        </w:rPr>
        <w:t>[13]</w:t>
      </w:r>
      <w:r>
        <w:rPr>
          <w:color w:val="231F20"/>
          <w:spacing w:val="1"/>
        </w:rPr>
        <w:t>。该药口服吸收快，不良反应少，安全性高。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该药虽具有显著效果，但由于抗菌谱广的因素影响，导致临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床中极易出现滥用情况，为避免此现象发生，临床中用药时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应做到以下几点</w:t>
      </w:r>
      <w:r>
        <w:rPr>
          <w:color w:val="231F20"/>
          <w:spacing w:val="-10"/>
        </w:rPr>
        <w:t>：（</w:t>
      </w:r>
      <w:r>
        <w:rPr>
          <w:color w:val="231F20"/>
          <w:spacing w:val="-1"/>
        </w:rPr>
        <w:t>1）临床应用该药时应有明确的应用指征，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不应用于轻微感染者或没有希望获得治疗效果的感染者</w:t>
      </w:r>
      <w:r>
        <w:rPr>
          <w:color w:val="231F20"/>
          <w:spacing w:val="-10"/>
        </w:rPr>
        <w:t>；（</w:t>
      </w:r>
      <w:r>
        <w:rPr>
          <w:color w:val="231F20"/>
          <w:spacing w:val="-1"/>
        </w:rPr>
        <w:t>2）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用药前尽可能分离出病原菌，并做药敏试验，减少无根据预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</w:rPr>
        <w:t>防性用药</w:t>
      </w:r>
      <w:r>
        <w:rPr>
          <w:color w:val="231F20"/>
          <w:spacing w:val="-4"/>
        </w:rPr>
        <w:t>；（</w:t>
      </w:r>
      <w:r>
        <w:rPr>
          <w:color w:val="231F20"/>
          <w:spacing w:val="1"/>
        </w:rPr>
        <w:t>3）正规治疗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72h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后，若症状、体征、实验室检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查等未见好转甚至加重，则考虑换药</w:t>
      </w:r>
      <w:r>
        <w:rPr>
          <w:color w:val="231F20"/>
          <w:spacing w:val="-5"/>
        </w:rPr>
        <w:t>；（</w:t>
      </w:r>
      <w:r>
        <w:rPr>
          <w:color w:val="231F20"/>
          <w:spacing w:val="2"/>
        </w:rPr>
        <w:t>4）不将该药作为局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部外用药</w:t>
      </w:r>
      <w:r>
        <w:rPr>
          <w:color w:val="231F20"/>
          <w:spacing w:val="-13"/>
        </w:rPr>
        <w:t>；（</w:t>
      </w:r>
      <w:r>
        <w:rPr>
          <w:color w:val="231F20"/>
          <w:spacing w:val="3"/>
        </w:rPr>
        <w:t>5）严格控制用药剂量和疗程，避免诱发耐药性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3"/>
        <w:spacing w:before="39" w:line="246" w:lineRule="auto"/>
        <w:rPr/>
      </w:pPr>
      <w:r>
        <w:rPr>
          <w:sz w:val="10"/>
          <w:szCs w:val="10"/>
          <w:color w:val="231F20"/>
          <w:spacing w:val="-5"/>
          <w:position w:val="8"/>
        </w:rPr>
        <w:t>[14-15]</w:t>
      </w:r>
      <w:r>
        <w:rPr>
          <w:color w:val="231F20"/>
          <w:spacing w:val="-5"/>
        </w:rPr>
        <w:t>。按照以上标准应用该药，在确保疗效的同时避免耐药性、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滥用等发生，提升用药的安全性。</w:t>
      </w:r>
    </w:p>
    <w:p>
      <w:pPr>
        <w:pStyle w:val="BodyText"/>
        <w:ind w:firstLine="369"/>
        <w:spacing w:before="9" w:line="234" w:lineRule="auto"/>
        <w:jc w:val="both"/>
        <w:rPr/>
      </w:pPr>
      <w:r>
        <w:rPr>
          <w:color w:val="231F20"/>
        </w:rPr>
        <w:t>此次结果显示，总有效率：研究组的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96.67</w:t>
      </w:r>
      <w:r>
        <w:rPr>
          <w:color w:val="231F20"/>
          <w:spacing w:val="-1"/>
        </w:rPr>
        <w:t>%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比对照组的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80.00%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更高（P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＜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0.05</w:t>
      </w:r>
      <w:r>
        <w:rPr>
          <w:color w:val="231F20"/>
          <w:spacing w:val="13"/>
        </w:rPr>
        <w:t>），</w:t>
      </w:r>
      <w:r>
        <w:rPr>
          <w:color w:val="231F20"/>
          <w:spacing w:val="1"/>
        </w:rPr>
        <w:t>可见在常规治疗</w:t>
      </w:r>
      <w:r>
        <w:rPr>
          <w:color w:val="231F20"/>
        </w:rPr>
        <w:t>基础上加以左氧  </w:t>
      </w:r>
      <w:r>
        <w:rPr>
          <w:color w:val="231F20"/>
          <w:spacing w:val="-6"/>
        </w:rPr>
        <w:t>氟沙星治疗可提升疗效，分析原因：常规治疗发挥良好的镇痛、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止泻、维持水电解质平衡、保护胃肠黏膜等作用，左氧氟沙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星具有良好的抗菌作用，可有效杀灭病菌，联合使用，进一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步提升疗效。各症状消退时间、住院时间：研究组均更短（P </w:t>
      </w:r>
      <w:r>
        <w:rPr>
          <w:color w:val="231F20"/>
          <w:spacing w:val="-1"/>
        </w:rPr>
        <w:t>&lt;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0.05</w:t>
      </w:r>
      <w:r>
        <w:rPr>
          <w:color w:val="231F20"/>
          <w:spacing w:val="-48"/>
        </w:rPr>
        <w:t>），</w:t>
      </w:r>
      <w:r>
        <w:rPr>
          <w:color w:val="231F20"/>
          <w:spacing w:val="-1"/>
        </w:rPr>
        <w:t>这主要与联合用药疗效更佳有关。不良反应发生率：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研究组的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3"/>
        </w:rPr>
        <w:t>6.67%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与对照组的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3.33%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无统计学</w:t>
      </w:r>
      <w:r>
        <w:rPr>
          <w:color w:val="231F20"/>
          <w:spacing w:val="-4"/>
        </w:rPr>
        <w:t>差异（P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-37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两组不良反应均较低，且组间对比无差异，可见在常规治疗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基础上加以左氧氟沙星治疗并不会增加药物不良反应，安全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性较高，具备推广价值。</w:t>
      </w:r>
    </w:p>
    <w:p>
      <w:pPr>
        <w:pStyle w:val="BodyText"/>
        <w:ind w:right="70" w:firstLine="369"/>
        <w:spacing w:before="3" w:line="235" w:lineRule="auto"/>
        <w:jc w:val="both"/>
        <w:rPr/>
      </w:pPr>
      <w:r>
        <w:rPr>
          <w:color w:val="231F20"/>
          <w:spacing w:val="5"/>
        </w:rPr>
        <w:t>综上所述，针对急性肠胃炎患者，在常规治疗基础上联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合左氧氟沙星治疗可促使疗效得到进一步提升</w:t>
      </w:r>
      <w:r>
        <w:rPr>
          <w:color w:val="231F20"/>
          <w:spacing w:val="4"/>
        </w:rPr>
        <w:t>，并可加快患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者症状消退，缩短其住院时间，同时该药不良反应少，安全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性高，可推广。</w:t>
      </w:r>
    </w:p>
    <w:p>
      <w:pPr>
        <w:ind w:left="2099"/>
        <w:spacing w:before="9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参考文献</w:t>
      </w:r>
    </w:p>
    <w:p>
      <w:pPr>
        <w:pStyle w:val="BodyText"/>
        <w:ind w:left="409" w:right="62" w:hanging="385"/>
        <w:spacing w:before="35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[1]  赵旭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1"/>
        </w:rPr>
        <w:t>, 曾朝涛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1"/>
        </w:rPr>
        <w:t>张译文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等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1"/>
        </w:rPr>
        <w:t>益生菌作为添加治疗急性肠胃炎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的疗效和降低急性肠胃炎腹泻时间的研究分析 [J].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2"/>
        </w:rPr>
        <w:t>中国临床药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理学杂志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,2021,37(2):3.</w:t>
      </w:r>
    </w:p>
    <w:p>
      <w:pPr>
        <w:pStyle w:val="BodyText"/>
        <w:ind w:left="405" w:right="63" w:hanging="381"/>
        <w:spacing w:before="31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[1]  Li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Y,Zhang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P,Wu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X，et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al.High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prevalence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of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2"/>
        </w:rPr>
        <w:t>norovirus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GII</w:t>
      </w:r>
      <w:r>
        <w:rPr>
          <w:sz w:val="16"/>
          <w:szCs w:val="16"/>
          <w:color w:val="231F20"/>
          <w:spacing w:val="6"/>
        </w:rPr>
        <w:t>.P16/</w:t>
      </w:r>
      <w:r>
        <w:rPr>
          <w:sz w:val="16"/>
          <w:szCs w:val="16"/>
          <w:color w:val="231F20"/>
        </w:rPr>
        <w:t>GII</w:t>
      </w:r>
      <w:r>
        <w:rPr>
          <w:sz w:val="16"/>
          <w:szCs w:val="16"/>
          <w:color w:val="231F20"/>
          <w:spacing w:val="6"/>
        </w:rPr>
        <w:t>.2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</w:rPr>
        <w:t>chicken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</w:rPr>
        <w:t>anemia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virus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</w:rPr>
        <w:t>two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acute </w:t>
      </w:r>
      <w:r>
        <w:rPr>
          <w:sz w:val="16"/>
          <w:szCs w:val="16"/>
          <w:color w:val="231F20"/>
        </w:rPr>
        <w:t>gastroenteritis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outbreaks</w:t>
      </w:r>
      <w:r>
        <w:rPr>
          <w:sz w:val="16"/>
          <w:szCs w:val="16"/>
          <w:color w:val="231F20"/>
          <w:spacing w:val="47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Huzhou</w:t>
      </w:r>
      <w:r>
        <w:rPr>
          <w:sz w:val="16"/>
          <w:szCs w:val="16"/>
          <w:color w:val="231F20"/>
          <w:spacing w:val="12"/>
        </w:rPr>
        <w:t>，</w:t>
      </w:r>
      <w:r>
        <w:rPr>
          <w:sz w:val="16"/>
          <w:szCs w:val="16"/>
          <w:color w:val="231F20"/>
        </w:rPr>
        <w:t>China</w:t>
      </w:r>
      <w:r>
        <w:rPr>
          <w:sz w:val="16"/>
          <w:szCs w:val="16"/>
          <w:color w:val="231F20"/>
          <w:spacing w:val="12"/>
        </w:rPr>
        <w:t>[J].</w:t>
      </w:r>
      <w:r>
        <w:rPr>
          <w:sz w:val="16"/>
          <w:szCs w:val="16"/>
          <w:color w:val="231F20"/>
        </w:rPr>
        <w:t>Journal </w:t>
      </w:r>
      <w:r>
        <w:rPr>
          <w:sz w:val="16"/>
          <w:szCs w:val="16"/>
          <w:color w:val="231F20"/>
        </w:rPr>
        <w:t>of neurosurgical sciences，2019，000(3):63.</w:t>
      </w:r>
    </w:p>
    <w:p>
      <w:pPr>
        <w:pStyle w:val="BodyText"/>
        <w:ind w:left="420" w:right="62" w:hanging="396"/>
        <w:spacing w:before="36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[2]  孙佳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2"/>
        </w:rPr>
        <w:t>奥美拉唑肠溶片联合复方嗜酸乳杆菌片治</w:t>
      </w:r>
      <w:r>
        <w:rPr>
          <w:sz w:val="16"/>
          <w:szCs w:val="16"/>
          <w:color w:val="231F20"/>
          <w:spacing w:val="1"/>
        </w:rPr>
        <w:t>疗急性肠胃炎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的应用效果 [J].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2"/>
        </w:rPr>
        <w:t>中国现代药物应用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,2021,015(023):100-102.</w:t>
      </w:r>
    </w:p>
    <w:p>
      <w:pPr>
        <w:pStyle w:val="BodyText"/>
        <w:ind w:left="420" w:right="63" w:hanging="396"/>
        <w:spacing w:before="32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[3]  李斌，周云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飞扬肠胃炎片联合左氧氟沙星治疗急慢性胃肠炎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的效果评价 [J].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中外医学研究，2020，18（6）：135-137.</w:t>
      </w:r>
    </w:p>
    <w:p>
      <w:pPr>
        <w:pStyle w:val="BodyText"/>
        <w:ind w:left="408" w:right="63" w:hanging="384"/>
        <w:spacing w:before="32" w:line="24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[4]  孙婷，李水莉，张朝勤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1"/>
        </w:rPr>
        <w:t>等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1"/>
        </w:rPr>
        <w:t>西咪替</w:t>
      </w:r>
      <w:r>
        <w:rPr>
          <w:sz w:val="16"/>
          <w:szCs w:val="16"/>
          <w:color w:val="231F20"/>
        </w:rPr>
        <w:t>丁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+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左氧氟沙星共同治疗 </w:t>
      </w:r>
      <w:r>
        <w:rPr>
          <w:sz w:val="16"/>
          <w:szCs w:val="16"/>
          <w:color w:val="231F20"/>
          <w:spacing w:val="4"/>
        </w:rPr>
        <w:t>急性胃肠炎的效果评价 [J].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4"/>
        </w:rPr>
        <w:t>世界最新医学信息文摘，2019，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000(44):1.</w:t>
      </w:r>
    </w:p>
    <w:p>
      <w:pPr>
        <w:pStyle w:val="BodyText"/>
        <w:ind w:left="432" w:right="62" w:hanging="408"/>
        <w:spacing w:before="27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[5]  陈斌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7"/>
        </w:rPr>
        <w:t>左氧氟沙星联合谷氨酰胺治疗慢性肠胃炎的效果评价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[J].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2"/>
        </w:rPr>
        <w:t>当代医药论丛，2019，17(8):2.</w:t>
      </w:r>
    </w:p>
    <w:p>
      <w:pPr>
        <w:pStyle w:val="BodyText"/>
        <w:ind w:left="420" w:right="63" w:hanging="396"/>
        <w:spacing w:before="31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[6]  李斌，周云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飞扬肠胃炎片联合左氧氟沙星治疗急慢性胃肠炎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的效果评价 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中外医学研究，2020，18(6):3.</w:t>
      </w:r>
    </w:p>
    <w:p>
      <w:pPr>
        <w:pStyle w:val="BodyText"/>
        <w:ind w:left="407" w:right="62" w:hanging="383"/>
        <w:spacing w:before="32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[7]  梁利英，陈杰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1"/>
        </w:rPr>
        <w:t>间苯三酚联合依替米星治疗急性胃肠炎痉挛性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腹痛的效果评价及不良反应发生率影响分析 [J]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2"/>
        </w:rPr>
        <w:t>临床医药文献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电子杂志，2019，6(26):2.</w:t>
      </w:r>
    </w:p>
    <w:p>
      <w:pPr>
        <w:pStyle w:val="BodyText"/>
        <w:ind w:left="406" w:right="62" w:hanging="382"/>
        <w:spacing w:before="30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[8]  张永平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2"/>
        </w:rPr>
        <w:t>双歧杆菌三联活菌肠溶胶囊联合蒙脱石散治疗急性胃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肠炎临床效果分析 [J].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2"/>
        </w:rPr>
        <w:t>中外医疗，2019，38(10):121-123.</w:t>
      </w:r>
    </w:p>
    <w:p>
      <w:pPr>
        <w:pStyle w:val="BodyText"/>
        <w:ind w:left="409" w:right="64" w:hanging="385"/>
        <w:spacing w:before="32" w:line="24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[9]  黄彩虹，闫凡，贺巧峰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6"/>
        </w:rPr>
        <w:t>等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6"/>
        </w:rPr>
        <w:t>复方电解质补给注射</w:t>
      </w:r>
      <w:r>
        <w:rPr>
          <w:sz w:val="16"/>
          <w:szCs w:val="16"/>
          <w:color w:val="231F20"/>
          <w:spacing w:val="5"/>
        </w:rPr>
        <w:t>液治疗急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性肠胃炎并中重度脱水患儿的效果与安全性 [J].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4"/>
        </w:rPr>
        <w:t>广西医学，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2021，43(3):6.</w:t>
      </w:r>
    </w:p>
    <w:p>
      <w:pPr>
        <w:pStyle w:val="BodyText"/>
        <w:ind w:left="409" w:right="65" w:hanging="385"/>
        <w:spacing w:before="28" w:line="24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[10]</w:t>
      </w:r>
      <w:r>
        <w:rPr>
          <w:sz w:val="16"/>
          <w:szCs w:val="16"/>
          <w:color w:val="231F20"/>
          <w:spacing w:val="60"/>
        </w:rPr>
        <w:t xml:space="preserve"> </w:t>
      </w:r>
      <w:r>
        <w:rPr>
          <w:sz w:val="16"/>
          <w:szCs w:val="16"/>
          <w:color w:val="231F20"/>
          <w:spacing w:val="4"/>
        </w:rPr>
        <w:t>罗星，易娜，彭观辉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4"/>
        </w:rPr>
        <w:t>等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4"/>
        </w:rPr>
        <w:t>穿王消炎片联合双歧杆菌四联活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菌片治疗急性胃肠炎的临床价值研究 [J].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4"/>
        </w:rPr>
        <w:t>首都食品与医药，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2021，28(22):2.</w:t>
      </w:r>
    </w:p>
    <w:p>
      <w:pPr>
        <w:pStyle w:val="BodyText"/>
        <w:ind w:left="408" w:right="63" w:hanging="384"/>
        <w:spacing w:before="27" w:line="23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[11]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-3"/>
        </w:rPr>
        <w:t>李泽芬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3"/>
        </w:rPr>
        <w:t>左氧氟沙星治疗急性肠胃炎的临床有效率分析 [J].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3"/>
        </w:rPr>
        <w:t>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生保健指南，2018，000(014):48.</w:t>
      </w:r>
    </w:p>
    <w:p>
      <w:pPr>
        <w:pStyle w:val="BodyText"/>
        <w:ind w:left="403" w:right="61" w:hanging="379"/>
        <w:spacing w:before="27" w:line="24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[12]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  <w:spacing w:val="-3"/>
        </w:rPr>
        <w:t>Song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L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Q</w:t>
      </w:r>
      <w:r>
        <w:rPr>
          <w:sz w:val="16"/>
          <w:szCs w:val="16"/>
          <w:color w:val="231F20"/>
          <w:spacing w:val="49"/>
        </w:rPr>
        <w:t xml:space="preserve"> </w:t>
      </w:r>
      <w:r>
        <w:rPr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3"/>
        </w:rPr>
        <w:t>Xin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L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  <w:spacing w:val="-3"/>
        </w:rPr>
        <w:t>I</w:t>
      </w:r>
      <w:r>
        <w:rPr>
          <w:sz w:val="16"/>
          <w:szCs w:val="16"/>
          <w:color w:val="231F20"/>
          <w:spacing w:val="49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Zheng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L</w:t>
      </w:r>
      <w:r>
        <w:rPr>
          <w:sz w:val="16"/>
          <w:szCs w:val="16"/>
          <w:color w:val="231F20"/>
          <w:spacing w:val="49"/>
        </w:rPr>
        <w:t xml:space="preserve"> </w:t>
      </w:r>
      <w:r>
        <w:rPr>
          <w:sz w:val="16"/>
          <w:szCs w:val="16"/>
          <w:color w:val="231F20"/>
          <w:spacing w:val="-3"/>
        </w:rPr>
        <w:t>，et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3"/>
        </w:rPr>
        <w:t>al.Analysis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-3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Therapeutic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1"/>
        </w:rPr>
        <w:t>Effect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1"/>
        </w:rPr>
        <w:t>Shu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1"/>
        </w:rPr>
        <w:t>Pu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1"/>
        </w:rPr>
        <w:t>Shen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1"/>
        </w:rPr>
        <w:t>Combined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Levofloxacin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1"/>
        </w:rPr>
        <w:t>Tre</w:t>
      </w:r>
      <w:r>
        <w:rPr>
          <w:sz w:val="16"/>
          <w:szCs w:val="16"/>
          <w:color w:val="231F20"/>
        </w:rPr>
        <w:t>atment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Pulmonary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</w:rPr>
        <w:t>Infection </w:t>
      </w:r>
      <w:r>
        <w:rPr>
          <w:sz w:val="16"/>
          <w:szCs w:val="16"/>
          <w:color w:val="231F20"/>
          <w:spacing w:val="13"/>
        </w:rPr>
        <w:t>in</w:t>
      </w:r>
      <w:r>
        <w:rPr>
          <w:sz w:val="16"/>
          <w:szCs w:val="16"/>
          <w:color w:val="231F20"/>
          <w:spacing w:val="62"/>
        </w:rPr>
        <w:t xml:space="preserve"> </w:t>
      </w:r>
      <w:r>
        <w:rPr>
          <w:sz w:val="16"/>
          <w:szCs w:val="16"/>
          <w:color w:val="231F20"/>
          <w:spacing w:val="13"/>
        </w:rPr>
        <w:t>Patients</w:t>
      </w:r>
      <w:r>
        <w:rPr>
          <w:sz w:val="16"/>
          <w:szCs w:val="16"/>
          <w:color w:val="231F20"/>
          <w:spacing w:val="58"/>
          <w:w w:val="101"/>
        </w:rPr>
        <w:t xml:space="preserve"> </w:t>
      </w:r>
      <w:r>
        <w:rPr>
          <w:sz w:val="16"/>
          <w:szCs w:val="16"/>
          <w:color w:val="231F20"/>
          <w:spacing w:val="13"/>
        </w:rPr>
        <w:t>with</w:t>
      </w:r>
      <w:r>
        <w:rPr>
          <w:sz w:val="16"/>
          <w:szCs w:val="16"/>
          <w:color w:val="231F20"/>
          <w:spacing w:val="59"/>
        </w:rPr>
        <w:t xml:space="preserve"> </w:t>
      </w:r>
      <w:r>
        <w:rPr>
          <w:sz w:val="16"/>
          <w:szCs w:val="16"/>
          <w:color w:val="231F20"/>
          <w:spacing w:val="13"/>
        </w:rPr>
        <w:t>Asthma[J].P</w:t>
      </w:r>
      <w:r>
        <w:rPr>
          <w:sz w:val="16"/>
          <w:szCs w:val="16"/>
          <w:color w:val="231F20"/>
          <w:spacing w:val="12"/>
        </w:rPr>
        <w:t>rogress</w:t>
      </w:r>
      <w:r>
        <w:rPr>
          <w:sz w:val="16"/>
          <w:szCs w:val="16"/>
          <w:color w:val="231F20"/>
          <w:spacing w:val="74"/>
        </w:rPr>
        <w:t xml:space="preserve"> </w:t>
      </w:r>
      <w:r>
        <w:rPr>
          <w:sz w:val="16"/>
          <w:szCs w:val="16"/>
          <w:color w:val="231F20"/>
          <w:spacing w:val="12"/>
        </w:rPr>
        <w:t>in</w:t>
      </w:r>
      <w:r>
        <w:rPr>
          <w:sz w:val="16"/>
          <w:szCs w:val="16"/>
          <w:color w:val="231F20"/>
          <w:spacing w:val="59"/>
          <w:w w:val="101"/>
        </w:rPr>
        <w:t xml:space="preserve"> </w:t>
      </w:r>
      <w:r>
        <w:rPr>
          <w:sz w:val="16"/>
          <w:szCs w:val="16"/>
          <w:color w:val="231F20"/>
          <w:spacing w:val="12"/>
        </w:rPr>
        <w:t>Modern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Biomedicine，2017，17(9):3.</w:t>
      </w:r>
    </w:p>
    <w:p>
      <w:pPr>
        <w:pStyle w:val="BodyText"/>
        <w:ind w:left="405" w:right="64" w:hanging="381"/>
        <w:spacing w:before="27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[13]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1"/>
        </w:rPr>
        <w:t>刘淑荣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飞扬肠胃炎片联合左氧氟沙星</w:t>
      </w:r>
      <w:r>
        <w:rPr>
          <w:sz w:val="16"/>
          <w:szCs w:val="16"/>
          <w:color w:val="231F20"/>
        </w:rPr>
        <w:t>治疗急慢性胃肠炎的临 </w:t>
      </w:r>
      <w:r>
        <w:rPr>
          <w:sz w:val="16"/>
          <w:szCs w:val="16"/>
          <w:color w:val="231F20"/>
          <w:spacing w:val="-2"/>
        </w:rPr>
        <w:t>床效果分析 [J].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2"/>
        </w:rPr>
        <w:t>中国医药指南，2016，14(30):2.</w:t>
      </w:r>
    </w:p>
    <w:p>
      <w:pPr>
        <w:pStyle w:val="BodyText"/>
        <w:ind w:left="409" w:right="64" w:hanging="385"/>
        <w:spacing w:before="32" w:line="24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[14]</w:t>
      </w:r>
      <w:r>
        <w:rPr>
          <w:sz w:val="16"/>
          <w:szCs w:val="16"/>
          <w:color w:val="231F20"/>
          <w:spacing w:val="53"/>
        </w:rPr>
        <w:t xml:space="preserve"> </w:t>
      </w:r>
      <w:r>
        <w:rPr>
          <w:sz w:val="16"/>
          <w:szCs w:val="16"/>
          <w:color w:val="231F20"/>
        </w:rPr>
        <w:t>张灵秀，方良英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妇科千金胶囊与盐酸左氧氟沙星联用对慢性 </w:t>
      </w:r>
      <w:r>
        <w:rPr>
          <w:sz w:val="16"/>
          <w:szCs w:val="16"/>
          <w:color w:val="231F20"/>
          <w:spacing w:val="4"/>
        </w:rPr>
        <w:t>附件炎患者的临床疗效及其对复发的影响 [J].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4"/>
        </w:rPr>
        <w:t>抗感染药学，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2019，16(6):3.</w:t>
      </w:r>
    </w:p>
    <w:p>
      <w:pPr>
        <w:pStyle w:val="BodyText"/>
        <w:ind w:left="409" w:right="62" w:hanging="385"/>
        <w:spacing w:before="27" w:line="23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[15]</w:t>
      </w:r>
      <w:r>
        <w:rPr>
          <w:sz w:val="16"/>
          <w:szCs w:val="16"/>
          <w:color w:val="231F20"/>
          <w:spacing w:val="61"/>
        </w:rPr>
        <w:t xml:space="preserve"> </w:t>
      </w:r>
      <w:r>
        <w:rPr>
          <w:sz w:val="16"/>
          <w:szCs w:val="16"/>
          <w:color w:val="231F20"/>
          <w:spacing w:val="5"/>
        </w:rPr>
        <w:t>孙洲，孙志茹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5"/>
        </w:rPr>
        <w:t>妇科千金片联合左氧氟沙星治疗慢性盆腔炎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的临床疗效及其对炎性因子的影响 [J].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4"/>
        </w:rPr>
        <w:t>临床合理用药杂志，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2020，13(36):3.</w:t>
      </w:r>
    </w:p>
    <w:sectPr>
      <w:type w:val="continuous"/>
      <w:pgSz w:w="11906" w:h="16158"/>
      <w:pgMar w:top="1307" w:right="871" w:bottom="0" w:left="407" w:header="937" w:footer="0" w:gutter="0"/>
      <w:cols w:equalWidth="0" w:num="2">
        <w:col w:w="5636" w:space="100"/>
        <w:col w:w="48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6"/>
      <w:spacing w:before="46" w:line="225" w:lineRule="auto"/>
      <w:rPr/>
    </w:pPr>
    <w:r>
      <w:pict>
        <v:shape id="WordPictureWatermark2" style="position:absolute;margin-left:20.4pt;margin-top:780.47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6.77pt;margin-top:62.7734pt;mso-position-vertical-relative:page;mso-position-horizontal-relative:page;width:501.75pt;height:0.35pt;z-index:251659264;" o:allowincell="f" filled="false" strokecolor="#231F20" strokeweight="0.33pt" coordsize="10035,6" coordorigin="0,0" path="m10034,3l0,3e">
          <v:stroke joinstyle="miter" miterlimit="4"/>
        </v:shape>
      </w:pict>
    </w:r>
    <w:r>
      <w:rPr>
        <w:color w:val="231F20"/>
        <w:spacing w:val="-8"/>
      </w:rPr>
      <w:t>2022</w:t>
    </w:r>
    <w:r>
      <w:rPr>
        <w:color w:val="231F20"/>
        <w:spacing w:val="-36"/>
      </w:rPr>
      <w:t xml:space="preserve"> </w:t>
    </w:r>
    <w:r>
      <w:rPr>
        <w:color w:val="231F20"/>
        <w:spacing w:val="-8"/>
      </w:rPr>
      <w:t>年第</w:t>
    </w:r>
    <w:r>
      <w:rPr>
        <w:color w:val="231F20"/>
        <w:spacing w:val="-39"/>
      </w:rPr>
      <w:t xml:space="preserve"> </w:t>
    </w:r>
    <w:r>
      <w:rPr>
        <w:color w:val="231F20"/>
        <w:spacing w:val="-8"/>
      </w:rPr>
      <w:t>4</w:t>
    </w:r>
    <w:r>
      <w:rPr>
        <w:color w:val="231F20"/>
        <w:spacing w:val="-36"/>
      </w:rPr>
      <w:t xml:space="preserve"> </w:t>
    </w:r>
    <w:r>
      <w:rPr>
        <w:color w:val="231F20"/>
        <w:spacing w:val="-8"/>
      </w:rPr>
      <w:t>期</w:t>
    </w:r>
    <w:r>
      <w:rPr>
        <w:color w:val="231F20"/>
        <w:spacing w:val="1"/>
      </w:rPr>
      <w:t xml:space="preserve">                                                  </w:t>
    </w:r>
    <w:r>
      <w:rPr>
        <w:color w:val="231F20"/>
      </w:rPr>
      <w:t xml:space="preserve">                                        </w:t>
    </w:r>
    <w:r>
      <w:rPr>
        <w:color w:val="231F20"/>
        <w:spacing w:val="-8"/>
      </w:rPr>
      <w:t>·239</w:t>
    </w:r>
    <w:r>
      <w:rPr>
        <w:color w:val="231F20"/>
        <w:spacing w:val="-21"/>
      </w:rPr>
      <w:t xml:space="preserve"> </w:t>
    </w:r>
    <w:r>
      <w:rPr>
        <w:color w:val="231F20"/>
        <w:spacing w:val="-8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4"/>
      <w:spacing w:before="46" w:line="225" w:lineRule="auto"/>
      <w:rPr/>
    </w:pPr>
    <w:r>
      <w:pict>
        <v:shape id="WordPictureWatermark8" style="position:absolute;margin-left:20.4pt;margin-top:780.47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46.7696pt;margin-top:62.7734pt;mso-position-vertical-relative:page;mso-position-horizontal-relative:page;width:501.75pt;height:0.35pt;z-index:251661312;" o:allowincell="f" filled="false" strokecolor="#231F20" strokeweight="0.33pt" coordsize="10035,6" coordorigin="0,0" path="m0,3l10034,3e">
          <v:stroke joinstyle="miter" miterlimit="4"/>
        </v:shape>
      </w:pict>
    </w:r>
    <w:r>
      <w:rPr>
        <w:color w:val="231F20"/>
        <w:spacing w:val="-14"/>
      </w:rPr>
      <w:t>·240</w:t>
    </w:r>
    <w:r>
      <w:rPr>
        <w:color w:val="231F20"/>
        <w:spacing w:val="-16"/>
      </w:rPr>
      <w:t xml:space="preserve"> </w:t>
    </w:r>
    <w:r>
      <w:rPr>
        <w:color w:val="231F20"/>
        <w:spacing w:val="-14"/>
      </w:rPr>
      <w:t>·</w:t>
    </w:r>
    <w:r>
      <w:rPr>
        <w:color w:val="231F20"/>
        <w:spacing w:val="1"/>
      </w:rPr>
      <w:t xml:space="preserve">                                     </w:t>
    </w:r>
    <w:r>
      <w:rPr>
        <w:color w:val="231F20"/>
      </w:rPr>
      <w:t xml:space="preserve">                                                     </w:t>
    </w:r>
    <w:r>
      <w:rPr>
        <w:color w:val="231F20"/>
        <w:spacing w:val="-14"/>
      </w:rPr>
      <w:t>黑龙江中医药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2023-06-18T09:12:24Z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2025-10-28T21:31:20</vt:filetime>
  </property>
</Properties>
</file>