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1358"/>
        <w:spacing w:before="97" w:line="218" w:lineRule="auto"/>
        <w:outlineLvl w:val="0"/>
        <w:rPr>
          <w:sz w:val="30"/>
          <w:szCs w:val="30"/>
        </w:rPr>
      </w:pPr>
      <w:r>
        <w:rPr>
          <w:sz w:val="30"/>
          <w:szCs w:val="30"/>
          <w:b/>
          <w:bCs/>
          <w:spacing w:val="-3"/>
        </w:rPr>
        <w:t>急性肠胃炎患者中乳酸菌素片和奥美拉唑联合用药的临床价值浅谈</w:t>
      </w:r>
    </w:p>
    <w:p>
      <w:pPr>
        <w:pStyle w:val="BodyText"/>
        <w:ind w:left="5288"/>
        <w:spacing w:before="142" w:line="219" w:lineRule="auto"/>
        <w:outlineLvl w:val="0"/>
        <w:rPr>
          <w:sz w:val="24"/>
          <w:szCs w:val="24"/>
        </w:rPr>
      </w:pPr>
      <w:r>
        <w:rPr>
          <w:sz w:val="24"/>
          <w:szCs w:val="24"/>
          <w:b/>
          <w:bCs/>
          <w:spacing w:val="-7"/>
        </w:rPr>
        <w:t>陈超端</w:t>
      </w:r>
    </w:p>
    <w:p>
      <w:pPr>
        <w:pStyle w:val="BodyText"/>
        <w:ind w:left="4060"/>
        <w:spacing w:before="27" w:line="219" w:lineRule="auto"/>
        <w:outlineLvl w:val="0"/>
        <w:rPr>
          <w:sz w:val="24"/>
          <w:szCs w:val="24"/>
        </w:rPr>
      </w:pPr>
      <w:r>
        <w:rPr>
          <w:sz w:val="24"/>
          <w:szCs w:val="24"/>
          <w:spacing w:val="-1"/>
        </w:rPr>
        <w:t>广州医科大学附属第三医院</w:t>
      </w:r>
    </w:p>
    <w:p>
      <w:pPr>
        <w:spacing w:line="287" w:lineRule="auto"/>
        <w:rPr>
          <w:rFonts w:ascii="Arial"/>
          <w:sz w:val="21"/>
        </w:rPr>
      </w:pPr>
      <w:r/>
    </w:p>
    <w:p>
      <w:pPr>
        <w:pStyle w:val="BodyText"/>
        <w:ind w:left="1176" w:right="58" w:hanging="8"/>
        <w:spacing w:before="68" w:line="273" w:lineRule="auto"/>
        <w:jc w:val="both"/>
        <w:rPr/>
      </w:pPr>
      <w:r>
        <w:rPr>
          <w:b/>
          <w:bCs/>
          <w:spacing w:val="-2"/>
        </w:rPr>
        <w:t>【摘要】目的</w:t>
      </w:r>
      <w:r>
        <w:rPr>
          <w:spacing w:val="-2"/>
        </w:rPr>
        <w:t xml:space="preserve"> 研究针对急性肠胃炎在临床治疗中应用乳酸菌素片和奥美拉唑联合用药进行治疗的临</w:t>
      </w:r>
      <w:r>
        <w:rPr>
          <w:spacing w:val="11"/>
        </w:rPr>
        <w:t xml:space="preserve"> </w:t>
      </w:r>
      <w:r>
        <w:rPr>
          <w:spacing w:val="-1"/>
        </w:rPr>
        <w:t>床效果价值。</w:t>
      </w:r>
      <w:r>
        <w:rPr>
          <w:b/>
          <w:bCs/>
          <w:spacing w:val="-1"/>
        </w:rPr>
        <w:t>方法</w:t>
      </w:r>
      <w:r>
        <w:rPr>
          <w:spacing w:val="-1"/>
        </w:rPr>
        <w:t xml:space="preserve">  随机选择我院在 </w:t>
      </w:r>
      <w:r>
        <w:rPr>
          <w:rFonts w:ascii="Times New Roman" w:hAnsi="Times New Roman" w:eastAsia="Times New Roman" w:cs="Times New Roman"/>
          <w:spacing w:val="-1"/>
        </w:rPr>
        <w:t>2018  </w:t>
      </w:r>
      <w:r>
        <w:rPr>
          <w:spacing w:val="-1"/>
        </w:rPr>
        <w:t>年 </w:t>
      </w:r>
      <w:r>
        <w:rPr>
          <w:rFonts w:ascii="Times New Roman" w:hAnsi="Times New Roman" w:eastAsia="Times New Roman" w:cs="Times New Roman"/>
          <w:spacing w:val="-1"/>
        </w:rPr>
        <w:t>7</w:t>
      </w:r>
      <w:r>
        <w:rPr>
          <w:rFonts w:ascii="Times New Roman" w:hAnsi="Times New Roman" w:eastAsia="Times New Roman" w:cs="Times New Roman"/>
          <w:spacing w:val="7"/>
        </w:rPr>
        <w:t xml:space="preserve">  </w:t>
      </w:r>
      <w:r>
        <w:rPr>
          <w:spacing w:val="-1"/>
        </w:rPr>
        <w:t>月底至 </w:t>
      </w:r>
      <w:r>
        <w:rPr>
          <w:rFonts w:ascii="Times New Roman" w:hAnsi="Times New Roman" w:eastAsia="Times New Roman" w:cs="Times New Roman"/>
          <w:spacing w:val="-1"/>
        </w:rPr>
        <w:t>2019</w:t>
      </w:r>
      <w:r>
        <w:rPr>
          <w:rFonts w:ascii="Times New Roman" w:hAnsi="Times New Roman" w:eastAsia="Times New Roman" w:cs="Times New Roman"/>
          <w:spacing w:val="5"/>
        </w:rPr>
        <w:t xml:space="preserve">  </w:t>
      </w:r>
      <w:r>
        <w:rPr>
          <w:spacing w:val="-1"/>
        </w:rPr>
        <w:t>年 </w:t>
      </w:r>
      <w:r>
        <w:rPr>
          <w:rFonts w:ascii="Times New Roman" w:hAnsi="Times New Roman" w:eastAsia="Times New Roman" w:cs="Times New Roman"/>
          <w:spacing w:val="-1"/>
        </w:rPr>
        <w:t>2</w:t>
      </w:r>
      <w:r>
        <w:rPr>
          <w:rFonts w:ascii="Times New Roman" w:hAnsi="Times New Roman" w:eastAsia="Times New Roman" w:cs="Times New Roman"/>
          <w:spacing w:val="7"/>
        </w:rPr>
        <w:t xml:space="preserve">  </w:t>
      </w:r>
      <w:r>
        <w:rPr>
          <w:spacing w:val="-1"/>
        </w:rPr>
        <w:t>月初期间确诊患有急性肠胃炎</w:t>
      </w:r>
      <w:r>
        <w:rPr>
          <w:spacing w:val="1"/>
        </w:rPr>
        <w:t xml:space="preserve"> </w:t>
      </w:r>
      <w:r>
        <w:rPr>
          <w:spacing w:val="-1"/>
        </w:rPr>
        <w:t>的</w:t>
      </w:r>
      <w:r>
        <w:rPr>
          <w:spacing w:val="26"/>
        </w:rPr>
        <w:t xml:space="preserve"> </w:t>
      </w:r>
      <w:r>
        <w:rPr>
          <w:rFonts w:ascii="Times New Roman" w:hAnsi="Times New Roman" w:eastAsia="Times New Roman" w:cs="Times New Roman"/>
          <w:spacing w:val="-1"/>
        </w:rPr>
        <w:t>180  </w:t>
      </w:r>
      <w:r>
        <w:rPr>
          <w:spacing w:val="-1"/>
        </w:rPr>
        <w:t>名患者。根据治疗方法的不同，随机组成实验组和对照组，每组 </w:t>
      </w:r>
      <w:r>
        <w:rPr>
          <w:rFonts w:ascii="Times New Roman" w:hAnsi="Times New Roman" w:eastAsia="Times New Roman" w:cs="Times New Roman"/>
          <w:spacing w:val="-1"/>
        </w:rPr>
        <w:t>90</w:t>
      </w:r>
      <w:r>
        <w:rPr>
          <w:spacing w:val="-1"/>
        </w:rPr>
        <w:t>名患</w:t>
      </w:r>
      <w:r>
        <w:rPr>
          <w:spacing w:val="-2"/>
        </w:rPr>
        <w:t>者，对照组所有患</w:t>
      </w:r>
      <w:r>
        <w:rPr/>
        <w:t xml:space="preserve"> </w:t>
      </w:r>
      <w:r>
        <w:rPr/>
        <w:t>者接受奥美拉唑肠溶片进行治疗，实验组所有患者接受乳酸菌素片</w:t>
      </w:r>
      <w:r>
        <w:rPr>
          <w:spacing w:val="-1"/>
        </w:rPr>
        <w:t>和奥美拉唑联合用药，对比两组</w:t>
      </w:r>
      <w:r>
        <w:rPr/>
        <w:t xml:space="preserve"> </w:t>
      </w:r>
      <w:r>
        <w:rPr/>
        <w:t>患者的临床治疗有效率差异以及各项临床症状消失时间差异。</w:t>
      </w:r>
      <w:r>
        <w:rPr>
          <w:b/>
          <w:bCs/>
        </w:rPr>
        <w:t>结果</w:t>
      </w:r>
      <w:r>
        <w:rPr/>
        <w:t xml:space="preserve">  对照组</w:t>
      </w:r>
      <w:r>
        <w:rPr>
          <w:spacing w:val="-1"/>
        </w:rPr>
        <w:t>患者的临床治疗有效率</w:t>
      </w:r>
      <w:r>
        <w:rPr/>
        <w:t xml:space="preserve"> </w:t>
      </w:r>
      <w:r>
        <w:rPr/>
        <w:t>为 </w:t>
      </w:r>
      <w:r>
        <w:rPr>
          <w:rFonts w:ascii="Times New Roman" w:hAnsi="Times New Roman" w:eastAsia="Times New Roman" w:cs="Times New Roman"/>
        </w:rPr>
        <w:t>79%</w:t>
      </w:r>
      <w:r>
        <w:rPr/>
        <w:t>，实验组的为 </w:t>
      </w:r>
      <w:r>
        <w:rPr>
          <w:rFonts w:ascii="Times New Roman" w:hAnsi="Times New Roman" w:eastAsia="Times New Roman" w:cs="Times New Roman"/>
        </w:rPr>
        <w:t>94%</w:t>
      </w:r>
      <w:r>
        <w:rPr/>
        <w:t>（</w:t>
      </w:r>
      <w:r>
        <w:rPr>
          <w:rFonts w:ascii="Times New Roman" w:hAnsi="Times New Roman" w:eastAsia="Times New Roman" w:cs="Times New Roman"/>
        </w:rPr>
        <w:t>P&lt; 0</w:t>
      </w:r>
      <w:r>
        <w:rPr>
          <w:rFonts w:ascii="Times New Roman" w:hAnsi="Times New Roman" w:eastAsia="Times New Roman" w:cs="Times New Roman"/>
          <w:spacing w:val="-1"/>
        </w:rPr>
        <w:t>.05</w:t>
      </w:r>
      <w:r>
        <w:rPr>
          <w:spacing w:val="-1"/>
        </w:rPr>
        <w:t>）；对照组患者的各项临床症状消失时间显著要长于实验组患</w:t>
      </w:r>
      <w:r>
        <w:rPr/>
        <w:t xml:space="preserve">  </w:t>
      </w:r>
      <w:r>
        <w:rPr/>
        <w:t>者（</w:t>
      </w:r>
      <w:r>
        <w:rPr>
          <w:rFonts w:ascii="Times New Roman" w:hAnsi="Times New Roman" w:eastAsia="Times New Roman" w:cs="Times New Roman"/>
        </w:rPr>
        <w:t>P&lt; 0.05</w:t>
      </w:r>
      <w:r>
        <w:rPr/>
        <w:t>）。</w:t>
      </w:r>
      <w:r>
        <w:rPr>
          <w:b/>
          <w:bCs/>
        </w:rPr>
        <w:t>结论</w:t>
      </w:r>
      <w:r>
        <w:rPr/>
        <w:t xml:space="preserve">  针对急性肠胃炎在临床治疗中应用乳酸菌素片和奥美</w:t>
      </w:r>
      <w:r>
        <w:rPr>
          <w:spacing w:val="-1"/>
        </w:rPr>
        <w:t>拉唑联合用药进行治疗</w:t>
      </w:r>
      <w:r>
        <w:rPr/>
        <w:t xml:space="preserve"> </w:t>
      </w:r>
      <w:r>
        <w:rPr>
          <w:spacing w:val="-1"/>
        </w:rPr>
        <w:t>具有良好的临床治疗效果，能够有效改善患者的各项临床症状，促进患者尽快恢复健康。</w:t>
      </w:r>
    </w:p>
    <w:p>
      <w:pPr>
        <w:spacing w:line="250" w:lineRule="auto"/>
        <w:rPr>
          <w:rFonts w:ascii="Arial"/>
          <w:sz w:val="21"/>
        </w:rPr>
      </w:pPr>
      <w:r/>
    </w:p>
    <w:p>
      <w:pPr>
        <w:pStyle w:val="BodyText"/>
        <w:ind w:left="1168"/>
        <w:spacing w:before="69" w:line="218" w:lineRule="auto"/>
        <w:rPr/>
      </w:pPr>
      <w:r>
        <w:rPr>
          <w:b/>
          <w:bCs/>
        </w:rPr>
        <w:t>【关键词】</w:t>
      </w:r>
      <w:r>
        <w:rPr/>
        <w:t>急性肠胃炎患者；乳酸菌素片；奥</w:t>
      </w:r>
      <w:r>
        <w:rPr>
          <w:spacing w:val="-1"/>
        </w:rPr>
        <w:t>美拉唑</w:t>
      </w:r>
    </w:p>
    <w:p>
      <w:pPr>
        <w:pStyle w:val="BodyText"/>
        <w:ind w:left="1178" w:right="59" w:firstLine="419"/>
        <w:spacing w:before="67" w:line="274" w:lineRule="auto"/>
        <w:jc w:val="both"/>
        <w:rPr/>
      </w:pPr>
      <w:r>
        <w:rPr>
          <w:spacing w:val="1"/>
        </w:rPr>
        <w:t>在急腹症疾病类型中，急性肠胃炎属于其常见的一种疾病之一。呕</w:t>
      </w:r>
      <w:r>
        <w:rPr/>
        <w:t>吐、发热以及腹痛是该疾病 </w:t>
      </w:r>
      <w:r>
        <w:rPr>
          <w:spacing w:val="1"/>
        </w:rPr>
        <w:t>主要的一些临床特征，一旦发病，如果不及时采取恰当的治</w:t>
      </w:r>
      <w:r>
        <w:rPr/>
        <w:t>疗，极有可能引发结肠癌、肠狭窄以及 </w:t>
      </w:r>
      <w:r>
        <w:rPr>
          <w:spacing w:val="1"/>
        </w:rPr>
        <w:t>肛管炎等并发症，会严重影响患者的生命安全。针对该疾病</w:t>
      </w:r>
      <w:r>
        <w:rPr/>
        <w:t>，临床通常采用奥美拉唑以及复方嗜酸 </w:t>
      </w:r>
      <w:r>
        <w:rPr>
          <w:spacing w:val="1"/>
        </w:rPr>
        <w:t>乳杆菌等治疗药物来对病菌繁殖进行抑制、调节肠道里面</w:t>
      </w:r>
      <w:r>
        <w:rPr/>
        <w:t>的菌群，进而改善患者的各项临床症状， </w:t>
      </w:r>
      <w:r>
        <w:rPr/>
        <w:t>虽然能够在一定程度上改善患者的病情，但是单独使用的治疗效</w:t>
      </w:r>
      <w:r>
        <w:rPr>
          <w:spacing w:val="-1"/>
        </w:rPr>
        <w:t>果依旧差强人意</w:t>
      </w:r>
      <w:r>
        <w:rPr>
          <w:spacing w:val="47"/>
        </w:rPr>
        <w:t xml:space="preserve"> </w:t>
      </w:r>
      <w:r>
        <w:rPr>
          <w:spacing w:val="-1"/>
        </w:rPr>
        <w:t>[2]。为此，本次</w:t>
      </w:r>
      <w:r>
        <w:rPr/>
        <w:t xml:space="preserve"> </w:t>
      </w:r>
      <w:r>
        <w:rPr>
          <w:spacing w:val="-1"/>
        </w:rPr>
        <w:t>研究特意抽签选取了</w:t>
      </w:r>
      <w:r>
        <w:rPr>
          <w:spacing w:val="-29"/>
        </w:rPr>
        <w:t xml:space="preserve"> </w:t>
      </w:r>
      <w:r>
        <w:rPr>
          <w:spacing w:val="-1"/>
        </w:rPr>
        <w:t>180 名患有急性肠胃炎的患者分组治疗，以探析乳酸菌素片和奥美拉唑联合用</w:t>
      </w:r>
      <w:r>
        <w:rPr/>
        <w:t xml:space="preserve"> </w:t>
      </w:r>
      <w:r>
        <w:rPr>
          <w:spacing w:val="-2"/>
        </w:rPr>
        <w:t>药进行治疗的临床效果价值，具体报道详见下文。</w:t>
      </w:r>
    </w:p>
    <w:p>
      <w:pPr>
        <w:pStyle w:val="BodyText"/>
        <w:ind w:left="1194"/>
        <w:spacing w:line="220" w:lineRule="auto"/>
        <w:outlineLvl w:val="1"/>
        <w:rPr/>
      </w:pPr>
      <w:r>
        <w:rPr>
          <w:b/>
          <w:bCs/>
          <w:spacing w:val="-9"/>
        </w:rPr>
        <w:t>1</w:t>
      </w:r>
      <w:r>
        <w:rPr>
          <w:spacing w:val="21"/>
        </w:rPr>
        <w:t xml:space="preserve"> </w:t>
      </w:r>
      <w:r>
        <w:rPr>
          <w:b/>
          <w:bCs/>
          <w:spacing w:val="-9"/>
        </w:rPr>
        <w:t>资料与方法</w:t>
      </w:r>
    </w:p>
    <w:p>
      <w:pPr>
        <w:pStyle w:val="BodyText"/>
        <w:ind w:left="1181" w:firstLine="13"/>
        <w:spacing w:before="63" w:line="265" w:lineRule="auto"/>
        <w:rPr/>
      </w:pPr>
      <w:r>
        <w:rPr>
          <w:b/>
          <w:bCs/>
          <w:spacing w:val="-2"/>
        </w:rPr>
        <w:t>1.1</w:t>
      </w:r>
      <w:r>
        <w:rPr>
          <w:spacing w:val="-2"/>
        </w:rPr>
        <w:t xml:space="preserve"> </w:t>
      </w:r>
      <w:r>
        <w:rPr>
          <w:b/>
          <w:bCs/>
          <w:spacing w:val="-2"/>
        </w:rPr>
        <w:t>一般资料</w:t>
      </w:r>
      <w:r>
        <w:rPr>
          <w:spacing w:val="-2"/>
        </w:rPr>
        <w:t xml:space="preserve"> 随机选择我院在 2018 年</w:t>
      </w:r>
      <w:r>
        <w:rPr>
          <w:spacing w:val="13"/>
        </w:rPr>
        <w:t xml:space="preserve"> </w:t>
      </w:r>
      <w:r>
        <w:rPr>
          <w:spacing w:val="-2"/>
        </w:rPr>
        <w:t>7</w:t>
      </w:r>
      <w:r>
        <w:rPr>
          <w:spacing w:val="14"/>
        </w:rPr>
        <w:t xml:space="preserve"> </w:t>
      </w:r>
      <w:r>
        <w:rPr>
          <w:spacing w:val="-2"/>
        </w:rPr>
        <w:t>月底至</w:t>
      </w:r>
      <w:r>
        <w:rPr>
          <w:spacing w:val="12"/>
        </w:rPr>
        <w:t xml:space="preserve"> </w:t>
      </w:r>
      <w:r>
        <w:rPr>
          <w:spacing w:val="-2"/>
        </w:rPr>
        <w:t>2019 年</w:t>
      </w:r>
      <w:r>
        <w:rPr>
          <w:spacing w:val="9"/>
        </w:rPr>
        <w:t xml:space="preserve"> </w:t>
      </w:r>
      <w:r>
        <w:rPr>
          <w:spacing w:val="-2"/>
        </w:rPr>
        <w:t>2月初期间确诊</w:t>
      </w:r>
      <w:r>
        <w:rPr>
          <w:spacing w:val="-3"/>
        </w:rPr>
        <w:t>患有急性肠胃炎的</w:t>
      </w:r>
      <w:r>
        <w:rPr>
          <w:spacing w:val="24"/>
        </w:rPr>
        <w:t xml:space="preserve"> </w:t>
      </w:r>
      <w:r>
        <w:rPr>
          <w:b/>
          <w:bCs/>
          <w:spacing w:val="-3"/>
        </w:rPr>
        <w:t>180</w:t>
      </w:r>
      <w:r>
        <w:rPr/>
        <w:t xml:space="preserve">  </w:t>
      </w:r>
      <w:r>
        <w:rPr>
          <w:spacing w:val="-5"/>
        </w:rPr>
        <w:t>名患者。根据治疗方法的不同， 随机组成实验组和对照组，</w:t>
      </w:r>
      <w:r>
        <w:rPr>
          <w:b/>
          <w:bCs/>
          <w:spacing w:val="-6"/>
        </w:rPr>
        <w:t>每组</w:t>
      </w:r>
      <w:r>
        <w:rPr>
          <w:spacing w:val="-6"/>
        </w:rPr>
        <w:t xml:space="preserve"> </w:t>
      </w:r>
      <w:r>
        <w:rPr>
          <w:b/>
          <w:bCs/>
          <w:spacing w:val="-6"/>
        </w:rPr>
        <w:t>90</w:t>
      </w:r>
      <w:r>
        <w:rPr>
          <w:spacing w:val="-6"/>
        </w:rPr>
        <w:t xml:space="preserve"> </w:t>
      </w:r>
      <w:r>
        <w:rPr>
          <w:b/>
          <w:bCs/>
          <w:spacing w:val="-6"/>
        </w:rPr>
        <w:t>名患者。对照组共计</w:t>
      </w:r>
      <w:r>
        <w:rPr>
          <w:spacing w:val="-6"/>
        </w:rPr>
        <w:t xml:space="preserve"> </w:t>
      </w:r>
      <w:r>
        <w:rPr>
          <w:b/>
          <w:bCs/>
          <w:spacing w:val="-6"/>
        </w:rPr>
        <w:t>57</w:t>
      </w:r>
      <w:r>
        <w:rPr>
          <w:spacing w:val="-6"/>
        </w:rPr>
        <w:t xml:space="preserve"> </w:t>
      </w:r>
      <w:r>
        <w:rPr>
          <w:b/>
          <w:bCs/>
          <w:spacing w:val="-6"/>
        </w:rPr>
        <w:t>名男，</w:t>
      </w:r>
      <w:r>
        <w:rPr/>
        <w:t xml:space="preserve"> </w:t>
      </w:r>
      <w:r>
        <w:rPr>
          <w:b/>
          <w:bCs/>
          <w:spacing w:val="-3"/>
        </w:rPr>
        <w:t>33</w:t>
      </w:r>
      <w:r>
        <w:rPr>
          <w:spacing w:val="-3"/>
        </w:rPr>
        <w:t xml:space="preserve"> </w:t>
      </w:r>
      <w:r>
        <w:rPr>
          <w:b/>
          <w:bCs/>
          <w:spacing w:val="-3"/>
        </w:rPr>
        <w:t>名女；病患最大年龄</w:t>
      </w:r>
      <w:r>
        <w:rPr>
          <w:spacing w:val="-3"/>
        </w:rPr>
        <w:t xml:space="preserve"> </w:t>
      </w:r>
      <w:r>
        <w:rPr>
          <w:b/>
          <w:bCs/>
          <w:spacing w:val="-3"/>
        </w:rPr>
        <w:t>77</w:t>
      </w:r>
      <w:r>
        <w:rPr>
          <w:spacing w:val="-3"/>
        </w:rPr>
        <w:t xml:space="preserve"> </w:t>
      </w:r>
      <w:r>
        <w:rPr>
          <w:b/>
          <w:bCs/>
          <w:spacing w:val="-3"/>
        </w:rPr>
        <w:t>岁，最小年龄</w:t>
      </w:r>
      <w:r>
        <w:rPr>
          <w:spacing w:val="-3"/>
        </w:rPr>
        <w:t xml:space="preserve"> </w:t>
      </w:r>
      <w:r>
        <w:rPr>
          <w:b/>
          <w:bCs/>
          <w:spacing w:val="-3"/>
        </w:rPr>
        <w:t>22</w:t>
      </w:r>
      <w:r>
        <w:rPr>
          <w:spacing w:val="21"/>
        </w:rPr>
        <w:t xml:space="preserve"> </w:t>
      </w:r>
      <w:r>
        <w:rPr>
          <w:b/>
          <w:bCs/>
          <w:spacing w:val="-3"/>
        </w:rPr>
        <w:t>岁，平均（45.71±4.48）岁；病患最长病程</w:t>
      </w:r>
      <w:r>
        <w:rPr>
          <w:spacing w:val="-3"/>
        </w:rPr>
        <w:t xml:space="preserve"> </w:t>
      </w:r>
      <w:r>
        <w:rPr>
          <w:b/>
          <w:bCs/>
          <w:spacing w:val="-3"/>
        </w:rPr>
        <w:t>5</w:t>
      </w:r>
      <w:r>
        <w:rPr>
          <w:spacing w:val="15"/>
        </w:rPr>
        <w:t xml:space="preserve"> </w:t>
      </w:r>
      <w:r>
        <w:rPr>
          <w:b/>
          <w:bCs/>
          <w:spacing w:val="-3"/>
        </w:rPr>
        <w:t>天，</w:t>
      </w:r>
      <w:r>
        <w:rPr/>
        <w:t xml:space="preserve">  </w:t>
      </w:r>
      <w:r>
        <w:rPr>
          <w:b/>
          <w:bCs/>
          <w:spacing w:val="-2"/>
        </w:rPr>
        <w:t>最短病程</w:t>
      </w:r>
      <w:r>
        <w:rPr>
          <w:spacing w:val="-2"/>
        </w:rPr>
        <w:t xml:space="preserve"> </w:t>
      </w:r>
      <w:r>
        <w:rPr>
          <w:b/>
          <w:bCs/>
          <w:spacing w:val="-2"/>
        </w:rPr>
        <w:t>1</w:t>
      </w:r>
      <w:r>
        <w:rPr>
          <w:spacing w:val="-2"/>
        </w:rPr>
        <w:t xml:space="preserve"> </w:t>
      </w:r>
      <w:r>
        <w:rPr>
          <w:b/>
          <w:bCs/>
          <w:spacing w:val="-2"/>
        </w:rPr>
        <w:t>天，平均（3.99±0.51）天；实验组共计</w:t>
      </w:r>
      <w:r>
        <w:rPr>
          <w:spacing w:val="-2"/>
        </w:rPr>
        <w:t xml:space="preserve"> </w:t>
      </w:r>
      <w:r>
        <w:rPr>
          <w:b/>
          <w:bCs/>
          <w:spacing w:val="-2"/>
        </w:rPr>
        <w:t>51</w:t>
      </w:r>
      <w:r>
        <w:rPr>
          <w:spacing w:val="-2"/>
        </w:rPr>
        <w:t xml:space="preserve"> </w:t>
      </w:r>
      <w:r>
        <w:rPr>
          <w:b/>
          <w:bCs/>
          <w:spacing w:val="-2"/>
        </w:rPr>
        <w:t>名男，39</w:t>
      </w:r>
      <w:r>
        <w:rPr>
          <w:spacing w:val="12"/>
        </w:rPr>
        <w:t xml:space="preserve"> </w:t>
      </w:r>
      <w:r>
        <w:rPr>
          <w:b/>
          <w:bCs/>
          <w:spacing w:val="-2"/>
        </w:rPr>
        <w:t>名女；病患最大年龄</w:t>
      </w:r>
      <w:r>
        <w:rPr>
          <w:spacing w:val="15"/>
        </w:rPr>
        <w:t xml:space="preserve"> </w:t>
      </w:r>
      <w:r>
        <w:rPr>
          <w:b/>
          <w:bCs/>
          <w:spacing w:val="-2"/>
        </w:rPr>
        <w:t>75</w:t>
      </w:r>
      <w:r>
        <w:rPr>
          <w:spacing w:val="17"/>
        </w:rPr>
        <w:t xml:space="preserve"> </w:t>
      </w:r>
      <w:r>
        <w:rPr>
          <w:b/>
          <w:bCs/>
          <w:spacing w:val="-2"/>
        </w:rPr>
        <w:t>岁，</w:t>
      </w:r>
      <w:r>
        <w:rPr/>
        <w:t xml:space="preserve">  </w:t>
      </w:r>
      <w:r>
        <w:rPr>
          <w:b/>
          <w:bCs/>
          <w:spacing w:val="-3"/>
        </w:rPr>
        <w:t>最小年龄</w:t>
      </w:r>
      <w:r>
        <w:rPr>
          <w:spacing w:val="-3"/>
        </w:rPr>
        <w:t xml:space="preserve"> </w:t>
      </w:r>
      <w:r>
        <w:rPr>
          <w:b/>
          <w:bCs/>
          <w:spacing w:val="-3"/>
        </w:rPr>
        <w:t>20</w:t>
      </w:r>
      <w:r>
        <w:rPr>
          <w:spacing w:val="-3"/>
        </w:rPr>
        <w:t xml:space="preserve"> </w:t>
      </w:r>
      <w:r>
        <w:rPr>
          <w:b/>
          <w:bCs/>
          <w:spacing w:val="-3"/>
        </w:rPr>
        <w:t>岁，平均（46.12±</w:t>
      </w:r>
      <w:r>
        <w:rPr>
          <w:b/>
          <w:bCs/>
          <w:spacing w:val="-4"/>
        </w:rPr>
        <w:t>5.01）岁；病患最长病程</w:t>
      </w:r>
      <w:r>
        <w:rPr>
          <w:spacing w:val="-4"/>
        </w:rPr>
        <w:t xml:space="preserve"> </w:t>
      </w:r>
      <w:r>
        <w:rPr>
          <w:b/>
          <w:bCs/>
          <w:spacing w:val="-4"/>
        </w:rPr>
        <w:t>5.5</w:t>
      </w:r>
      <w:r>
        <w:rPr>
          <w:spacing w:val="-4"/>
        </w:rPr>
        <w:t xml:space="preserve"> </w:t>
      </w:r>
      <w:r>
        <w:rPr>
          <w:b/>
          <w:bCs/>
          <w:spacing w:val="-4"/>
        </w:rPr>
        <w:t>天，最短病程</w:t>
      </w:r>
      <w:r>
        <w:rPr>
          <w:spacing w:val="-4"/>
        </w:rPr>
        <w:t xml:space="preserve"> </w:t>
      </w:r>
      <w:r>
        <w:rPr>
          <w:b/>
          <w:bCs/>
          <w:spacing w:val="-4"/>
        </w:rPr>
        <w:t>0.5</w:t>
      </w:r>
      <w:r>
        <w:rPr>
          <w:spacing w:val="14"/>
        </w:rPr>
        <w:t xml:space="preserve"> </w:t>
      </w:r>
      <w:r>
        <w:rPr>
          <w:b/>
          <w:bCs/>
          <w:spacing w:val="-4"/>
        </w:rPr>
        <w:t>天，平均（3.72</w:t>
      </w:r>
      <w:r>
        <w:rPr/>
        <w:t xml:space="preserve">  </w:t>
      </w:r>
      <w:r>
        <w:rPr>
          <w:b/>
          <w:bCs/>
          <w:spacing w:val="-1"/>
        </w:rPr>
        <w:t>±0.47）天。</w:t>
      </w:r>
      <w:r>
        <w:rPr>
          <w:spacing w:val="-1"/>
        </w:rPr>
        <w:t>两组患者的一般临床资料类似，不存在统计学意义P&gt; 0.05，可以进行对</w:t>
      </w:r>
      <w:r>
        <w:rPr>
          <w:spacing w:val="-2"/>
        </w:rPr>
        <w:t>比。</w:t>
      </w:r>
    </w:p>
    <w:p>
      <w:pPr>
        <w:pStyle w:val="BodyText"/>
        <w:ind w:left="1179" w:right="1" w:firstLine="14"/>
        <w:spacing w:before="63" w:line="259" w:lineRule="auto"/>
        <w:rPr/>
      </w:pPr>
      <w:r>
        <w:rPr>
          <w:b/>
          <w:bCs/>
          <w:spacing w:val="-2"/>
        </w:rPr>
        <w:t>1.2</w:t>
      </w:r>
      <w:r>
        <w:rPr>
          <w:spacing w:val="-2"/>
        </w:rPr>
        <w:t xml:space="preserve"> </w:t>
      </w:r>
      <w:r>
        <w:rPr>
          <w:b/>
          <w:bCs/>
          <w:spacing w:val="-2"/>
        </w:rPr>
        <w:t>护理方法</w:t>
      </w:r>
      <w:r>
        <w:rPr>
          <w:spacing w:val="-2"/>
        </w:rPr>
        <w:t xml:space="preserve"> 两组患者在治疗之前，均统一安排</w:t>
      </w:r>
      <w:r>
        <w:rPr>
          <w:spacing w:val="-3"/>
        </w:rPr>
        <w:t>进行常规的降温以及抗炎等常规对症治疗。</w:t>
      </w:r>
      <w:r>
        <w:rPr>
          <w:b/>
          <w:bCs/>
          <w:spacing w:val="-3"/>
        </w:rPr>
        <w:t>之后对</w:t>
      </w:r>
      <w:r>
        <w:rPr/>
        <w:t xml:space="preserve"> </w:t>
      </w:r>
      <w:r>
        <w:rPr>
          <w:b/>
          <w:bCs/>
          <w:spacing w:val="-2"/>
        </w:rPr>
        <w:t>照组</w:t>
      </w:r>
      <w:r>
        <w:rPr>
          <w:spacing w:val="-2"/>
        </w:rPr>
        <w:t xml:space="preserve"> </w:t>
      </w:r>
      <w:r>
        <w:rPr>
          <w:b/>
          <w:bCs/>
          <w:spacing w:val="-2"/>
        </w:rPr>
        <w:t>90</w:t>
      </w:r>
      <w:r>
        <w:rPr>
          <w:spacing w:val="-2"/>
        </w:rPr>
        <w:t xml:space="preserve"> </w:t>
      </w:r>
      <w:r>
        <w:rPr>
          <w:b/>
          <w:bCs/>
          <w:spacing w:val="-2"/>
        </w:rPr>
        <w:t>名患者安排给予奥美拉唑肠溶</w:t>
      </w:r>
      <w:r>
        <w:rPr>
          <w:b/>
          <w:bCs/>
          <w:spacing w:val="-3"/>
        </w:rPr>
        <w:t>片进行治疗，服</w:t>
      </w:r>
      <w:r>
        <w:rPr>
          <w:spacing w:val="-3"/>
        </w:rPr>
        <w:t>用方法为：每次口服 20</w:t>
      </w:r>
      <w:r>
        <w:rPr>
          <w:spacing w:val="-50"/>
        </w:rPr>
        <w:t xml:space="preserve"> </w:t>
      </w:r>
      <w:r>
        <w:rPr>
          <w:spacing w:val="-3"/>
        </w:rPr>
        <w:t>mg，早晚口服一次，</w:t>
      </w:r>
      <w:r>
        <w:rPr/>
        <w:t xml:space="preserve"> </w:t>
      </w:r>
      <w:r>
        <w:rPr/>
        <w:t>连续口服五天；实验组 90 名患者在此基础上另外配合口服乳酸菌素片进</w:t>
      </w:r>
      <w:r>
        <w:rPr>
          <w:spacing w:val="-1"/>
        </w:rPr>
        <w:t>行治疗，服用方法为：每</w:t>
      </w:r>
      <w:r>
        <w:rPr/>
        <w:t xml:space="preserve">  </w:t>
      </w:r>
      <w:r>
        <w:rPr>
          <w:spacing w:val="-3"/>
        </w:rPr>
        <w:t>次口服 1</w:t>
      </w:r>
      <w:r>
        <w:rPr>
          <w:spacing w:val="28"/>
        </w:rPr>
        <w:t xml:space="preserve"> </w:t>
      </w:r>
      <w:r>
        <w:rPr>
          <w:spacing w:val="-3"/>
        </w:rPr>
        <w:t>g，早晚口服一次，连续口服五天。</w:t>
      </w:r>
    </w:p>
    <w:p>
      <w:pPr>
        <w:pStyle w:val="BodyText"/>
        <w:ind w:left="1178" w:right="67" w:firstLine="15"/>
        <w:spacing w:before="69" w:line="256" w:lineRule="auto"/>
        <w:rPr/>
      </w:pPr>
      <w:r>
        <w:rPr>
          <w:b/>
          <w:bCs/>
        </w:rPr>
        <w:t>1.3</w:t>
      </w:r>
      <w:r>
        <w:rPr/>
        <w:t xml:space="preserve"> </w:t>
      </w:r>
      <w:r>
        <w:rPr>
          <w:b/>
          <w:bCs/>
        </w:rPr>
        <w:t>统计学处理</w:t>
      </w:r>
      <w:r>
        <w:rPr/>
        <w:t xml:space="preserve"> 本次研究使用 SPSS l5.0 软件对实验数据进行分析整理，用(</w:t>
      </w:r>
      <w:r>
        <w:rPr>
          <w:spacing w:val="68"/>
        </w:rPr>
        <w:t xml:space="preserve"> </w:t>
      </w:r>
      <w:r>
        <w:rPr/>
        <w:t>±s）表示正态分 </w:t>
      </w:r>
      <w:r>
        <w:rPr>
          <w:spacing w:val="-1"/>
        </w:rPr>
        <w:t>布数据资料，行 t 检验，用（%）表示治疗有效率，行</w:t>
      </w:r>
      <w:r>
        <w:rPr>
          <w:spacing w:val="71"/>
        </w:rPr>
        <w:t xml:space="preserve"> </w:t>
      </w:r>
      <w:r>
        <w:rPr>
          <w:spacing w:val="-1"/>
        </w:rPr>
        <w:t>χ 2 检验，若P&lt;0.05，说明差异具备统计</w:t>
      </w:r>
      <w:r>
        <w:rPr/>
        <w:t xml:space="preserve"> </w:t>
      </w:r>
      <w:r>
        <w:rPr>
          <w:spacing w:val="-8"/>
        </w:rPr>
        <w:t>学意义。</w:t>
      </w:r>
    </w:p>
    <w:p>
      <w:pPr>
        <w:pStyle w:val="BodyText"/>
        <w:ind w:left="1199" w:right="5" w:hanging="5"/>
        <w:spacing w:before="62" w:line="247" w:lineRule="auto"/>
        <w:rPr/>
      </w:pPr>
      <w:r>
        <w:rPr>
          <w:b/>
          <w:bCs/>
          <w:spacing w:val="-6"/>
        </w:rPr>
        <w:t>1.4</w:t>
      </w:r>
      <w:r>
        <w:rPr>
          <w:spacing w:val="-6"/>
        </w:rPr>
        <w:t xml:space="preserve"> </w:t>
      </w:r>
      <w:r>
        <w:rPr>
          <w:b/>
          <w:bCs/>
          <w:spacing w:val="-6"/>
        </w:rPr>
        <w:t>观察指标</w:t>
      </w:r>
      <w:r>
        <w:rPr>
          <w:spacing w:val="-6"/>
        </w:rPr>
        <w:t xml:space="preserve"> 观察记录两组患者的临床治疗效果差异（主要为显</w:t>
      </w:r>
      <w:r>
        <w:rPr>
          <w:spacing w:val="-7"/>
        </w:rPr>
        <w:t>效、有效、无效这三个评估指标</w:t>
      </w:r>
      <w:r>
        <w:rPr>
          <w:spacing w:val="-26"/>
        </w:rPr>
        <w:t>）</w:t>
      </w:r>
      <w:r>
        <w:rPr>
          <w:spacing w:val="-30"/>
        </w:rPr>
        <w:t xml:space="preserve"> </w:t>
      </w:r>
      <w:r>
        <w:rPr>
          <w:spacing w:val="-26"/>
        </w:rPr>
        <w:t>；</w:t>
      </w:r>
      <w:r>
        <w:rPr/>
        <w:t xml:space="preserve"> </w:t>
      </w:r>
      <w:r>
        <w:rPr>
          <w:spacing w:val="-3"/>
        </w:rPr>
        <w:t>同时记录两组患者治疗期间各项临床症状消失时间差异。</w:t>
      </w:r>
    </w:p>
    <w:p>
      <w:pPr>
        <w:pStyle w:val="BodyText"/>
        <w:ind w:left="1181"/>
        <w:spacing w:before="63" w:line="220" w:lineRule="auto"/>
        <w:outlineLvl w:val="1"/>
        <w:rPr/>
      </w:pPr>
      <w:r>
        <w:rPr>
          <w:b/>
          <w:bCs/>
          <w:spacing w:val="-8"/>
        </w:rPr>
        <w:t>2</w:t>
      </w:r>
      <w:r>
        <w:rPr>
          <w:spacing w:val="16"/>
        </w:rPr>
        <w:t xml:space="preserve"> </w:t>
      </w:r>
      <w:r>
        <w:rPr>
          <w:b/>
          <w:bCs/>
          <w:spacing w:val="-8"/>
        </w:rPr>
        <w:t>结果</w:t>
      </w:r>
    </w:p>
    <w:p>
      <w:pPr>
        <w:pStyle w:val="BodyText"/>
        <w:ind w:left="1177" w:right="58"/>
        <w:spacing w:before="62" w:line="276" w:lineRule="auto"/>
        <w:rPr/>
      </w:pPr>
      <w:r>
        <w:rPr>
          <w:spacing w:val="1"/>
        </w:rPr>
        <w:t>对照组患者的临床治疗有效率为 78%，实验组的为 95%（P&lt;0</w:t>
      </w:r>
      <w:r>
        <w:rPr/>
        <w:t>.05）见表 1。对照组患者的各项临床 </w:t>
      </w:r>
      <w:r>
        <w:rPr/>
        <w:t>症状消失时间显著要长于实验组患者（P&lt; 0.05</w:t>
      </w:r>
      <w:r>
        <w:rPr>
          <w:spacing w:val="-3"/>
        </w:rPr>
        <w:t>），</w:t>
      </w:r>
      <w:r>
        <w:rPr/>
        <w:t>见</w:t>
      </w:r>
      <w:r>
        <w:rPr>
          <w:spacing w:val="-1"/>
        </w:rPr>
        <w:t>表 2。</w:t>
      </w:r>
    </w:p>
    <w:p>
      <w:pPr>
        <w:spacing w:line="276" w:lineRule="auto"/>
        <w:sectPr>
          <w:headerReference w:type="default" r:id="rId1"/>
          <w:pgSz w:w="12246" w:h="17178"/>
          <w:pgMar w:top="400" w:right="1537" w:bottom="0" w:left="407" w:header="0" w:footer="0" w:gutter="0"/>
        </w:sectPr>
        <w:rPr/>
      </w:pP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ind w:left="3791"/>
        <w:spacing w:before="65" w:line="231" w:lineRule="auto"/>
        <w:outlineLvl w:val="0"/>
        <w:rPr>
          <w:rFonts w:ascii="SimHei" w:hAnsi="SimHei" w:eastAsia="SimHei" w:cs="SimHei"/>
          <w:sz w:val="20"/>
          <w:szCs w:val="20"/>
        </w:rPr>
      </w:pPr>
      <w:r>
        <w:rPr>
          <w:rFonts w:ascii="SimHei" w:hAnsi="SimHei" w:eastAsia="SimHei" w:cs="SimHei"/>
          <w:sz w:val="20"/>
          <w:szCs w:val="20"/>
          <w:spacing w:val="-2"/>
        </w:rPr>
        <w:t>表</w:t>
      </w:r>
      <w:r>
        <w:rPr>
          <w:rFonts w:ascii="SimHei" w:hAnsi="SimHei" w:eastAsia="SimHei" w:cs="SimHei"/>
          <w:sz w:val="20"/>
          <w:szCs w:val="20"/>
          <w:spacing w:val="-2"/>
        </w:rPr>
        <w:t xml:space="preserve"> </w:t>
      </w:r>
      <w:r>
        <w:rPr>
          <w:rFonts w:ascii="Arial" w:hAnsi="Arial" w:eastAsia="Arial" w:cs="Arial"/>
          <w:sz w:val="20"/>
          <w:szCs w:val="20"/>
          <w:spacing w:val="-2"/>
        </w:rPr>
        <w:t>1</w:t>
      </w:r>
      <w:r>
        <w:rPr>
          <w:rFonts w:ascii="Arial" w:hAnsi="Arial" w:eastAsia="Arial" w:cs="Arial"/>
          <w:sz w:val="20"/>
          <w:szCs w:val="20"/>
          <w:spacing w:val="10"/>
        </w:rPr>
        <w:t xml:space="preserve"> </w:t>
      </w:r>
      <w:r>
        <w:rPr>
          <w:rFonts w:ascii="SimHei" w:hAnsi="SimHei" w:eastAsia="SimHei" w:cs="SimHei"/>
          <w:sz w:val="20"/>
          <w:szCs w:val="20"/>
          <w:spacing w:val="-2"/>
        </w:rPr>
        <w:t>两组患者的治疗效果对比（</w:t>
      </w:r>
      <w:r>
        <w:rPr>
          <w:rFonts w:ascii="Arial" w:hAnsi="Arial" w:eastAsia="Arial" w:cs="Arial"/>
          <w:sz w:val="20"/>
          <w:szCs w:val="20"/>
          <w:spacing w:val="-2"/>
        </w:rPr>
        <w:t>n  </w:t>
      </w:r>
      <w:r>
        <w:rPr>
          <w:rFonts w:ascii="SimHei" w:hAnsi="SimHei" w:eastAsia="SimHei" w:cs="SimHei"/>
          <w:sz w:val="20"/>
          <w:szCs w:val="20"/>
          <w:spacing w:val="-2"/>
        </w:rPr>
        <w:t>（</w:t>
      </w:r>
      <w:r>
        <w:rPr>
          <w:rFonts w:ascii="Arial" w:hAnsi="Arial" w:eastAsia="Arial" w:cs="Arial"/>
          <w:sz w:val="20"/>
          <w:szCs w:val="20"/>
          <w:spacing w:val="-2"/>
        </w:rPr>
        <w:t>%</w:t>
      </w:r>
      <w:r>
        <w:rPr>
          <w:rFonts w:ascii="SimHei" w:hAnsi="SimHei" w:eastAsia="SimHei" w:cs="SimHei"/>
          <w:sz w:val="20"/>
          <w:szCs w:val="20"/>
          <w:spacing w:val="-4"/>
        </w:rPr>
        <w:t>））</w:t>
      </w:r>
    </w:p>
    <w:p>
      <w:pPr>
        <w:spacing w:line="59" w:lineRule="auto"/>
        <w:rPr>
          <w:rFonts w:ascii="Arial"/>
          <w:sz w:val="2"/>
        </w:rPr>
      </w:pPr>
      <w:r>
        <w:rPr>
          <w:rFonts w:ascii="Arial"/>
          <w:sz w:val="2"/>
        </w:rPr>
      </w:r>
    </w:p>
    <w:tbl>
      <w:tblPr>
        <w:tblStyle w:val="TableNormal"/>
        <w:tblW w:w="5477" w:type="dxa"/>
        <w:tblInd w:w="29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28"/>
        <w:gridCol w:w="773"/>
        <w:gridCol w:w="915"/>
        <w:gridCol w:w="897"/>
        <w:gridCol w:w="875"/>
        <w:gridCol w:w="989"/>
      </w:tblGrid>
      <w:tr>
        <w:trPr>
          <w:trHeight w:val="635" w:hRule="atLeast"/>
        </w:trPr>
        <w:tc>
          <w:tcPr>
            <w:tcW w:w="1028" w:type="dxa"/>
            <w:vAlign w:val="top"/>
            <w:tcBorders>
              <w:bottom w:val="single" w:color="000000" w:sz="2" w:space="0"/>
              <w:top w:val="single" w:color="000000" w:sz="2" w:space="0"/>
            </w:tcBorders>
          </w:tcPr>
          <w:p>
            <w:pPr>
              <w:pStyle w:val="TableText"/>
              <w:ind w:left="338"/>
              <w:spacing w:before="211" w:line="220" w:lineRule="auto"/>
              <w:rPr/>
            </w:pPr>
            <w:r>
              <w:rPr>
                <w:spacing w:val="-3"/>
              </w:rPr>
              <w:t>分类</w:t>
            </w:r>
          </w:p>
        </w:tc>
        <w:tc>
          <w:tcPr>
            <w:tcW w:w="773" w:type="dxa"/>
            <w:vAlign w:val="top"/>
            <w:tcBorders>
              <w:bottom w:val="single" w:color="000000" w:sz="2" w:space="0"/>
              <w:top w:val="single" w:color="000000" w:sz="2" w:space="0"/>
            </w:tcBorders>
          </w:tcPr>
          <w:p>
            <w:pPr>
              <w:pStyle w:val="TableText"/>
              <w:ind w:left="182"/>
              <w:spacing w:before="211" w:line="220" w:lineRule="auto"/>
              <w:rPr/>
            </w:pPr>
            <w:r>
              <w:rPr>
                <w:spacing w:val="-3"/>
              </w:rPr>
              <w:t>例数</w:t>
            </w:r>
          </w:p>
        </w:tc>
        <w:tc>
          <w:tcPr>
            <w:tcW w:w="915" w:type="dxa"/>
            <w:vAlign w:val="top"/>
            <w:tcBorders>
              <w:bottom w:val="single" w:color="000000" w:sz="2" w:space="0"/>
              <w:top w:val="single" w:color="000000" w:sz="2" w:space="0"/>
            </w:tcBorders>
          </w:tcPr>
          <w:p>
            <w:pPr>
              <w:pStyle w:val="TableText"/>
              <w:ind w:left="228"/>
              <w:spacing w:before="212" w:line="220" w:lineRule="auto"/>
              <w:rPr/>
            </w:pPr>
            <w:r>
              <w:rPr>
                <w:spacing w:val="-4"/>
              </w:rPr>
              <w:t>显效</w:t>
            </w:r>
          </w:p>
        </w:tc>
        <w:tc>
          <w:tcPr>
            <w:tcW w:w="897" w:type="dxa"/>
            <w:vAlign w:val="top"/>
            <w:tcBorders>
              <w:bottom w:val="single" w:color="000000" w:sz="2" w:space="0"/>
              <w:top w:val="single" w:color="000000" w:sz="2" w:space="0"/>
            </w:tcBorders>
          </w:tcPr>
          <w:p>
            <w:pPr>
              <w:pStyle w:val="TableText"/>
              <w:ind w:left="238"/>
              <w:spacing w:before="212" w:line="220" w:lineRule="auto"/>
              <w:rPr/>
            </w:pPr>
            <w:r>
              <w:rPr>
                <w:spacing w:val="-3"/>
              </w:rPr>
              <w:t>有效</w:t>
            </w:r>
          </w:p>
        </w:tc>
        <w:tc>
          <w:tcPr>
            <w:tcW w:w="875" w:type="dxa"/>
            <w:vAlign w:val="top"/>
            <w:tcBorders>
              <w:bottom w:val="single" w:color="000000" w:sz="2" w:space="0"/>
              <w:top w:val="single" w:color="000000" w:sz="2" w:space="0"/>
            </w:tcBorders>
          </w:tcPr>
          <w:p>
            <w:pPr>
              <w:pStyle w:val="TableText"/>
              <w:ind w:left="260"/>
              <w:spacing w:before="212" w:line="220" w:lineRule="auto"/>
              <w:rPr/>
            </w:pPr>
            <w:r>
              <w:rPr>
                <w:spacing w:val="-3"/>
              </w:rPr>
              <w:t>无效</w:t>
            </w:r>
          </w:p>
        </w:tc>
        <w:tc>
          <w:tcPr>
            <w:tcW w:w="989" w:type="dxa"/>
            <w:vAlign w:val="top"/>
            <w:tcBorders>
              <w:bottom w:val="single" w:color="000000" w:sz="2" w:space="0"/>
              <w:top w:val="single" w:color="000000" w:sz="2" w:space="0"/>
            </w:tcBorders>
          </w:tcPr>
          <w:p>
            <w:pPr>
              <w:pStyle w:val="TableText"/>
              <w:ind w:left="419" w:right="159" w:hanging="206"/>
              <w:spacing w:before="56" w:line="250" w:lineRule="auto"/>
              <w:rPr/>
            </w:pPr>
            <w:r>
              <w:rPr>
                <w:spacing w:val="-5"/>
              </w:rPr>
              <w:t>总有效</w:t>
            </w:r>
            <w:r>
              <w:rPr/>
              <w:t xml:space="preserve"> </w:t>
            </w:r>
            <w:r>
              <w:rPr/>
              <w:t>率</w:t>
            </w:r>
          </w:p>
        </w:tc>
      </w:tr>
      <w:tr>
        <w:trPr>
          <w:trHeight w:val="629" w:hRule="atLeast"/>
        </w:trPr>
        <w:tc>
          <w:tcPr>
            <w:tcW w:w="1028" w:type="dxa"/>
            <w:vAlign w:val="top"/>
            <w:tcBorders>
              <w:top w:val="single" w:color="000000" w:sz="2" w:space="0"/>
            </w:tcBorders>
          </w:tcPr>
          <w:p>
            <w:pPr>
              <w:pStyle w:val="TableText"/>
              <w:ind w:left="230"/>
              <w:spacing w:before="206" w:line="221" w:lineRule="auto"/>
              <w:rPr/>
            </w:pPr>
            <w:r>
              <w:rPr>
                <w:spacing w:val="-2"/>
              </w:rPr>
              <w:t>对照组</w:t>
            </w:r>
          </w:p>
        </w:tc>
        <w:tc>
          <w:tcPr>
            <w:tcW w:w="773" w:type="dxa"/>
            <w:vAlign w:val="top"/>
            <w:tcBorders>
              <w:top w:val="single" w:color="000000" w:sz="2" w:space="0"/>
            </w:tcBorders>
          </w:tcPr>
          <w:p>
            <w:pPr>
              <w:pStyle w:val="TableText"/>
              <w:ind w:left="287"/>
              <w:spacing w:before="206"/>
              <w:rPr/>
            </w:pPr>
            <w:r>
              <w:rPr>
                <w:spacing w:val="-3"/>
              </w:rPr>
              <w:t>90</w:t>
            </w:r>
          </w:p>
        </w:tc>
        <w:tc>
          <w:tcPr>
            <w:tcW w:w="915" w:type="dxa"/>
            <w:vAlign w:val="top"/>
            <w:tcBorders>
              <w:top w:val="single" w:color="000000" w:sz="2" w:space="0"/>
            </w:tcBorders>
          </w:tcPr>
          <w:p>
            <w:pPr>
              <w:pStyle w:val="TableText"/>
              <w:ind w:left="333"/>
              <w:spacing w:before="206"/>
              <w:rPr/>
            </w:pPr>
            <w:r>
              <w:rPr>
                <w:spacing w:val="-3"/>
              </w:rPr>
              <w:t>35</w:t>
            </w:r>
          </w:p>
        </w:tc>
        <w:tc>
          <w:tcPr>
            <w:tcW w:w="897" w:type="dxa"/>
            <w:vAlign w:val="top"/>
            <w:tcBorders>
              <w:top w:val="single" w:color="000000" w:sz="2" w:space="0"/>
            </w:tcBorders>
          </w:tcPr>
          <w:p>
            <w:pPr>
              <w:pStyle w:val="TableText"/>
              <w:ind w:left="345"/>
              <w:spacing w:before="206"/>
              <w:rPr/>
            </w:pPr>
            <w:r>
              <w:rPr>
                <w:spacing w:val="-3"/>
              </w:rPr>
              <w:t>36</w:t>
            </w:r>
          </w:p>
        </w:tc>
        <w:tc>
          <w:tcPr>
            <w:tcW w:w="875" w:type="dxa"/>
            <w:vAlign w:val="top"/>
            <w:tcBorders>
              <w:top w:val="single" w:color="000000" w:sz="2" w:space="0"/>
            </w:tcBorders>
          </w:tcPr>
          <w:p>
            <w:pPr>
              <w:pStyle w:val="TableText"/>
              <w:ind w:left="379"/>
              <w:spacing w:before="206"/>
              <w:rPr/>
            </w:pPr>
            <w:r>
              <w:rPr>
                <w:spacing w:val="-6"/>
              </w:rPr>
              <w:t>19</w:t>
            </w:r>
          </w:p>
        </w:tc>
        <w:tc>
          <w:tcPr>
            <w:tcW w:w="989" w:type="dxa"/>
            <w:vAlign w:val="top"/>
            <w:tcBorders>
              <w:top w:val="single" w:color="000000" w:sz="2" w:space="0"/>
            </w:tcBorders>
          </w:tcPr>
          <w:p>
            <w:pPr>
              <w:pStyle w:val="TableText"/>
              <w:ind w:left="422"/>
              <w:spacing w:before="50"/>
              <w:rPr/>
            </w:pPr>
            <w:r>
              <w:rPr>
                <w:spacing w:val="-4"/>
              </w:rPr>
              <w:t>71</w:t>
            </w:r>
          </w:p>
          <w:p>
            <w:pPr>
              <w:pStyle w:val="TableText"/>
              <w:ind w:left="163"/>
              <w:spacing w:before="39" w:line="225" w:lineRule="auto"/>
              <w:rPr/>
            </w:pPr>
            <w:r>
              <w:rPr>
                <w:spacing w:val="-3"/>
              </w:rPr>
              <w:t>（79%）</w:t>
            </w:r>
          </w:p>
        </w:tc>
      </w:tr>
      <w:tr>
        <w:trPr>
          <w:trHeight w:val="642" w:hRule="atLeast"/>
        </w:trPr>
        <w:tc>
          <w:tcPr>
            <w:tcW w:w="1028" w:type="dxa"/>
            <w:vAlign w:val="top"/>
          </w:tcPr>
          <w:p>
            <w:pPr>
              <w:pStyle w:val="TableText"/>
              <w:ind w:left="236"/>
              <w:spacing w:before="202" w:line="220" w:lineRule="auto"/>
              <w:rPr/>
            </w:pPr>
            <w:r>
              <w:rPr>
                <w:spacing w:val="-3"/>
              </w:rPr>
              <w:t>实验组</w:t>
            </w:r>
          </w:p>
        </w:tc>
        <w:tc>
          <w:tcPr>
            <w:tcW w:w="773" w:type="dxa"/>
            <w:vAlign w:val="top"/>
          </w:tcPr>
          <w:p>
            <w:pPr>
              <w:pStyle w:val="TableText"/>
              <w:ind w:left="287"/>
              <w:spacing w:before="201"/>
              <w:rPr/>
            </w:pPr>
            <w:r>
              <w:rPr>
                <w:spacing w:val="-3"/>
              </w:rPr>
              <w:t>90</w:t>
            </w:r>
          </w:p>
        </w:tc>
        <w:tc>
          <w:tcPr>
            <w:tcW w:w="915" w:type="dxa"/>
            <w:vAlign w:val="top"/>
          </w:tcPr>
          <w:p>
            <w:pPr>
              <w:pStyle w:val="TableText"/>
              <w:ind w:left="328"/>
              <w:spacing w:before="202" w:line="241" w:lineRule="auto"/>
              <w:rPr/>
            </w:pPr>
            <w:r>
              <w:rPr>
                <w:spacing w:val="-2"/>
              </w:rPr>
              <w:t>44</w:t>
            </w:r>
          </w:p>
        </w:tc>
        <w:tc>
          <w:tcPr>
            <w:tcW w:w="897" w:type="dxa"/>
            <w:vAlign w:val="top"/>
          </w:tcPr>
          <w:p>
            <w:pPr>
              <w:pStyle w:val="TableText"/>
              <w:ind w:left="340"/>
              <w:spacing w:before="202" w:line="241" w:lineRule="auto"/>
              <w:rPr/>
            </w:pPr>
            <w:r>
              <w:rPr>
                <w:spacing w:val="-2"/>
              </w:rPr>
              <w:t>41</w:t>
            </w:r>
          </w:p>
        </w:tc>
        <w:tc>
          <w:tcPr>
            <w:tcW w:w="875" w:type="dxa"/>
            <w:vAlign w:val="top"/>
          </w:tcPr>
          <w:p>
            <w:pPr>
              <w:pStyle w:val="TableText"/>
              <w:ind w:left="420"/>
              <w:spacing w:before="201"/>
              <w:rPr/>
            </w:pPr>
            <w:r>
              <w:rPr/>
              <w:t>5</w:t>
            </w:r>
          </w:p>
        </w:tc>
        <w:tc>
          <w:tcPr>
            <w:tcW w:w="989" w:type="dxa"/>
            <w:vAlign w:val="top"/>
          </w:tcPr>
          <w:p>
            <w:pPr>
              <w:pStyle w:val="TableText"/>
              <w:ind w:left="421"/>
              <w:spacing w:before="45"/>
              <w:rPr/>
            </w:pPr>
            <w:r>
              <w:rPr>
                <w:spacing w:val="-3"/>
              </w:rPr>
              <w:t>35</w:t>
            </w:r>
          </w:p>
          <w:p>
            <w:pPr>
              <w:pStyle w:val="TableText"/>
              <w:ind w:left="163"/>
              <w:spacing w:before="39" w:line="232" w:lineRule="auto"/>
              <w:rPr/>
            </w:pPr>
            <w:r>
              <w:rPr>
                <w:spacing w:val="-3"/>
              </w:rPr>
              <w:t>（94%）</w:t>
            </w:r>
          </w:p>
        </w:tc>
      </w:tr>
      <w:tr>
        <w:trPr>
          <w:trHeight w:val="384" w:hRule="atLeast"/>
        </w:trPr>
        <w:tc>
          <w:tcPr>
            <w:tcW w:w="1028" w:type="dxa"/>
            <w:vAlign w:val="top"/>
          </w:tcPr>
          <w:p>
            <w:pPr>
              <w:pStyle w:val="TableText"/>
              <w:ind w:left="499"/>
              <w:spacing w:before="88" w:line="230" w:lineRule="exact"/>
              <w:rPr>
                <w:sz w:val="8"/>
                <w:szCs w:val="8"/>
              </w:rPr>
            </w:pPr>
            <w:r>
              <w:rPr>
                <w:sz w:val="16"/>
                <w:szCs w:val="16"/>
                <w:i/>
                <w:iCs/>
                <w:spacing w:val="-40"/>
              </w:rPr>
              <w:t>χ</w:t>
            </w:r>
            <w:r>
              <w:rPr>
                <w:sz w:val="8"/>
                <w:szCs w:val="8"/>
                <w:i/>
                <w:iCs/>
                <w:position w:val="7"/>
              </w:rPr>
              <w:t>2</w:t>
            </w:r>
          </w:p>
        </w:tc>
        <w:tc>
          <w:tcPr>
            <w:tcW w:w="773" w:type="dxa"/>
            <w:vAlign w:val="top"/>
          </w:tcPr>
          <w:p>
            <w:pPr>
              <w:rPr>
                <w:rFonts w:ascii="Arial"/>
                <w:sz w:val="21"/>
              </w:rPr>
            </w:pPr>
            <w:r/>
          </w:p>
        </w:tc>
        <w:tc>
          <w:tcPr>
            <w:tcW w:w="915" w:type="dxa"/>
            <w:vAlign w:val="top"/>
          </w:tcPr>
          <w:p>
            <w:pPr>
              <w:pStyle w:val="TableText"/>
              <w:ind w:left="187"/>
              <w:spacing w:before="75" w:line="239" w:lineRule="auto"/>
              <w:rPr/>
            </w:pPr>
            <w:r>
              <w:rPr>
                <w:spacing w:val="-4"/>
              </w:rPr>
              <w:t>16.39</w:t>
            </w:r>
          </w:p>
        </w:tc>
        <w:tc>
          <w:tcPr>
            <w:tcW w:w="897" w:type="dxa"/>
            <w:vAlign w:val="top"/>
          </w:tcPr>
          <w:p>
            <w:pPr>
              <w:pStyle w:val="TableText"/>
              <w:ind w:left="238"/>
              <w:spacing w:before="75" w:line="239" w:lineRule="auto"/>
              <w:rPr/>
            </w:pPr>
            <w:r>
              <w:rPr>
                <w:spacing w:val="-2"/>
              </w:rPr>
              <w:t>8.57</w:t>
            </w:r>
          </w:p>
        </w:tc>
        <w:tc>
          <w:tcPr>
            <w:tcW w:w="875" w:type="dxa"/>
            <w:vAlign w:val="top"/>
          </w:tcPr>
          <w:p>
            <w:pPr>
              <w:pStyle w:val="TableText"/>
              <w:ind w:left="257"/>
              <w:spacing w:before="75" w:line="239" w:lineRule="auto"/>
              <w:rPr/>
            </w:pPr>
            <w:r>
              <w:rPr>
                <w:spacing w:val="-2"/>
              </w:rPr>
              <w:t>4.16</w:t>
            </w:r>
          </w:p>
        </w:tc>
        <w:tc>
          <w:tcPr>
            <w:tcW w:w="989" w:type="dxa"/>
            <w:vAlign w:val="top"/>
          </w:tcPr>
          <w:p>
            <w:pPr>
              <w:pStyle w:val="TableText"/>
              <w:ind w:left="312"/>
              <w:spacing w:before="75" w:line="239" w:lineRule="auto"/>
              <w:rPr/>
            </w:pPr>
            <w:r>
              <w:rPr>
                <w:spacing w:val="-2"/>
              </w:rPr>
              <w:t>4.16</w:t>
            </w:r>
          </w:p>
        </w:tc>
      </w:tr>
      <w:tr>
        <w:trPr>
          <w:trHeight w:val="417" w:hRule="atLeast"/>
        </w:trPr>
        <w:tc>
          <w:tcPr>
            <w:tcW w:w="1028" w:type="dxa"/>
            <w:vAlign w:val="top"/>
            <w:tcBorders>
              <w:bottom w:val="single" w:color="000000" w:sz="2" w:space="0"/>
            </w:tcBorders>
          </w:tcPr>
          <w:p>
            <w:pPr>
              <w:pStyle w:val="TableText"/>
              <w:ind w:left="518"/>
              <w:spacing w:before="154" w:line="180" w:lineRule="auto"/>
              <w:rPr>
                <w:sz w:val="16"/>
                <w:szCs w:val="16"/>
              </w:rPr>
            </w:pPr>
            <w:r>
              <w:rPr>
                <w:sz w:val="16"/>
                <w:szCs w:val="16"/>
                <w:i/>
                <w:iCs/>
              </w:rPr>
              <w:t>P</w:t>
            </w:r>
          </w:p>
        </w:tc>
        <w:tc>
          <w:tcPr>
            <w:tcW w:w="773" w:type="dxa"/>
            <w:vAlign w:val="top"/>
            <w:tcBorders>
              <w:bottom w:val="single" w:color="000000" w:sz="2" w:space="0"/>
            </w:tcBorders>
          </w:tcPr>
          <w:p>
            <w:pPr>
              <w:rPr>
                <w:rFonts w:ascii="Arial"/>
                <w:sz w:val="21"/>
              </w:rPr>
            </w:pPr>
            <w:r/>
          </w:p>
        </w:tc>
        <w:tc>
          <w:tcPr>
            <w:tcW w:w="915" w:type="dxa"/>
            <w:vAlign w:val="top"/>
            <w:tcBorders>
              <w:bottom w:val="single" w:color="000000" w:sz="2" w:space="0"/>
            </w:tcBorders>
          </w:tcPr>
          <w:p>
            <w:pPr>
              <w:pStyle w:val="TableText"/>
              <w:ind w:left="225"/>
              <w:spacing w:before="101" w:line="239" w:lineRule="auto"/>
              <w:rPr/>
            </w:pPr>
            <w:r>
              <w:rPr>
                <w:spacing w:val="-2"/>
              </w:rPr>
              <w:t>0.00</w:t>
            </w:r>
          </w:p>
        </w:tc>
        <w:tc>
          <w:tcPr>
            <w:tcW w:w="897" w:type="dxa"/>
            <w:vAlign w:val="top"/>
            <w:tcBorders>
              <w:bottom w:val="single" w:color="000000" w:sz="2" w:space="0"/>
            </w:tcBorders>
          </w:tcPr>
          <w:p>
            <w:pPr>
              <w:pStyle w:val="TableText"/>
              <w:ind w:left="239"/>
              <w:spacing w:before="101" w:line="239" w:lineRule="auto"/>
              <w:rPr/>
            </w:pPr>
            <w:r>
              <w:rPr>
                <w:spacing w:val="-2"/>
              </w:rPr>
              <w:t>0.00</w:t>
            </w:r>
          </w:p>
        </w:tc>
        <w:tc>
          <w:tcPr>
            <w:tcW w:w="875" w:type="dxa"/>
            <w:vAlign w:val="top"/>
            <w:tcBorders>
              <w:bottom w:val="single" w:color="000000" w:sz="2" w:space="0"/>
            </w:tcBorders>
          </w:tcPr>
          <w:p>
            <w:pPr>
              <w:pStyle w:val="TableText"/>
              <w:ind w:left="260"/>
              <w:spacing w:before="101" w:line="239" w:lineRule="auto"/>
              <w:rPr/>
            </w:pPr>
            <w:r>
              <w:rPr>
                <w:spacing w:val="-2"/>
              </w:rPr>
              <w:t>0.04</w:t>
            </w:r>
          </w:p>
        </w:tc>
        <w:tc>
          <w:tcPr>
            <w:tcW w:w="989" w:type="dxa"/>
            <w:vAlign w:val="top"/>
            <w:tcBorders>
              <w:bottom w:val="single" w:color="000000" w:sz="2" w:space="0"/>
            </w:tcBorders>
          </w:tcPr>
          <w:p>
            <w:pPr>
              <w:pStyle w:val="TableText"/>
              <w:ind w:left="315"/>
              <w:spacing w:before="101" w:line="239" w:lineRule="auto"/>
              <w:rPr/>
            </w:pPr>
            <w:r>
              <w:rPr>
                <w:spacing w:val="-2"/>
              </w:rPr>
              <w:t>0.04</w:t>
            </w:r>
          </w:p>
        </w:tc>
      </w:tr>
    </w:tbl>
    <w:p>
      <w:pPr>
        <w:ind w:left="3485"/>
        <w:spacing w:before="56" w:line="231" w:lineRule="auto"/>
        <w:outlineLvl w:val="0"/>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rFonts w:ascii="Arial" w:hAnsi="Arial" w:eastAsia="Arial" w:cs="Arial"/>
          <w:sz w:val="20"/>
          <w:szCs w:val="20"/>
          <w:spacing w:val="1"/>
        </w:rPr>
        <w:t>2 </w:t>
      </w:r>
      <w:r>
        <w:rPr>
          <w:rFonts w:ascii="SimHei" w:hAnsi="SimHei" w:eastAsia="SimHei" w:cs="SimHei"/>
          <w:sz w:val="20"/>
          <w:szCs w:val="20"/>
          <w:spacing w:val="1"/>
        </w:rPr>
        <w:t>两组患者各项临床症状消失时间对比(</w:t>
      </w:r>
      <w:r>
        <w:rPr>
          <w:rFonts w:ascii="SimHei" w:hAnsi="SimHei" w:eastAsia="SimHei" w:cs="SimHei"/>
          <w:sz w:val="20"/>
          <w:szCs w:val="20"/>
          <w:spacing w:val="59"/>
        </w:rPr>
        <w:t xml:space="preserve"> </w:t>
      </w:r>
      <w:r>
        <w:rPr>
          <w:rFonts w:ascii="SimHei" w:hAnsi="SimHei" w:eastAsia="SimHei" w:cs="SimHei"/>
          <w:sz w:val="20"/>
          <w:szCs w:val="20"/>
          <w:spacing w:val="1"/>
        </w:rPr>
        <w:t>±</w:t>
      </w:r>
      <w:r>
        <w:rPr>
          <w:rFonts w:ascii="Arial" w:hAnsi="Arial" w:eastAsia="Arial" w:cs="Arial"/>
          <w:sz w:val="20"/>
          <w:szCs w:val="20"/>
          <w:spacing w:val="1"/>
        </w:rPr>
        <w:t>s</w:t>
      </w:r>
      <w:r>
        <w:rPr>
          <w:rFonts w:ascii="SimHei" w:hAnsi="SimHei" w:eastAsia="SimHei" w:cs="SimHei"/>
          <w:sz w:val="20"/>
          <w:szCs w:val="20"/>
          <w:spacing w:val="1"/>
        </w:rPr>
        <w:t>）</w:t>
      </w:r>
    </w:p>
    <w:p>
      <w:pPr>
        <w:spacing w:line="59" w:lineRule="auto"/>
        <w:rPr>
          <w:rFonts w:ascii="Arial"/>
          <w:sz w:val="2"/>
        </w:rPr>
      </w:pPr>
      <w:r>
        <w:rPr>
          <w:rFonts w:ascii="Arial"/>
          <w:sz w:val="2"/>
        </w:rPr>
      </w:r>
    </w:p>
    <w:tbl>
      <w:tblPr>
        <w:tblStyle w:val="TableNormal"/>
        <w:tblW w:w="4529" w:type="dxa"/>
        <w:tblInd w:w="34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28"/>
        <w:gridCol w:w="738"/>
        <w:gridCol w:w="920"/>
        <w:gridCol w:w="929"/>
        <w:gridCol w:w="914"/>
      </w:tblGrid>
      <w:tr>
        <w:trPr>
          <w:trHeight w:val="634" w:hRule="atLeast"/>
        </w:trPr>
        <w:tc>
          <w:tcPr>
            <w:tcW w:w="1028" w:type="dxa"/>
            <w:vAlign w:val="top"/>
            <w:tcBorders>
              <w:bottom w:val="single" w:color="000000" w:sz="2" w:space="0"/>
              <w:top w:val="single" w:color="000000" w:sz="2" w:space="0"/>
            </w:tcBorders>
          </w:tcPr>
          <w:p>
            <w:pPr>
              <w:pStyle w:val="TableText"/>
              <w:ind w:left="338"/>
              <w:spacing w:before="211" w:line="220" w:lineRule="auto"/>
              <w:rPr/>
            </w:pPr>
            <w:r>
              <w:rPr>
                <w:spacing w:val="-3"/>
              </w:rPr>
              <w:t>分类</w:t>
            </w:r>
          </w:p>
        </w:tc>
        <w:tc>
          <w:tcPr>
            <w:tcW w:w="738" w:type="dxa"/>
            <w:vAlign w:val="top"/>
            <w:tcBorders>
              <w:bottom w:val="single" w:color="000000" w:sz="2" w:space="0"/>
              <w:top w:val="single" w:color="000000" w:sz="2" w:space="0"/>
            </w:tcBorders>
          </w:tcPr>
          <w:p>
            <w:pPr>
              <w:pStyle w:val="TableText"/>
              <w:ind w:left="182"/>
              <w:spacing w:before="211" w:line="220" w:lineRule="auto"/>
              <w:rPr/>
            </w:pPr>
            <w:r>
              <w:rPr>
                <w:spacing w:val="-3"/>
              </w:rPr>
              <w:t>例数</w:t>
            </w:r>
          </w:p>
        </w:tc>
        <w:tc>
          <w:tcPr>
            <w:tcW w:w="920" w:type="dxa"/>
            <w:vAlign w:val="top"/>
            <w:tcBorders>
              <w:bottom w:val="single" w:color="000000" w:sz="2" w:space="0"/>
              <w:top w:val="single" w:color="000000" w:sz="2" w:space="0"/>
            </w:tcBorders>
          </w:tcPr>
          <w:p>
            <w:pPr>
              <w:pStyle w:val="TableText"/>
              <w:ind w:left="261"/>
              <w:spacing w:before="212" w:line="220" w:lineRule="auto"/>
              <w:rPr/>
            </w:pPr>
            <w:r>
              <w:rPr>
                <w:spacing w:val="-3"/>
              </w:rPr>
              <w:t>发热</w:t>
            </w:r>
          </w:p>
        </w:tc>
        <w:tc>
          <w:tcPr>
            <w:tcW w:w="929" w:type="dxa"/>
            <w:vAlign w:val="top"/>
            <w:tcBorders>
              <w:bottom w:val="single" w:color="000000" w:sz="2" w:space="0"/>
              <w:top w:val="single" w:color="000000" w:sz="2" w:space="0"/>
            </w:tcBorders>
          </w:tcPr>
          <w:p>
            <w:pPr>
              <w:pStyle w:val="TableText"/>
              <w:ind w:left="267"/>
              <w:spacing w:before="211" w:line="220" w:lineRule="auto"/>
              <w:rPr/>
            </w:pPr>
            <w:r>
              <w:rPr>
                <w:spacing w:val="-3"/>
              </w:rPr>
              <w:t>腹痛</w:t>
            </w:r>
          </w:p>
        </w:tc>
        <w:tc>
          <w:tcPr>
            <w:tcW w:w="914" w:type="dxa"/>
            <w:vAlign w:val="top"/>
            <w:tcBorders>
              <w:bottom w:val="single" w:color="000000" w:sz="2" w:space="0"/>
              <w:top w:val="single" w:color="000000" w:sz="2" w:space="0"/>
            </w:tcBorders>
          </w:tcPr>
          <w:p>
            <w:pPr>
              <w:pStyle w:val="TableText"/>
              <w:ind w:left="266"/>
              <w:spacing w:before="212" w:line="227" w:lineRule="auto"/>
              <w:rPr/>
            </w:pPr>
            <w:r>
              <w:rPr>
                <w:spacing w:val="-5"/>
              </w:rPr>
              <w:t>呕吐</w:t>
            </w:r>
          </w:p>
        </w:tc>
      </w:tr>
      <w:tr>
        <w:trPr>
          <w:trHeight w:val="624" w:hRule="atLeast"/>
        </w:trPr>
        <w:tc>
          <w:tcPr>
            <w:tcW w:w="1028" w:type="dxa"/>
            <w:vAlign w:val="top"/>
            <w:tcBorders>
              <w:top w:val="single" w:color="000000" w:sz="2" w:space="0"/>
            </w:tcBorders>
          </w:tcPr>
          <w:p>
            <w:pPr>
              <w:pStyle w:val="TableText"/>
              <w:ind w:left="230"/>
              <w:spacing w:before="207" w:line="221" w:lineRule="auto"/>
              <w:rPr/>
            </w:pPr>
            <w:r>
              <w:rPr>
                <w:spacing w:val="-2"/>
              </w:rPr>
              <w:t>对照组</w:t>
            </w:r>
          </w:p>
        </w:tc>
        <w:tc>
          <w:tcPr>
            <w:tcW w:w="738" w:type="dxa"/>
            <w:vAlign w:val="top"/>
            <w:tcBorders>
              <w:top w:val="single" w:color="000000" w:sz="2" w:space="0"/>
            </w:tcBorders>
          </w:tcPr>
          <w:p>
            <w:pPr>
              <w:pStyle w:val="TableText"/>
              <w:ind w:left="288"/>
              <w:spacing w:before="207"/>
              <w:rPr/>
            </w:pPr>
            <w:r>
              <w:rPr>
                <w:spacing w:val="-3"/>
              </w:rPr>
              <w:t>90</w:t>
            </w:r>
          </w:p>
        </w:tc>
        <w:tc>
          <w:tcPr>
            <w:tcW w:w="920" w:type="dxa"/>
            <w:vAlign w:val="top"/>
            <w:tcBorders>
              <w:top w:val="single" w:color="000000" w:sz="2" w:space="0"/>
            </w:tcBorders>
          </w:tcPr>
          <w:p>
            <w:pPr>
              <w:pStyle w:val="TableText"/>
              <w:ind w:left="153"/>
              <w:spacing w:before="51" w:line="239" w:lineRule="auto"/>
              <w:rPr/>
            </w:pPr>
            <w:r>
              <w:rPr>
                <w:spacing w:val="-1"/>
              </w:rPr>
              <w:t>4.78+1</w:t>
            </w:r>
          </w:p>
          <w:p>
            <w:pPr>
              <w:pStyle w:val="TableText"/>
              <w:ind w:left="317"/>
              <w:spacing w:before="40" w:line="220" w:lineRule="auto"/>
              <w:rPr/>
            </w:pPr>
            <w:r>
              <w:rPr>
                <w:spacing w:val="-4"/>
              </w:rPr>
              <w:t>.24</w:t>
            </w:r>
          </w:p>
        </w:tc>
        <w:tc>
          <w:tcPr>
            <w:tcW w:w="929" w:type="dxa"/>
            <w:vAlign w:val="top"/>
            <w:tcBorders>
              <w:top w:val="single" w:color="000000" w:sz="2" w:space="0"/>
            </w:tcBorders>
          </w:tcPr>
          <w:p>
            <w:pPr>
              <w:pStyle w:val="TableText"/>
              <w:ind w:left="165"/>
              <w:spacing w:before="51" w:line="239" w:lineRule="auto"/>
              <w:rPr/>
            </w:pPr>
            <w:r>
              <w:rPr>
                <w:spacing w:val="-2"/>
              </w:rPr>
              <w:t>5.06+1</w:t>
            </w:r>
          </w:p>
          <w:p>
            <w:pPr>
              <w:pStyle w:val="TableText"/>
              <w:ind w:left="325"/>
              <w:spacing w:before="40" w:line="220" w:lineRule="auto"/>
              <w:rPr/>
            </w:pPr>
            <w:r>
              <w:rPr>
                <w:spacing w:val="-4"/>
              </w:rPr>
              <w:t>.21</w:t>
            </w:r>
          </w:p>
        </w:tc>
        <w:tc>
          <w:tcPr>
            <w:tcW w:w="914" w:type="dxa"/>
            <w:vAlign w:val="top"/>
            <w:tcBorders>
              <w:top w:val="single" w:color="000000" w:sz="2" w:space="0"/>
            </w:tcBorders>
          </w:tcPr>
          <w:p>
            <w:pPr>
              <w:pStyle w:val="TableText"/>
              <w:ind w:left="156"/>
              <w:spacing w:before="51" w:line="239" w:lineRule="auto"/>
              <w:rPr/>
            </w:pPr>
            <w:r>
              <w:rPr>
                <w:spacing w:val="-2"/>
              </w:rPr>
              <w:t>5.19+1</w:t>
            </w:r>
          </w:p>
          <w:p>
            <w:pPr>
              <w:pStyle w:val="TableText"/>
              <w:ind w:left="314"/>
              <w:spacing w:before="40" w:line="220" w:lineRule="auto"/>
              <w:rPr/>
            </w:pPr>
            <w:r>
              <w:rPr>
                <w:spacing w:val="-4"/>
              </w:rPr>
              <w:t>.26</w:t>
            </w:r>
          </w:p>
        </w:tc>
      </w:tr>
      <w:tr>
        <w:trPr>
          <w:trHeight w:val="648" w:hRule="atLeast"/>
        </w:trPr>
        <w:tc>
          <w:tcPr>
            <w:tcW w:w="1028" w:type="dxa"/>
            <w:vAlign w:val="top"/>
          </w:tcPr>
          <w:p>
            <w:pPr>
              <w:pStyle w:val="TableText"/>
              <w:ind w:left="236"/>
              <w:spacing w:before="207" w:line="220" w:lineRule="auto"/>
              <w:rPr/>
            </w:pPr>
            <w:r>
              <w:rPr>
                <w:spacing w:val="-3"/>
              </w:rPr>
              <w:t>实验组</w:t>
            </w:r>
          </w:p>
        </w:tc>
        <w:tc>
          <w:tcPr>
            <w:tcW w:w="738" w:type="dxa"/>
            <w:vAlign w:val="top"/>
          </w:tcPr>
          <w:p>
            <w:pPr>
              <w:pStyle w:val="TableText"/>
              <w:ind w:left="288"/>
              <w:spacing w:before="207"/>
              <w:rPr/>
            </w:pPr>
            <w:r>
              <w:rPr>
                <w:spacing w:val="-3"/>
              </w:rPr>
              <w:t>90</w:t>
            </w:r>
          </w:p>
        </w:tc>
        <w:tc>
          <w:tcPr>
            <w:tcW w:w="920" w:type="dxa"/>
            <w:vAlign w:val="top"/>
          </w:tcPr>
          <w:p>
            <w:pPr>
              <w:pStyle w:val="TableText"/>
              <w:ind w:left="156"/>
              <w:spacing w:before="51" w:line="239" w:lineRule="auto"/>
              <w:rPr/>
            </w:pPr>
            <w:r>
              <w:rPr>
                <w:spacing w:val="-2"/>
              </w:rPr>
              <w:t>2.55+1</w:t>
            </w:r>
          </w:p>
          <w:p>
            <w:pPr>
              <w:pStyle w:val="TableText"/>
              <w:ind w:left="317"/>
              <w:spacing w:before="40" w:line="239" w:lineRule="auto"/>
              <w:rPr/>
            </w:pPr>
            <w:r>
              <w:rPr>
                <w:spacing w:val="-4"/>
              </w:rPr>
              <w:t>.03</w:t>
            </w:r>
          </w:p>
        </w:tc>
        <w:tc>
          <w:tcPr>
            <w:tcW w:w="929" w:type="dxa"/>
            <w:vAlign w:val="top"/>
          </w:tcPr>
          <w:p>
            <w:pPr>
              <w:pStyle w:val="TableText"/>
              <w:ind w:left="165"/>
              <w:spacing w:before="51" w:line="239" w:lineRule="auto"/>
              <w:rPr/>
            </w:pPr>
            <w:r>
              <w:rPr>
                <w:spacing w:val="-2"/>
              </w:rPr>
              <w:t>3.04+0</w:t>
            </w:r>
          </w:p>
          <w:p>
            <w:pPr>
              <w:pStyle w:val="TableText"/>
              <w:ind w:left="325"/>
              <w:spacing w:before="40" w:line="239" w:lineRule="auto"/>
              <w:rPr/>
            </w:pPr>
            <w:r>
              <w:rPr>
                <w:spacing w:val="-4"/>
              </w:rPr>
              <w:t>.95</w:t>
            </w:r>
          </w:p>
        </w:tc>
        <w:tc>
          <w:tcPr>
            <w:tcW w:w="914" w:type="dxa"/>
            <w:vAlign w:val="top"/>
          </w:tcPr>
          <w:p>
            <w:pPr>
              <w:pStyle w:val="TableText"/>
              <w:ind w:left="156"/>
              <w:spacing w:before="51" w:line="239" w:lineRule="auto"/>
              <w:rPr/>
            </w:pPr>
            <w:r>
              <w:rPr>
                <w:spacing w:val="-2"/>
              </w:rPr>
              <w:t>3.34+0</w:t>
            </w:r>
          </w:p>
          <w:p>
            <w:pPr>
              <w:pStyle w:val="TableText"/>
              <w:ind w:left="314"/>
              <w:spacing w:before="40" w:line="239" w:lineRule="auto"/>
              <w:rPr/>
            </w:pPr>
            <w:r>
              <w:rPr>
                <w:spacing w:val="-4"/>
              </w:rPr>
              <w:t>.58</w:t>
            </w:r>
          </w:p>
        </w:tc>
      </w:tr>
      <w:tr>
        <w:trPr>
          <w:trHeight w:val="384" w:hRule="atLeast"/>
        </w:trPr>
        <w:tc>
          <w:tcPr>
            <w:tcW w:w="1028" w:type="dxa"/>
            <w:vAlign w:val="top"/>
          </w:tcPr>
          <w:p>
            <w:pPr>
              <w:pStyle w:val="TableText"/>
              <w:ind w:left="518"/>
              <w:spacing w:before="129" w:line="180" w:lineRule="auto"/>
              <w:rPr>
                <w:sz w:val="16"/>
                <w:szCs w:val="16"/>
              </w:rPr>
            </w:pPr>
            <w:r>
              <w:rPr>
                <w:sz w:val="16"/>
                <w:szCs w:val="16"/>
                <w:i/>
                <w:iCs/>
              </w:rPr>
              <w:t>T</w:t>
            </w:r>
          </w:p>
        </w:tc>
        <w:tc>
          <w:tcPr>
            <w:tcW w:w="738" w:type="dxa"/>
            <w:vAlign w:val="top"/>
          </w:tcPr>
          <w:p>
            <w:pPr>
              <w:rPr>
                <w:rFonts w:ascii="Arial"/>
                <w:sz w:val="21"/>
              </w:rPr>
            </w:pPr>
            <w:r/>
          </w:p>
        </w:tc>
        <w:tc>
          <w:tcPr>
            <w:tcW w:w="920" w:type="dxa"/>
            <w:vAlign w:val="top"/>
          </w:tcPr>
          <w:p>
            <w:pPr>
              <w:pStyle w:val="TableText"/>
              <w:ind w:left="259"/>
              <w:spacing w:before="76" w:line="239" w:lineRule="auto"/>
              <w:rPr/>
            </w:pPr>
            <w:r>
              <w:rPr>
                <w:spacing w:val="-2"/>
              </w:rPr>
              <w:t>8.48</w:t>
            </w:r>
          </w:p>
        </w:tc>
        <w:tc>
          <w:tcPr>
            <w:tcW w:w="929" w:type="dxa"/>
            <w:vAlign w:val="top"/>
          </w:tcPr>
          <w:p>
            <w:pPr>
              <w:pStyle w:val="TableText"/>
              <w:ind w:left="268"/>
              <w:spacing w:before="76" w:line="239" w:lineRule="auto"/>
              <w:rPr/>
            </w:pPr>
            <w:r>
              <w:rPr>
                <w:spacing w:val="-2"/>
              </w:rPr>
              <w:t>8.38</w:t>
            </w:r>
          </w:p>
        </w:tc>
        <w:tc>
          <w:tcPr>
            <w:tcW w:w="914" w:type="dxa"/>
            <w:vAlign w:val="top"/>
          </w:tcPr>
          <w:p>
            <w:pPr>
              <w:pStyle w:val="TableText"/>
              <w:ind w:left="261"/>
              <w:spacing w:before="76" w:line="239" w:lineRule="auto"/>
              <w:rPr/>
            </w:pPr>
            <w:r>
              <w:rPr>
                <w:spacing w:val="-3"/>
              </w:rPr>
              <w:t>7.40</w:t>
            </w:r>
          </w:p>
        </w:tc>
      </w:tr>
      <w:tr>
        <w:trPr>
          <w:trHeight w:val="416" w:hRule="atLeast"/>
        </w:trPr>
        <w:tc>
          <w:tcPr>
            <w:tcW w:w="1028" w:type="dxa"/>
            <w:vAlign w:val="top"/>
            <w:tcBorders>
              <w:bottom w:val="single" w:color="000000" w:sz="2" w:space="0"/>
            </w:tcBorders>
          </w:tcPr>
          <w:p>
            <w:pPr>
              <w:pStyle w:val="TableText"/>
              <w:ind w:left="518"/>
              <w:spacing w:before="154" w:line="180" w:lineRule="auto"/>
              <w:rPr>
                <w:sz w:val="16"/>
                <w:szCs w:val="16"/>
              </w:rPr>
            </w:pPr>
            <w:r>
              <w:rPr>
                <w:sz w:val="16"/>
                <w:szCs w:val="16"/>
                <w:i/>
                <w:iCs/>
              </w:rPr>
              <w:t>P</w:t>
            </w:r>
          </w:p>
        </w:tc>
        <w:tc>
          <w:tcPr>
            <w:tcW w:w="738" w:type="dxa"/>
            <w:vAlign w:val="top"/>
            <w:tcBorders>
              <w:bottom w:val="single" w:color="000000" w:sz="2" w:space="0"/>
            </w:tcBorders>
          </w:tcPr>
          <w:p>
            <w:pPr>
              <w:rPr>
                <w:rFonts w:ascii="Arial"/>
                <w:sz w:val="21"/>
              </w:rPr>
            </w:pPr>
            <w:r/>
          </w:p>
        </w:tc>
        <w:tc>
          <w:tcPr>
            <w:tcW w:w="920" w:type="dxa"/>
            <w:vAlign w:val="top"/>
            <w:tcBorders>
              <w:bottom w:val="single" w:color="000000" w:sz="2" w:space="0"/>
            </w:tcBorders>
          </w:tcPr>
          <w:p>
            <w:pPr>
              <w:pStyle w:val="TableText"/>
              <w:ind w:left="260"/>
              <w:spacing w:before="101" w:line="239" w:lineRule="auto"/>
              <w:rPr/>
            </w:pPr>
            <w:r>
              <w:rPr>
                <w:spacing w:val="-2"/>
              </w:rPr>
              <w:t>0.00</w:t>
            </w:r>
          </w:p>
        </w:tc>
        <w:tc>
          <w:tcPr>
            <w:tcW w:w="929" w:type="dxa"/>
            <w:vAlign w:val="top"/>
            <w:tcBorders>
              <w:bottom w:val="single" w:color="000000" w:sz="2" w:space="0"/>
            </w:tcBorders>
          </w:tcPr>
          <w:p>
            <w:pPr>
              <w:pStyle w:val="TableText"/>
              <w:ind w:left="269"/>
              <w:spacing w:before="101" w:line="239" w:lineRule="auto"/>
              <w:rPr/>
            </w:pPr>
            <w:r>
              <w:rPr>
                <w:spacing w:val="-2"/>
              </w:rPr>
              <w:t>0.00</w:t>
            </w:r>
          </w:p>
        </w:tc>
        <w:tc>
          <w:tcPr>
            <w:tcW w:w="914" w:type="dxa"/>
            <w:vAlign w:val="top"/>
            <w:tcBorders>
              <w:bottom w:val="single" w:color="000000" w:sz="2" w:space="0"/>
            </w:tcBorders>
          </w:tcPr>
          <w:p>
            <w:pPr>
              <w:pStyle w:val="TableText"/>
              <w:ind w:left="258"/>
              <w:spacing w:before="101" w:line="239" w:lineRule="auto"/>
              <w:rPr/>
            </w:pPr>
            <w:r>
              <w:rPr>
                <w:spacing w:val="-2"/>
              </w:rPr>
              <w:t>0.04</w:t>
            </w:r>
          </w:p>
        </w:tc>
      </w:tr>
    </w:tbl>
    <w:p>
      <w:pPr>
        <w:pStyle w:val="BodyText"/>
        <w:ind w:left="1182"/>
        <w:spacing w:before="49" w:line="221" w:lineRule="auto"/>
        <w:outlineLvl w:val="1"/>
        <w:rPr/>
      </w:pPr>
      <w:r>
        <w:rPr>
          <w:b/>
          <w:bCs/>
          <w:spacing w:val="-8"/>
        </w:rPr>
        <w:t>3</w:t>
      </w:r>
      <w:r>
        <w:rPr>
          <w:spacing w:val="10"/>
        </w:rPr>
        <w:t xml:space="preserve"> </w:t>
      </w:r>
      <w:r>
        <w:rPr>
          <w:b/>
          <w:bCs/>
          <w:spacing w:val="-8"/>
        </w:rPr>
        <w:t>讨论</w:t>
      </w:r>
    </w:p>
    <w:p>
      <w:pPr>
        <w:pStyle w:val="BodyText"/>
        <w:ind w:left="1177" w:firstLine="427"/>
        <w:spacing w:before="66" w:line="274" w:lineRule="auto"/>
        <w:jc w:val="both"/>
        <w:rPr/>
      </w:pPr>
      <w:r>
        <w:rPr/>
        <w:t>急性肠胃炎是一种由于胃肠黏膜发生进行炎症导致的疾病</w:t>
      </w:r>
      <w:r>
        <w:rPr>
          <w:spacing w:val="-1"/>
        </w:rPr>
        <w:t>，一般在夏季以及秋季期间的发病概</w:t>
      </w:r>
      <w:r>
        <w:rPr/>
        <w:t xml:space="preserve">  </w:t>
      </w:r>
      <w:r>
        <w:rPr>
          <w:spacing w:val="-2"/>
        </w:rPr>
        <w:t>率会较高，其主要发病机制是细菌感染物理化学的一些刺激所致。急性肠胃炎的临床症状（1）主要</w:t>
      </w:r>
      <w:r>
        <w:rPr>
          <w:spacing w:val="14"/>
        </w:rPr>
        <w:t xml:space="preserve"> </w:t>
      </w:r>
      <w:r>
        <w:rPr/>
        <w:t>的消化道症状：急性肠胃炎患者主要的消化道症状就是恶心呕吐、腹泻腹痛，</w:t>
      </w:r>
      <w:r>
        <w:rPr>
          <w:spacing w:val="-1"/>
        </w:rPr>
        <w:t>急性发作之后患者会</w:t>
      </w:r>
      <w:r>
        <w:rPr/>
        <w:t xml:space="preserve">  </w:t>
      </w:r>
      <w:r>
        <w:rPr/>
        <w:t>不断呕吐，直到将胃部的内容物全部吐出，如果患者还继续呕吐，则会吐出胆</w:t>
      </w:r>
      <w:r>
        <w:rPr>
          <w:spacing w:val="-1"/>
        </w:rPr>
        <w:t>汁或者血性物质。一</w:t>
      </w:r>
      <w:r>
        <w:rPr/>
        <w:t xml:space="preserve">  </w:t>
      </w:r>
      <w:r>
        <w:rPr>
          <w:spacing w:val="-2"/>
        </w:rPr>
        <w:t>般情况下，腹痛多位于上腹部，严重的患者会出现腹部绞痛症状。（2）全身症状：如果患者的病情</w:t>
      </w:r>
      <w:r>
        <w:rPr>
          <w:spacing w:val="15"/>
        </w:rPr>
        <w:t xml:space="preserve"> </w:t>
      </w:r>
      <w:r>
        <w:rPr/>
        <w:t>较轻微，则全身症状不明显，如果患者病情严重，则会导致患者出现严重的发</w:t>
      </w:r>
      <w:r>
        <w:rPr>
          <w:spacing w:val="-1"/>
        </w:rPr>
        <w:t>热、酸中毒、脱水等</w:t>
      </w:r>
      <w:r>
        <w:rPr/>
        <w:t xml:space="preserve">  </w:t>
      </w:r>
      <w:r>
        <w:rPr/>
        <w:t>症状，甚至有些病情严重的患者还会出现上消化道出血的情况。细菌性食物中</w:t>
      </w:r>
      <w:r>
        <w:rPr>
          <w:spacing w:val="-1"/>
        </w:rPr>
        <w:t>毒在天气比较炎热的</w:t>
      </w:r>
      <w:r>
        <w:rPr/>
        <w:t xml:space="preserve">  </w:t>
      </w:r>
      <w:r>
        <w:rPr>
          <w:spacing w:val="-3"/>
        </w:rPr>
        <w:t>夏秋季，食物容易被细菌或者毒素污染，如果进食了这类食物，则会导致发生细菌性食物中毒情况，</w:t>
      </w:r>
      <w:r>
        <w:rPr>
          <w:spacing w:val="11"/>
        </w:rPr>
        <w:t xml:space="preserve"> </w:t>
      </w:r>
      <w:r>
        <w:rPr/>
        <w:t>常见的细菌主要包括变形杆菌、沙门氏菌等，这类原因导致的肠胃炎发病比较</w:t>
      </w:r>
      <w:r>
        <w:rPr>
          <w:spacing w:val="-1"/>
        </w:rPr>
        <w:t>急、病情严重、时间</w:t>
      </w:r>
      <w:r>
        <w:rPr/>
        <w:t xml:space="preserve">  </w:t>
      </w:r>
      <w:r>
        <w:rPr/>
        <w:t>集中。冰箱性肠炎食物在冷藏或者冷冻的过程中仍然会被部分细菌污染，如耶</w:t>
      </w:r>
      <w:r>
        <w:rPr>
          <w:spacing w:val="-1"/>
        </w:rPr>
        <w:t>尔细菌等，进食此类</w:t>
      </w:r>
      <w:r>
        <w:rPr/>
        <w:t xml:space="preserve">  </w:t>
      </w:r>
      <w:r>
        <w:rPr/>
        <w:t>食物，部分人群就有可能出现冰箱性肠炎。细菌性痢疾这类原因导致的肠胃炎，</w:t>
      </w:r>
      <w:r>
        <w:rPr>
          <w:spacing w:val="-1"/>
        </w:rPr>
        <w:t>主要的致病菌为痢</w:t>
      </w:r>
      <w:r>
        <w:rPr/>
        <w:t xml:space="preserve">  </w:t>
      </w:r>
      <w:r>
        <w:rPr/>
        <w:t>疾杆菌，苍蝇是重要的传播途径，多数患者是由于进食不洁食物导致。比较常见</w:t>
      </w:r>
      <w:r>
        <w:rPr>
          <w:spacing w:val="-1"/>
        </w:rPr>
        <w:t>的一些感染细菌为</w:t>
      </w:r>
      <w:r>
        <w:rPr/>
        <w:t xml:space="preserve">  </w:t>
      </w:r>
      <w:r>
        <w:rPr/>
        <w:t>金黄色葡萄球菌、沙门菌属以及嗜盐菌。乳酸菌素片作为一种益生菌类的药物，</w:t>
      </w:r>
      <w:r>
        <w:rPr>
          <w:spacing w:val="-1"/>
        </w:rPr>
        <w:t>能够有效调节肠道</w:t>
      </w:r>
      <w:r>
        <w:rPr/>
        <w:t xml:space="preserve">  </w:t>
      </w:r>
      <w:r>
        <w:rPr/>
        <w:t>里面的菌群，抑制有害病菌的繁殖速度，同时还可以提高肠道的抗病能力以及免</w:t>
      </w:r>
      <w:r>
        <w:rPr>
          <w:spacing w:val="-1"/>
        </w:rPr>
        <w:t>疫能力等等。而奥</w:t>
      </w:r>
      <w:r>
        <w:rPr/>
        <w:t xml:space="preserve">  </w:t>
      </w:r>
      <w:r>
        <w:rPr/>
        <w:t>美拉唑肠溶片能够将 H+-ATP 酶的活性进行有效抑制，进而将胃酸分泌进行</w:t>
      </w:r>
      <w:r>
        <w:rPr>
          <w:spacing w:val="-1"/>
        </w:rPr>
        <w:t>阻断，以改善胃黏膜炎</w:t>
      </w:r>
      <w:r>
        <w:rPr/>
        <w:t xml:space="preserve">  </w:t>
      </w:r>
      <w:r>
        <w:rPr>
          <w:spacing w:val="-1"/>
        </w:rPr>
        <w:t>症。此二药物联合治疗能够产生一定的协同作用 ，提高临床</w:t>
      </w:r>
      <w:r>
        <w:rPr>
          <w:spacing w:val="-2"/>
        </w:rPr>
        <w:t>治疗效果。</w:t>
      </w:r>
    </w:p>
    <w:p>
      <w:pPr>
        <w:pStyle w:val="BodyText"/>
        <w:ind w:left="1177" w:right="56" w:firstLine="422"/>
        <w:spacing w:line="275" w:lineRule="auto"/>
        <w:jc w:val="both"/>
        <w:rPr/>
      </w:pPr>
      <w:r>
        <w:rPr/>
        <w:t>经过此次对</w:t>
      </w:r>
      <w:r>
        <w:rPr>
          <w:b/>
          <w:bCs/>
        </w:rPr>
        <w:t>180</w:t>
      </w:r>
      <w:r>
        <w:rPr/>
        <w:t xml:space="preserve"> </w:t>
      </w:r>
      <w:r>
        <w:rPr>
          <w:b/>
          <w:bCs/>
        </w:rPr>
        <w:t>名</w:t>
      </w:r>
      <w:r>
        <w:rPr/>
        <w:t>急性肠胃炎患者分组治疗后，结果显</w:t>
      </w:r>
      <w:r>
        <w:rPr>
          <w:spacing w:val="-1"/>
        </w:rPr>
        <w:t>示，实施单一的奥美拉唑肠溶片治疗的</w:t>
      </w:r>
      <w:r>
        <w:rPr/>
        <w:t xml:space="preserve"> </w:t>
      </w:r>
      <w:r>
        <w:rPr/>
        <w:t>对照组患者，其临床治疗有效率为 79%，而实施乳酸菌素片和奥美拉唑联合用</w:t>
      </w:r>
      <w:r>
        <w:rPr>
          <w:spacing w:val="-1"/>
        </w:rPr>
        <w:t>药进行治疗的实验组</w:t>
      </w:r>
      <w:r>
        <w:rPr/>
        <w:t xml:space="preserve"> </w:t>
      </w:r>
      <w:r>
        <w:rPr/>
        <w:t>患者，其临床治疗有效率为94%（P&lt; 0.05</w:t>
      </w:r>
      <w:r>
        <w:rPr>
          <w:spacing w:val="6"/>
        </w:rPr>
        <w:t>），</w:t>
      </w:r>
      <w:r>
        <w:rPr/>
        <w:t>差异</w:t>
      </w:r>
      <w:r>
        <w:rPr>
          <w:spacing w:val="-1"/>
        </w:rPr>
        <w:t>显著。不仅如此，实验组患者的各项临床症状消</w:t>
      </w:r>
      <w:r>
        <w:rPr/>
        <w:t xml:space="preserve"> </w:t>
      </w:r>
      <w:r>
        <w:rPr>
          <w:spacing w:val="-1"/>
        </w:rPr>
        <w:t>失时间要大大短于对照组患者（P&lt;</w:t>
      </w:r>
      <w:r>
        <w:rPr>
          <w:spacing w:val="-26"/>
        </w:rPr>
        <w:t xml:space="preserve"> </w:t>
      </w:r>
      <w:r>
        <w:rPr>
          <w:spacing w:val="-1"/>
        </w:rPr>
        <w:t>0.05）。这足以说明乳酸菌素片和奥美拉唑联合用药在急性肠胃</w:t>
      </w:r>
      <w:r>
        <w:rPr/>
        <w:t xml:space="preserve"> </w:t>
      </w:r>
      <w:r>
        <w:rPr/>
        <w:t>炎疾病临床治疗中的显著治疗价值。综上所述，针对急性肠胃炎在临床治疗中应</w:t>
      </w:r>
      <w:r>
        <w:rPr>
          <w:spacing w:val="-1"/>
        </w:rPr>
        <w:t>用乳酸菌素片和奥</w:t>
      </w:r>
      <w:r>
        <w:rPr/>
        <w:t xml:space="preserve"> </w:t>
      </w:r>
      <w:r>
        <w:rPr/>
        <w:t>美拉唑联合用药进行治疗，对患者的各项临床症状具有显著改善作用，能够有效</w:t>
      </w:r>
      <w:r>
        <w:rPr>
          <w:spacing w:val="-1"/>
        </w:rPr>
        <w:t>缩短患者的疾病康</w:t>
      </w:r>
      <w:r>
        <w:rPr/>
        <w:t xml:space="preserve"> </w:t>
      </w:r>
      <w:r>
        <w:rPr>
          <w:spacing w:val="-8"/>
        </w:rPr>
        <w:t>复时间。</w:t>
      </w:r>
    </w:p>
    <w:p>
      <w:pPr>
        <w:spacing w:line="275" w:lineRule="auto"/>
        <w:sectPr>
          <w:headerReference w:type="default" r:id="rId2"/>
          <w:pgSz w:w="12246" w:h="17178"/>
          <w:pgMar w:top="400" w:right="1538" w:bottom="0" w:left="407" w:header="0" w:footer="0" w:gutter="0"/>
        </w:sectPr>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1168"/>
        <w:spacing w:before="69" w:line="220" w:lineRule="auto"/>
        <w:rPr/>
      </w:pPr>
      <w:r>
        <w:rPr>
          <w:b/>
          <w:bCs/>
          <w:spacing w:val="-2"/>
        </w:rPr>
        <w:t>【参考文献】</w:t>
      </w:r>
    </w:p>
    <w:p>
      <w:pPr>
        <w:pStyle w:val="BodyText"/>
        <w:ind w:left="1181" w:right="840" w:firstLine="30"/>
        <w:spacing w:before="63" w:line="245" w:lineRule="auto"/>
        <w:rPr/>
      </w:pPr>
      <w:r>
        <w:rPr>
          <w:spacing w:val="-1"/>
        </w:rPr>
        <w:t>[1]颜红宇,王文艺.乳酸菌素片联合奥美拉唑在急性肠胃炎患者中的应用效果[J].医疗装</w:t>
      </w:r>
      <w:r>
        <w:rPr>
          <w:spacing w:val="1"/>
        </w:rPr>
        <w:t xml:space="preserve"> </w:t>
      </w:r>
      <w:r>
        <w:rPr>
          <w:spacing w:val="-1"/>
        </w:rPr>
        <w:t>备,2019,32(16):116-117.</w:t>
      </w:r>
    </w:p>
    <w:p>
      <w:pPr>
        <w:pStyle w:val="BodyText"/>
        <w:ind w:left="1211"/>
        <w:spacing w:before="65" w:line="217" w:lineRule="auto"/>
        <w:rPr/>
      </w:pPr>
      <w:r>
        <w:rPr/>
        <w:t>[2]陈红梅.乳酸菌素片联合莫沙必利治疗功能性</w:t>
      </w:r>
      <w:r>
        <w:rPr>
          <w:spacing w:val="-1"/>
        </w:rPr>
        <w:t>消化不良的临床观察[J].名医,2019(06):223.</w:t>
      </w:r>
    </w:p>
    <w:p>
      <w:pPr>
        <w:pStyle w:val="BodyText"/>
        <w:ind w:left="1177" w:firstLine="33"/>
        <w:spacing w:before="67" w:line="245" w:lineRule="auto"/>
        <w:rPr/>
      </w:pPr>
      <w:r>
        <w:rPr>
          <w:spacing w:val="-1"/>
        </w:rPr>
        <w:t>[3]侯静,张子久,朱美玲,李运红.乳酸菌素片联合莫沙必利治疗功能性消化不良的临床研究[J].现</w:t>
      </w:r>
      <w:r>
        <w:rPr>
          <w:spacing w:val="6"/>
        </w:rPr>
        <w:t xml:space="preserve"> </w:t>
      </w:r>
      <w:r>
        <w:rPr/>
        <w:t>代药物与临床,2018,33(11):2</w:t>
      </w:r>
      <w:r>
        <w:rPr>
          <w:spacing w:val="-1"/>
        </w:rPr>
        <w:t>924-2928.</w:t>
      </w:r>
    </w:p>
    <w:p>
      <w:pPr>
        <w:pStyle w:val="BodyText"/>
        <w:ind w:left="1181" w:right="1260" w:firstLine="30"/>
        <w:spacing w:before="66" w:line="245" w:lineRule="auto"/>
        <w:rPr/>
      </w:pPr>
      <w:r>
        <w:rPr>
          <w:spacing w:val="-1"/>
        </w:rPr>
        <w:t>[4]周玉梁,李洪西.诺氟沙星联合乳酸菌素片治疗急性胃肠炎的疗效观察[J].云南医</w:t>
      </w:r>
      <w:r>
        <w:rPr/>
        <w:t xml:space="preserve"> </w:t>
      </w:r>
      <w:r>
        <w:rPr>
          <w:spacing w:val="-1"/>
        </w:rPr>
        <w:t>药,2018,39(02):165-166.</w:t>
      </w:r>
    </w:p>
    <w:p>
      <w:pPr>
        <w:pStyle w:val="BodyText"/>
        <w:ind w:left="1188" w:right="314" w:firstLine="22"/>
        <w:spacing w:before="66" w:line="245" w:lineRule="auto"/>
        <w:rPr/>
      </w:pPr>
      <w:r>
        <w:rPr>
          <w:spacing w:val="-1"/>
        </w:rPr>
        <w:t>[5]王卫平.乳酸菌素片联合复方胃蛋白酶散治疗小儿肺炎继发性腹泻效果观察[J].河南医学研</w:t>
      </w:r>
      <w:r>
        <w:rPr>
          <w:spacing w:val="4"/>
        </w:rPr>
        <w:t xml:space="preserve"> </w:t>
      </w:r>
      <w:r>
        <w:rPr>
          <w:spacing w:val="-1"/>
        </w:rPr>
        <w:t>究,2018,27(01):121-122.</w:t>
      </w:r>
    </w:p>
    <w:sectPr>
      <w:headerReference w:type="default" r:id="rId3"/>
      <w:pgSz w:w="12246" w:h="17178"/>
      <w:pgMar w:top="400" w:right="1741" w:bottom="0" w:left="407"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31.498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31.498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831.498pt;mso-position-vertical-relative:page;mso-position-horizontal-relative:page;width:475.5pt;height:9.7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2023-11-23T09:26:48Z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2025-10-28T21:31:18</vt:filetime>
  </property>
</Properties>
</file>