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099"/>
        <w:spacing w:before="114" w:line="226" w:lineRule="auto"/>
        <w:outlineLvl w:val="0"/>
        <w:rPr>
          <w:rFonts w:ascii="SimHei" w:hAnsi="SimHei" w:eastAsia="SimHei" w:cs="SimHei"/>
          <w:sz w:val="35"/>
          <w:szCs w:val="35"/>
        </w:rPr>
      </w:pPr>
      <w:r>
        <w:rPr>
          <w:rFonts w:ascii="SimHei" w:hAnsi="SimHei" w:eastAsia="SimHei" w:cs="SimHei"/>
          <w:sz w:val="35"/>
          <w:szCs w:val="35"/>
          <w:b/>
          <w:bCs/>
          <w:spacing w:val="6"/>
        </w:rPr>
        <w:t>急诊内科对急性肠胃炎的诊治方式与效果观察</w:t>
      </w:r>
    </w:p>
    <w:p>
      <w:pPr>
        <w:spacing w:line="343" w:lineRule="auto"/>
        <w:rPr>
          <w:rFonts w:ascii="Arial"/>
          <w:sz w:val="21"/>
        </w:rPr>
      </w:pPr>
      <w:r/>
    </w:p>
    <w:p>
      <w:pPr>
        <w:ind w:left="5410"/>
        <w:spacing w:before="78" w:line="238" w:lineRule="auto"/>
        <w:outlineLvl w:val="1"/>
        <w:rPr>
          <w:rFonts w:ascii="KaiTi" w:hAnsi="KaiTi" w:eastAsia="KaiTi" w:cs="KaiTi"/>
          <w:sz w:val="24"/>
          <w:szCs w:val="24"/>
        </w:rPr>
      </w:pPr>
      <w:r>
        <w:rPr>
          <w:rFonts w:ascii="KaiTi" w:hAnsi="KaiTi" w:eastAsia="KaiTi" w:cs="KaiTi"/>
          <w:sz w:val="24"/>
          <w:szCs w:val="24"/>
          <w:spacing w:val="-8"/>
        </w:rPr>
        <w:t>王</w:t>
      </w:r>
      <w:r>
        <w:rPr>
          <w:rFonts w:ascii="KaiTi" w:hAnsi="KaiTi" w:eastAsia="KaiTi" w:cs="KaiTi"/>
          <w:sz w:val="24"/>
          <w:szCs w:val="24"/>
          <w:spacing w:val="21"/>
        </w:rPr>
        <w:t xml:space="preserve"> </w:t>
      </w:r>
      <w:r>
        <w:rPr>
          <w:rFonts w:ascii="KaiTi" w:hAnsi="KaiTi" w:eastAsia="KaiTi" w:cs="KaiTi"/>
          <w:sz w:val="24"/>
          <w:szCs w:val="24"/>
          <w:spacing w:val="-8"/>
        </w:rPr>
        <w:t>丽</w:t>
      </w:r>
    </w:p>
    <w:p>
      <w:pPr>
        <w:ind w:left="4287"/>
        <w:spacing w:before="102" w:line="220" w:lineRule="auto"/>
        <w:rPr>
          <w:rFonts w:ascii="FangSong" w:hAnsi="FangSong" w:eastAsia="FangSong" w:cs="FangSong"/>
          <w:sz w:val="18"/>
          <w:szCs w:val="18"/>
        </w:rPr>
      </w:pPr>
      <w:r>
        <w:rPr>
          <w:rFonts w:ascii="FangSong" w:hAnsi="FangSong" w:eastAsia="FangSong" w:cs="FangSong"/>
          <w:sz w:val="18"/>
          <w:szCs w:val="18"/>
          <w:spacing w:val="-2"/>
        </w:rPr>
        <w:t>国药同煤总医院，山西</w:t>
      </w:r>
      <w:r>
        <w:rPr>
          <w:rFonts w:ascii="FangSong" w:hAnsi="FangSong" w:eastAsia="FangSong" w:cs="FangSong"/>
          <w:sz w:val="18"/>
          <w:szCs w:val="18"/>
          <w:spacing w:val="-2"/>
        </w:rPr>
        <w:t xml:space="preserve"> </w:t>
      </w:r>
      <w:r>
        <w:rPr>
          <w:rFonts w:ascii="FangSong" w:hAnsi="FangSong" w:eastAsia="FangSong" w:cs="FangSong"/>
          <w:sz w:val="18"/>
          <w:szCs w:val="18"/>
          <w:spacing w:val="-2"/>
        </w:rPr>
        <w:t>大同</w:t>
      </w:r>
      <w:r>
        <w:rPr>
          <w:rFonts w:ascii="FangSong" w:hAnsi="FangSong" w:eastAsia="FangSong" w:cs="FangSong"/>
          <w:sz w:val="18"/>
          <w:szCs w:val="18"/>
          <w:spacing w:val="-2"/>
        </w:rPr>
        <w:t xml:space="preserve"> </w:t>
      </w:r>
      <w:r>
        <w:rPr>
          <w:rFonts w:ascii="FangSong" w:hAnsi="FangSong" w:eastAsia="FangSong" w:cs="FangSong"/>
          <w:sz w:val="18"/>
          <w:szCs w:val="18"/>
          <w:spacing w:val="-2"/>
        </w:rPr>
        <w:t>037003</w:t>
      </w:r>
    </w:p>
    <w:p>
      <w:pPr>
        <w:spacing w:line="382" w:lineRule="auto"/>
        <w:rPr>
          <w:rFonts w:ascii="Arial"/>
          <w:sz w:val="21"/>
        </w:rPr>
      </w:pPr>
      <w:r/>
    </w:p>
    <w:p>
      <w:pPr>
        <w:ind w:left="1303" w:right="436" w:hanging="1"/>
        <w:spacing w:before="58" w:line="286" w:lineRule="auto"/>
        <w:jc w:val="both"/>
        <w:rPr>
          <w:rFonts w:ascii="KaiTi" w:hAnsi="KaiTi" w:eastAsia="KaiTi" w:cs="KaiTi"/>
          <w:sz w:val="18"/>
          <w:szCs w:val="18"/>
        </w:rPr>
      </w:pPr>
      <w:r>
        <w:rPr>
          <w:rFonts w:ascii="SimHei" w:hAnsi="SimHei" w:eastAsia="SimHei" w:cs="SimHei"/>
          <w:sz w:val="18"/>
          <w:szCs w:val="18"/>
          <w:b/>
          <w:bCs/>
        </w:rPr>
        <w:t>摘</w:t>
      </w:r>
      <w:r>
        <w:rPr>
          <w:rFonts w:ascii="SimHei" w:hAnsi="SimHei" w:eastAsia="SimHei" w:cs="SimHei"/>
          <w:sz w:val="18"/>
          <w:szCs w:val="18"/>
        </w:rPr>
        <w:t xml:space="preserve">  </w:t>
      </w:r>
      <w:r>
        <w:rPr>
          <w:rFonts w:ascii="SimHei" w:hAnsi="SimHei" w:eastAsia="SimHei" w:cs="SimHei"/>
          <w:sz w:val="18"/>
          <w:szCs w:val="18"/>
          <w:b/>
          <w:bCs/>
        </w:rPr>
        <w:t>要：</w:t>
      </w:r>
      <w:r>
        <w:rPr>
          <w:rFonts w:ascii="SimHei" w:hAnsi="SimHei" w:eastAsia="SimHei" w:cs="SimHei"/>
          <w:sz w:val="18"/>
          <w:szCs w:val="18"/>
          <w:spacing w:val="-40"/>
        </w:rPr>
        <w:t xml:space="preserve"> </w:t>
      </w:r>
      <w:r>
        <w:rPr>
          <w:rFonts w:ascii="KaiTi" w:hAnsi="KaiTi" w:eastAsia="KaiTi" w:cs="KaiTi"/>
          <w:sz w:val="18"/>
          <w:szCs w:val="18"/>
        </w:rPr>
        <w:t>目的：对急性肠胃炎的诊断、治疗及效果进行观察。方法：选取本院急诊内科</w:t>
      </w:r>
      <w:r>
        <w:rPr>
          <w:rFonts w:ascii="KaiTi" w:hAnsi="KaiTi" w:eastAsia="KaiTi" w:cs="KaiTi"/>
          <w:sz w:val="18"/>
          <w:szCs w:val="18"/>
          <w:spacing w:val="-42"/>
        </w:rPr>
        <w:t xml:space="preserve"> </w:t>
      </w:r>
      <w:r>
        <w:rPr>
          <w:rFonts w:ascii="KaiTi" w:hAnsi="KaiTi" w:eastAsia="KaiTi" w:cs="KaiTi"/>
          <w:sz w:val="18"/>
          <w:szCs w:val="18"/>
        </w:rPr>
        <w:t>92</w:t>
      </w:r>
      <w:r>
        <w:rPr>
          <w:rFonts w:ascii="KaiTi" w:hAnsi="KaiTi" w:eastAsia="KaiTi" w:cs="KaiTi"/>
          <w:sz w:val="18"/>
          <w:szCs w:val="18"/>
          <w:spacing w:val="-43"/>
        </w:rPr>
        <w:t xml:space="preserve"> </w:t>
      </w:r>
      <w:r>
        <w:rPr>
          <w:rFonts w:ascii="KaiTi" w:hAnsi="KaiTi" w:eastAsia="KaiTi" w:cs="KaiTi"/>
          <w:sz w:val="18"/>
          <w:szCs w:val="18"/>
        </w:rPr>
        <w:t>例诊断为急性肠胃炎</w:t>
      </w:r>
      <w:r>
        <w:rPr>
          <w:rFonts w:ascii="KaiTi" w:hAnsi="KaiTi" w:eastAsia="KaiTi" w:cs="KaiTi"/>
          <w:sz w:val="18"/>
          <w:szCs w:val="18"/>
        </w:rPr>
        <w:t xml:space="preserve"> </w:t>
      </w:r>
      <w:r>
        <w:rPr>
          <w:rFonts w:ascii="KaiTi" w:hAnsi="KaiTi" w:eastAsia="KaiTi" w:cs="KaiTi"/>
          <w:sz w:val="18"/>
          <w:szCs w:val="18"/>
        </w:rPr>
        <w:t>的患者，时间</w:t>
      </w:r>
      <w:r>
        <w:rPr>
          <w:rFonts w:ascii="KaiTi" w:hAnsi="KaiTi" w:eastAsia="KaiTi" w:cs="KaiTi"/>
          <w:sz w:val="18"/>
          <w:szCs w:val="18"/>
          <w:spacing w:val="-36"/>
        </w:rPr>
        <w:t xml:space="preserve"> </w:t>
      </w:r>
      <w:r>
        <w:rPr>
          <w:rFonts w:ascii="KaiTi" w:hAnsi="KaiTi" w:eastAsia="KaiTi" w:cs="KaiTi"/>
          <w:sz w:val="18"/>
          <w:szCs w:val="18"/>
        </w:rPr>
        <w:t>2021</w:t>
      </w:r>
      <w:r>
        <w:rPr>
          <w:rFonts w:ascii="KaiTi" w:hAnsi="KaiTi" w:eastAsia="KaiTi" w:cs="KaiTi"/>
          <w:sz w:val="18"/>
          <w:szCs w:val="18"/>
          <w:spacing w:val="-38"/>
        </w:rPr>
        <w:t xml:space="preserve"> </w:t>
      </w:r>
      <w:r>
        <w:rPr>
          <w:rFonts w:ascii="KaiTi" w:hAnsi="KaiTi" w:eastAsia="KaiTi" w:cs="KaiTi"/>
          <w:sz w:val="18"/>
          <w:szCs w:val="18"/>
        </w:rPr>
        <w:t>年</w:t>
      </w:r>
      <w:r>
        <w:rPr>
          <w:rFonts w:ascii="KaiTi" w:hAnsi="KaiTi" w:eastAsia="KaiTi" w:cs="KaiTi"/>
          <w:sz w:val="18"/>
          <w:szCs w:val="18"/>
          <w:spacing w:val="-37"/>
        </w:rPr>
        <w:t xml:space="preserve"> </w:t>
      </w:r>
      <w:r>
        <w:rPr>
          <w:rFonts w:ascii="KaiTi" w:hAnsi="KaiTi" w:eastAsia="KaiTi" w:cs="KaiTi"/>
          <w:sz w:val="18"/>
          <w:szCs w:val="18"/>
        </w:rPr>
        <w:t>8</w:t>
      </w:r>
      <w:r>
        <w:rPr>
          <w:rFonts w:ascii="KaiTi" w:hAnsi="KaiTi" w:eastAsia="KaiTi" w:cs="KaiTi"/>
          <w:sz w:val="18"/>
          <w:szCs w:val="18"/>
          <w:spacing w:val="-30"/>
        </w:rPr>
        <w:t xml:space="preserve"> </w:t>
      </w:r>
      <w:r>
        <w:rPr>
          <w:rFonts w:ascii="KaiTi" w:hAnsi="KaiTi" w:eastAsia="KaiTi" w:cs="KaiTi"/>
          <w:sz w:val="18"/>
          <w:szCs w:val="18"/>
        </w:rPr>
        <w:t>月至</w:t>
      </w:r>
      <w:r>
        <w:rPr>
          <w:rFonts w:ascii="KaiTi" w:hAnsi="KaiTi" w:eastAsia="KaiTi" w:cs="KaiTi"/>
          <w:sz w:val="18"/>
          <w:szCs w:val="18"/>
          <w:spacing w:val="-39"/>
        </w:rPr>
        <w:t xml:space="preserve"> </w:t>
      </w:r>
      <w:r>
        <w:rPr>
          <w:rFonts w:ascii="KaiTi" w:hAnsi="KaiTi" w:eastAsia="KaiTi" w:cs="KaiTi"/>
          <w:sz w:val="18"/>
          <w:szCs w:val="18"/>
        </w:rPr>
        <w:t>2022</w:t>
      </w:r>
      <w:r>
        <w:rPr>
          <w:rFonts w:ascii="KaiTi" w:hAnsi="KaiTi" w:eastAsia="KaiTi" w:cs="KaiTi"/>
          <w:sz w:val="18"/>
          <w:szCs w:val="18"/>
          <w:spacing w:val="-36"/>
        </w:rPr>
        <w:t xml:space="preserve"> </w:t>
      </w:r>
      <w:r>
        <w:rPr>
          <w:rFonts w:ascii="KaiTi" w:hAnsi="KaiTi" w:eastAsia="KaiTi" w:cs="KaiTi"/>
          <w:sz w:val="18"/>
          <w:szCs w:val="18"/>
        </w:rPr>
        <w:t>年</w:t>
      </w:r>
      <w:r>
        <w:rPr>
          <w:rFonts w:ascii="KaiTi" w:hAnsi="KaiTi" w:eastAsia="KaiTi" w:cs="KaiTi"/>
          <w:sz w:val="18"/>
          <w:szCs w:val="18"/>
          <w:spacing w:val="-37"/>
        </w:rPr>
        <w:t xml:space="preserve"> </w:t>
      </w:r>
      <w:r>
        <w:rPr>
          <w:rFonts w:ascii="KaiTi" w:hAnsi="KaiTi" w:eastAsia="KaiTi" w:cs="KaiTi"/>
          <w:sz w:val="18"/>
          <w:szCs w:val="18"/>
        </w:rPr>
        <w:t>8</w:t>
      </w:r>
      <w:r>
        <w:rPr>
          <w:rFonts w:ascii="KaiTi" w:hAnsi="KaiTi" w:eastAsia="KaiTi" w:cs="KaiTi"/>
          <w:sz w:val="18"/>
          <w:szCs w:val="18"/>
          <w:spacing w:val="-30"/>
        </w:rPr>
        <w:t xml:space="preserve"> </w:t>
      </w:r>
      <w:r>
        <w:rPr>
          <w:rFonts w:ascii="KaiTi" w:hAnsi="KaiTi" w:eastAsia="KaiTi" w:cs="KaiTi"/>
          <w:sz w:val="18"/>
          <w:szCs w:val="18"/>
        </w:rPr>
        <w:t>月，依据随机抽签法分为对照组（46</w:t>
      </w:r>
      <w:r>
        <w:rPr>
          <w:rFonts w:ascii="KaiTi" w:hAnsi="KaiTi" w:eastAsia="KaiTi" w:cs="KaiTi"/>
          <w:sz w:val="18"/>
          <w:szCs w:val="18"/>
          <w:spacing w:val="-43"/>
        </w:rPr>
        <w:t xml:space="preserve"> </w:t>
      </w:r>
      <w:r>
        <w:rPr>
          <w:rFonts w:ascii="KaiTi" w:hAnsi="KaiTi" w:eastAsia="KaiTi" w:cs="KaiTi"/>
          <w:sz w:val="18"/>
          <w:szCs w:val="18"/>
        </w:rPr>
        <w:t>例，阿莫西林）与观察组（4</w:t>
      </w:r>
      <w:r>
        <w:rPr>
          <w:rFonts w:ascii="KaiTi" w:hAnsi="KaiTi" w:eastAsia="KaiTi" w:cs="KaiTi"/>
          <w:sz w:val="18"/>
          <w:szCs w:val="18"/>
          <w:spacing w:val="-1"/>
        </w:rPr>
        <w:t>6</w:t>
      </w:r>
      <w:r>
        <w:rPr>
          <w:rFonts w:ascii="KaiTi" w:hAnsi="KaiTi" w:eastAsia="KaiTi" w:cs="KaiTi"/>
          <w:sz w:val="18"/>
          <w:szCs w:val="18"/>
          <w:spacing w:val="-42"/>
        </w:rPr>
        <w:t xml:space="preserve"> </w:t>
      </w:r>
      <w:r>
        <w:rPr>
          <w:rFonts w:ascii="KaiTi" w:hAnsi="KaiTi" w:eastAsia="KaiTi" w:cs="KaiTi"/>
          <w:sz w:val="18"/>
          <w:szCs w:val="18"/>
          <w:spacing w:val="-1"/>
        </w:rPr>
        <w:t>例，</w:t>
      </w:r>
      <w:r>
        <w:rPr>
          <w:rFonts w:ascii="KaiTi" w:hAnsi="KaiTi" w:eastAsia="KaiTi" w:cs="KaiTi"/>
          <w:sz w:val="18"/>
          <w:szCs w:val="18"/>
        </w:rPr>
        <w:t xml:space="preserve"> </w:t>
      </w:r>
      <w:r>
        <w:rPr>
          <w:rFonts w:ascii="KaiTi" w:hAnsi="KaiTi" w:eastAsia="KaiTi" w:cs="KaiTi"/>
          <w:sz w:val="18"/>
          <w:szCs w:val="18"/>
          <w:spacing w:val="-1"/>
        </w:rPr>
        <w:t>阿莫西林+替硝唑</w:t>
      </w:r>
      <w:r>
        <w:rPr>
          <w:rFonts w:ascii="KaiTi" w:hAnsi="KaiTi" w:eastAsia="KaiTi" w:cs="KaiTi"/>
          <w:sz w:val="18"/>
          <w:szCs w:val="18"/>
          <w:spacing w:val="-37"/>
        </w:rPr>
        <w:t>），</w:t>
      </w:r>
      <w:r>
        <w:rPr>
          <w:rFonts w:ascii="KaiTi" w:hAnsi="KaiTi" w:eastAsia="KaiTi" w:cs="KaiTi"/>
          <w:sz w:val="18"/>
          <w:szCs w:val="18"/>
          <w:spacing w:val="-1"/>
        </w:rPr>
        <w:t>对两组症状缓解时间、治疗效果、炎症因子水平及不良反应情况进行观察。结果：观察组呕</w:t>
      </w:r>
      <w:r>
        <w:rPr>
          <w:rFonts w:ascii="KaiTi" w:hAnsi="KaiTi" w:eastAsia="KaiTi" w:cs="KaiTi"/>
          <w:sz w:val="18"/>
          <w:szCs w:val="18"/>
          <w:spacing w:val="1"/>
        </w:rPr>
        <w:t xml:space="preserve"> </w:t>
      </w:r>
      <w:r>
        <w:rPr>
          <w:rFonts w:ascii="KaiTi" w:hAnsi="KaiTi" w:eastAsia="KaiTi" w:cs="KaiTi"/>
          <w:sz w:val="18"/>
          <w:szCs w:val="18"/>
          <w:spacing w:val="-5"/>
        </w:rPr>
        <w:t>吐、腹痛、腹泻等症状缓解时间均短于对照组，差异显著（P＜0.05</w:t>
      </w:r>
      <w:r>
        <w:rPr>
          <w:rFonts w:ascii="KaiTi" w:hAnsi="KaiTi" w:eastAsia="KaiTi" w:cs="KaiTi"/>
          <w:sz w:val="18"/>
          <w:szCs w:val="18"/>
          <w:spacing w:val="-46"/>
          <w:w w:val="90"/>
        </w:rPr>
        <w:t>）；</w:t>
      </w:r>
      <w:r>
        <w:rPr>
          <w:rFonts w:ascii="KaiTi" w:hAnsi="KaiTi" w:eastAsia="KaiTi" w:cs="KaiTi"/>
          <w:sz w:val="18"/>
          <w:szCs w:val="18"/>
          <w:spacing w:val="-5"/>
        </w:rPr>
        <w:t>对比治疗效果，观察组明显更高（P＜0.05</w:t>
      </w:r>
      <w:r>
        <w:rPr>
          <w:rFonts w:ascii="KaiTi" w:hAnsi="KaiTi" w:eastAsia="KaiTi" w:cs="KaiTi"/>
          <w:sz w:val="18"/>
          <w:szCs w:val="18"/>
          <w:spacing w:val="-46"/>
          <w:w w:val="90"/>
        </w:rPr>
        <w:t>）；</w:t>
      </w:r>
    </w:p>
    <w:p>
      <w:pPr>
        <w:ind w:left="1301"/>
        <w:spacing w:before="2" w:line="220" w:lineRule="auto"/>
        <w:rPr>
          <w:rFonts w:ascii="KaiTi" w:hAnsi="KaiTi" w:eastAsia="KaiTi" w:cs="KaiTi"/>
          <w:sz w:val="18"/>
          <w:szCs w:val="18"/>
        </w:rPr>
      </w:pPr>
      <w:r>
        <w:rPr>
          <w:rFonts w:ascii="KaiTi" w:hAnsi="KaiTi" w:eastAsia="KaiTi" w:cs="KaiTi"/>
          <w:sz w:val="18"/>
          <w:szCs w:val="18"/>
          <w:spacing w:val="-2"/>
        </w:rPr>
        <w:t>对比炎症因子水平，观察组各项指标水平更低（P＜0.05</w:t>
      </w:r>
      <w:r>
        <w:rPr>
          <w:rFonts w:ascii="KaiTi" w:hAnsi="KaiTi" w:eastAsia="KaiTi" w:cs="KaiTi"/>
          <w:sz w:val="18"/>
          <w:szCs w:val="18"/>
          <w:spacing w:val="-41"/>
        </w:rPr>
        <w:t>）；</w:t>
      </w:r>
      <w:r>
        <w:rPr>
          <w:rFonts w:ascii="KaiTi" w:hAnsi="KaiTi" w:eastAsia="KaiTi" w:cs="KaiTi"/>
          <w:sz w:val="18"/>
          <w:szCs w:val="18"/>
          <w:spacing w:val="-2"/>
        </w:rPr>
        <w:t>观察组不良反应发生率相比更低（P＞0.05）。结论：</w:t>
      </w:r>
    </w:p>
    <w:p>
      <w:pPr>
        <w:ind w:left="1315" w:right="491" w:hanging="4"/>
        <w:spacing w:before="66" w:line="286" w:lineRule="auto"/>
        <w:rPr>
          <w:rFonts w:ascii="KaiTi" w:hAnsi="KaiTi" w:eastAsia="KaiTi" w:cs="KaiTi"/>
          <w:sz w:val="18"/>
          <w:szCs w:val="18"/>
        </w:rPr>
      </w:pPr>
      <w:r>
        <w:rPr>
          <w:rFonts w:ascii="KaiTi" w:hAnsi="KaiTi" w:eastAsia="KaiTi" w:cs="KaiTi"/>
          <w:sz w:val="18"/>
          <w:szCs w:val="18"/>
          <w:spacing w:val="-1"/>
        </w:rPr>
        <w:t>急诊内科在急性肠胃炎诊治中，采用阿莫西林联合替硝唑治疗，对患者症状能尽快缓解，治疗的可靠性较高，对</w:t>
      </w:r>
      <w:r>
        <w:rPr>
          <w:rFonts w:ascii="KaiTi" w:hAnsi="KaiTi" w:eastAsia="KaiTi" w:cs="KaiTi"/>
          <w:sz w:val="18"/>
          <w:szCs w:val="18"/>
          <w:spacing w:val="10"/>
        </w:rPr>
        <w:t xml:space="preserve"> </w:t>
      </w:r>
      <w:r>
        <w:rPr>
          <w:rFonts w:ascii="KaiTi" w:hAnsi="KaiTi" w:eastAsia="KaiTi" w:cs="KaiTi"/>
          <w:sz w:val="18"/>
          <w:szCs w:val="18"/>
          <w:spacing w:val="-1"/>
        </w:rPr>
        <w:t>患者机体炎性症状能有效改善，且用药副反应较少，值得推广。</w:t>
      </w:r>
    </w:p>
    <w:p>
      <w:pPr>
        <w:ind w:left="1309"/>
        <w:spacing w:before="2" w:line="225" w:lineRule="auto"/>
        <w:rPr>
          <w:rFonts w:ascii="KaiTi" w:hAnsi="KaiTi" w:eastAsia="KaiTi" w:cs="KaiTi"/>
          <w:sz w:val="18"/>
          <w:szCs w:val="18"/>
        </w:rPr>
      </w:pPr>
      <w:r>
        <w:rPr>
          <w:rFonts w:ascii="SimHei" w:hAnsi="SimHei" w:eastAsia="SimHei" w:cs="SimHei"/>
          <w:sz w:val="18"/>
          <w:szCs w:val="18"/>
          <w:b/>
          <w:bCs/>
          <w:spacing w:val="-1"/>
        </w:rPr>
        <w:t>关键词：</w:t>
      </w:r>
      <w:r>
        <w:rPr>
          <w:rFonts w:ascii="KaiTi" w:hAnsi="KaiTi" w:eastAsia="KaiTi" w:cs="KaiTi"/>
          <w:sz w:val="18"/>
          <w:szCs w:val="18"/>
          <w:spacing w:val="-1"/>
        </w:rPr>
        <w:t>急性肠胃炎；替硝唑；症状缓解时间；临床疗效；炎症因子</w:t>
      </w:r>
    </w:p>
    <w:p>
      <w:pPr>
        <w:spacing w:line="298" w:lineRule="auto"/>
        <w:rPr>
          <w:rFonts w:ascii="Arial"/>
          <w:sz w:val="21"/>
        </w:rPr>
      </w:pPr>
      <w:r/>
    </w:p>
    <w:p>
      <w:pPr>
        <w:pStyle w:val="BodyText"/>
        <w:ind w:left="882" w:right="70" w:firstLine="425"/>
        <w:spacing w:before="65" w:line="314" w:lineRule="auto"/>
        <w:jc w:val="both"/>
        <w:rPr/>
      </w:pPr>
      <w:r>
        <w:rPr>
          <w:spacing w:val="9"/>
        </w:rPr>
        <w:t>消化系统疾病中，急性肠胃炎在临床中比较常见，引起该病发生的原因比较多，包含饮食、环境、遗</w:t>
      </w:r>
      <w:r>
        <w:rPr>
          <w:spacing w:val="6"/>
        </w:rPr>
        <w:t xml:space="preserve"> </w:t>
      </w:r>
      <w:r>
        <w:rPr>
          <w:spacing w:val="9"/>
        </w:rPr>
        <w:t>传等因素都可引起该病发生</w:t>
      </w:r>
      <w:r>
        <w:rPr>
          <w:rFonts w:ascii="Times New Roman" w:hAnsi="Times New Roman" w:eastAsia="Times New Roman" w:cs="Times New Roman"/>
          <w:sz w:val="13"/>
          <w:szCs w:val="13"/>
          <w:spacing w:val="9"/>
          <w:position w:val="6"/>
        </w:rPr>
        <w:t>[1] </w:t>
      </w:r>
      <w:r>
        <w:rPr>
          <w:spacing w:val="9"/>
        </w:rPr>
        <w:t>。在对急性肠胃炎患者观察中发现，该病以胃肠道黏膜出血、水肿及黏膜渗</w:t>
      </w:r>
      <w:r>
        <w:rPr>
          <w:spacing w:val="5"/>
        </w:rPr>
        <w:t xml:space="preserve"> </w:t>
      </w:r>
      <w:r>
        <w:rPr>
          <w:spacing w:val="9"/>
        </w:rPr>
        <w:t>出等症状表现为主，且病情变化比较快，如果对患者未及时有效治疗，极易导致病情恶化，甚至对患者的</w:t>
      </w:r>
      <w:r>
        <w:rPr>
          <w:spacing w:val="14"/>
        </w:rPr>
        <w:t xml:space="preserve"> </w:t>
      </w:r>
      <w:r>
        <w:rPr>
          <w:spacing w:val="9"/>
        </w:rPr>
        <w:t>生命安全构成威胁</w:t>
      </w:r>
      <w:r>
        <w:rPr>
          <w:rFonts w:ascii="Times New Roman" w:hAnsi="Times New Roman" w:eastAsia="Times New Roman" w:cs="Times New Roman"/>
          <w:sz w:val="13"/>
          <w:szCs w:val="13"/>
          <w:spacing w:val="9"/>
          <w:position w:val="6"/>
        </w:rPr>
        <w:t>[2] </w:t>
      </w:r>
      <w:r>
        <w:rPr>
          <w:spacing w:val="9"/>
        </w:rPr>
        <w:t>。在胃肠黏膜急性炎症疾病中，急性肠胃炎属于发病率较高的一种，常见的症状主要</w:t>
      </w:r>
      <w:r>
        <w:rPr>
          <w:spacing w:val="5"/>
        </w:rPr>
        <w:t xml:space="preserve"> </w:t>
      </w:r>
      <w:r>
        <w:rPr>
          <w:spacing w:val="9"/>
        </w:rPr>
        <w:t>有恶心、腹部疼痛以及发热等，发病原因一般与饮食不卫生以及不节制有很大关系。流行病学调查显示，</w:t>
      </w:r>
      <w:r>
        <w:rPr>
          <w:spacing w:val="17"/>
        </w:rPr>
        <w:t xml:space="preserve"> </w:t>
      </w:r>
      <w:r>
        <w:rPr>
          <w:spacing w:val="9"/>
        </w:rPr>
        <w:t>急性肠胃炎在夏秋季节高发，有明显的季节性特征</w:t>
      </w:r>
      <w:r>
        <w:rPr>
          <w:rFonts w:ascii="Times New Roman" w:hAnsi="Times New Roman" w:eastAsia="Times New Roman" w:cs="Times New Roman"/>
          <w:sz w:val="13"/>
          <w:szCs w:val="13"/>
          <w:spacing w:val="9"/>
          <w:position w:val="6"/>
        </w:rPr>
        <w:t>[3] </w:t>
      </w:r>
      <w:r>
        <w:rPr>
          <w:spacing w:val="9"/>
        </w:rPr>
        <w:t>。临床中在治疗急性肠胃炎时，主要通过药物方法治</w:t>
      </w:r>
      <w:r>
        <w:rPr>
          <w:spacing w:val="5"/>
        </w:rPr>
        <w:t xml:space="preserve"> </w:t>
      </w:r>
      <w:r>
        <w:rPr>
          <w:spacing w:val="8"/>
        </w:rPr>
        <w:t>疗，</w:t>
      </w:r>
      <w:r>
        <w:rPr>
          <w:spacing w:val="-37"/>
        </w:rPr>
        <w:t xml:space="preserve"> </w:t>
      </w:r>
      <w:r>
        <w:rPr>
          <w:spacing w:val="8"/>
        </w:rPr>
        <w:t>目的是对患者的症状尽快缓解，减轻患者痛苦，同时防止脱水、水电解质紊乱情况发生。而目前治疗</w:t>
      </w:r>
      <w:r>
        <w:rPr/>
        <w:t xml:space="preserve"> </w:t>
      </w:r>
      <w:r>
        <w:rPr>
          <w:spacing w:val="9"/>
        </w:rPr>
        <w:t>该病的药物种类及用药方案也比较多，不同药物、不同治疗方案的治疗效果也存在差异，如何选择更有效</w:t>
      </w:r>
      <w:r>
        <w:rPr>
          <w:spacing w:val="17"/>
        </w:rPr>
        <w:t xml:space="preserve"> </w:t>
      </w:r>
      <w:r>
        <w:rPr>
          <w:spacing w:val="7"/>
        </w:rPr>
        <w:t>的治疗药物及用药方案是提高急性肠胃炎疗效的关键。基于此，本次对</w:t>
      </w:r>
      <w:r>
        <w:rPr>
          <w:spacing w:val="-43"/>
        </w:rPr>
        <w:t xml:space="preserve"> </w:t>
      </w:r>
      <w:r>
        <w:rPr>
          <w:rFonts w:ascii="Times New Roman" w:hAnsi="Times New Roman" w:eastAsia="Times New Roman" w:cs="Times New Roman"/>
          <w:spacing w:val="7"/>
        </w:rPr>
        <w:t>2021 </w:t>
      </w:r>
      <w:r>
        <w:rPr>
          <w:spacing w:val="7"/>
        </w:rPr>
        <w:t>年</w:t>
      </w:r>
      <w:r>
        <w:rPr>
          <w:spacing w:val="-34"/>
        </w:rPr>
        <w:t xml:space="preserve"> </w:t>
      </w:r>
      <w:r>
        <w:rPr>
          <w:rFonts w:ascii="Times New Roman" w:hAnsi="Times New Roman" w:eastAsia="Times New Roman" w:cs="Times New Roman"/>
          <w:spacing w:val="7"/>
        </w:rPr>
        <w:t>8</w:t>
      </w:r>
      <w:r>
        <w:rPr>
          <w:rFonts w:ascii="Times New Roman" w:hAnsi="Times New Roman" w:eastAsia="Times New Roman" w:cs="Times New Roman"/>
          <w:spacing w:val="17"/>
        </w:rPr>
        <w:t xml:space="preserve"> </w:t>
      </w:r>
      <w:r>
        <w:rPr>
          <w:spacing w:val="7"/>
        </w:rPr>
        <w:t>月至</w:t>
      </w:r>
      <w:r>
        <w:rPr>
          <w:spacing w:val="-43"/>
        </w:rPr>
        <w:t xml:space="preserve"> </w:t>
      </w:r>
      <w:r>
        <w:rPr>
          <w:rFonts w:ascii="Times New Roman" w:hAnsi="Times New Roman" w:eastAsia="Times New Roman" w:cs="Times New Roman"/>
          <w:spacing w:val="7"/>
        </w:rPr>
        <w:t>202</w:t>
      </w:r>
      <w:r>
        <w:rPr>
          <w:rFonts w:ascii="Times New Roman" w:hAnsi="Times New Roman" w:eastAsia="Times New Roman" w:cs="Times New Roman"/>
          <w:spacing w:val="6"/>
        </w:rPr>
        <w:t>2 </w:t>
      </w:r>
      <w:r>
        <w:rPr>
          <w:spacing w:val="6"/>
        </w:rPr>
        <w:t>年</w:t>
      </w:r>
      <w:r>
        <w:rPr>
          <w:spacing w:val="-35"/>
        </w:rPr>
        <w:t xml:space="preserve"> </w:t>
      </w:r>
      <w:r>
        <w:rPr>
          <w:rFonts w:ascii="Times New Roman" w:hAnsi="Times New Roman" w:eastAsia="Times New Roman" w:cs="Times New Roman"/>
          <w:spacing w:val="6"/>
        </w:rPr>
        <w:t>8</w:t>
      </w:r>
      <w:r>
        <w:rPr>
          <w:rFonts w:ascii="Times New Roman" w:hAnsi="Times New Roman" w:eastAsia="Times New Roman" w:cs="Times New Roman"/>
          <w:spacing w:val="17"/>
          <w:w w:val="101"/>
        </w:rPr>
        <w:t xml:space="preserve"> </w:t>
      </w:r>
      <w:r>
        <w:rPr>
          <w:spacing w:val="6"/>
        </w:rPr>
        <w:t>月本院急</w:t>
      </w:r>
      <w:r>
        <w:rPr/>
        <w:t xml:space="preserve"> </w:t>
      </w:r>
      <w:r>
        <w:rPr>
          <w:spacing w:val="11"/>
        </w:rPr>
        <w:t>诊内科</w:t>
      </w:r>
      <w:r>
        <w:rPr>
          <w:spacing w:val="-36"/>
        </w:rPr>
        <w:t xml:space="preserve"> </w:t>
      </w:r>
      <w:r>
        <w:rPr>
          <w:rFonts w:ascii="Times New Roman" w:hAnsi="Times New Roman" w:eastAsia="Times New Roman" w:cs="Times New Roman"/>
          <w:spacing w:val="11"/>
        </w:rPr>
        <w:t>92 </w:t>
      </w:r>
      <w:r>
        <w:rPr>
          <w:spacing w:val="11"/>
        </w:rPr>
        <w:t>例诊断为急性肠胃炎的患者进行研究，对替硝唑联合阿莫西林的临床应用效果进行探究</w:t>
      </w:r>
      <w:r>
        <w:rPr>
          <w:spacing w:val="10"/>
        </w:rPr>
        <w:t>，具体</w:t>
      </w:r>
      <w:r>
        <w:rPr/>
        <w:t xml:space="preserve"> </w:t>
      </w:r>
      <w:r>
        <w:rPr>
          <w:spacing w:val="3"/>
        </w:rPr>
        <w:t>如下。</w:t>
      </w:r>
    </w:p>
    <w:p>
      <w:pPr>
        <w:pStyle w:val="BodyText"/>
        <w:ind w:left="891"/>
        <w:spacing w:before="86" w:line="220" w:lineRule="auto"/>
        <w:outlineLvl w:val="2"/>
        <w:rPr>
          <w:sz w:val="24"/>
          <w:szCs w:val="24"/>
        </w:rPr>
      </w:pPr>
      <w:r>
        <w:rPr>
          <w:rFonts w:ascii="Times New Roman" w:hAnsi="Times New Roman" w:eastAsia="Times New Roman" w:cs="Times New Roman"/>
          <w:sz w:val="24"/>
          <w:szCs w:val="24"/>
          <w:b/>
          <w:bCs/>
          <w:spacing w:val="-8"/>
        </w:rPr>
        <w:t>1</w:t>
      </w:r>
      <w:r>
        <w:rPr>
          <w:rFonts w:ascii="Times New Roman" w:hAnsi="Times New Roman" w:eastAsia="Times New Roman" w:cs="Times New Roman"/>
          <w:sz w:val="24"/>
          <w:szCs w:val="24"/>
          <w:b/>
          <w:bCs/>
          <w:spacing w:val="5"/>
        </w:rPr>
        <w:t xml:space="preserve">    </w:t>
      </w:r>
      <w:r>
        <w:rPr>
          <w:sz w:val="24"/>
          <w:szCs w:val="24"/>
          <w:b/>
          <w:bCs/>
          <w:spacing w:val="-8"/>
        </w:rPr>
        <w:t>资料与方法</w:t>
      </w:r>
    </w:p>
    <w:p>
      <w:pPr>
        <w:pStyle w:val="BodyText"/>
        <w:ind w:left="889"/>
        <w:spacing w:before="161" w:line="228" w:lineRule="auto"/>
        <w:outlineLvl w:val="3"/>
        <w:rPr/>
      </w:pPr>
      <w:r>
        <w:rPr>
          <w:rFonts w:ascii="Times New Roman" w:hAnsi="Times New Roman" w:eastAsia="Times New Roman" w:cs="Times New Roman"/>
          <w:b/>
          <w:bCs/>
          <w:spacing w:val="3"/>
        </w:rPr>
        <w:t>1.1</w:t>
      </w:r>
      <w:r>
        <w:rPr>
          <w:rFonts w:ascii="Times New Roman" w:hAnsi="Times New Roman" w:eastAsia="Times New Roman" w:cs="Times New Roman"/>
          <w:b/>
          <w:bCs/>
          <w:spacing w:val="5"/>
        </w:rPr>
        <w:t xml:space="preserve">    </w:t>
      </w:r>
      <w:r>
        <w:rPr>
          <w:b/>
          <w:bCs/>
          <w:spacing w:val="3"/>
        </w:rPr>
        <w:t>一般资料</w:t>
      </w:r>
    </w:p>
    <w:p>
      <w:pPr>
        <w:pStyle w:val="BodyText"/>
        <w:ind w:left="882" w:firstLine="421"/>
        <w:spacing w:before="119" w:line="314" w:lineRule="auto"/>
        <w:jc w:val="both"/>
        <w:rPr/>
      </w:pPr>
      <w:r>
        <w:rPr>
          <w:spacing w:val="8"/>
        </w:rPr>
        <w:t>研究对象为在我院急诊科进行治疗的</w:t>
      </w:r>
      <w:r>
        <w:rPr>
          <w:spacing w:val="-37"/>
        </w:rPr>
        <w:t xml:space="preserve"> </w:t>
      </w:r>
      <w:r>
        <w:rPr>
          <w:rFonts w:ascii="Times New Roman" w:hAnsi="Times New Roman" w:eastAsia="Times New Roman" w:cs="Times New Roman"/>
          <w:spacing w:val="8"/>
        </w:rPr>
        <w:t>92 </w:t>
      </w:r>
      <w:r>
        <w:rPr>
          <w:spacing w:val="8"/>
        </w:rPr>
        <w:t>例急性肠胃炎患者，时间</w:t>
      </w:r>
      <w:r>
        <w:rPr>
          <w:spacing w:val="-40"/>
        </w:rPr>
        <w:t xml:space="preserve"> </w:t>
      </w:r>
      <w:r>
        <w:rPr>
          <w:rFonts w:ascii="Times New Roman" w:hAnsi="Times New Roman" w:eastAsia="Times New Roman" w:cs="Times New Roman"/>
          <w:spacing w:val="8"/>
        </w:rPr>
        <w:t>2021 </w:t>
      </w:r>
      <w:r>
        <w:rPr>
          <w:spacing w:val="8"/>
        </w:rPr>
        <w:t>年</w:t>
      </w:r>
      <w:r>
        <w:rPr>
          <w:spacing w:val="-30"/>
        </w:rPr>
        <w:t xml:space="preserve"> </w:t>
      </w:r>
      <w:r>
        <w:rPr>
          <w:rFonts w:ascii="Times New Roman" w:hAnsi="Times New Roman" w:eastAsia="Times New Roman" w:cs="Times New Roman"/>
          <w:spacing w:val="8"/>
        </w:rPr>
        <w:t>8</w:t>
      </w:r>
      <w:r>
        <w:rPr>
          <w:rFonts w:ascii="Times New Roman" w:hAnsi="Times New Roman" w:eastAsia="Times New Roman" w:cs="Times New Roman"/>
          <w:spacing w:val="17"/>
        </w:rPr>
        <w:t xml:space="preserve"> </w:t>
      </w:r>
      <w:r>
        <w:rPr>
          <w:spacing w:val="8"/>
        </w:rPr>
        <w:t>月至</w:t>
      </w:r>
      <w:r>
        <w:rPr>
          <w:spacing w:val="-38"/>
        </w:rPr>
        <w:t xml:space="preserve"> </w:t>
      </w:r>
      <w:r>
        <w:rPr>
          <w:rFonts w:ascii="Times New Roman" w:hAnsi="Times New Roman" w:eastAsia="Times New Roman" w:cs="Times New Roman"/>
          <w:spacing w:val="8"/>
        </w:rPr>
        <w:t>2022 </w:t>
      </w:r>
      <w:r>
        <w:rPr>
          <w:spacing w:val="8"/>
        </w:rPr>
        <w:t>年</w:t>
      </w:r>
      <w:r>
        <w:rPr>
          <w:spacing w:val="-33"/>
        </w:rPr>
        <w:t xml:space="preserve"> </w:t>
      </w:r>
      <w:r>
        <w:rPr>
          <w:rFonts w:ascii="Times New Roman" w:hAnsi="Times New Roman" w:eastAsia="Times New Roman" w:cs="Times New Roman"/>
          <w:spacing w:val="8"/>
        </w:rPr>
        <w:t>8</w:t>
      </w:r>
      <w:r>
        <w:rPr>
          <w:rFonts w:ascii="Times New Roman" w:hAnsi="Times New Roman" w:eastAsia="Times New Roman" w:cs="Times New Roman"/>
          <w:spacing w:val="18"/>
        </w:rPr>
        <w:t xml:space="preserve"> </w:t>
      </w:r>
      <w:r>
        <w:rPr>
          <w:spacing w:val="8"/>
        </w:rPr>
        <w:t>月，随机</w:t>
      </w:r>
      <w:r>
        <w:rPr/>
        <w:t xml:space="preserve"> </w:t>
      </w:r>
      <w:r>
        <w:rPr>
          <w:spacing w:val="8"/>
        </w:rPr>
        <w:t>将患者分为两组，各</w:t>
      </w:r>
      <w:r>
        <w:rPr>
          <w:spacing w:val="-34"/>
        </w:rPr>
        <w:t xml:space="preserve"> </w:t>
      </w:r>
      <w:r>
        <w:rPr>
          <w:rFonts w:ascii="Times New Roman" w:hAnsi="Times New Roman" w:eastAsia="Times New Roman" w:cs="Times New Roman"/>
          <w:spacing w:val="8"/>
        </w:rPr>
        <w:t>46 </w:t>
      </w:r>
      <w:r>
        <w:rPr>
          <w:spacing w:val="8"/>
        </w:rPr>
        <w:t>例。对照组中，男</w:t>
      </w:r>
      <w:r>
        <w:rPr>
          <w:spacing w:val="-40"/>
        </w:rPr>
        <w:t xml:space="preserve"> </w:t>
      </w:r>
      <w:r>
        <w:rPr>
          <w:rFonts w:ascii="Times New Roman" w:hAnsi="Times New Roman" w:eastAsia="Times New Roman" w:cs="Times New Roman"/>
          <w:spacing w:val="8"/>
        </w:rPr>
        <w:t>25 </w:t>
      </w:r>
      <w:r>
        <w:rPr>
          <w:spacing w:val="8"/>
        </w:rPr>
        <w:t>例、女</w:t>
      </w:r>
      <w:r>
        <w:rPr>
          <w:spacing w:val="-41"/>
        </w:rPr>
        <w:t xml:space="preserve"> </w:t>
      </w:r>
      <w:r>
        <w:rPr>
          <w:rFonts w:ascii="Times New Roman" w:hAnsi="Times New Roman" w:eastAsia="Times New Roman" w:cs="Times New Roman"/>
          <w:spacing w:val="8"/>
        </w:rPr>
        <w:t>21 </w:t>
      </w:r>
      <w:r>
        <w:rPr>
          <w:spacing w:val="8"/>
        </w:rPr>
        <w:t>例，年龄</w:t>
      </w:r>
      <w:r>
        <w:rPr>
          <w:spacing w:val="-40"/>
        </w:rPr>
        <w:t xml:space="preserve"> </w:t>
      </w:r>
      <w:r>
        <w:rPr>
          <w:rFonts w:ascii="Times New Roman" w:hAnsi="Times New Roman" w:eastAsia="Times New Roman" w:cs="Times New Roman"/>
          <w:spacing w:val="8"/>
        </w:rPr>
        <w:t>20~64</w:t>
      </w:r>
      <w:r>
        <w:rPr>
          <w:rFonts w:ascii="Times New Roman" w:hAnsi="Times New Roman" w:eastAsia="Times New Roman" w:cs="Times New Roman"/>
          <w:spacing w:val="19"/>
        </w:rPr>
        <w:t xml:space="preserve"> </w:t>
      </w:r>
      <w:r>
        <w:rPr>
          <w:spacing w:val="8"/>
        </w:rPr>
        <w:t>岁，平均（</w:t>
      </w:r>
      <w:r>
        <w:rPr>
          <w:rFonts w:ascii="Times New Roman" w:hAnsi="Times New Roman" w:eastAsia="Times New Roman" w:cs="Times New Roman"/>
          <w:spacing w:val="8"/>
        </w:rPr>
        <w:t>42.96</w:t>
      </w:r>
      <w:r>
        <w:rPr>
          <w:spacing w:val="8"/>
        </w:rPr>
        <w:t>±</w:t>
      </w:r>
      <w:r>
        <w:rPr>
          <w:rFonts w:ascii="Times New Roman" w:hAnsi="Times New Roman" w:eastAsia="Times New Roman" w:cs="Times New Roman"/>
          <w:spacing w:val="8"/>
        </w:rPr>
        <w:t>4.78</w:t>
      </w:r>
      <w:r>
        <w:rPr>
          <w:spacing w:val="8"/>
        </w:rPr>
        <w:t>）岁，病</w:t>
      </w:r>
      <w:r>
        <w:rPr/>
        <w:t xml:space="preserve"> </w:t>
      </w:r>
      <w:r>
        <w:rPr>
          <w:spacing w:val="6"/>
        </w:rPr>
        <w:t>程</w:t>
      </w:r>
      <w:r>
        <w:rPr>
          <w:spacing w:val="-20"/>
        </w:rPr>
        <w:t xml:space="preserve"> </w:t>
      </w:r>
      <w:r>
        <w:rPr>
          <w:rFonts w:ascii="Times New Roman" w:hAnsi="Times New Roman" w:eastAsia="Times New Roman" w:cs="Times New Roman"/>
          <w:spacing w:val="6"/>
        </w:rPr>
        <w:t>1-7d</w:t>
      </w:r>
      <w:r>
        <w:rPr>
          <w:rFonts w:ascii="Times New Roman" w:hAnsi="Times New Roman" w:eastAsia="Times New Roman" w:cs="Times New Roman"/>
          <w:spacing w:val="-24"/>
        </w:rPr>
        <w:t xml:space="preserve"> </w:t>
      </w:r>
      <w:r>
        <w:rPr>
          <w:spacing w:val="6"/>
        </w:rPr>
        <w:t>，平均（</w:t>
      </w:r>
      <w:r>
        <w:rPr>
          <w:rFonts w:ascii="Times New Roman" w:hAnsi="Times New Roman" w:eastAsia="Times New Roman" w:cs="Times New Roman"/>
          <w:spacing w:val="6"/>
        </w:rPr>
        <w:t>4.</w:t>
      </w:r>
      <w:r>
        <w:rPr>
          <w:rFonts w:ascii="Times New Roman" w:hAnsi="Times New Roman" w:eastAsia="Times New Roman" w:cs="Times New Roman"/>
          <w:spacing w:val="-25"/>
        </w:rPr>
        <w:t xml:space="preserve"> </w:t>
      </w:r>
      <w:r>
        <w:rPr>
          <w:rFonts w:ascii="Times New Roman" w:hAnsi="Times New Roman" w:eastAsia="Times New Roman" w:cs="Times New Roman"/>
          <w:spacing w:val="6"/>
        </w:rPr>
        <w:t>13</w:t>
      </w:r>
      <w:r>
        <w:rPr>
          <w:spacing w:val="6"/>
        </w:rPr>
        <w:t>±</w:t>
      </w:r>
      <w:r>
        <w:rPr>
          <w:rFonts w:ascii="Times New Roman" w:hAnsi="Times New Roman" w:eastAsia="Times New Roman" w:cs="Times New Roman"/>
          <w:spacing w:val="6"/>
        </w:rPr>
        <w:t>0.82</w:t>
      </w:r>
      <w:r>
        <w:rPr>
          <w:spacing w:val="6"/>
        </w:rPr>
        <w:t>）</w:t>
      </w:r>
      <w:r>
        <w:rPr>
          <w:rFonts w:ascii="Times New Roman" w:hAnsi="Times New Roman" w:eastAsia="Times New Roman" w:cs="Times New Roman"/>
          <w:spacing w:val="6"/>
        </w:rPr>
        <w:t>d</w:t>
      </w:r>
      <w:r>
        <w:rPr>
          <w:spacing w:val="6"/>
        </w:rPr>
        <w:t>；观察组中，男</w:t>
      </w:r>
      <w:r>
        <w:rPr>
          <w:spacing w:val="-43"/>
        </w:rPr>
        <w:t xml:space="preserve"> </w:t>
      </w:r>
      <w:r>
        <w:rPr>
          <w:rFonts w:ascii="Times New Roman" w:hAnsi="Times New Roman" w:eastAsia="Times New Roman" w:cs="Times New Roman"/>
          <w:spacing w:val="6"/>
        </w:rPr>
        <w:t>24 </w:t>
      </w:r>
      <w:r>
        <w:rPr>
          <w:spacing w:val="6"/>
        </w:rPr>
        <w:t>例、女</w:t>
      </w:r>
      <w:r>
        <w:rPr>
          <w:spacing w:val="-43"/>
        </w:rPr>
        <w:t xml:space="preserve"> </w:t>
      </w:r>
      <w:r>
        <w:rPr>
          <w:rFonts w:ascii="Times New Roman" w:hAnsi="Times New Roman" w:eastAsia="Times New Roman" w:cs="Times New Roman"/>
          <w:spacing w:val="6"/>
        </w:rPr>
        <w:t>2</w:t>
      </w:r>
      <w:r>
        <w:rPr>
          <w:rFonts w:ascii="Times New Roman" w:hAnsi="Times New Roman" w:eastAsia="Times New Roman" w:cs="Times New Roman"/>
          <w:spacing w:val="5"/>
        </w:rPr>
        <w:t>2 </w:t>
      </w:r>
      <w:r>
        <w:rPr>
          <w:spacing w:val="5"/>
        </w:rPr>
        <w:t>例，年龄</w:t>
      </w:r>
      <w:r>
        <w:rPr>
          <w:spacing w:val="-43"/>
        </w:rPr>
        <w:t xml:space="preserve"> </w:t>
      </w:r>
      <w:r>
        <w:rPr>
          <w:rFonts w:ascii="Times New Roman" w:hAnsi="Times New Roman" w:eastAsia="Times New Roman" w:cs="Times New Roman"/>
          <w:spacing w:val="5"/>
        </w:rPr>
        <w:t>20~65</w:t>
      </w:r>
      <w:r>
        <w:rPr>
          <w:rFonts w:ascii="Times New Roman" w:hAnsi="Times New Roman" w:eastAsia="Times New Roman" w:cs="Times New Roman"/>
          <w:spacing w:val="19"/>
          <w:w w:val="101"/>
        </w:rPr>
        <w:t xml:space="preserve"> </w:t>
      </w:r>
      <w:r>
        <w:rPr>
          <w:spacing w:val="5"/>
        </w:rPr>
        <w:t>岁，平均（</w:t>
      </w:r>
      <w:r>
        <w:rPr>
          <w:rFonts w:ascii="Times New Roman" w:hAnsi="Times New Roman" w:eastAsia="Times New Roman" w:cs="Times New Roman"/>
          <w:spacing w:val="5"/>
        </w:rPr>
        <w:t>43.41</w:t>
      </w:r>
      <w:r>
        <w:rPr>
          <w:spacing w:val="5"/>
        </w:rPr>
        <w:t>±</w:t>
      </w:r>
      <w:r>
        <w:rPr>
          <w:rFonts w:ascii="Times New Roman" w:hAnsi="Times New Roman" w:eastAsia="Times New Roman" w:cs="Times New Roman"/>
          <w:spacing w:val="5"/>
        </w:rPr>
        <w:t>4.69</w:t>
      </w:r>
      <w:r>
        <w:rPr>
          <w:spacing w:val="5"/>
        </w:rPr>
        <w:t>）岁，</w:t>
      </w:r>
      <w:r>
        <w:rPr/>
        <w:t xml:space="preserve"> </w:t>
      </w:r>
      <w:r>
        <w:rPr>
          <w:spacing w:val="7"/>
        </w:rPr>
        <w:t>病程</w:t>
      </w:r>
      <w:r>
        <w:rPr>
          <w:spacing w:val="-21"/>
        </w:rPr>
        <w:t xml:space="preserve"> </w:t>
      </w:r>
      <w:r>
        <w:rPr>
          <w:rFonts w:ascii="Times New Roman" w:hAnsi="Times New Roman" w:eastAsia="Times New Roman" w:cs="Times New Roman"/>
          <w:spacing w:val="7"/>
        </w:rPr>
        <w:t>1-8d</w:t>
      </w:r>
      <w:r>
        <w:rPr>
          <w:rFonts w:ascii="Times New Roman" w:hAnsi="Times New Roman" w:eastAsia="Times New Roman" w:cs="Times New Roman"/>
          <w:spacing w:val="-21"/>
        </w:rPr>
        <w:t xml:space="preserve"> </w:t>
      </w:r>
      <w:r>
        <w:rPr>
          <w:spacing w:val="7"/>
        </w:rPr>
        <w:t>，平均（</w:t>
      </w:r>
      <w:r>
        <w:rPr>
          <w:rFonts w:ascii="Times New Roman" w:hAnsi="Times New Roman" w:eastAsia="Times New Roman" w:cs="Times New Roman"/>
          <w:spacing w:val="7"/>
        </w:rPr>
        <w:t>4.24</w:t>
      </w:r>
      <w:r>
        <w:rPr>
          <w:spacing w:val="7"/>
        </w:rPr>
        <w:t>±</w:t>
      </w:r>
      <w:r>
        <w:rPr>
          <w:rFonts w:ascii="Times New Roman" w:hAnsi="Times New Roman" w:eastAsia="Times New Roman" w:cs="Times New Roman"/>
          <w:spacing w:val="7"/>
        </w:rPr>
        <w:t>0.78</w:t>
      </w:r>
      <w:r>
        <w:rPr>
          <w:spacing w:val="7"/>
        </w:rPr>
        <w:t>）</w:t>
      </w:r>
      <w:r>
        <w:rPr>
          <w:rFonts w:ascii="Times New Roman" w:hAnsi="Times New Roman" w:eastAsia="Times New Roman" w:cs="Times New Roman"/>
          <w:spacing w:val="7"/>
        </w:rPr>
        <w:t>d</w:t>
      </w:r>
      <w:r>
        <w:rPr>
          <w:rFonts w:ascii="Times New Roman" w:hAnsi="Times New Roman" w:eastAsia="Times New Roman" w:cs="Times New Roman"/>
          <w:spacing w:val="-21"/>
        </w:rPr>
        <w:t xml:space="preserve"> </w:t>
      </w:r>
      <w:r>
        <w:rPr>
          <w:spacing w:val="7"/>
        </w:rPr>
        <w:t>。</w:t>
      </w:r>
      <w:r>
        <w:rPr>
          <w:spacing w:val="6"/>
        </w:rPr>
        <w:t>纳入标准：①均诊断为急性肠胃炎，符合</w:t>
      </w:r>
      <w:r>
        <w:rPr>
          <w:spacing w:val="-42"/>
        </w:rPr>
        <w:t xml:space="preserve"> </w:t>
      </w:r>
      <w:r>
        <w:rPr>
          <w:rFonts w:ascii="Times New Roman" w:hAnsi="Times New Roman" w:eastAsia="Times New Roman" w:cs="Times New Roman"/>
        </w:rPr>
        <w:t>WHO</w:t>
      </w:r>
      <w:r>
        <w:rPr>
          <w:rFonts w:ascii="Times New Roman" w:hAnsi="Times New Roman" w:eastAsia="Times New Roman" w:cs="Times New Roman"/>
          <w:spacing w:val="17"/>
        </w:rPr>
        <w:t xml:space="preserve"> </w:t>
      </w:r>
      <w:r>
        <w:rPr>
          <w:spacing w:val="6"/>
        </w:rPr>
        <w:t>关于急性肠胃炎的诊断</w:t>
      </w:r>
      <w:r>
        <w:rPr/>
        <w:t xml:space="preserve"> </w:t>
      </w:r>
      <w:r>
        <w:rPr>
          <w:spacing w:val="8"/>
        </w:rPr>
        <w:t>标准；②年龄≥</w:t>
      </w:r>
      <w:r>
        <w:rPr>
          <w:rFonts w:ascii="Times New Roman" w:hAnsi="Times New Roman" w:eastAsia="Times New Roman" w:cs="Times New Roman"/>
          <w:spacing w:val="8"/>
        </w:rPr>
        <w:t>18</w:t>
      </w:r>
      <w:r>
        <w:rPr>
          <w:rFonts w:ascii="Times New Roman" w:hAnsi="Times New Roman" w:eastAsia="Times New Roman" w:cs="Times New Roman"/>
          <w:spacing w:val="17"/>
        </w:rPr>
        <w:t xml:space="preserve"> </w:t>
      </w:r>
      <w:r>
        <w:rPr>
          <w:spacing w:val="8"/>
        </w:rPr>
        <w:t>岁；③意识清晰，对本次研究能积极配合；④对本次研究知</w:t>
      </w:r>
      <w:r>
        <w:rPr>
          <w:spacing w:val="7"/>
        </w:rPr>
        <w:t>情且同意。排除标准：①全</w:t>
      </w:r>
      <w:r>
        <w:rPr/>
        <w:t xml:space="preserve"> </w:t>
      </w:r>
      <w:r>
        <w:rPr>
          <w:spacing w:val="7"/>
        </w:rPr>
        <w:t>身免疫性疾病者；②严重器官功能疾病者；</w:t>
      </w:r>
      <w:r>
        <w:rPr>
          <w:spacing w:val="6"/>
        </w:rPr>
        <w:t>③精神及意识障碍者；④对本次研究不配合者；⑤中途退出者。</w:t>
      </w:r>
      <w:r>
        <w:rPr/>
        <w:t xml:space="preserve"> </w:t>
      </w:r>
      <w:r>
        <w:rPr>
          <w:spacing w:val="8"/>
        </w:rPr>
        <w:t>两组性别、年龄等一般资料无明显差异，</w:t>
      </w:r>
      <w:r>
        <w:rPr>
          <w:rFonts w:ascii="Times New Roman" w:hAnsi="Times New Roman" w:eastAsia="Times New Roman" w:cs="Times New Roman"/>
          <w:spacing w:val="8"/>
        </w:rPr>
        <w:t>P</w:t>
      </w:r>
      <w:r>
        <w:rPr>
          <w:spacing w:val="8"/>
        </w:rPr>
        <w:t>＞</w:t>
      </w:r>
      <w:r>
        <w:rPr>
          <w:rFonts w:ascii="Times New Roman" w:hAnsi="Times New Roman" w:eastAsia="Times New Roman" w:cs="Times New Roman"/>
          <w:spacing w:val="8"/>
        </w:rPr>
        <w:t>0.05</w:t>
      </w:r>
      <w:r>
        <w:rPr>
          <w:spacing w:val="8"/>
        </w:rPr>
        <w:t>。</w:t>
      </w:r>
    </w:p>
    <w:p>
      <w:pPr>
        <w:pStyle w:val="BodyText"/>
        <w:ind w:left="889"/>
        <w:spacing w:before="53" w:line="229" w:lineRule="auto"/>
        <w:outlineLvl w:val="3"/>
        <w:rPr/>
      </w:pPr>
      <w:r>
        <w:rPr>
          <w:rFonts w:ascii="Times New Roman" w:hAnsi="Times New Roman" w:eastAsia="Times New Roman" w:cs="Times New Roman"/>
          <w:b/>
          <w:bCs/>
          <w:spacing w:val="1"/>
        </w:rPr>
        <w:t>1.2</w:t>
      </w:r>
      <w:r>
        <w:rPr>
          <w:rFonts w:ascii="Times New Roman" w:hAnsi="Times New Roman" w:eastAsia="Times New Roman" w:cs="Times New Roman"/>
          <w:b/>
          <w:bCs/>
          <w:spacing w:val="4"/>
        </w:rPr>
        <w:t xml:space="preserve">    </w:t>
      </w:r>
      <w:r>
        <w:rPr>
          <w:b/>
          <w:bCs/>
          <w:spacing w:val="1"/>
        </w:rPr>
        <w:t>方法</w:t>
      </w:r>
    </w:p>
    <w:p>
      <w:pPr>
        <w:pStyle w:val="BodyText"/>
        <w:ind w:left="883" w:right="70" w:firstLine="430"/>
        <w:spacing w:before="116" w:line="314" w:lineRule="auto"/>
        <w:jc w:val="both"/>
        <w:rPr/>
      </w:pPr>
      <w:r>
        <w:rPr>
          <w:spacing w:val="11"/>
        </w:rPr>
        <w:t>（</w:t>
      </w:r>
      <w:r>
        <w:rPr>
          <w:rFonts w:ascii="Times New Roman" w:hAnsi="Times New Roman" w:eastAsia="Times New Roman" w:cs="Times New Roman"/>
          <w:spacing w:val="11"/>
        </w:rPr>
        <w:t>1</w:t>
      </w:r>
      <w:r>
        <w:rPr>
          <w:spacing w:val="11"/>
        </w:rPr>
        <w:t>）诊断。所有患者进入急诊内科后，诊断原则均相同。发病前由于该病症状、迹象不明显，且该</w:t>
      </w:r>
      <w:r>
        <w:rPr>
          <w:spacing w:val="12"/>
        </w:rPr>
        <w:t xml:space="preserve"> </w:t>
      </w:r>
      <w:r>
        <w:rPr>
          <w:spacing w:val="9"/>
        </w:rPr>
        <w:t>病进展较快，诊断时结合患者体征、症状、饮食及血象检查结果综合进行判断。体征方面，以头痛、发热</w:t>
      </w:r>
      <w:r>
        <w:rPr>
          <w:spacing w:val="13"/>
        </w:rPr>
        <w:t xml:space="preserve"> </w:t>
      </w:r>
      <w:r>
        <w:rPr>
          <w:spacing w:val="9"/>
        </w:rPr>
        <w:t>体征为主，部分患者伴有中毒、脱水、肠鸣音及休克等症状；症状方面，该病发展速度较快，多数患者频</w:t>
      </w:r>
      <w:r>
        <w:rPr>
          <w:spacing w:val="16"/>
        </w:rPr>
        <w:t xml:space="preserve"> </w:t>
      </w:r>
      <w:r>
        <w:rPr>
          <w:spacing w:val="12"/>
        </w:rPr>
        <w:t>繁出现剧烈腹痛、恶心呕吐、血性血便、 腹泻等症状</w:t>
      </w:r>
      <w:r>
        <w:rPr>
          <w:spacing w:val="11"/>
        </w:rPr>
        <w:t>；饮食方面，长期无规律饮食、暴饮暴食、食用变</w:t>
      </w:r>
    </w:p>
    <w:p>
      <w:pPr>
        <w:spacing w:line="314" w:lineRule="auto"/>
        <w:sectPr>
          <w:headerReference w:type="default" r:id="rId1"/>
          <w:pgSz w:w="12240" w:h="16840"/>
          <w:pgMar w:top="400" w:right="1230" w:bottom="0" w:left="424" w:header="0" w:footer="0" w:gutter="0"/>
        </w:sectPr>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BodyText"/>
        <w:ind w:left="884" w:right="87"/>
        <w:spacing w:before="65" w:line="314" w:lineRule="auto"/>
        <w:jc w:val="both"/>
        <w:rPr/>
      </w:pPr>
      <w:r>
        <w:rPr>
          <w:spacing w:val="8"/>
        </w:rPr>
        <w:t>质食物等，短期内均可能导致该病发生；血象检查方面，血常规检查结果中，如果出现血沉速度加快、</w:t>
      </w:r>
      <w:r>
        <w:rPr>
          <w:spacing w:val="-40"/>
        </w:rPr>
        <w:t xml:space="preserve"> </w:t>
      </w:r>
      <w:r>
        <w:rPr>
          <w:spacing w:val="8"/>
        </w:rPr>
        <w:t>白</w:t>
      </w:r>
      <w:r>
        <w:rPr/>
        <w:t xml:space="preserve"> </w:t>
      </w:r>
      <w:r>
        <w:rPr>
          <w:spacing w:val="9"/>
        </w:rPr>
        <w:t>细胞增加，则高度疑似急性肠胃炎。大便常规检查，少数患者存在微量红细胞、白细胞的现象，多数检查</w:t>
      </w:r>
      <w:r>
        <w:rPr>
          <w:spacing w:val="12"/>
        </w:rPr>
        <w:t xml:space="preserve"> </w:t>
      </w:r>
      <w:r>
        <w:rPr>
          <w:spacing w:val="5"/>
        </w:rPr>
        <w:t>结果正常。</w:t>
      </w:r>
    </w:p>
    <w:p>
      <w:pPr>
        <w:pStyle w:val="BodyText"/>
        <w:ind w:left="883" w:right="35" w:firstLine="430"/>
        <w:spacing w:before="5" w:line="313" w:lineRule="auto"/>
        <w:jc w:val="both"/>
        <w:rPr/>
      </w:pPr>
      <w:r>
        <w:rPr>
          <w:spacing w:val="11"/>
        </w:rPr>
        <w:t>（</w:t>
      </w:r>
      <w:r>
        <w:rPr>
          <w:rFonts w:ascii="Times New Roman" w:hAnsi="Times New Roman" w:eastAsia="Times New Roman" w:cs="Times New Roman"/>
          <w:spacing w:val="11"/>
        </w:rPr>
        <w:t>2</w:t>
      </w:r>
      <w:r>
        <w:rPr>
          <w:spacing w:val="11"/>
        </w:rPr>
        <w:t>）治疗。所有患者入院后基础治疗方法均相同。方法如下：①补充水分。因患者腹泻、呕吐症状</w:t>
      </w:r>
      <w:r>
        <w:rPr>
          <w:spacing w:val="12"/>
        </w:rPr>
        <w:t xml:space="preserve"> </w:t>
      </w:r>
      <w:r>
        <w:rPr>
          <w:spacing w:val="9"/>
        </w:rPr>
        <w:t>明显，机体水分流失严重，所以需要给予患者水分补充，以凉白开饮用为主，可适量加入糖、盐，并保持</w:t>
      </w:r>
      <w:r>
        <w:rPr>
          <w:spacing w:val="16"/>
        </w:rPr>
        <w:t xml:space="preserve"> </w:t>
      </w:r>
      <w:r>
        <w:rPr>
          <w:spacing w:val="9"/>
        </w:rPr>
        <w:t>充足的休息，防止发生脱水情况；②保持情绪稳定，防止情绪变化过大对胃肠道产生刺激作用，引起胃肠</w:t>
      </w:r>
      <w:r>
        <w:rPr>
          <w:spacing w:val="13"/>
        </w:rPr>
        <w:t xml:space="preserve"> </w:t>
      </w:r>
      <w:r>
        <w:rPr>
          <w:spacing w:val="6"/>
        </w:rPr>
        <w:t>炎症状加重；③饮食调整。发病后禁止食用易胀气、难消化的食物，可以食用南瓜粥、小米粥等流质食物；</w:t>
      </w:r>
      <w:r>
        <w:rPr/>
        <w:t xml:space="preserve"> </w:t>
      </w:r>
      <w:r>
        <w:rPr>
          <w:spacing w:val="9"/>
        </w:rPr>
        <w:t>对腹泻、呕吐严重者，可以食用菜汤；发病短期内建议以面条食物为主；④在医生的指导下用药治疗。在</w:t>
      </w:r>
      <w:r>
        <w:rPr>
          <w:spacing w:val="16"/>
        </w:rPr>
        <w:t xml:space="preserve"> </w:t>
      </w:r>
      <w:r>
        <w:rPr>
          <w:spacing w:val="7"/>
        </w:rPr>
        <w:t>上述治疗基础上，对照组口服</w:t>
      </w:r>
      <w:r>
        <w:rPr>
          <w:spacing w:val="-20"/>
        </w:rPr>
        <w:t xml:space="preserve"> </w:t>
      </w:r>
      <w:r>
        <w:rPr>
          <w:rFonts w:ascii="Times New Roman" w:hAnsi="Times New Roman" w:eastAsia="Times New Roman" w:cs="Times New Roman"/>
          <w:spacing w:val="7"/>
        </w:rPr>
        <w:t>100</w:t>
      </w:r>
      <w:r>
        <w:rPr>
          <w:rFonts w:ascii="Times New Roman" w:hAnsi="Times New Roman" w:eastAsia="Times New Roman" w:cs="Times New Roman"/>
        </w:rPr>
        <w:t>mg</w:t>
      </w:r>
      <w:r>
        <w:rPr>
          <w:rFonts w:ascii="Times New Roman" w:hAnsi="Times New Roman" w:eastAsia="Times New Roman" w:cs="Times New Roman"/>
          <w:spacing w:val="21"/>
        </w:rPr>
        <w:t xml:space="preserve"> </w:t>
      </w:r>
      <w:r>
        <w:rPr>
          <w:spacing w:val="7"/>
        </w:rPr>
        <w:t>阿莫西林，每天服用两次；</w:t>
      </w:r>
      <w:r>
        <w:rPr>
          <w:spacing w:val="-55"/>
        </w:rPr>
        <w:t xml:space="preserve"> </w:t>
      </w:r>
      <w:r>
        <w:rPr>
          <w:spacing w:val="7"/>
        </w:rPr>
        <w:t>以此作为基础，观察组联合口服</w:t>
      </w:r>
      <w:r>
        <w:rPr>
          <w:spacing w:val="-23"/>
        </w:rPr>
        <w:t xml:space="preserve"> </w:t>
      </w:r>
      <w:r>
        <w:rPr>
          <w:rFonts w:ascii="Times New Roman" w:hAnsi="Times New Roman" w:eastAsia="Times New Roman" w:cs="Times New Roman"/>
          <w:spacing w:val="7"/>
        </w:rPr>
        <w:t>1g</w:t>
      </w:r>
      <w:r>
        <w:rPr>
          <w:rFonts w:ascii="Times New Roman" w:hAnsi="Times New Roman" w:eastAsia="Times New Roman" w:cs="Times New Roman"/>
          <w:spacing w:val="29"/>
          <w:w w:val="101"/>
        </w:rPr>
        <w:t xml:space="preserve"> </w:t>
      </w:r>
      <w:r>
        <w:rPr>
          <w:spacing w:val="7"/>
        </w:rPr>
        <w:t>的替</w:t>
      </w:r>
      <w:r>
        <w:rPr/>
        <w:t xml:space="preserve"> </w:t>
      </w:r>
      <w:r>
        <w:rPr>
          <w:spacing w:val="8"/>
        </w:rPr>
        <w:t>硝唑，每天服用一次。</w:t>
      </w:r>
    </w:p>
    <w:p>
      <w:pPr>
        <w:pStyle w:val="BodyText"/>
        <w:ind w:left="889"/>
        <w:spacing w:before="56" w:line="228" w:lineRule="auto"/>
        <w:outlineLvl w:val="3"/>
        <w:rPr/>
      </w:pPr>
      <w:r>
        <w:rPr>
          <w:rFonts w:ascii="Times New Roman" w:hAnsi="Times New Roman" w:eastAsia="Times New Roman" w:cs="Times New Roman"/>
          <w:b/>
          <w:bCs/>
          <w:spacing w:val="3"/>
        </w:rPr>
        <w:t>1.3</w:t>
      </w:r>
      <w:r>
        <w:rPr>
          <w:rFonts w:ascii="Times New Roman" w:hAnsi="Times New Roman" w:eastAsia="Times New Roman" w:cs="Times New Roman"/>
          <w:b/>
          <w:bCs/>
          <w:spacing w:val="5"/>
        </w:rPr>
        <w:t xml:space="preserve">    </w:t>
      </w:r>
      <w:r>
        <w:rPr>
          <w:b/>
          <w:bCs/>
          <w:spacing w:val="3"/>
        </w:rPr>
        <w:t>观察指标</w:t>
      </w:r>
    </w:p>
    <w:p>
      <w:pPr>
        <w:pStyle w:val="BodyText"/>
        <w:ind w:left="1314"/>
        <w:spacing w:before="115" w:line="228" w:lineRule="auto"/>
        <w:rPr/>
      </w:pPr>
      <w:r>
        <w:rPr>
          <w:spacing w:val="9"/>
        </w:rPr>
        <w:t>（</w:t>
      </w:r>
      <w:r>
        <w:rPr>
          <w:rFonts w:ascii="Times New Roman" w:hAnsi="Times New Roman" w:eastAsia="Times New Roman" w:cs="Times New Roman"/>
          <w:spacing w:val="9"/>
        </w:rPr>
        <w:t>1</w:t>
      </w:r>
      <w:r>
        <w:rPr>
          <w:spacing w:val="9"/>
        </w:rPr>
        <w:t>）对两组治疗期间呕吐、腹痛、腹泻等症状缓解时间进</w:t>
      </w:r>
      <w:r>
        <w:rPr>
          <w:spacing w:val="8"/>
        </w:rPr>
        <w:t>行比较。</w:t>
      </w:r>
    </w:p>
    <w:p>
      <w:pPr>
        <w:pStyle w:val="BodyText"/>
        <w:ind w:left="1314"/>
        <w:spacing w:before="94" w:line="227" w:lineRule="auto"/>
        <w:rPr/>
      </w:pPr>
      <w:r>
        <w:rPr>
          <w:spacing w:val="9"/>
        </w:rPr>
        <w:t>（</w:t>
      </w:r>
      <w:r>
        <w:rPr>
          <w:rFonts w:ascii="Times New Roman" w:hAnsi="Times New Roman" w:eastAsia="Times New Roman" w:cs="Times New Roman"/>
          <w:spacing w:val="9"/>
        </w:rPr>
        <w:t>2</w:t>
      </w:r>
      <w:r>
        <w:rPr>
          <w:spacing w:val="9"/>
        </w:rPr>
        <w:t>）对比治疗效果，显效：治疗一天之内症状基本上消失，临床指标恢复到正常水平；</w:t>
      </w:r>
    </w:p>
    <w:p>
      <w:pPr>
        <w:pStyle w:val="BodyText"/>
        <w:ind w:left="884" w:right="87" w:firstLine="420"/>
        <w:spacing w:before="96" w:line="308" w:lineRule="auto"/>
        <w:rPr/>
      </w:pPr>
      <w:r>
        <w:rPr>
          <w:spacing w:val="9"/>
        </w:rPr>
        <w:t>有效：治疗一天之后症状有较大程度的缓解；无效：治疗一天后症状没有缓解或者有加重的迹象。总</w:t>
      </w:r>
      <w:r>
        <w:rPr>
          <w:spacing w:val="12"/>
        </w:rPr>
        <w:t xml:space="preserve"> </w:t>
      </w:r>
      <w:r>
        <w:rPr>
          <w:spacing w:val="6"/>
        </w:rPr>
        <w:t>有效率</w:t>
      </w:r>
      <w:r>
        <w:rPr>
          <w:rFonts w:ascii="Times New Roman" w:hAnsi="Times New Roman" w:eastAsia="Times New Roman" w:cs="Times New Roman"/>
          <w:spacing w:val="6"/>
        </w:rPr>
        <w:t>=1-</w:t>
      </w:r>
      <w:r>
        <w:rPr>
          <w:spacing w:val="6"/>
        </w:rPr>
        <w:t>无效率。</w:t>
      </w:r>
    </w:p>
    <w:p>
      <w:pPr>
        <w:pStyle w:val="BodyText"/>
        <w:ind w:left="883" w:firstLine="430"/>
        <w:spacing w:before="10" w:line="268" w:lineRule="auto"/>
        <w:rPr/>
      </w:pPr>
      <w:r>
        <w:rPr>
          <w:spacing w:val="2"/>
        </w:rPr>
        <w:t>（</w:t>
      </w:r>
      <w:r>
        <w:rPr>
          <w:rFonts w:ascii="Times New Roman" w:hAnsi="Times New Roman" w:eastAsia="Times New Roman" w:cs="Times New Roman"/>
          <w:spacing w:val="2"/>
        </w:rPr>
        <w:t>3</w:t>
      </w:r>
      <w:r>
        <w:rPr>
          <w:spacing w:val="2"/>
        </w:rPr>
        <w:t>）对两组患者治疗前后血清白细胞介素</w:t>
      </w:r>
      <w:r>
        <w:rPr>
          <w:spacing w:val="-41"/>
        </w:rPr>
        <w:t xml:space="preserve"> </w:t>
      </w:r>
      <w:r>
        <w:rPr>
          <w:rFonts w:ascii="Times New Roman" w:hAnsi="Times New Roman" w:eastAsia="Times New Roman" w:cs="Times New Roman"/>
          <w:spacing w:val="2"/>
        </w:rPr>
        <w:t>4</w:t>
      </w:r>
      <w:r>
        <w:rPr>
          <w:spacing w:val="2"/>
        </w:rPr>
        <w:t>（</w:t>
      </w:r>
      <w:r>
        <w:rPr>
          <w:rFonts w:ascii="Times New Roman" w:hAnsi="Times New Roman" w:eastAsia="Times New Roman" w:cs="Times New Roman"/>
        </w:rPr>
        <w:t>Interleukin</w:t>
      </w:r>
      <w:r>
        <w:rPr>
          <w:rFonts w:ascii="Times New Roman" w:hAnsi="Times New Roman" w:eastAsia="Times New Roman" w:cs="Times New Roman"/>
          <w:spacing w:val="2"/>
        </w:rPr>
        <w:t>-4</w:t>
      </w:r>
      <w:r>
        <w:rPr>
          <w:spacing w:val="2"/>
        </w:rPr>
        <w:t>，</w:t>
      </w:r>
      <w:r>
        <w:rPr>
          <w:rFonts w:ascii="Times New Roman" w:hAnsi="Times New Roman" w:eastAsia="Times New Roman" w:cs="Times New Roman"/>
        </w:rPr>
        <w:t>IL</w:t>
      </w:r>
      <w:r>
        <w:rPr>
          <w:rFonts w:ascii="Times New Roman" w:hAnsi="Times New Roman" w:eastAsia="Times New Roman" w:cs="Times New Roman"/>
          <w:spacing w:val="2"/>
        </w:rPr>
        <w:t>-4</w:t>
      </w:r>
      <w:r>
        <w:rPr>
          <w:spacing w:val="1"/>
        </w:rPr>
        <w:t>）、白细胞介素</w:t>
      </w:r>
      <w:r>
        <w:rPr>
          <w:spacing w:val="-39"/>
        </w:rPr>
        <w:t xml:space="preserve"> </w:t>
      </w:r>
      <w:r>
        <w:rPr>
          <w:rFonts w:ascii="Times New Roman" w:hAnsi="Times New Roman" w:eastAsia="Times New Roman" w:cs="Times New Roman"/>
          <w:spacing w:val="1"/>
        </w:rPr>
        <w:t>6</w:t>
      </w:r>
      <w:r>
        <w:rPr>
          <w:spacing w:val="1"/>
        </w:rPr>
        <w:t>（</w:t>
      </w:r>
      <w:r>
        <w:rPr>
          <w:rFonts w:ascii="Times New Roman" w:hAnsi="Times New Roman" w:eastAsia="Times New Roman" w:cs="Times New Roman"/>
        </w:rPr>
        <w:t>Interleukin</w:t>
      </w:r>
      <w:r>
        <w:rPr>
          <w:rFonts w:ascii="Times New Roman" w:hAnsi="Times New Roman" w:eastAsia="Times New Roman" w:cs="Times New Roman"/>
          <w:spacing w:val="1"/>
        </w:rPr>
        <w:t>-6</w:t>
      </w:r>
      <w:r>
        <w:rPr>
          <w:spacing w:val="1"/>
        </w:rPr>
        <w:t>，</w:t>
      </w:r>
      <w:r>
        <w:rPr>
          <w:rFonts w:ascii="Times New Roman" w:hAnsi="Times New Roman" w:eastAsia="Times New Roman" w:cs="Times New Roman"/>
        </w:rPr>
        <w:t>IL</w:t>
      </w:r>
      <w:r>
        <w:rPr>
          <w:rFonts w:ascii="Times New Roman" w:hAnsi="Times New Roman" w:eastAsia="Times New Roman" w:cs="Times New Roman"/>
          <w:spacing w:val="1"/>
        </w:rPr>
        <w:t>-6</w:t>
      </w:r>
      <w:r>
        <w:rPr>
          <w:spacing w:val="1"/>
        </w:rPr>
        <w:t>）</w:t>
      </w:r>
      <w:r>
        <w:rPr/>
        <w:t xml:space="preserve"> </w:t>
      </w:r>
      <w:r>
        <w:rPr>
          <w:spacing w:val="10"/>
        </w:rPr>
        <w:t>及</w:t>
      </w:r>
      <w:r>
        <w:rPr>
          <w:spacing w:val="-37"/>
        </w:rPr>
        <w:t xml:space="preserve"> </w:t>
      </w:r>
      <w:r>
        <w:rPr>
          <w:rFonts w:ascii="Times New Roman" w:hAnsi="Times New Roman" w:eastAsia="Times New Roman" w:cs="Times New Roman"/>
          <w:spacing w:val="10"/>
        </w:rPr>
        <w:t>C </w:t>
      </w:r>
      <w:r>
        <w:rPr>
          <w:spacing w:val="10"/>
        </w:rPr>
        <w:t>反应蛋白（</w:t>
      </w:r>
      <w:r>
        <w:rPr>
          <w:rFonts w:ascii="Times New Roman" w:hAnsi="Times New Roman" w:eastAsia="Times New Roman" w:cs="Times New Roman"/>
          <w:spacing w:val="10"/>
        </w:rPr>
        <w:t>C-</w:t>
      </w:r>
      <w:r>
        <w:rPr>
          <w:rFonts w:ascii="Times New Roman" w:hAnsi="Times New Roman" w:eastAsia="Times New Roman" w:cs="Times New Roman"/>
        </w:rPr>
        <w:t>reactive</w:t>
      </w:r>
      <w:r>
        <w:rPr>
          <w:rFonts w:ascii="Times New Roman" w:hAnsi="Times New Roman" w:eastAsia="Times New Roman" w:cs="Times New Roman"/>
          <w:spacing w:val="10"/>
        </w:rPr>
        <w:t xml:space="preserve"> </w:t>
      </w:r>
      <w:r>
        <w:rPr>
          <w:rFonts w:ascii="Times New Roman" w:hAnsi="Times New Roman" w:eastAsia="Times New Roman" w:cs="Times New Roman"/>
        </w:rPr>
        <w:t>protein</w:t>
      </w:r>
      <w:r>
        <w:rPr>
          <w:rFonts w:ascii="Times New Roman" w:hAnsi="Times New Roman" w:eastAsia="Times New Roman" w:cs="Times New Roman"/>
          <w:spacing w:val="-26"/>
        </w:rPr>
        <w:t xml:space="preserve"> </w:t>
      </w:r>
      <w:r>
        <w:rPr>
          <w:spacing w:val="10"/>
        </w:rPr>
        <w:t>，</w:t>
      </w:r>
      <w:r>
        <w:rPr>
          <w:rFonts w:ascii="Times New Roman" w:hAnsi="Times New Roman" w:eastAsia="Times New Roman" w:cs="Times New Roman"/>
        </w:rPr>
        <w:t>CRP</w:t>
      </w:r>
      <w:r>
        <w:rPr>
          <w:spacing w:val="10"/>
        </w:rPr>
        <w:t>）等炎性因子指标水平变化</w:t>
      </w:r>
      <w:r>
        <w:rPr>
          <w:spacing w:val="9"/>
        </w:rPr>
        <w:t>进行比较。</w:t>
      </w:r>
    </w:p>
    <w:p>
      <w:pPr>
        <w:pStyle w:val="BodyText"/>
        <w:ind w:left="1314"/>
        <w:spacing w:before="99" w:line="228" w:lineRule="auto"/>
        <w:rPr/>
      </w:pPr>
      <w:r>
        <w:rPr>
          <w:spacing w:val="8"/>
        </w:rPr>
        <w:t>（</w:t>
      </w:r>
      <w:r>
        <w:rPr>
          <w:rFonts w:ascii="Times New Roman" w:hAnsi="Times New Roman" w:eastAsia="Times New Roman" w:cs="Times New Roman"/>
          <w:spacing w:val="8"/>
        </w:rPr>
        <w:t>4</w:t>
      </w:r>
      <w:r>
        <w:rPr>
          <w:spacing w:val="8"/>
        </w:rPr>
        <w:t>）对比用药过程中的不良反应发生率。</w:t>
      </w:r>
    </w:p>
    <w:p>
      <w:pPr>
        <w:pStyle w:val="BodyText"/>
        <w:ind w:left="889"/>
        <w:spacing w:before="149" w:line="228" w:lineRule="auto"/>
        <w:outlineLvl w:val="3"/>
        <w:rPr/>
      </w:pPr>
      <w:r>
        <w:rPr>
          <w:rFonts w:ascii="Times New Roman" w:hAnsi="Times New Roman" w:eastAsia="Times New Roman" w:cs="Times New Roman"/>
          <w:b/>
          <w:bCs/>
          <w:spacing w:val="3"/>
        </w:rPr>
        <w:t>1.4</w:t>
      </w:r>
      <w:r>
        <w:rPr>
          <w:rFonts w:ascii="Times New Roman" w:hAnsi="Times New Roman" w:eastAsia="Times New Roman" w:cs="Times New Roman"/>
          <w:b/>
          <w:bCs/>
          <w:spacing w:val="6"/>
        </w:rPr>
        <w:t xml:space="preserve">    </w:t>
      </w:r>
      <w:r>
        <w:rPr>
          <w:b/>
          <w:bCs/>
          <w:spacing w:val="3"/>
        </w:rPr>
        <w:t>统计学分析</w:t>
      </w:r>
    </w:p>
    <w:p>
      <w:pPr>
        <w:pStyle w:val="BodyText"/>
        <w:ind w:left="1308"/>
        <w:spacing w:before="117" w:line="228" w:lineRule="auto"/>
        <w:rPr/>
      </w:pPr>
      <w:r>
        <w:rPr>
          <w:rFonts w:ascii="Times New Roman" w:hAnsi="Times New Roman" w:eastAsia="Times New Roman" w:cs="Times New Roman"/>
        </w:rPr>
        <w:t>SPSS</w:t>
      </w:r>
      <w:r>
        <w:rPr>
          <w:rFonts w:ascii="Times New Roman" w:hAnsi="Times New Roman" w:eastAsia="Times New Roman" w:cs="Times New Roman"/>
          <w:spacing w:val="8"/>
        </w:rPr>
        <w:t>21.0 </w:t>
      </w:r>
      <w:r>
        <w:rPr>
          <w:spacing w:val="8"/>
        </w:rPr>
        <w:t>软件分析数据，检验则使用（</w:t>
      </w:r>
      <w:r>
        <w:rPr>
          <w:rFonts w:ascii="Times New Roman" w:hAnsi="Times New Roman" w:eastAsia="Times New Roman" w:cs="Times New Roman"/>
          <w:spacing w:val="8"/>
        </w:rPr>
        <w:t>x</w:t>
      </w:r>
      <w:r>
        <w:rPr>
          <w:spacing w:val="8"/>
        </w:rPr>
        <w:t>±</w:t>
      </w:r>
      <w:r>
        <w:rPr>
          <w:rFonts w:ascii="Times New Roman" w:hAnsi="Times New Roman" w:eastAsia="Times New Roman" w:cs="Times New Roman"/>
          <w:spacing w:val="8"/>
        </w:rPr>
        <w:t>s</w:t>
      </w:r>
      <w:r>
        <w:rPr>
          <w:spacing w:val="8"/>
        </w:rPr>
        <w:t>）与</w:t>
      </w:r>
      <w:r>
        <w:rPr>
          <w:spacing w:val="-43"/>
        </w:rPr>
        <w:t xml:space="preserve"> </w:t>
      </w:r>
      <w:r>
        <w:rPr>
          <w:rFonts w:ascii="Times New Roman" w:hAnsi="Times New Roman" w:eastAsia="Times New Roman" w:cs="Times New Roman"/>
          <w:spacing w:val="8"/>
        </w:rPr>
        <w:t>X2 </w:t>
      </w:r>
      <w:r>
        <w:rPr>
          <w:spacing w:val="8"/>
        </w:rPr>
        <w:t>等方法，</w:t>
      </w:r>
      <w:r>
        <w:rPr>
          <w:rFonts w:ascii="Times New Roman" w:hAnsi="Times New Roman" w:eastAsia="Times New Roman" w:cs="Times New Roman"/>
          <w:spacing w:val="8"/>
        </w:rPr>
        <w:t>P</w:t>
      </w:r>
      <w:r>
        <w:rPr>
          <w:spacing w:val="8"/>
        </w:rPr>
        <w:t>＜</w:t>
      </w:r>
      <w:r>
        <w:rPr>
          <w:rFonts w:ascii="Times New Roman" w:hAnsi="Times New Roman" w:eastAsia="Times New Roman" w:cs="Times New Roman"/>
          <w:spacing w:val="8"/>
        </w:rPr>
        <w:t>0.05 </w:t>
      </w:r>
      <w:r>
        <w:rPr>
          <w:spacing w:val="8"/>
        </w:rPr>
        <w:t>预示着具有统计学意</w:t>
      </w:r>
      <w:r>
        <w:rPr>
          <w:spacing w:val="7"/>
        </w:rPr>
        <w:t>义。</w:t>
      </w:r>
    </w:p>
    <w:p>
      <w:pPr>
        <w:pStyle w:val="BodyText"/>
        <w:ind w:left="881"/>
        <w:spacing w:before="183" w:line="220" w:lineRule="auto"/>
        <w:outlineLvl w:val="2"/>
        <w:rPr>
          <w:sz w:val="24"/>
          <w:szCs w:val="24"/>
        </w:rPr>
      </w:pPr>
      <w:r>
        <w:rPr>
          <w:rFonts w:ascii="Times New Roman" w:hAnsi="Times New Roman" w:eastAsia="Times New Roman" w:cs="Times New Roman"/>
          <w:sz w:val="24"/>
          <w:szCs w:val="24"/>
          <w:b/>
          <w:bCs/>
          <w:spacing w:val="-9"/>
        </w:rPr>
        <w:t>2</w:t>
      </w:r>
      <w:r>
        <w:rPr>
          <w:rFonts w:ascii="Times New Roman" w:hAnsi="Times New Roman" w:eastAsia="Times New Roman" w:cs="Times New Roman"/>
          <w:sz w:val="24"/>
          <w:szCs w:val="24"/>
          <w:b/>
          <w:bCs/>
          <w:spacing w:val="3"/>
        </w:rPr>
        <w:t xml:space="preserve">    </w:t>
      </w:r>
      <w:r>
        <w:rPr>
          <w:sz w:val="24"/>
          <w:szCs w:val="24"/>
          <w:b/>
          <w:bCs/>
          <w:spacing w:val="-9"/>
        </w:rPr>
        <w:t>结果</w:t>
      </w:r>
    </w:p>
    <w:p>
      <w:pPr>
        <w:pStyle w:val="BodyText"/>
        <w:ind w:left="880"/>
        <w:spacing w:before="160" w:line="228" w:lineRule="auto"/>
        <w:outlineLvl w:val="3"/>
        <w:rPr/>
      </w:pPr>
      <w:r>
        <w:rPr>
          <w:rFonts w:ascii="Times New Roman" w:hAnsi="Times New Roman" w:eastAsia="Times New Roman" w:cs="Times New Roman"/>
          <w:b/>
          <w:bCs/>
          <w:spacing w:val="5"/>
        </w:rPr>
        <w:t>2.1    </w:t>
      </w:r>
      <w:r>
        <w:rPr>
          <w:b/>
          <w:bCs/>
          <w:spacing w:val="5"/>
        </w:rPr>
        <w:t>症状缓解时间</w:t>
      </w:r>
    </w:p>
    <w:p>
      <w:pPr>
        <w:pStyle w:val="BodyText"/>
        <w:ind w:left="1303"/>
        <w:spacing w:before="118" w:line="228" w:lineRule="auto"/>
        <w:rPr/>
      </w:pPr>
      <w:r>
        <w:rPr>
          <w:spacing w:val="7"/>
        </w:rPr>
        <w:t>观察组呕吐、腹痛以及腹泻的缓解时间明显更短，</w:t>
      </w:r>
      <w:r>
        <w:rPr>
          <w:rFonts w:ascii="Times New Roman" w:hAnsi="Times New Roman" w:eastAsia="Times New Roman" w:cs="Times New Roman"/>
          <w:spacing w:val="7"/>
        </w:rPr>
        <w:t>P</w:t>
      </w:r>
      <w:r>
        <w:rPr>
          <w:spacing w:val="7"/>
        </w:rPr>
        <w:t>＜</w:t>
      </w:r>
      <w:r>
        <w:rPr>
          <w:rFonts w:ascii="Times New Roman" w:hAnsi="Times New Roman" w:eastAsia="Times New Roman" w:cs="Times New Roman"/>
          <w:spacing w:val="7"/>
        </w:rPr>
        <w:t>0.05</w:t>
      </w:r>
      <w:r>
        <w:rPr>
          <w:rFonts w:ascii="Times New Roman" w:hAnsi="Times New Roman" w:eastAsia="Times New Roman" w:cs="Times New Roman"/>
          <w:spacing w:val="-24"/>
        </w:rPr>
        <w:t xml:space="preserve"> </w:t>
      </w:r>
      <w:r>
        <w:rPr>
          <w:spacing w:val="7"/>
        </w:rPr>
        <w:t>，见</w:t>
      </w:r>
      <w:r>
        <w:rPr>
          <w:spacing w:val="6"/>
        </w:rPr>
        <w:t>表</w:t>
      </w:r>
      <w:r>
        <w:rPr>
          <w:spacing w:val="-23"/>
        </w:rPr>
        <w:t xml:space="preserve"> </w:t>
      </w:r>
      <w:r>
        <w:rPr>
          <w:rFonts w:ascii="Times New Roman" w:hAnsi="Times New Roman" w:eastAsia="Times New Roman" w:cs="Times New Roman"/>
          <w:spacing w:val="6"/>
        </w:rPr>
        <w:t>1</w:t>
      </w:r>
      <w:r>
        <w:rPr>
          <w:spacing w:val="6"/>
        </w:rPr>
        <w:t>。</w:t>
      </w:r>
    </w:p>
    <w:p>
      <w:pPr>
        <w:pStyle w:val="BodyText"/>
        <w:ind w:left="4358"/>
        <w:spacing w:before="44" w:line="218" w:lineRule="auto"/>
        <w:outlineLvl w:val="1"/>
        <w:rPr/>
      </w:pPr>
      <w:r>
        <w:rPr>
          <w:b/>
          <w:bCs/>
          <w:spacing w:val="5"/>
        </w:rPr>
        <w:t>表</w:t>
      </w:r>
      <w:r>
        <w:rPr>
          <w:spacing w:val="-16"/>
        </w:rPr>
        <w:t xml:space="preserve"> </w:t>
      </w:r>
      <w:r>
        <w:rPr>
          <w:b/>
          <w:bCs/>
          <w:spacing w:val="5"/>
        </w:rPr>
        <w:t>1</w:t>
      </w:r>
      <w:r>
        <w:rPr>
          <w:spacing w:val="5"/>
        </w:rPr>
        <w:t xml:space="preserve">  </w:t>
      </w:r>
      <w:r>
        <w:rPr>
          <w:b/>
          <w:bCs/>
          <w:spacing w:val="5"/>
        </w:rPr>
        <w:t>两组症状缓解时间比较</w:t>
      </w:r>
    </w:p>
    <w:tbl>
      <w:tblPr>
        <w:tblStyle w:val="TableNormal"/>
        <w:tblW w:w="9459" w:type="dxa"/>
        <w:tblInd w:w="9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92"/>
        <w:gridCol w:w="2386"/>
        <w:gridCol w:w="2448"/>
        <w:gridCol w:w="2933"/>
      </w:tblGrid>
      <w:tr>
        <w:trPr>
          <w:trHeight w:val="209" w:hRule="atLeast"/>
        </w:trPr>
        <w:tc>
          <w:tcPr>
            <w:tcW w:w="1692" w:type="dxa"/>
            <w:vAlign w:val="top"/>
            <w:tcBorders>
              <w:bottom w:val="single" w:color="000000" w:sz="2" w:space="0"/>
              <w:top w:val="single" w:color="000000" w:sz="2" w:space="0"/>
            </w:tcBorders>
          </w:tcPr>
          <w:p>
            <w:pPr>
              <w:pStyle w:val="TableText"/>
              <w:ind w:left="118"/>
              <w:spacing w:before="11" w:line="192" w:lineRule="auto"/>
              <w:rPr/>
            </w:pPr>
            <w:r>
              <w:rPr>
                <w:spacing w:val="-5"/>
              </w:rPr>
              <w:t>组别</w:t>
            </w:r>
          </w:p>
        </w:tc>
        <w:tc>
          <w:tcPr>
            <w:tcW w:w="2386" w:type="dxa"/>
            <w:vAlign w:val="top"/>
            <w:tcBorders>
              <w:bottom w:val="single" w:color="000000" w:sz="2" w:space="0"/>
              <w:top w:val="single" w:color="000000" w:sz="2" w:space="0"/>
            </w:tcBorders>
          </w:tcPr>
          <w:p>
            <w:pPr>
              <w:pStyle w:val="TableText"/>
              <w:ind w:left="546"/>
              <w:spacing w:before="11" w:line="192" w:lineRule="auto"/>
              <w:rPr/>
            </w:pPr>
            <w:r>
              <w:rPr>
                <w:spacing w:val="-2"/>
              </w:rPr>
              <w:t>呕吐缓解时间/h</w:t>
            </w:r>
          </w:p>
        </w:tc>
        <w:tc>
          <w:tcPr>
            <w:tcW w:w="2448" w:type="dxa"/>
            <w:vAlign w:val="top"/>
            <w:tcBorders>
              <w:bottom w:val="single" w:color="000000" w:sz="2" w:space="0"/>
              <w:top w:val="single" w:color="000000" w:sz="2" w:space="0"/>
            </w:tcBorders>
          </w:tcPr>
          <w:p>
            <w:pPr>
              <w:pStyle w:val="TableText"/>
              <w:ind w:left="600"/>
              <w:spacing w:before="11" w:line="192" w:lineRule="auto"/>
              <w:rPr/>
            </w:pPr>
            <w:r>
              <w:rPr>
                <w:spacing w:val="-1"/>
              </w:rPr>
              <w:t>腹痛缓解时间/h</w:t>
            </w:r>
          </w:p>
        </w:tc>
        <w:tc>
          <w:tcPr>
            <w:tcW w:w="2933" w:type="dxa"/>
            <w:vAlign w:val="top"/>
            <w:tcBorders>
              <w:bottom w:val="single" w:color="000000" w:sz="2" w:space="0"/>
              <w:top w:val="single" w:color="000000" w:sz="2" w:space="0"/>
            </w:tcBorders>
          </w:tcPr>
          <w:p>
            <w:pPr>
              <w:pStyle w:val="TableText"/>
              <w:ind w:left="600"/>
              <w:spacing w:before="11" w:line="192" w:lineRule="auto"/>
              <w:rPr/>
            </w:pPr>
            <w:r>
              <w:rPr>
                <w:spacing w:val="-1"/>
              </w:rPr>
              <w:t>腹泻缓解时间/h</w:t>
            </w:r>
          </w:p>
        </w:tc>
      </w:tr>
      <w:tr>
        <w:trPr>
          <w:trHeight w:val="195" w:hRule="atLeast"/>
        </w:trPr>
        <w:tc>
          <w:tcPr>
            <w:tcW w:w="1692" w:type="dxa"/>
            <w:vAlign w:val="top"/>
            <w:tcBorders>
              <w:top w:val="single" w:color="000000" w:sz="2" w:space="0"/>
            </w:tcBorders>
          </w:tcPr>
          <w:p>
            <w:pPr>
              <w:pStyle w:val="TableText"/>
              <w:ind w:left="116"/>
              <w:spacing w:before="6" w:line="183" w:lineRule="auto"/>
              <w:rPr/>
            </w:pPr>
            <w:r>
              <w:rPr>
                <w:spacing w:val="-1"/>
              </w:rPr>
              <w:t>观察组(n=46)</w:t>
            </w:r>
          </w:p>
        </w:tc>
        <w:tc>
          <w:tcPr>
            <w:tcW w:w="2386" w:type="dxa"/>
            <w:vAlign w:val="top"/>
            <w:tcBorders>
              <w:top w:val="single" w:color="000000" w:sz="2" w:space="0"/>
            </w:tcBorders>
          </w:tcPr>
          <w:p>
            <w:pPr>
              <w:pStyle w:val="TableText"/>
              <w:ind w:left="542"/>
              <w:spacing w:before="6" w:line="183" w:lineRule="auto"/>
              <w:rPr/>
            </w:pPr>
            <w:r>
              <w:rPr>
                <w:spacing w:val="-7"/>
              </w:rPr>
              <w:t>7.34±</w:t>
            </w:r>
            <w:r>
              <w:rPr>
                <w:spacing w:val="-39"/>
              </w:rPr>
              <w:t xml:space="preserve"> </w:t>
            </w:r>
            <w:r>
              <w:rPr>
                <w:spacing w:val="-7"/>
              </w:rPr>
              <w:t>1.58</w:t>
            </w:r>
          </w:p>
        </w:tc>
        <w:tc>
          <w:tcPr>
            <w:tcW w:w="2448" w:type="dxa"/>
            <w:vAlign w:val="top"/>
            <w:tcBorders>
              <w:top w:val="single" w:color="000000" w:sz="2" w:space="0"/>
            </w:tcBorders>
          </w:tcPr>
          <w:p>
            <w:pPr>
              <w:pStyle w:val="TableText"/>
              <w:ind w:left="613"/>
              <w:spacing w:before="6" w:line="183" w:lineRule="auto"/>
              <w:rPr/>
            </w:pPr>
            <w:r>
              <w:rPr>
                <w:spacing w:val="-6"/>
              </w:rPr>
              <w:t>11.26±</w:t>
            </w:r>
            <w:r>
              <w:rPr>
                <w:spacing w:val="-52"/>
              </w:rPr>
              <w:t xml:space="preserve"> </w:t>
            </w:r>
            <w:r>
              <w:rPr>
                <w:spacing w:val="-6"/>
              </w:rPr>
              <w:t>2.45</w:t>
            </w:r>
          </w:p>
        </w:tc>
        <w:tc>
          <w:tcPr>
            <w:tcW w:w="2933" w:type="dxa"/>
            <w:vAlign w:val="top"/>
            <w:tcBorders>
              <w:top w:val="single" w:color="000000" w:sz="2" w:space="0"/>
            </w:tcBorders>
          </w:tcPr>
          <w:p>
            <w:pPr>
              <w:pStyle w:val="TableText"/>
              <w:ind w:left="613"/>
              <w:spacing w:before="6" w:line="183" w:lineRule="auto"/>
              <w:rPr/>
            </w:pPr>
            <w:r>
              <w:rPr>
                <w:spacing w:val="-6"/>
              </w:rPr>
              <w:t>13.42±</w:t>
            </w:r>
            <w:r>
              <w:rPr>
                <w:spacing w:val="-52"/>
              </w:rPr>
              <w:t xml:space="preserve"> </w:t>
            </w:r>
            <w:r>
              <w:rPr>
                <w:spacing w:val="-6"/>
              </w:rPr>
              <w:t>2.69</w:t>
            </w:r>
          </w:p>
        </w:tc>
      </w:tr>
      <w:tr>
        <w:trPr>
          <w:trHeight w:val="196" w:hRule="atLeast"/>
        </w:trPr>
        <w:tc>
          <w:tcPr>
            <w:tcW w:w="1692" w:type="dxa"/>
            <w:vAlign w:val="top"/>
          </w:tcPr>
          <w:p>
            <w:pPr>
              <w:pStyle w:val="TableText"/>
              <w:ind w:left="115"/>
              <w:spacing w:before="13" w:line="177" w:lineRule="auto"/>
              <w:rPr/>
            </w:pPr>
            <w:r>
              <w:rPr>
                <w:spacing w:val="-1"/>
              </w:rPr>
              <w:t>对照组(n=46)</w:t>
            </w:r>
          </w:p>
        </w:tc>
        <w:tc>
          <w:tcPr>
            <w:tcW w:w="2386" w:type="dxa"/>
            <w:vAlign w:val="top"/>
          </w:tcPr>
          <w:p>
            <w:pPr>
              <w:pStyle w:val="TableText"/>
              <w:ind w:left="551"/>
              <w:spacing w:before="13" w:line="177" w:lineRule="auto"/>
              <w:rPr/>
            </w:pPr>
            <w:r>
              <w:rPr>
                <w:spacing w:val="-6"/>
              </w:rPr>
              <w:t>13.96±</w:t>
            </w:r>
            <w:r>
              <w:rPr>
                <w:spacing w:val="-51"/>
              </w:rPr>
              <w:t xml:space="preserve"> </w:t>
            </w:r>
            <w:r>
              <w:rPr>
                <w:spacing w:val="-6"/>
              </w:rPr>
              <w:t>3.24</w:t>
            </w:r>
          </w:p>
        </w:tc>
        <w:tc>
          <w:tcPr>
            <w:tcW w:w="2448" w:type="dxa"/>
            <w:vAlign w:val="top"/>
          </w:tcPr>
          <w:p>
            <w:pPr>
              <w:pStyle w:val="TableText"/>
              <w:ind w:left="613"/>
              <w:spacing w:before="13" w:line="177" w:lineRule="auto"/>
              <w:rPr/>
            </w:pPr>
            <w:r>
              <w:rPr>
                <w:spacing w:val="-6"/>
              </w:rPr>
              <w:t>18.57±</w:t>
            </w:r>
            <w:r>
              <w:rPr>
                <w:spacing w:val="-52"/>
              </w:rPr>
              <w:t xml:space="preserve"> </w:t>
            </w:r>
            <w:r>
              <w:rPr>
                <w:spacing w:val="-6"/>
              </w:rPr>
              <w:t>4.43</w:t>
            </w:r>
          </w:p>
        </w:tc>
        <w:tc>
          <w:tcPr>
            <w:tcW w:w="2933" w:type="dxa"/>
            <w:vAlign w:val="top"/>
          </w:tcPr>
          <w:p>
            <w:pPr>
              <w:pStyle w:val="TableText"/>
              <w:ind w:left="602"/>
              <w:spacing w:before="13" w:line="177" w:lineRule="auto"/>
              <w:rPr/>
            </w:pPr>
            <w:r>
              <w:rPr>
                <w:spacing w:val="-5"/>
              </w:rPr>
              <w:t>28.15±</w:t>
            </w:r>
            <w:r>
              <w:rPr>
                <w:spacing w:val="-51"/>
              </w:rPr>
              <w:t xml:space="preserve"> </w:t>
            </w:r>
            <w:r>
              <w:rPr>
                <w:spacing w:val="-5"/>
              </w:rPr>
              <w:t>5.78</w:t>
            </w:r>
          </w:p>
        </w:tc>
      </w:tr>
      <w:tr>
        <w:trPr>
          <w:trHeight w:val="203" w:hRule="atLeast"/>
        </w:trPr>
        <w:tc>
          <w:tcPr>
            <w:tcW w:w="1692" w:type="dxa"/>
            <w:vAlign w:val="top"/>
          </w:tcPr>
          <w:p>
            <w:pPr>
              <w:pStyle w:val="TableText"/>
              <w:ind w:left="160"/>
              <w:spacing w:before="2" w:line="195" w:lineRule="auto"/>
              <w:rPr>
                <w:sz w:val="8"/>
                <w:szCs w:val="8"/>
              </w:rPr>
            </w:pPr>
            <w:r>
              <w:rPr>
                <w:spacing w:val="-52"/>
                <w:position w:val="-1"/>
              </w:rPr>
              <w:t>χ</w:t>
            </w:r>
            <w:r>
              <w:rPr>
                <w:sz w:val="8"/>
                <w:szCs w:val="8"/>
                <w:spacing w:val="4"/>
                <w:position w:val="7"/>
              </w:rPr>
              <w:t>2</w:t>
            </w:r>
          </w:p>
        </w:tc>
        <w:tc>
          <w:tcPr>
            <w:tcW w:w="2386" w:type="dxa"/>
            <w:vAlign w:val="top"/>
          </w:tcPr>
          <w:p>
            <w:pPr>
              <w:pStyle w:val="TableText"/>
              <w:ind w:left="542"/>
              <w:spacing w:before="16" w:line="181" w:lineRule="auto"/>
              <w:rPr/>
            </w:pPr>
            <w:r>
              <w:rPr>
                <w:spacing w:val="-2"/>
              </w:rPr>
              <w:t>3.462</w:t>
            </w:r>
          </w:p>
        </w:tc>
        <w:tc>
          <w:tcPr>
            <w:tcW w:w="2448" w:type="dxa"/>
            <w:vAlign w:val="top"/>
          </w:tcPr>
          <w:p>
            <w:pPr>
              <w:pStyle w:val="TableText"/>
              <w:ind w:left="604"/>
              <w:spacing w:before="16" w:line="181" w:lineRule="auto"/>
              <w:rPr/>
            </w:pPr>
            <w:r>
              <w:rPr>
                <w:spacing w:val="-2"/>
              </w:rPr>
              <w:t>3.674</w:t>
            </w:r>
          </w:p>
        </w:tc>
        <w:tc>
          <w:tcPr>
            <w:tcW w:w="2933" w:type="dxa"/>
            <w:vAlign w:val="top"/>
          </w:tcPr>
          <w:p>
            <w:pPr>
              <w:pStyle w:val="TableText"/>
              <w:ind w:left="604"/>
              <w:spacing w:before="16" w:line="181" w:lineRule="auto"/>
              <w:rPr/>
            </w:pPr>
            <w:r>
              <w:rPr>
                <w:spacing w:val="-3"/>
              </w:rPr>
              <w:t>7.618</w:t>
            </w:r>
          </w:p>
        </w:tc>
      </w:tr>
      <w:tr>
        <w:trPr>
          <w:trHeight w:val="211" w:hRule="atLeast"/>
        </w:trPr>
        <w:tc>
          <w:tcPr>
            <w:tcW w:w="1692" w:type="dxa"/>
            <w:vAlign w:val="top"/>
            <w:tcBorders>
              <w:bottom w:val="single" w:color="000000" w:sz="2" w:space="0"/>
            </w:tcBorders>
          </w:tcPr>
          <w:p>
            <w:pPr>
              <w:pStyle w:val="TableText"/>
              <w:ind w:left="113"/>
              <w:spacing w:before="42" w:line="163" w:lineRule="auto"/>
              <w:rPr/>
            </w:pPr>
            <w:r>
              <w:rPr/>
              <w:t>P</w:t>
            </w:r>
          </w:p>
        </w:tc>
        <w:tc>
          <w:tcPr>
            <w:tcW w:w="2386" w:type="dxa"/>
            <w:vAlign w:val="top"/>
            <w:tcBorders>
              <w:bottom w:val="single" w:color="000000" w:sz="2" w:space="0"/>
            </w:tcBorders>
          </w:tcPr>
          <w:p>
            <w:pPr>
              <w:pStyle w:val="TableText"/>
              <w:ind w:left="551"/>
              <w:spacing w:before="12" w:line="193" w:lineRule="auto"/>
              <w:rPr/>
            </w:pPr>
            <w:r>
              <w:rPr>
                <w:spacing w:val="14"/>
              </w:rPr>
              <w:t>&lt;0.05</w:t>
            </w:r>
          </w:p>
        </w:tc>
        <w:tc>
          <w:tcPr>
            <w:tcW w:w="2448" w:type="dxa"/>
            <w:vAlign w:val="top"/>
            <w:tcBorders>
              <w:bottom w:val="single" w:color="000000" w:sz="2" w:space="0"/>
            </w:tcBorders>
          </w:tcPr>
          <w:p>
            <w:pPr>
              <w:pStyle w:val="TableText"/>
              <w:ind w:left="613"/>
              <w:spacing w:before="12" w:line="193" w:lineRule="auto"/>
              <w:rPr/>
            </w:pPr>
            <w:r>
              <w:rPr>
                <w:spacing w:val="14"/>
              </w:rPr>
              <w:t>&lt;0.05</w:t>
            </w:r>
          </w:p>
        </w:tc>
        <w:tc>
          <w:tcPr>
            <w:tcW w:w="2933" w:type="dxa"/>
            <w:vAlign w:val="top"/>
            <w:tcBorders>
              <w:bottom w:val="single" w:color="000000" w:sz="2" w:space="0"/>
            </w:tcBorders>
          </w:tcPr>
          <w:p>
            <w:pPr>
              <w:pStyle w:val="TableText"/>
              <w:ind w:left="613"/>
              <w:spacing w:before="12" w:line="193" w:lineRule="auto"/>
              <w:rPr/>
            </w:pPr>
            <w:r>
              <w:rPr>
                <w:spacing w:val="14"/>
              </w:rPr>
              <w:t>&lt;0.05</w:t>
            </w:r>
          </w:p>
        </w:tc>
      </w:tr>
    </w:tbl>
    <w:p>
      <w:pPr>
        <w:pStyle w:val="BodyText"/>
        <w:ind w:left="880"/>
        <w:spacing w:before="147" w:line="228" w:lineRule="auto"/>
        <w:outlineLvl w:val="3"/>
        <w:rPr/>
      </w:pPr>
      <w:r>
        <w:rPr>
          <w:rFonts w:ascii="Times New Roman" w:hAnsi="Times New Roman" w:eastAsia="Times New Roman" w:cs="Times New Roman"/>
          <w:b/>
          <w:bCs/>
          <w:spacing w:val="3"/>
        </w:rPr>
        <w:t>2.2</w:t>
      </w:r>
      <w:r>
        <w:rPr>
          <w:rFonts w:ascii="Times New Roman" w:hAnsi="Times New Roman" w:eastAsia="Times New Roman" w:cs="Times New Roman"/>
          <w:b/>
          <w:bCs/>
          <w:spacing w:val="7"/>
        </w:rPr>
        <w:t xml:space="preserve">    </w:t>
      </w:r>
      <w:r>
        <w:rPr>
          <w:b/>
          <w:bCs/>
          <w:spacing w:val="3"/>
        </w:rPr>
        <w:t>临床疗效</w:t>
      </w:r>
    </w:p>
    <w:p>
      <w:pPr>
        <w:pStyle w:val="BodyText"/>
        <w:ind w:left="1303"/>
        <w:spacing w:before="118" w:line="228" w:lineRule="auto"/>
        <w:rPr/>
      </w:pPr>
      <w:r>
        <w:rPr>
          <w:spacing w:val="6"/>
        </w:rPr>
        <w:t>观察组总有效率明显更高，</w:t>
      </w:r>
      <w:r>
        <w:rPr>
          <w:rFonts w:ascii="Times New Roman" w:hAnsi="Times New Roman" w:eastAsia="Times New Roman" w:cs="Times New Roman"/>
          <w:spacing w:val="6"/>
        </w:rPr>
        <w:t>P</w:t>
      </w:r>
      <w:r>
        <w:rPr>
          <w:spacing w:val="6"/>
        </w:rPr>
        <w:t>＜</w:t>
      </w:r>
      <w:r>
        <w:rPr>
          <w:rFonts w:ascii="Times New Roman" w:hAnsi="Times New Roman" w:eastAsia="Times New Roman" w:cs="Times New Roman"/>
          <w:spacing w:val="6"/>
        </w:rPr>
        <w:t>0.05</w:t>
      </w:r>
      <w:r>
        <w:rPr>
          <w:rFonts w:ascii="Times New Roman" w:hAnsi="Times New Roman" w:eastAsia="Times New Roman" w:cs="Times New Roman"/>
          <w:spacing w:val="-14"/>
        </w:rPr>
        <w:t xml:space="preserve"> </w:t>
      </w:r>
      <w:r>
        <w:rPr>
          <w:spacing w:val="6"/>
        </w:rPr>
        <w:t>，见表</w:t>
      </w:r>
      <w:r>
        <w:rPr>
          <w:spacing w:val="-43"/>
        </w:rPr>
        <w:t xml:space="preserve"> </w:t>
      </w:r>
      <w:r>
        <w:rPr>
          <w:rFonts w:ascii="Times New Roman" w:hAnsi="Times New Roman" w:eastAsia="Times New Roman" w:cs="Times New Roman"/>
          <w:spacing w:val="6"/>
        </w:rPr>
        <w:t>2</w:t>
      </w:r>
      <w:r>
        <w:rPr>
          <w:spacing w:val="6"/>
        </w:rPr>
        <w:t>。</w:t>
      </w:r>
    </w:p>
    <w:p>
      <w:pPr>
        <w:pStyle w:val="BodyText"/>
        <w:ind w:left="4463"/>
        <w:spacing w:before="47" w:line="217" w:lineRule="auto"/>
        <w:outlineLvl w:val="1"/>
        <w:rPr/>
      </w:pPr>
      <w:r>
        <w:rPr>
          <w:b/>
          <w:bCs/>
          <w:spacing w:val="4"/>
        </w:rPr>
        <w:t>表</w:t>
      </w:r>
      <w:r>
        <w:rPr>
          <w:spacing w:val="-24"/>
        </w:rPr>
        <w:t xml:space="preserve"> </w:t>
      </w:r>
      <w:r>
        <w:rPr>
          <w:b/>
          <w:bCs/>
          <w:spacing w:val="4"/>
        </w:rPr>
        <w:t>2</w:t>
      </w:r>
      <w:r>
        <w:rPr>
          <w:spacing w:val="4"/>
        </w:rPr>
        <w:t xml:space="preserve">  </w:t>
      </w:r>
      <w:r>
        <w:rPr>
          <w:b/>
          <w:bCs/>
          <w:spacing w:val="4"/>
        </w:rPr>
        <w:t>两组疗效比较[n(%)]</w:t>
      </w:r>
    </w:p>
    <w:tbl>
      <w:tblPr>
        <w:tblStyle w:val="TableNormal"/>
        <w:tblW w:w="9459" w:type="dxa"/>
        <w:tblInd w:w="9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7"/>
        <w:gridCol w:w="1899"/>
        <w:gridCol w:w="1831"/>
        <w:gridCol w:w="1824"/>
        <w:gridCol w:w="2198"/>
      </w:tblGrid>
      <w:tr>
        <w:trPr>
          <w:trHeight w:val="209" w:hRule="atLeast"/>
        </w:trPr>
        <w:tc>
          <w:tcPr>
            <w:tcW w:w="1707" w:type="dxa"/>
            <w:vAlign w:val="top"/>
            <w:tcBorders>
              <w:bottom w:val="single" w:color="000000" w:sz="2" w:space="0"/>
              <w:top w:val="single" w:color="000000" w:sz="2" w:space="0"/>
            </w:tcBorders>
          </w:tcPr>
          <w:p>
            <w:pPr>
              <w:pStyle w:val="TableText"/>
              <w:ind w:left="118"/>
              <w:spacing w:before="10" w:line="193" w:lineRule="auto"/>
              <w:rPr/>
            </w:pPr>
            <w:r>
              <w:rPr>
                <w:spacing w:val="-5"/>
              </w:rPr>
              <w:t>组别</w:t>
            </w:r>
          </w:p>
        </w:tc>
        <w:tc>
          <w:tcPr>
            <w:tcW w:w="1899" w:type="dxa"/>
            <w:vAlign w:val="top"/>
            <w:tcBorders>
              <w:bottom w:val="single" w:color="000000" w:sz="2" w:space="0"/>
              <w:top w:val="single" w:color="000000" w:sz="2" w:space="0"/>
            </w:tcBorders>
          </w:tcPr>
          <w:p>
            <w:pPr>
              <w:pStyle w:val="TableText"/>
              <w:ind w:left="561"/>
              <w:spacing w:before="10" w:line="193" w:lineRule="auto"/>
              <w:rPr/>
            </w:pPr>
            <w:r>
              <w:rPr>
                <w:spacing w:val="-6"/>
              </w:rPr>
              <w:t>显效</w:t>
            </w:r>
          </w:p>
        </w:tc>
        <w:tc>
          <w:tcPr>
            <w:tcW w:w="1831" w:type="dxa"/>
            <w:vAlign w:val="top"/>
            <w:tcBorders>
              <w:bottom w:val="single" w:color="000000" w:sz="2" w:space="0"/>
              <w:top w:val="single" w:color="000000" w:sz="2" w:space="0"/>
            </w:tcBorders>
          </w:tcPr>
          <w:p>
            <w:pPr>
              <w:pStyle w:val="TableText"/>
              <w:ind w:left="489"/>
              <w:spacing w:before="10" w:line="193" w:lineRule="auto"/>
              <w:rPr/>
            </w:pPr>
            <w:r>
              <w:rPr>
                <w:spacing w:val="-4"/>
              </w:rPr>
              <w:t>有效</w:t>
            </w:r>
          </w:p>
        </w:tc>
        <w:tc>
          <w:tcPr>
            <w:tcW w:w="1824" w:type="dxa"/>
            <w:vAlign w:val="top"/>
            <w:tcBorders>
              <w:bottom w:val="single" w:color="000000" w:sz="2" w:space="0"/>
              <w:top w:val="single" w:color="000000" w:sz="2" w:space="0"/>
            </w:tcBorders>
          </w:tcPr>
          <w:p>
            <w:pPr>
              <w:pStyle w:val="TableText"/>
              <w:ind w:left="490"/>
              <w:spacing w:before="10" w:line="193" w:lineRule="auto"/>
              <w:rPr/>
            </w:pPr>
            <w:r>
              <w:rPr>
                <w:spacing w:val="-5"/>
              </w:rPr>
              <w:t>无效</w:t>
            </w:r>
          </w:p>
        </w:tc>
        <w:tc>
          <w:tcPr>
            <w:tcW w:w="2198" w:type="dxa"/>
            <w:vAlign w:val="top"/>
            <w:tcBorders>
              <w:bottom w:val="single" w:color="000000" w:sz="2" w:space="0"/>
              <w:top w:val="single" w:color="000000" w:sz="2" w:space="0"/>
            </w:tcBorders>
          </w:tcPr>
          <w:p>
            <w:pPr>
              <w:pStyle w:val="TableText"/>
              <w:ind w:left="487"/>
              <w:spacing w:before="10" w:line="193" w:lineRule="auto"/>
              <w:rPr/>
            </w:pPr>
            <w:r>
              <w:rPr>
                <w:spacing w:val="-3"/>
              </w:rPr>
              <w:t>总有效率</w:t>
            </w:r>
          </w:p>
        </w:tc>
      </w:tr>
      <w:tr>
        <w:trPr>
          <w:trHeight w:val="194" w:hRule="atLeast"/>
        </w:trPr>
        <w:tc>
          <w:tcPr>
            <w:tcW w:w="1707" w:type="dxa"/>
            <w:vAlign w:val="top"/>
            <w:vMerge w:val="restart"/>
            <w:tcBorders>
              <w:bottom w:val="nil"/>
              <w:top w:val="single" w:color="000000" w:sz="2" w:space="0"/>
            </w:tcBorders>
          </w:tcPr>
          <w:p>
            <w:pPr>
              <w:pStyle w:val="TableText"/>
              <w:ind w:left="116"/>
              <w:spacing w:before="7" w:line="204" w:lineRule="auto"/>
              <w:rPr/>
            </w:pPr>
            <w:r>
              <w:rPr>
                <w:spacing w:val="-1"/>
              </w:rPr>
              <w:t>观察组(n=46)</w:t>
            </w:r>
          </w:p>
          <w:p>
            <w:pPr>
              <w:pStyle w:val="TableText"/>
              <w:ind w:left="160" w:right="516" w:hanging="45"/>
              <w:spacing w:before="1" w:line="220" w:lineRule="auto"/>
              <w:rPr>
                <w:sz w:val="8"/>
                <w:szCs w:val="8"/>
              </w:rPr>
            </w:pPr>
            <w:r>
              <w:rPr>
                <w:spacing w:val="-1"/>
              </w:rPr>
              <w:t>对照组(n=46)</w:t>
            </w:r>
            <w:r>
              <w:rPr>
                <w:spacing w:val="2"/>
              </w:rPr>
              <w:t xml:space="preserve"> </w:t>
            </w:r>
            <w:r>
              <w:rPr>
                <w:spacing w:val="-52"/>
                <w:position w:val="-1"/>
              </w:rPr>
              <w:t>χ</w:t>
            </w:r>
            <w:r>
              <w:rPr>
                <w:sz w:val="8"/>
                <w:szCs w:val="8"/>
                <w:spacing w:val="4"/>
                <w:position w:val="7"/>
              </w:rPr>
              <w:t>2</w:t>
            </w:r>
          </w:p>
          <w:p>
            <w:pPr>
              <w:pStyle w:val="TableText"/>
              <w:ind w:left="113"/>
              <w:spacing w:line="161" w:lineRule="auto"/>
              <w:rPr/>
            </w:pPr>
            <w:r>
              <w:rPr/>
              <w:t>P</w:t>
            </w:r>
          </w:p>
        </w:tc>
        <w:tc>
          <w:tcPr>
            <w:tcW w:w="1899" w:type="dxa"/>
            <w:vAlign w:val="top"/>
            <w:tcBorders>
              <w:top w:val="single" w:color="000000" w:sz="2" w:space="0"/>
            </w:tcBorders>
          </w:tcPr>
          <w:p>
            <w:pPr>
              <w:pStyle w:val="TableText"/>
              <w:ind w:left="559"/>
              <w:spacing w:before="7" w:line="181" w:lineRule="auto"/>
              <w:rPr/>
            </w:pPr>
            <w:r>
              <w:rPr>
                <w:spacing w:val="-1"/>
              </w:rPr>
              <w:t>26(53.52%)</w:t>
            </w:r>
          </w:p>
        </w:tc>
        <w:tc>
          <w:tcPr>
            <w:tcW w:w="1831" w:type="dxa"/>
            <w:vAlign w:val="top"/>
            <w:tcBorders>
              <w:top w:val="single" w:color="000000" w:sz="2" w:space="0"/>
            </w:tcBorders>
          </w:tcPr>
          <w:p>
            <w:pPr>
              <w:pStyle w:val="TableText"/>
              <w:ind w:left="502"/>
              <w:spacing w:before="7" w:line="181" w:lineRule="auto"/>
              <w:rPr/>
            </w:pPr>
            <w:r>
              <w:rPr>
                <w:spacing w:val="-2"/>
              </w:rPr>
              <w:t>19(41.30%)</w:t>
            </w:r>
          </w:p>
        </w:tc>
        <w:tc>
          <w:tcPr>
            <w:tcW w:w="1824" w:type="dxa"/>
            <w:vAlign w:val="top"/>
            <w:tcBorders>
              <w:top w:val="single" w:color="000000" w:sz="2" w:space="0"/>
            </w:tcBorders>
          </w:tcPr>
          <w:p>
            <w:pPr>
              <w:pStyle w:val="TableText"/>
              <w:ind w:left="502"/>
              <w:spacing w:before="7" w:line="181" w:lineRule="auto"/>
              <w:rPr/>
            </w:pPr>
            <w:r>
              <w:rPr>
                <w:spacing w:val="-3"/>
              </w:rPr>
              <w:t>1(2.17%)</w:t>
            </w:r>
          </w:p>
        </w:tc>
        <w:tc>
          <w:tcPr>
            <w:tcW w:w="2198" w:type="dxa"/>
            <w:vAlign w:val="top"/>
            <w:tcBorders>
              <w:top w:val="single" w:color="000000" w:sz="2" w:space="0"/>
            </w:tcBorders>
          </w:tcPr>
          <w:p>
            <w:pPr>
              <w:pStyle w:val="TableText"/>
              <w:ind w:left="481"/>
              <w:spacing w:before="7" w:line="181" w:lineRule="auto"/>
              <w:rPr/>
            </w:pPr>
            <w:r>
              <w:rPr>
                <w:spacing w:val="-1"/>
              </w:rPr>
              <w:t>45(97.83%)</w:t>
            </w:r>
          </w:p>
        </w:tc>
      </w:tr>
      <w:tr>
        <w:trPr>
          <w:trHeight w:val="202" w:hRule="atLeast"/>
        </w:trPr>
        <w:tc>
          <w:tcPr>
            <w:tcW w:w="1707" w:type="dxa"/>
            <w:vAlign w:val="top"/>
            <w:vMerge w:val="continue"/>
            <w:tcBorders>
              <w:bottom w:val="nil"/>
              <w:top w:val="nil"/>
            </w:tcBorders>
          </w:tcPr>
          <w:p>
            <w:pPr>
              <w:rPr>
                <w:rFonts w:ascii="Arial"/>
                <w:sz w:val="21"/>
              </w:rPr>
            </w:pPr>
            <w:r/>
          </w:p>
        </w:tc>
        <w:tc>
          <w:tcPr>
            <w:tcW w:w="1899" w:type="dxa"/>
            <w:vAlign w:val="top"/>
          </w:tcPr>
          <w:p>
            <w:pPr>
              <w:pStyle w:val="TableText"/>
              <w:ind w:left="570"/>
              <w:spacing w:before="12" w:line="184" w:lineRule="auto"/>
              <w:rPr/>
            </w:pPr>
            <w:r>
              <w:rPr>
                <w:spacing w:val="-2"/>
              </w:rPr>
              <w:t>12(26.09%)</w:t>
            </w:r>
          </w:p>
        </w:tc>
        <w:tc>
          <w:tcPr>
            <w:tcW w:w="1831" w:type="dxa"/>
            <w:vAlign w:val="top"/>
          </w:tcPr>
          <w:p>
            <w:pPr>
              <w:pStyle w:val="TableText"/>
              <w:ind w:left="491"/>
              <w:spacing w:before="12" w:line="184" w:lineRule="auto"/>
              <w:rPr/>
            </w:pPr>
            <w:r>
              <w:rPr>
                <w:spacing w:val="-1"/>
              </w:rPr>
              <w:t>23(50.00%)</w:t>
            </w:r>
          </w:p>
        </w:tc>
        <w:tc>
          <w:tcPr>
            <w:tcW w:w="1824" w:type="dxa"/>
            <w:vAlign w:val="top"/>
          </w:tcPr>
          <w:p>
            <w:pPr>
              <w:pStyle w:val="TableText"/>
              <w:ind w:left="502"/>
              <w:spacing w:before="12" w:line="184" w:lineRule="auto"/>
              <w:rPr/>
            </w:pPr>
            <w:r>
              <w:rPr>
                <w:spacing w:val="-2"/>
              </w:rPr>
              <w:t>11(23.91%)</w:t>
            </w:r>
          </w:p>
        </w:tc>
        <w:tc>
          <w:tcPr>
            <w:tcW w:w="2198" w:type="dxa"/>
            <w:vAlign w:val="top"/>
          </w:tcPr>
          <w:p>
            <w:pPr>
              <w:pStyle w:val="TableText"/>
              <w:ind w:left="485"/>
              <w:spacing w:before="12" w:line="184" w:lineRule="auto"/>
              <w:rPr/>
            </w:pPr>
            <w:r>
              <w:rPr>
                <w:spacing w:val="-1"/>
              </w:rPr>
              <w:t>35(76.09%)</w:t>
            </w:r>
          </w:p>
        </w:tc>
      </w:tr>
      <w:tr>
        <w:trPr>
          <w:trHeight w:val="198" w:hRule="atLeast"/>
        </w:trPr>
        <w:tc>
          <w:tcPr>
            <w:tcW w:w="1707" w:type="dxa"/>
            <w:vAlign w:val="top"/>
            <w:vMerge w:val="continue"/>
            <w:tcBorders>
              <w:bottom w:val="nil"/>
              <w:top w:val="nil"/>
            </w:tcBorders>
          </w:tcPr>
          <w:p>
            <w:pPr>
              <w:rPr>
                <w:rFonts w:ascii="Arial"/>
                <w:sz w:val="21"/>
              </w:rPr>
            </w:pPr>
            <w:r/>
          </w:p>
        </w:tc>
        <w:tc>
          <w:tcPr>
            <w:tcW w:w="1899" w:type="dxa"/>
            <w:vAlign w:val="top"/>
          </w:tcPr>
          <w:p>
            <w:pPr>
              <w:pStyle w:val="TableText"/>
              <w:ind w:left="556"/>
              <w:spacing w:before="12" w:line="180" w:lineRule="auto"/>
              <w:rPr/>
            </w:pPr>
            <w:r>
              <w:rPr/>
              <w:t>/</w:t>
            </w:r>
          </w:p>
        </w:tc>
        <w:tc>
          <w:tcPr>
            <w:tcW w:w="1831" w:type="dxa"/>
            <w:vAlign w:val="top"/>
          </w:tcPr>
          <w:p>
            <w:pPr>
              <w:pStyle w:val="TableText"/>
              <w:ind w:left="488"/>
              <w:spacing w:before="12" w:line="180" w:lineRule="auto"/>
              <w:rPr/>
            </w:pPr>
            <w:r>
              <w:rPr/>
              <w:t>/</w:t>
            </w:r>
          </w:p>
        </w:tc>
        <w:tc>
          <w:tcPr>
            <w:tcW w:w="1824" w:type="dxa"/>
            <w:vAlign w:val="top"/>
          </w:tcPr>
          <w:p>
            <w:pPr>
              <w:pStyle w:val="TableText"/>
              <w:ind w:left="488"/>
              <w:spacing w:before="12" w:line="180" w:lineRule="auto"/>
              <w:rPr/>
            </w:pPr>
            <w:r>
              <w:rPr/>
              <w:t>/</w:t>
            </w:r>
          </w:p>
        </w:tc>
        <w:tc>
          <w:tcPr>
            <w:tcW w:w="2198" w:type="dxa"/>
            <w:vAlign w:val="top"/>
          </w:tcPr>
          <w:p>
            <w:pPr>
              <w:pStyle w:val="TableText"/>
              <w:ind w:left="495"/>
              <w:spacing w:before="12" w:line="180" w:lineRule="auto"/>
              <w:rPr/>
            </w:pPr>
            <w:r>
              <w:rPr>
                <w:spacing w:val="-4"/>
              </w:rPr>
              <w:t>10.371</w:t>
            </w:r>
          </w:p>
        </w:tc>
      </w:tr>
      <w:tr>
        <w:trPr>
          <w:trHeight w:val="211" w:hRule="atLeast"/>
        </w:trPr>
        <w:tc>
          <w:tcPr>
            <w:tcW w:w="1707" w:type="dxa"/>
            <w:vAlign w:val="top"/>
            <w:vMerge w:val="continue"/>
            <w:tcBorders>
              <w:bottom w:val="single" w:color="000000" w:sz="2" w:space="0"/>
              <w:top w:val="nil"/>
            </w:tcBorders>
          </w:tcPr>
          <w:p>
            <w:pPr>
              <w:rPr>
                <w:rFonts w:ascii="Arial"/>
                <w:sz w:val="21"/>
              </w:rPr>
            </w:pPr>
            <w:r/>
          </w:p>
        </w:tc>
        <w:tc>
          <w:tcPr>
            <w:tcW w:w="1899" w:type="dxa"/>
            <w:vAlign w:val="top"/>
            <w:tcBorders>
              <w:bottom w:val="single" w:color="000000" w:sz="2" w:space="0"/>
            </w:tcBorders>
          </w:tcPr>
          <w:p>
            <w:pPr>
              <w:pStyle w:val="TableText"/>
              <w:ind w:left="556"/>
              <w:spacing w:before="13" w:line="192" w:lineRule="auto"/>
              <w:rPr/>
            </w:pPr>
            <w:r>
              <w:rPr/>
              <w:t>/</w:t>
            </w:r>
          </w:p>
        </w:tc>
        <w:tc>
          <w:tcPr>
            <w:tcW w:w="1831" w:type="dxa"/>
            <w:vAlign w:val="top"/>
            <w:tcBorders>
              <w:bottom w:val="single" w:color="000000" w:sz="2" w:space="0"/>
            </w:tcBorders>
          </w:tcPr>
          <w:p>
            <w:pPr>
              <w:pStyle w:val="TableText"/>
              <w:ind w:left="488"/>
              <w:spacing w:before="13" w:line="192" w:lineRule="auto"/>
              <w:rPr/>
            </w:pPr>
            <w:r>
              <w:rPr/>
              <w:t>/</w:t>
            </w:r>
          </w:p>
        </w:tc>
        <w:tc>
          <w:tcPr>
            <w:tcW w:w="1824" w:type="dxa"/>
            <w:vAlign w:val="top"/>
            <w:tcBorders>
              <w:bottom w:val="single" w:color="000000" w:sz="2" w:space="0"/>
            </w:tcBorders>
          </w:tcPr>
          <w:p>
            <w:pPr>
              <w:pStyle w:val="TableText"/>
              <w:ind w:left="488"/>
              <w:spacing w:before="13" w:line="192" w:lineRule="auto"/>
              <w:rPr/>
            </w:pPr>
            <w:r>
              <w:rPr/>
              <w:t>/</w:t>
            </w:r>
          </w:p>
        </w:tc>
        <w:tc>
          <w:tcPr>
            <w:tcW w:w="2198" w:type="dxa"/>
            <w:vAlign w:val="top"/>
            <w:tcBorders>
              <w:bottom w:val="single" w:color="000000" w:sz="2" w:space="0"/>
            </w:tcBorders>
          </w:tcPr>
          <w:p>
            <w:pPr>
              <w:pStyle w:val="TableText"/>
              <w:ind w:left="495"/>
              <w:spacing w:before="13" w:line="192" w:lineRule="auto"/>
              <w:rPr/>
            </w:pPr>
            <w:r>
              <w:rPr>
                <w:spacing w:val="14"/>
              </w:rPr>
              <w:t>&lt;0.05</w:t>
            </w:r>
          </w:p>
        </w:tc>
      </w:tr>
    </w:tbl>
    <w:p>
      <w:pPr>
        <w:pStyle w:val="BodyText"/>
        <w:ind w:left="880"/>
        <w:spacing w:before="149" w:line="228" w:lineRule="auto"/>
        <w:outlineLvl w:val="3"/>
        <w:rPr/>
      </w:pPr>
      <w:r>
        <w:rPr>
          <w:rFonts w:ascii="Times New Roman" w:hAnsi="Times New Roman" w:eastAsia="Times New Roman" w:cs="Times New Roman"/>
          <w:b/>
          <w:bCs/>
          <w:spacing w:val="4"/>
        </w:rPr>
        <w:t>2.3</w:t>
      </w:r>
      <w:r>
        <w:rPr>
          <w:rFonts w:ascii="Times New Roman" w:hAnsi="Times New Roman" w:eastAsia="Times New Roman" w:cs="Times New Roman"/>
          <w:b/>
          <w:bCs/>
          <w:spacing w:val="5"/>
        </w:rPr>
        <w:t xml:space="preserve">    </w:t>
      </w:r>
      <w:r>
        <w:rPr>
          <w:b/>
          <w:bCs/>
          <w:spacing w:val="4"/>
        </w:rPr>
        <w:t>炎性因子</w:t>
      </w:r>
    </w:p>
    <w:p>
      <w:pPr>
        <w:pStyle w:val="BodyText"/>
        <w:ind w:left="1303"/>
        <w:spacing w:before="117" w:line="228" w:lineRule="auto"/>
        <w:rPr/>
      </w:pPr>
      <w:r>
        <w:rPr>
          <w:spacing w:val="7"/>
        </w:rPr>
        <w:t>观察组各项炎症因子水平均更低，</w:t>
      </w:r>
      <w:r>
        <w:rPr>
          <w:rFonts w:ascii="Times New Roman" w:hAnsi="Times New Roman" w:eastAsia="Times New Roman" w:cs="Times New Roman"/>
          <w:spacing w:val="7"/>
        </w:rPr>
        <w:t>P</w:t>
      </w:r>
      <w:r>
        <w:rPr>
          <w:spacing w:val="7"/>
        </w:rPr>
        <w:t>＜</w:t>
      </w:r>
      <w:r>
        <w:rPr>
          <w:rFonts w:ascii="Times New Roman" w:hAnsi="Times New Roman" w:eastAsia="Times New Roman" w:cs="Times New Roman"/>
          <w:spacing w:val="7"/>
        </w:rPr>
        <w:t>0.</w:t>
      </w:r>
      <w:r>
        <w:rPr>
          <w:rFonts w:ascii="Times New Roman" w:hAnsi="Times New Roman" w:eastAsia="Times New Roman" w:cs="Times New Roman"/>
          <w:spacing w:val="6"/>
        </w:rPr>
        <w:t>05</w:t>
      </w:r>
      <w:r>
        <w:rPr>
          <w:rFonts w:ascii="Times New Roman" w:hAnsi="Times New Roman" w:eastAsia="Times New Roman" w:cs="Times New Roman"/>
          <w:spacing w:val="-26"/>
        </w:rPr>
        <w:t xml:space="preserve"> </w:t>
      </w:r>
      <w:r>
        <w:rPr>
          <w:spacing w:val="6"/>
        </w:rPr>
        <w:t>，见表</w:t>
      </w:r>
      <w:r>
        <w:rPr>
          <w:spacing w:val="-39"/>
        </w:rPr>
        <w:t xml:space="preserve"> </w:t>
      </w:r>
      <w:r>
        <w:rPr>
          <w:rFonts w:ascii="Times New Roman" w:hAnsi="Times New Roman" w:eastAsia="Times New Roman" w:cs="Times New Roman"/>
          <w:spacing w:val="6"/>
        </w:rPr>
        <w:t>3</w:t>
      </w:r>
      <w:r>
        <w:rPr>
          <w:spacing w:val="6"/>
        </w:rPr>
        <w:t>。</w:t>
      </w:r>
    </w:p>
    <w:p>
      <w:pPr>
        <w:pStyle w:val="BodyText"/>
        <w:ind w:left="3938"/>
        <w:spacing w:before="44" w:line="218" w:lineRule="auto"/>
        <w:outlineLvl w:val="1"/>
        <w:rPr/>
      </w:pPr>
      <w:r>
        <w:rPr>
          <w:b/>
          <w:bCs/>
          <w:spacing w:val="6"/>
        </w:rPr>
        <w:t>表</w:t>
      </w:r>
      <w:r>
        <w:rPr>
          <w:spacing w:val="-22"/>
        </w:rPr>
        <w:t xml:space="preserve"> </w:t>
      </w:r>
      <w:r>
        <w:rPr>
          <w:b/>
          <w:bCs/>
          <w:spacing w:val="6"/>
        </w:rPr>
        <w:t>3</w:t>
      </w:r>
      <w:r>
        <w:rPr>
          <w:spacing w:val="6"/>
        </w:rPr>
        <w:t xml:space="preserve">  </w:t>
      </w:r>
      <w:r>
        <w:rPr>
          <w:b/>
          <w:bCs/>
          <w:spacing w:val="6"/>
        </w:rPr>
        <w:t>两组治疗前后炎性因子水平比较</w:t>
      </w:r>
    </w:p>
    <w:tbl>
      <w:tblPr>
        <w:tblStyle w:val="TableNormal"/>
        <w:tblW w:w="9459" w:type="dxa"/>
        <w:tblInd w:w="9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09"/>
        <w:gridCol w:w="1397"/>
        <w:gridCol w:w="2005"/>
        <w:gridCol w:w="2099"/>
        <w:gridCol w:w="2349"/>
      </w:tblGrid>
      <w:tr>
        <w:trPr>
          <w:trHeight w:val="209" w:hRule="atLeast"/>
        </w:trPr>
        <w:tc>
          <w:tcPr>
            <w:tcW w:w="1609" w:type="dxa"/>
            <w:vAlign w:val="top"/>
            <w:tcBorders>
              <w:bottom w:val="single" w:color="000000" w:sz="2" w:space="0"/>
              <w:top w:val="single" w:color="000000" w:sz="2" w:space="0"/>
            </w:tcBorders>
          </w:tcPr>
          <w:p>
            <w:pPr>
              <w:pStyle w:val="TableText"/>
              <w:ind w:left="118"/>
              <w:spacing w:before="11" w:line="192" w:lineRule="auto"/>
              <w:rPr/>
            </w:pPr>
            <w:r>
              <w:rPr>
                <w:spacing w:val="-5"/>
              </w:rPr>
              <w:t>组别</w:t>
            </w:r>
          </w:p>
        </w:tc>
        <w:tc>
          <w:tcPr>
            <w:tcW w:w="1397" w:type="dxa"/>
            <w:vAlign w:val="top"/>
            <w:tcBorders>
              <w:bottom w:val="single" w:color="000000" w:sz="2" w:space="0"/>
              <w:top w:val="single" w:color="000000" w:sz="2" w:space="0"/>
            </w:tcBorders>
          </w:tcPr>
          <w:p>
            <w:pPr>
              <w:pStyle w:val="TableText"/>
              <w:ind w:left="461"/>
              <w:spacing w:before="11" w:line="192" w:lineRule="auto"/>
              <w:rPr/>
            </w:pPr>
            <w:r>
              <w:rPr>
                <w:spacing w:val="-8"/>
              </w:rPr>
              <w:t>时间</w:t>
            </w:r>
          </w:p>
        </w:tc>
        <w:tc>
          <w:tcPr>
            <w:tcW w:w="2005" w:type="dxa"/>
            <w:vAlign w:val="top"/>
            <w:tcBorders>
              <w:bottom w:val="single" w:color="000000" w:sz="2" w:space="0"/>
              <w:top w:val="single" w:color="000000" w:sz="2" w:space="0"/>
            </w:tcBorders>
          </w:tcPr>
          <w:p>
            <w:pPr>
              <w:pStyle w:val="TableText"/>
              <w:ind w:left="429"/>
              <w:spacing w:before="11" w:line="192" w:lineRule="auto"/>
              <w:rPr/>
            </w:pPr>
            <w:r>
              <w:rPr>
                <w:spacing w:val="-2"/>
              </w:rPr>
              <w:t>IL-4(ng/L)</w:t>
            </w:r>
          </w:p>
        </w:tc>
        <w:tc>
          <w:tcPr>
            <w:tcW w:w="2099" w:type="dxa"/>
            <w:vAlign w:val="top"/>
            <w:tcBorders>
              <w:bottom w:val="single" w:color="000000" w:sz="2" w:space="0"/>
              <w:top w:val="single" w:color="000000" w:sz="2" w:space="0"/>
            </w:tcBorders>
          </w:tcPr>
          <w:p>
            <w:pPr>
              <w:pStyle w:val="TableText"/>
              <w:ind w:left="526"/>
              <w:spacing w:before="11" w:line="192" w:lineRule="auto"/>
              <w:rPr/>
            </w:pPr>
            <w:r>
              <w:rPr>
                <w:spacing w:val="-7"/>
              </w:rPr>
              <w:t>IL-6(</w:t>
            </w:r>
            <w:r>
              <w:rPr>
                <w:spacing w:val="-38"/>
              </w:rPr>
              <w:t xml:space="preserve"> </w:t>
            </w:r>
            <w:r>
              <w:rPr>
                <w:spacing w:val="-7"/>
              </w:rPr>
              <w:t>μg/L)</w:t>
            </w:r>
          </w:p>
        </w:tc>
        <w:tc>
          <w:tcPr>
            <w:tcW w:w="2349" w:type="dxa"/>
            <w:vAlign w:val="top"/>
            <w:tcBorders>
              <w:bottom w:val="single" w:color="000000" w:sz="2" w:space="0"/>
              <w:top w:val="single" w:color="000000" w:sz="2" w:space="0"/>
            </w:tcBorders>
          </w:tcPr>
          <w:p>
            <w:pPr>
              <w:pStyle w:val="TableText"/>
              <w:ind w:left="516"/>
              <w:spacing w:before="11" w:line="192" w:lineRule="auto"/>
              <w:rPr/>
            </w:pPr>
            <w:r>
              <w:rPr>
                <w:spacing w:val="-1"/>
              </w:rPr>
              <w:t>CRP(mg/L)</w:t>
            </w:r>
          </w:p>
        </w:tc>
      </w:tr>
      <w:tr>
        <w:trPr>
          <w:trHeight w:val="393" w:hRule="atLeast"/>
        </w:trPr>
        <w:tc>
          <w:tcPr>
            <w:tcW w:w="1609" w:type="dxa"/>
            <w:vAlign w:val="top"/>
            <w:tcBorders>
              <w:top w:val="single" w:color="000000" w:sz="2" w:space="0"/>
            </w:tcBorders>
          </w:tcPr>
          <w:p>
            <w:pPr>
              <w:pStyle w:val="TableText"/>
              <w:ind w:left="116"/>
              <w:spacing w:before="107" w:line="219" w:lineRule="auto"/>
              <w:rPr/>
            </w:pPr>
            <w:r>
              <w:rPr>
                <w:spacing w:val="-1"/>
              </w:rPr>
              <w:t>观察组(n=46)</w:t>
            </w:r>
          </w:p>
        </w:tc>
        <w:tc>
          <w:tcPr>
            <w:tcW w:w="1397" w:type="dxa"/>
            <w:vAlign w:val="top"/>
            <w:tcBorders>
              <w:top w:val="single" w:color="000000" w:sz="2" w:space="0"/>
            </w:tcBorders>
          </w:tcPr>
          <w:p>
            <w:pPr>
              <w:pStyle w:val="TableText"/>
              <w:ind w:left="457"/>
              <w:spacing w:before="6" w:line="207" w:lineRule="auto"/>
              <w:rPr/>
            </w:pPr>
            <w:r>
              <w:rPr>
                <w:spacing w:val="-4"/>
              </w:rPr>
              <w:t>治疗前</w:t>
            </w:r>
          </w:p>
          <w:p>
            <w:pPr>
              <w:pStyle w:val="TableText"/>
              <w:ind w:left="457"/>
              <w:spacing w:line="179" w:lineRule="auto"/>
              <w:rPr/>
            </w:pPr>
            <w:r>
              <w:rPr>
                <w:spacing w:val="-4"/>
              </w:rPr>
              <w:t>治疗后</w:t>
            </w:r>
          </w:p>
        </w:tc>
        <w:tc>
          <w:tcPr>
            <w:tcW w:w="2005" w:type="dxa"/>
            <w:vAlign w:val="top"/>
            <w:tcBorders>
              <w:top w:val="single" w:color="000000" w:sz="2" w:space="0"/>
            </w:tcBorders>
          </w:tcPr>
          <w:p>
            <w:pPr>
              <w:pStyle w:val="TableText"/>
              <w:ind w:left="423"/>
              <w:spacing w:before="6" w:line="191" w:lineRule="auto"/>
              <w:rPr/>
            </w:pPr>
            <w:r>
              <w:rPr>
                <w:spacing w:val="-5"/>
              </w:rPr>
              <w:t>54.76±</w:t>
            </w:r>
            <w:r>
              <w:rPr>
                <w:spacing w:val="-50"/>
              </w:rPr>
              <w:t xml:space="preserve"> </w:t>
            </w:r>
            <w:r>
              <w:rPr>
                <w:spacing w:val="-5"/>
              </w:rPr>
              <w:t>3.82</w:t>
            </w:r>
          </w:p>
          <w:p>
            <w:pPr>
              <w:pStyle w:val="TableText"/>
              <w:ind w:left="423"/>
              <w:spacing w:line="195" w:lineRule="auto"/>
              <w:rPr>
                <w:sz w:val="8"/>
                <w:szCs w:val="8"/>
              </w:rPr>
            </w:pPr>
            <w:r>
              <w:rPr>
                <w:spacing w:val="-5"/>
              </w:rPr>
              <w:t>36.18±</w:t>
            </w:r>
            <w:r>
              <w:rPr>
                <w:spacing w:val="-31"/>
              </w:rPr>
              <w:t xml:space="preserve"> </w:t>
            </w:r>
            <w:r>
              <w:rPr>
                <w:spacing w:val="-5"/>
              </w:rPr>
              <w:t>1.42</w:t>
            </w:r>
            <w:r>
              <w:rPr>
                <w:sz w:val="8"/>
                <w:szCs w:val="8"/>
                <w:spacing w:val="-5"/>
                <w:position w:val="8"/>
              </w:rPr>
              <w:t>ab</w:t>
            </w:r>
          </w:p>
        </w:tc>
        <w:tc>
          <w:tcPr>
            <w:tcW w:w="2099" w:type="dxa"/>
            <w:vAlign w:val="top"/>
            <w:tcBorders>
              <w:top w:val="single" w:color="000000" w:sz="2" w:space="0"/>
            </w:tcBorders>
          </w:tcPr>
          <w:p>
            <w:pPr>
              <w:pStyle w:val="TableText"/>
              <w:ind w:left="520"/>
              <w:spacing w:before="6" w:line="191" w:lineRule="auto"/>
              <w:rPr/>
            </w:pPr>
            <w:r>
              <w:rPr>
                <w:spacing w:val="-6"/>
              </w:rPr>
              <w:t>52.13±</w:t>
            </w:r>
            <w:r>
              <w:rPr>
                <w:spacing w:val="-42"/>
              </w:rPr>
              <w:t xml:space="preserve"> </w:t>
            </w:r>
            <w:r>
              <w:rPr>
                <w:spacing w:val="-6"/>
              </w:rPr>
              <w:t>3.15</w:t>
            </w:r>
          </w:p>
          <w:p>
            <w:pPr>
              <w:pStyle w:val="TableText"/>
              <w:ind w:left="516"/>
              <w:spacing w:line="195" w:lineRule="auto"/>
              <w:rPr>
                <w:sz w:val="8"/>
                <w:szCs w:val="8"/>
              </w:rPr>
            </w:pPr>
            <w:r>
              <w:rPr>
                <w:spacing w:val="-4"/>
              </w:rPr>
              <w:t>41.66±</w:t>
            </w:r>
            <w:r>
              <w:rPr>
                <w:spacing w:val="-41"/>
              </w:rPr>
              <w:t xml:space="preserve"> </w:t>
            </w:r>
            <w:r>
              <w:rPr>
                <w:spacing w:val="-4"/>
              </w:rPr>
              <w:t>1.19</w:t>
            </w:r>
            <w:r>
              <w:rPr>
                <w:sz w:val="8"/>
                <w:szCs w:val="8"/>
                <w:spacing w:val="-4"/>
                <w:position w:val="8"/>
              </w:rPr>
              <w:t>ab</w:t>
            </w:r>
          </w:p>
        </w:tc>
        <w:tc>
          <w:tcPr>
            <w:tcW w:w="2349" w:type="dxa"/>
            <w:vAlign w:val="top"/>
            <w:tcBorders>
              <w:top w:val="single" w:color="000000" w:sz="2" w:space="0"/>
            </w:tcBorders>
          </w:tcPr>
          <w:p>
            <w:pPr>
              <w:pStyle w:val="TableText"/>
              <w:ind w:left="531"/>
              <w:spacing w:before="6" w:line="191" w:lineRule="auto"/>
              <w:rPr/>
            </w:pPr>
            <w:r>
              <w:rPr>
                <w:spacing w:val="-6"/>
              </w:rPr>
              <w:t>10.46±</w:t>
            </w:r>
            <w:r>
              <w:rPr>
                <w:spacing w:val="-52"/>
              </w:rPr>
              <w:t xml:space="preserve"> </w:t>
            </w:r>
            <w:r>
              <w:rPr>
                <w:spacing w:val="-6"/>
              </w:rPr>
              <w:t>2.31</w:t>
            </w:r>
          </w:p>
          <w:p>
            <w:pPr>
              <w:pStyle w:val="TableText"/>
              <w:ind w:left="521"/>
              <w:spacing w:line="195" w:lineRule="auto"/>
              <w:rPr>
                <w:sz w:val="8"/>
                <w:szCs w:val="8"/>
              </w:rPr>
            </w:pPr>
            <w:r>
              <w:rPr>
                <w:spacing w:val="-4"/>
              </w:rPr>
              <w:t>3.39±</w:t>
            </w:r>
            <w:r>
              <w:rPr>
                <w:spacing w:val="-48"/>
              </w:rPr>
              <w:t xml:space="preserve"> </w:t>
            </w:r>
            <w:r>
              <w:rPr>
                <w:spacing w:val="-4"/>
              </w:rPr>
              <w:t>0.67</w:t>
            </w:r>
            <w:r>
              <w:rPr>
                <w:sz w:val="8"/>
                <w:szCs w:val="8"/>
                <w:spacing w:val="-4"/>
                <w:position w:val="8"/>
              </w:rPr>
              <w:t>ab</w:t>
            </w:r>
          </w:p>
        </w:tc>
      </w:tr>
      <w:tr>
        <w:trPr>
          <w:trHeight w:val="199" w:hRule="atLeast"/>
        </w:trPr>
        <w:tc>
          <w:tcPr>
            <w:tcW w:w="1609" w:type="dxa"/>
            <w:vAlign w:val="top"/>
            <w:vMerge w:val="restart"/>
            <w:tcBorders>
              <w:bottom w:val="nil"/>
            </w:tcBorders>
          </w:tcPr>
          <w:p>
            <w:pPr>
              <w:pStyle w:val="TableText"/>
              <w:ind w:left="115"/>
              <w:spacing w:before="114" w:line="221" w:lineRule="auto"/>
              <w:rPr/>
            </w:pPr>
            <w:r>
              <w:rPr>
                <w:spacing w:val="-1"/>
              </w:rPr>
              <w:t>对照组(n=46)</w:t>
            </w:r>
          </w:p>
        </w:tc>
        <w:tc>
          <w:tcPr>
            <w:tcW w:w="1397" w:type="dxa"/>
            <w:vAlign w:val="top"/>
          </w:tcPr>
          <w:p>
            <w:pPr>
              <w:pStyle w:val="TableText"/>
              <w:ind w:left="457"/>
              <w:spacing w:before="14" w:line="179" w:lineRule="auto"/>
              <w:rPr/>
            </w:pPr>
            <w:r>
              <w:rPr>
                <w:spacing w:val="-4"/>
              </w:rPr>
              <w:t>治疗前</w:t>
            </w:r>
          </w:p>
        </w:tc>
        <w:tc>
          <w:tcPr>
            <w:tcW w:w="2005" w:type="dxa"/>
            <w:vAlign w:val="top"/>
          </w:tcPr>
          <w:p>
            <w:pPr>
              <w:pStyle w:val="TableText"/>
              <w:ind w:left="423"/>
              <w:spacing w:before="14" w:line="179" w:lineRule="auto"/>
              <w:rPr/>
            </w:pPr>
            <w:r>
              <w:rPr>
                <w:spacing w:val="-5"/>
              </w:rPr>
              <w:t>54.91±</w:t>
            </w:r>
            <w:r>
              <w:rPr>
                <w:spacing w:val="-50"/>
              </w:rPr>
              <w:t xml:space="preserve"> </w:t>
            </w:r>
            <w:r>
              <w:rPr>
                <w:spacing w:val="-5"/>
              </w:rPr>
              <w:t>3.93</w:t>
            </w:r>
          </w:p>
        </w:tc>
        <w:tc>
          <w:tcPr>
            <w:tcW w:w="2099" w:type="dxa"/>
            <w:vAlign w:val="top"/>
          </w:tcPr>
          <w:p>
            <w:pPr>
              <w:pStyle w:val="TableText"/>
              <w:ind w:left="520"/>
              <w:spacing w:before="14" w:line="179" w:lineRule="auto"/>
              <w:rPr/>
            </w:pPr>
            <w:r>
              <w:rPr>
                <w:spacing w:val="-6"/>
              </w:rPr>
              <w:t>52.47±</w:t>
            </w:r>
            <w:r>
              <w:rPr>
                <w:spacing w:val="-42"/>
              </w:rPr>
              <w:t xml:space="preserve"> </w:t>
            </w:r>
            <w:r>
              <w:rPr>
                <w:spacing w:val="-6"/>
              </w:rPr>
              <w:t>3.22</w:t>
            </w:r>
          </w:p>
        </w:tc>
        <w:tc>
          <w:tcPr>
            <w:tcW w:w="2349" w:type="dxa"/>
            <w:vAlign w:val="top"/>
          </w:tcPr>
          <w:p>
            <w:pPr>
              <w:pStyle w:val="TableText"/>
              <w:ind w:left="531"/>
              <w:spacing w:before="14" w:line="179" w:lineRule="auto"/>
              <w:rPr/>
            </w:pPr>
            <w:r>
              <w:rPr>
                <w:spacing w:val="-6"/>
              </w:rPr>
              <w:t>10.38±</w:t>
            </w:r>
            <w:r>
              <w:rPr>
                <w:spacing w:val="-52"/>
              </w:rPr>
              <w:t xml:space="preserve"> </w:t>
            </w:r>
            <w:r>
              <w:rPr>
                <w:spacing w:val="-6"/>
              </w:rPr>
              <w:t>2.35</w:t>
            </w:r>
          </w:p>
        </w:tc>
      </w:tr>
      <w:tr>
        <w:trPr>
          <w:trHeight w:val="213" w:hRule="atLeast"/>
        </w:trPr>
        <w:tc>
          <w:tcPr>
            <w:tcW w:w="1609" w:type="dxa"/>
            <w:vAlign w:val="top"/>
            <w:vMerge w:val="continue"/>
            <w:tcBorders>
              <w:bottom w:val="single" w:color="000000" w:sz="2" w:space="0"/>
              <w:top w:val="nil"/>
            </w:tcBorders>
          </w:tcPr>
          <w:p>
            <w:pPr>
              <w:rPr>
                <w:rFonts w:ascii="Arial"/>
                <w:sz w:val="21"/>
              </w:rPr>
            </w:pPr>
            <w:r/>
          </w:p>
        </w:tc>
        <w:tc>
          <w:tcPr>
            <w:tcW w:w="1397" w:type="dxa"/>
            <w:vAlign w:val="top"/>
            <w:tcBorders>
              <w:bottom w:val="single" w:color="000000" w:sz="2" w:space="0"/>
            </w:tcBorders>
          </w:tcPr>
          <w:p>
            <w:pPr>
              <w:pStyle w:val="TableText"/>
              <w:ind w:left="457"/>
              <w:spacing w:before="14" w:line="193" w:lineRule="auto"/>
              <w:rPr/>
            </w:pPr>
            <w:r>
              <w:rPr>
                <w:spacing w:val="-4"/>
              </w:rPr>
              <w:t>治疗后</w:t>
            </w:r>
          </w:p>
        </w:tc>
        <w:tc>
          <w:tcPr>
            <w:tcW w:w="2005" w:type="dxa"/>
            <w:vAlign w:val="top"/>
            <w:tcBorders>
              <w:bottom w:val="single" w:color="000000" w:sz="2" w:space="0"/>
            </w:tcBorders>
          </w:tcPr>
          <w:p>
            <w:pPr>
              <w:pStyle w:val="TableText"/>
              <w:ind w:left="418"/>
              <w:spacing w:before="1" w:line="207" w:lineRule="auto"/>
              <w:rPr>
                <w:sz w:val="8"/>
                <w:szCs w:val="8"/>
              </w:rPr>
            </w:pPr>
            <w:r>
              <w:rPr>
                <w:spacing w:val="-4"/>
              </w:rPr>
              <w:t>43.05±</w:t>
            </w:r>
            <w:r>
              <w:rPr>
                <w:spacing w:val="-48"/>
              </w:rPr>
              <w:t xml:space="preserve"> </w:t>
            </w:r>
            <w:r>
              <w:rPr>
                <w:spacing w:val="-4"/>
              </w:rPr>
              <w:t>2.38</w:t>
            </w:r>
            <w:r>
              <w:rPr>
                <w:sz w:val="8"/>
                <w:szCs w:val="8"/>
                <w:spacing w:val="-4"/>
                <w:position w:val="8"/>
              </w:rPr>
              <w:t>a</w:t>
            </w:r>
          </w:p>
        </w:tc>
        <w:tc>
          <w:tcPr>
            <w:tcW w:w="2099" w:type="dxa"/>
            <w:vAlign w:val="top"/>
            <w:tcBorders>
              <w:bottom w:val="single" w:color="000000" w:sz="2" w:space="0"/>
            </w:tcBorders>
          </w:tcPr>
          <w:p>
            <w:pPr>
              <w:pStyle w:val="TableText"/>
              <w:ind w:left="516"/>
              <w:spacing w:before="1" w:line="207" w:lineRule="auto"/>
              <w:rPr>
                <w:sz w:val="8"/>
                <w:szCs w:val="8"/>
              </w:rPr>
            </w:pPr>
            <w:r>
              <w:rPr>
                <w:spacing w:val="-4"/>
              </w:rPr>
              <w:t>48.63±</w:t>
            </w:r>
            <w:r>
              <w:rPr>
                <w:spacing w:val="-50"/>
              </w:rPr>
              <w:t xml:space="preserve"> </w:t>
            </w:r>
            <w:r>
              <w:rPr>
                <w:spacing w:val="-4"/>
              </w:rPr>
              <w:t>2.38</w:t>
            </w:r>
            <w:r>
              <w:rPr>
                <w:sz w:val="8"/>
                <w:szCs w:val="8"/>
                <w:spacing w:val="-4"/>
                <w:position w:val="8"/>
              </w:rPr>
              <w:t>a</w:t>
            </w:r>
          </w:p>
        </w:tc>
        <w:tc>
          <w:tcPr>
            <w:tcW w:w="2349" w:type="dxa"/>
            <w:vAlign w:val="top"/>
            <w:tcBorders>
              <w:bottom w:val="single" w:color="000000" w:sz="2" w:space="0"/>
            </w:tcBorders>
          </w:tcPr>
          <w:p>
            <w:pPr>
              <w:pStyle w:val="TableText"/>
              <w:ind w:left="521"/>
              <w:spacing w:before="1" w:line="207" w:lineRule="auto"/>
              <w:rPr>
                <w:sz w:val="8"/>
                <w:szCs w:val="8"/>
              </w:rPr>
            </w:pPr>
            <w:r>
              <w:rPr>
                <w:spacing w:val="-7"/>
              </w:rPr>
              <w:t>5.72±</w:t>
            </w:r>
            <w:r>
              <w:rPr>
                <w:spacing w:val="-41"/>
              </w:rPr>
              <w:t xml:space="preserve"> </w:t>
            </w:r>
            <w:r>
              <w:rPr>
                <w:spacing w:val="-7"/>
              </w:rPr>
              <w:t>1.18</w:t>
            </w:r>
            <w:r>
              <w:rPr>
                <w:sz w:val="8"/>
                <w:szCs w:val="8"/>
                <w:spacing w:val="6"/>
                <w:position w:val="8"/>
              </w:rPr>
              <w:t>a</w:t>
            </w:r>
          </w:p>
        </w:tc>
      </w:tr>
    </w:tbl>
    <w:p>
      <w:pPr>
        <w:ind w:left="891"/>
        <w:spacing w:before="56" w:line="236" w:lineRule="auto"/>
        <w:rPr>
          <w:rFonts w:ascii="KaiTi" w:hAnsi="KaiTi" w:eastAsia="KaiTi" w:cs="KaiTi"/>
          <w:sz w:val="18"/>
          <w:szCs w:val="18"/>
        </w:rPr>
      </w:pPr>
      <w:r>
        <w:rPr>
          <w:rFonts w:ascii="KaiTi" w:hAnsi="KaiTi" w:eastAsia="KaiTi" w:cs="KaiTi"/>
          <w:sz w:val="18"/>
          <w:szCs w:val="18"/>
        </w:rPr>
        <w:t>注：与护理前比较，</w:t>
      </w:r>
      <w:r>
        <w:rPr>
          <w:rFonts w:ascii="KaiTi" w:hAnsi="KaiTi" w:eastAsia="KaiTi" w:cs="KaiTi"/>
          <w:sz w:val="8"/>
          <w:szCs w:val="8"/>
          <w:position w:val="9"/>
        </w:rPr>
        <w:t>a</w:t>
      </w:r>
      <w:r>
        <w:rPr>
          <w:rFonts w:ascii="KaiTi" w:hAnsi="KaiTi" w:eastAsia="KaiTi" w:cs="KaiTi"/>
          <w:sz w:val="18"/>
          <w:szCs w:val="18"/>
        </w:rPr>
        <w:t>P＜0.05；与对照组比较，</w:t>
      </w:r>
      <w:r>
        <w:rPr>
          <w:rFonts w:ascii="KaiTi" w:hAnsi="KaiTi" w:eastAsia="KaiTi" w:cs="KaiTi"/>
          <w:sz w:val="8"/>
          <w:szCs w:val="8"/>
          <w:position w:val="9"/>
        </w:rPr>
        <w:t>b</w:t>
      </w:r>
      <w:r>
        <w:rPr>
          <w:rFonts w:ascii="KaiTi" w:hAnsi="KaiTi" w:eastAsia="KaiTi" w:cs="KaiTi"/>
          <w:sz w:val="18"/>
          <w:szCs w:val="18"/>
        </w:rPr>
        <w:t>P</w:t>
      </w:r>
      <w:r>
        <w:rPr>
          <w:rFonts w:ascii="KaiTi" w:hAnsi="KaiTi" w:eastAsia="KaiTi" w:cs="KaiTi"/>
          <w:sz w:val="18"/>
          <w:szCs w:val="18"/>
          <w:spacing w:val="-1"/>
        </w:rPr>
        <w:t>＜0.05</w:t>
      </w:r>
    </w:p>
    <w:p>
      <w:pPr>
        <w:spacing w:line="236" w:lineRule="auto"/>
        <w:sectPr>
          <w:headerReference w:type="default" r:id="rId2"/>
          <w:pgSz w:w="12240" w:h="16840"/>
          <w:pgMar w:top="400" w:right="1214" w:bottom="0" w:left="424" w:header="0" w:footer="0" w:gutter="0"/>
        </w:sectPr>
        <w:rPr>
          <w:rFonts w:ascii="KaiTi" w:hAnsi="KaiTi" w:eastAsia="KaiTi" w:cs="KaiTi"/>
          <w:sz w:val="18"/>
          <w:szCs w:val="18"/>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880"/>
        <w:spacing w:before="65" w:line="229" w:lineRule="auto"/>
        <w:outlineLvl w:val="3"/>
        <w:rPr/>
      </w:pPr>
      <w:r>
        <w:rPr>
          <w:rFonts w:ascii="Times New Roman" w:hAnsi="Times New Roman" w:eastAsia="Times New Roman" w:cs="Times New Roman"/>
          <w:b/>
          <w:bCs/>
          <w:spacing w:val="4"/>
        </w:rPr>
        <w:t>2.4</w:t>
      </w:r>
      <w:r>
        <w:rPr>
          <w:rFonts w:ascii="Times New Roman" w:hAnsi="Times New Roman" w:eastAsia="Times New Roman" w:cs="Times New Roman"/>
          <w:b/>
          <w:bCs/>
          <w:spacing w:val="5"/>
        </w:rPr>
        <w:t xml:space="preserve">    </w:t>
      </w:r>
      <w:r>
        <w:rPr>
          <w:b/>
          <w:bCs/>
          <w:spacing w:val="4"/>
        </w:rPr>
        <w:t>不良反应</w:t>
      </w:r>
    </w:p>
    <w:p>
      <w:pPr>
        <w:pStyle w:val="BodyText"/>
        <w:ind w:left="1303"/>
        <w:spacing w:before="116" w:line="228" w:lineRule="auto"/>
        <w:rPr/>
      </w:pPr>
      <w:r>
        <w:rPr>
          <w:spacing w:val="7"/>
        </w:rPr>
        <w:t>观察组不良反应发生率相比更低，</w:t>
      </w:r>
      <w:r>
        <w:rPr>
          <w:rFonts w:ascii="Times New Roman" w:hAnsi="Times New Roman" w:eastAsia="Times New Roman" w:cs="Times New Roman"/>
          <w:spacing w:val="7"/>
        </w:rPr>
        <w:t>P</w:t>
      </w:r>
      <w:r>
        <w:rPr>
          <w:spacing w:val="7"/>
        </w:rPr>
        <w:t>＞</w:t>
      </w:r>
      <w:r>
        <w:rPr>
          <w:rFonts w:ascii="Times New Roman" w:hAnsi="Times New Roman" w:eastAsia="Times New Roman" w:cs="Times New Roman"/>
          <w:spacing w:val="7"/>
        </w:rPr>
        <w:t>0.05</w:t>
      </w:r>
      <w:r>
        <w:rPr>
          <w:rFonts w:ascii="Times New Roman" w:hAnsi="Times New Roman" w:eastAsia="Times New Roman" w:cs="Times New Roman"/>
          <w:spacing w:val="-26"/>
        </w:rPr>
        <w:t xml:space="preserve"> </w:t>
      </w:r>
      <w:r>
        <w:rPr>
          <w:spacing w:val="7"/>
        </w:rPr>
        <w:t>，见表</w:t>
      </w:r>
      <w:r>
        <w:rPr>
          <w:spacing w:val="-44"/>
        </w:rPr>
        <w:t xml:space="preserve"> </w:t>
      </w:r>
      <w:r>
        <w:rPr>
          <w:rFonts w:ascii="Times New Roman" w:hAnsi="Times New Roman" w:eastAsia="Times New Roman" w:cs="Times New Roman"/>
          <w:spacing w:val="6"/>
        </w:rPr>
        <w:t>4</w:t>
      </w:r>
      <w:r>
        <w:rPr>
          <w:spacing w:val="6"/>
        </w:rPr>
        <w:t>。</w:t>
      </w:r>
    </w:p>
    <w:p>
      <w:pPr>
        <w:pStyle w:val="BodyText"/>
        <w:ind w:left="4252"/>
        <w:spacing w:before="45" w:line="217" w:lineRule="auto"/>
        <w:outlineLvl w:val="1"/>
        <w:rPr/>
      </w:pPr>
      <w:r>
        <w:rPr>
          <w:b/>
          <w:bCs/>
          <w:spacing w:val="5"/>
        </w:rPr>
        <w:t>表</w:t>
      </w:r>
      <w:r>
        <w:rPr>
          <w:spacing w:val="-32"/>
        </w:rPr>
        <w:t xml:space="preserve"> </w:t>
      </w:r>
      <w:r>
        <w:rPr>
          <w:b/>
          <w:bCs/>
          <w:spacing w:val="5"/>
        </w:rPr>
        <w:t>4</w:t>
      </w:r>
      <w:r>
        <w:rPr>
          <w:spacing w:val="5"/>
        </w:rPr>
        <w:t xml:space="preserve">  </w:t>
      </w:r>
      <w:r>
        <w:rPr>
          <w:b/>
          <w:bCs/>
          <w:spacing w:val="5"/>
        </w:rPr>
        <w:t>两组不良反应比较[n(%)]</w:t>
      </w:r>
    </w:p>
    <w:tbl>
      <w:tblPr>
        <w:tblStyle w:val="TableNormal"/>
        <w:tblW w:w="9459" w:type="dxa"/>
        <w:tblInd w:w="9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61"/>
        <w:gridCol w:w="2115"/>
        <w:gridCol w:w="2142"/>
        <w:gridCol w:w="1651"/>
        <w:gridCol w:w="1890"/>
      </w:tblGrid>
      <w:tr>
        <w:trPr>
          <w:trHeight w:val="208" w:hRule="atLeast"/>
        </w:trPr>
        <w:tc>
          <w:tcPr>
            <w:tcW w:w="1661" w:type="dxa"/>
            <w:vAlign w:val="top"/>
            <w:tcBorders>
              <w:bottom w:val="single" w:color="000000" w:sz="2" w:space="0"/>
              <w:top w:val="single" w:color="000000" w:sz="2" w:space="0"/>
            </w:tcBorders>
          </w:tcPr>
          <w:p>
            <w:pPr>
              <w:pStyle w:val="TableText"/>
              <w:ind w:left="118"/>
              <w:spacing w:before="10" w:line="192" w:lineRule="auto"/>
              <w:rPr/>
            </w:pPr>
            <w:r>
              <w:rPr>
                <w:spacing w:val="-5"/>
              </w:rPr>
              <w:t>组别</w:t>
            </w:r>
          </w:p>
        </w:tc>
        <w:tc>
          <w:tcPr>
            <w:tcW w:w="2115" w:type="dxa"/>
            <w:vAlign w:val="top"/>
            <w:tcBorders>
              <w:bottom w:val="single" w:color="000000" w:sz="2" w:space="0"/>
              <w:top w:val="single" w:color="000000" w:sz="2" w:space="0"/>
            </w:tcBorders>
          </w:tcPr>
          <w:p>
            <w:pPr>
              <w:pStyle w:val="TableText"/>
              <w:ind w:left="511"/>
              <w:spacing w:before="10" w:line="192" w:lineRule="auto"/>
              <w:rPr/>
            </w:pPr>
            <w:r>
              <w:rPr>
                <w:spacing w:val="-2"/>
              </w:rPr>
              <w:t>神经系统反应</w:t>
            </w:r>
          </w:p>
        </w:tc>
        <w:tc>
          <w:tcPr>
            <w:tcW w:w="2142" w:type="dxa"/>
            <w:vAlign w:val="top"/>
            <w:tcBorders>
              <w:bottom w:val="single" w:color="000000" w:sz="2" w:space="0"/>
              <w:top w:val="single" w:color="000000" w:sz="2" w:space="0"/>
            </w:tcBorders>
          </w:tcPr>
          <w:p>
            <w:pPr>
              <w:pStyle w:val="TableText"/>
              <w:ind w:left="543"/>
              <w:spacing w:before="10" w:line="192" w:lineRule="auto"/>
              <w:rPr/>
            </w:pPr>
            <w:r>
              <w:rPr>
                <w:spacing w:val="-2"/>
              </w:rPr>
              <w:t>消化系统反应</w:t>
            </w:r>
          </w:p>
        </w:tc>
        <w:tc>
          <w:tcPr>
            <w:tcW w:w="1651" w:type="dxa"/>
            <w:vAlign w:val="top"/>
            <w:tcBorders>
              <w:bottom w:val="single" w:color="000000" w:sz="2" w:space="0"/>
              <w:top w:val="single" w:color="000000" w:sz="2" w:space="0"/>
            </w:tcBorders>
          </w:tcPr>
          <w:p>
            <w:pPr>
              <w:pStyle w:val="TableText"/>
              <w:ind w:left="539"/>
              <w:spacing w:before="10" w:line="192" w:lineRule="auto"/>
              <w:rPr/>
            </w:pPr>
            <w:r>
              <w:rPr>
                <w:spacing w:val="-2"/>
              </w:rPr>
              <w:t>过敏反应</w:t>
            </w:r>
          </w:p>
        </w:tc>
        <w:tc>
          <w:tcPr>
            <w:tcW w:w="1890" w:type="dxa"/>
            <w:vAlign w:val="top"/>
            <w:tcBorders>
              <w:bottom w:val="single" w:color="000000" w:sz="2" w:space="0"/>
              <w:top w:val="single" w:color="000000" w:sz="2" w:space="0"/>
            </w:tcBorders>
          </w:tcPr>
          <w:p>
            <w:pPr>
              <w:pStyle w:val="TableText"/>
              <w:ind w:left="412"/>
              <w:spacing w:before="10" w:line="192" w:lineRule="auto"/>
              <w:rPr/>
            </w:pPr>
            <w:r>
              <w:rPr>
                <w:spacing w:val="-4"/>
              </w:rPr>
              <w:t>发生率</w:t>
            </w:r>
          </w:p>
        </w:tc>
      </w:tr>
      <w:tr>
        <w:trPr>
          <w:trHeight w:val="806" w:hRule="atLeast"/>
        </w:trPr>
        <w:tc>
          <w:tcPr>
            <w:tcW w:w="1661" w:type="dxa"/>
            <w:vAlign w:val="top"/>
            <w:tcBorders>
              <w:bottom w:val="single" w:color="000000" w:sz="2" w:space="0"/>
              <w:top w:val="single" w:color="000000" w:sz="2" w:space="0"/>
            </w:tcBorders>
          </w:tcPr>
          <w:p>
            <w:pPr>
              <w:pStyle w:val="TableText"/>
              <w:ind w:left="116"/>
              <w:spacing w:before="9" w:line="204" w:lineRule="auto"/>
              <w:rPr/>
            </w:pPr>
            <w:r>
              <w:rPr>
                <w:spacing w:val="-1"/>
              </w:rPr>
              <w:t>观察组(n=46)</w:t>
            </w:r>
          </w:p>
          <w:p>
            <w:pPr>
              <w:pStyle w:val="TableText"/>
              <w:ind w:left="160" w:right="470" w:hanging="45"/>
              <w:spacing w:before="1" w:line="220" w:lineRule="auto"/>
              <w:rPr>
                <w:sz w:val="8"/>
                <w:szCs w:val="8"/>
              </w:rPr>
            </w:pPr>
            <w:r>
              <w:rPr>
                <w:spacing w:val="-1"/>
              </w:rPr>
              <w:t>对照组(n=46)</w:t>
            </w:r>
            <w:r>
              <w:rPr>
                <w:spacing w:val="2"/>
              </w:rPr>
              <w:t xml:space="preserve"> </w:t>
            </w:r>
            <w:r>
              <w:rPr>
                <w:spacing w:val="-52"/>
                <w:position w:val="-1"/>
              </w:rPr>
              <w:t>χ</w:t>
            </w:r>
            <w:r>
              <w:rPr>
                <w:sz w:val="8"/>
                <w:szCs w:val="8"/>
                <w:spacing w:val="4"/>
                <w:position w:val="7"/>
              </w:rPr>
              <w:t>2</w:t>
            </w:r>
          </w:p>
          <w:p>
            <w:pPr>
              <w:pStyle w:val="TableText"/>
              <w:ind w:left="113"/>
              <w:spacing w:line="161" w:lineRule="auto"/>
              <w:rPr/>
            </w:pPr>
            <w:r>
              <w:rPr/>
              <w:t>P</w:t>
            </w:r>
          </w:p>
        </w:tc>
        <w:tc>
          <w:tcPr>
            <w:tcW w:w="2115" w:type="dxa"/>
            <w:vAlign w:val="top"/>
            <w:tcBorders>
              <w:bottom w:val="single" w:color="000000" w:sz="2" w:space="0"/>
              <w:top w:val="single" w:color="000000" w:sz="2" w:space="0"/>
            </w:tcBorders>
          </w:tcPr>
          <w:p>
            <w:pPr>
              <w:pStyle w:val="TableText"/>
              <w:ind w:left="515"/>
              <w:spacing w:before="9" w:line="204" w:lineRule="auto"/>
              <w:rPr/>
            </w:pPr>
            <w:r>
              <w:rPr>
                <w:spacing w:val="-2"/>
              </w:rPr>
              <w:t>3(6.52%)</w:t>
            </w:r>
          </w:p>
          <w:p>
            <w:pPr>
              <w:pStyle w:val="TableText"/>
              <w:ind w:left="511" w:right="889" w:firstLine="2"/>
              <w:spacing w:before="1" w:line="205" w:lineRule="auto"/>
              <w:rPr/>
            </w:pPr>
            <w:r>
              <w:rPr>
                <w:spacing w:val="-2"/>
              </w:rPr>
              <w:t>2(4.35%)</w:t>
            </w:r>
            <w:r>
              <w:rPr>
                <w:spacing w:val="6"/>
              </w:rPr>
              <w:t xml:space="preserve"> </w:t>
            </w:r>
            <w:r>
              <w:rPr/>
              <w:t>/</w:t>
            </w:r>
          </w:p>
          <w:p>
            <w:pPr>
              <w:pStyle w:val="TableText"/>
              <w:ind w:left="511"/>
              <w:spacing w:line="191" w:lineRule="auto"/>
              <w:rPr/>
            </w:pPr>
            <w:r>
              <w:rPr/>
              <w:t>/</w:t>
            </w:r>
          </w:p>
        </w:tc>
        <w:tc>
          <w:tcPr>
            <w:tcW w:w="2142" w:type="dxa"/>
            <w:vAlign w:val="top"/>
            <w:tcBorders>
              <w:bottom w:val="single" w:color="000000" w:sz="2" w:space="0"/>
              <w:top w:val="single" w:color="000000" w:sz="2" w:space="0"/>
            </w:tcBorders>
          </w:tcPr>
          <w:p>
            <w:pPr>
              <w:pStyle w:val="TableText"/>
              <w:ind w:left="553"/>
              <w:spacing w:before="9" w:line="204" w:lineRule="auto"/>
              <w:rPr/>
            </w:pPr>
            <w:r>
              <w:rPr>
                <w:spacing w:val="-3"/>
              </w:rPr>
              <w:t>1(2.17%)</w:t>
            </w:r>
          </w:p>
          <w:p>
            <w:pPr>
              <w:pStyle w:val="TableText"/>
              <w:ind w:left="539" w:right="887" w:firstLine="2"/>
              <w:spacing w:before="1" w:line="205" w:lineRule="auto"/>
              <w:rPr/>
            </w:pPr>
            <w:r>
              <w:rPr>
                <w:spacing w:val="-2"/>
              </w:rPr>
              <w:t>2(4.35%)</w:t>
            </w:r>
            <w:r>
              <w:rPr>
                <w:spacing w:val="6"/>
              </w:rPr>
              <w:t xml:space="preserve"> </w:t>
            </w:r>
            <w:r>
              <w:rPr/>
              <w:t>/</w:t>
            </w:r>
          </w:p>
          <w:p>
            <w:pPr>
              <w:pStyle w:val="TableText"/>
              <w:ind w:left="539"/>
              <w:spacing w:line="191" w:lineRule="auto"/>
              <w:rPr/>
            </w:pPr>
            <w:r>
              <w:rPr/>
              <w:t>/</w:t>
            </w:r>
          </w:p>
        </w:tc>
        <w:tc>
          <w:tcPr>
            <w:tcW w:w="1651" w:type="dxa"/>
            <w:vAlign w:val="top"/>
            <w:tcBorders>
              <w:bottom w:val="single" w:color="000000" w:sz="2" w:space="0"/>
              <w:top w:val="single" w:color="000000" w:sz="2" w:space="0"/>
            </w:tcBorders>
          </w:tcPr>
          <w:p>
            <w:pPr>
              <w:pStyle w:val="TableText"/>
              <w:ind w:left="540" w:right="398" w:firstLine="11"/>
              <w:spacing w:before="9" w:line="204" w:lineRule="auto"/>
              <w:rPr/>
            </w:pPr>
            <w:r>
              <w:rPr>
                <w:spacing w:val="-3"/>
              </w:rPr>
              <w:t>1(2.17%)</w:t>
            </w:r>
            <w:r>
              <w:rPr>
                <w:spacing w:val="3"/>
              </w:rPr>
              <w:t xml:space="preserve"> </w:t>
            </w:r>
            <w:r>
              <w:rPr>
                <w:spacing w:val="-2"/>
              </w:rPr>
              <w:t>0(0)</w:t>
            </w:r>
          </w:p>
          <w:p>
            <w:pPr>
              <w:pStyle w:val="TableText"/>
              <w:ind w:left="538"/>
              <w:spacing w:line="206" w:lineRule="auto"/>
              <w:rPr/>
            </w:pPr>
            <w:r>
              <w:rPr/>
              <w:t>/</w:t>
            </w:r>
          </w:p>
          <w:p>
            <w:pPr>
              <w:pStyle w:val="TableText"/>
              <w:ind w:left="538"/>
              <w:spacing w:line="191" w:lineRule="auto"/>
              <w:rPr/>
            </w:pPr>
            <w:r>
              <w:rPr/>
              <w:t>/</w:t>
            </w:r>
          </w:p>
        </w:tc>
        <w:tc>
          <w:tcPr>
            <w:tcW w:w="1890" w:type="dxa"/>
            <w:vAlign w:val="top"/>
            <w:tcBorders>
              <w:bottom w:val="single" w:color="000000" w:sz="2" w:space="0"/>
              <w:top w:val="single" w:color="000000" w:sz="2" w:space="0"/>
            </w:tcBorders>
          </w:tcPr>
          <w:p>
            <w:pPr>
              <w:pStyle w:val="TableText"/>
              <w:ind w:left="413"/>
              <w:spacing w:before="9" w:line="204" w:lineRule="auto"/>
              <w:rPr/>
            </w:pPr>
            <w:r>
              <w:rPr>
                <w:spacing w:val="-2"/>
              </w:rPr>
              <w:t>5(10.87%)</w:t>
            </w:r>
          </w:p>
          <w:p>
            <w:pPr>
              <w:pStyle w:val="TableText"/>
              <w:ind w:left="410" w:right="766" w:hanging="2"/>
              <w:spacing w:before="1" w:line="205" w:lineRule="auto"/>
              <w:rPr/>
            </w:pPr>
            <w:r>
              <w:rPr>
                <w:spacing w:val="-1"/>
              </w:rPr>
              <w:t>4(8.70%)</w:t>
            </w:r>
            <w:r>
              <w:rPr>
                <w:spacing w:val="1"/>
              </w:rPr>
              <w:t xml:space="preserve"> </w:t>
            </w:r>
            <w:r>
              <w:rPr>
                <w:spacing w:val="-2"/>
              </w:rPr>
              <w:t>0.593</w:t>
            </w:r>
          </w:p>
          <w:p>
            <w:pPr>
              <w:pStyle w:val="TableText"/>
              <w:ind w:left="425"/>
              <w:spacing w:line="191" w:lineRule="auto"/>
              <w:rPr/>
            </w:pPr>
            <w:r>
              <w:rPr>
                <w:spacing w:val="13"/>
              </w:rPr>
              <w:t>&gt;0.05</w:t>
            </w:r>
          </w:p>
        </w:tc>
      </w:tr>
    </w:tbl>
    <w:p>
      <w:pPr>
        <w:pStyle w:val="BodyText"/>
        <w:ind w:left="879"/>
        <w:spacing w:before="182" w:line="221" w:lineRule="auto"/>
        <w:outlineLvl w:val="2"/>
        <w:rPr>
          <w:sz w:val="24"/>
          <w:szCs w:val="24"/>
        </w:rPr>
      </w:pPr>
      <w:r>
        <w:rPr>
          <w:rFonts w:ascii="Times New Roman" w:hAnsi="Times New Roman" w:eastAsia="Times New Roman" w:cs="Times New Roman"/>
          <w:sz w:val="24"/>
          <w:szCs w:val="24"/>
          <w:b/>
          <w:bCs/>
          <w:spacing w:val="-7"/>
        </w:rPr>
        <w:t>3</w:t>
      </w:r>
      <w:r>
        <w:rPr>
          <w:rFonts w:ascii="Times New Roman" w:hAnsi="Times New Roman" w:eastAsia="Times New Roman" w:cs="Times New Roman"/>
          <w:sz w:val="24"/>
          <w:szCs w:val="24"/>
          <w:b/>
          <w:bCs/>
          <w:spacing w:val="2"/>
        </w:rPr>
        <w:t xml:space="preserve">    </w:t>
      </w:r>
      <w:r>
        <w:rPr>
          <w:sz w:val="24"/>
          <w:szCs w:val="24"/>
          <w:b/>
          <w:bCs/>
          <w:spacing w:val="-7"/>
        </w:rPr>
        <w:t>讨论</w:t>
      </w:r>
    </w:p>
    <w:p>
      <w:pPr>
        <w:pStyle w:val="BodyText"/>
        <w:ind w:left="883" w:right="70" w:firstLine="427"/>
        <w:spacing w:before="141" w:line="314" w:lineRule="auto"/>
        <w:jc w:val="both"/>
        <w:rPr/>
      </w:pPr>
      <w:r>
        <w:rPr>
          <w:spacing w:val="9"/>
        </w:rPr>
        <w:t>急性肠胃炎是常见消化系统疾病，患者在发病后多数以胃肠黏膜水肿、充血等症状为主，如果治疗不</w:t>
      </w:r>
      <w:r>
        <w:rPr>
          <w:spacing w:val="6"/>
        </w:rPr>
        <w:t xml:space="preserve"> </w:t>
      </w:r>
      <w:r>
        <w:rPr>
          <w:spacing w:val="9"/>
        </w:rPr>
        <w:t>及时贻误治疗时机后，不仅会增加治疗难度，疾病还可进展为慢性肠胃炎</w:t>
      </w:r>
      <w:r>
        <w:rPr>
          <w:rFonts w:ascii="Times New Roman" w:hAnsi="Times New Roman" w:eastAsia="Times New Roman" w:cs="Times New Roman"/>
          <w:sz w:val="13"/>
          <w:szCs w:val="13"/>
          <w:spacing w:val="9"/>
          <w:position w:val="6"/>
        </w:rPr>
        <w:t>[4]</w:t>
      </w:r>
      <w:r>
        <w:rPr>
          <w:rFonts w:ascii="Times New Roman" w:hAnsi="Times New Roman" w:eastAsia="Times New Roman" w:cs="Times New Roman"/>
          <w:sz w:val="13"/>
          <w:szCs w:val="13"/>
          <w:spacing w:val="11"/>
          <w:w w:val="102"/>
          <w:position w:val="6"/>
        </w:rPr>
        <w:t xml:space="preserve"> </w:t>
      </w:r>
      <w:r>
        <w:rPr>
          <w:spacing w:val="9"/>
        </w:rPr>
        <w:t>。引起急性肠胃炎发生的病因</w:t>
      </w:r>
      <w:r>
        <w:rPr/>
        <w:t xml:space="preserve"> </w:t>
      </w:r>
      <w:r>
        <w:rPr>
          <w:spacing w:val="9"/>
        </w:rPr>
        <w:t>机制比较复杂，但诸多研究认为该病的发生与沙门菌属感染存在密切关系。患病后患者以恶心、呕吐、腹</w:t>
      </w:r>
      <w:r>
        <w:rPr>
          <w:spacing w:val="16"/>
        </w:rPr>
        <w:t xml:space="preserve"> </w:t>
      </w:r>
      <w:r>
        <w:rPr>
          <w:spacing w:val="9"/>
        </w:rPr>
        <w:t>胀、腹痛、发热为主要表现，主要因生冷腐烂食物进食、饮食不节等常见因素诱发，未经干预时，可引起</w:t>
      </w:r>
      <w:r>
        <w:rPr>
          <w:spacing w:val="16"/>
        </w:rPr>
        <w:t xml:space="preserve"> </w:t>
      </w:r>
      <w:r>
        <w:rPr>
          <w:spacing w:val="9"/>
        </w:rPr>
        <w:t>肠穿孔、水电解质紊乱等严重并发症发生</w:t>
      </w:r>
      <w:r>
        <w:rPr>
          <w:rFonts w:ascii="Times New Roman" w:hAnsi="Times New Roman" w:eastAsia="Times New Roman" w:cs="Times New Roman"/>
          <w:sz w:val="13"/>
          <w:szCs w:val="13"/>
          <w:spacing w:val="9"/>
          <w:position w:val="6"/>
        </w:rPr>
        <w:t>[5]</w:t>
      </w:r>
      <w:r>
        <w:rPr>
          <w:rFonts w:ascii="Times New Roman" w:hAnsi="Times New Roman" w:eastAsia="Times New Roman" w:cs="Times New Roman"/>
          <w:sz w:val="13"/>
          <w:szCs w:val="13"/>
          <w:spacing w:val="11"/>
          <w:w w:val="101"/>
          <w:position w:val="6"/>
        </w:rPr>
        <w:t xml:space="preserve"> </w:t>
      </w:r>
      <w:r>
        <w:rPr>
          <w:spacing w:val="9"/>
        </w:rPr>
        <w:t>。急性肠胃炎发生后，因消化系统受影响，患者体内营养水平</w:t>
      </w:r>
      <w:r>
        <w:rPr/>
        <w:t xml:space="preserve"> </w:t>
      </w:r>
      <w:r>
        <w:rPr>
          <w:spacing w:val="10"/>
        </w:rPr>
        <w:t>也会改变，在对患者进行治疗时，不但要及时补液</w:t>
      </w:r>
      <w:r>
        <w:rPr>
          <w:spacing w:val="9"/>
        </w:rPr>
        <w:t>，还需注重对患者免疫能力及身体素质的改善。</w:t>
      </w:r>
    </w:p>
    <w:p>
      <w:pPr>
        <w:pStyle w:val="BodyText"/>
        <w:ind w:left="883" w:firstLine="431"/>
        <w:spacing w:before="11" w:line="313" w:lineRule="auto"/>
        <w:jc w:val="both"/>
        <w:rPr/>
      </w:pPr>
      <w:r>
        <w:rPr>
          <w:spacing w:val="9"/>
        </w:rPr>
        <w:t>临床中在治疗急性肠胃炎时，药物治疗是主要方法，由于治疗该病的药物类型较多，如果在选择药物</w:t>
      </w:r>
      <w:r>
        <w:rPr>
          <w:spacing w:val="1"/>
        </w:rPr>
        <w:t xml:space="preserve"> </w:t>
      </w:r>
      <w:r>
        <w:rPr>
          <w:spacing w:val="6"/>
        </w:rPr>
        <w:t>时存在不合理的情况，不但治疗效果会受影响，还可能引起药物副反应，导致患者病情更加复杂。替硝唑、</w:t>
      </w:r>
      <w:r>
        <w:rPr>
          <w:spacing w:val="18"/>
        </w:rPr>
        <w:t xml:space="preserve"> </w:t>
      </w:r>
      <w:r>
        <w:rPr>
          <w:spacing w:val="9"/>
        </w:rPr>
        <w:t>阿莫西林均属于急性肠胃炎治疗的常用药物种类。阿莫西林属于临床上应用率较高的一种青霉素，在酸性</w:t>
      </w:r>
      <w:r>
        <w:rPr>
          <w:spacing w:val="15"/>
        </w:rPr>
        <w:t xml:space="preserve"> </w:t>
      </w:r>
      <w:r>
        <w:rPr>
          <w:spacing w:val="8"/>
        </w:rPr>
        <w:t>条件下可以发挥治疗的效果</w:t>
      </w:r>
      <w:r>
        <w:rPr>
          <w:rFonts w:ascii="Times New Roman" w:hAnsi="Times New Roman" w:eastAsia="Times New Roman" w:cs="Times New Roman"/>
          <w:sz w:val="13"/>
          <w:szCs w:val="13"/>
          <w:spacing w:val="8"/>
          <w:position w:val="6"/>
        </w:rPr>
        <w:t>[6] </w:t>
      </w:r>
      <w:r>
        <w:rPr>
          <w:spacing w:val="8"/>
        </w:rPr>
        <w:t>。有调查显示，常用服用阿莫西林后，药物吸收率能够达到</w:t>
      </w:r>
      <w:r>
        <w:rPr>
          <w:spacing w:val="-24"/>
        </w:rPr>
        <w:t xml:space="preserve"> </w:t>
      </w:r>
      <w:r>
        <w:rPr>
          <w:rFonts w:ascii="Times New Roman" w:hAnsi="Times New Roman" w:eastAsia="Times New Roman" w:cs="Times New Roman"/>
          <w:spacing w:val="8"/>
        </w:rPr>
        <w:t>90%</w:t>
      </w:r>
      <w:r>
        <w:rPr>
          <w:spacing w:val="8"/>
        </w:rPr>
        <w:t>以上，具有</w:t>
      </w:r>
      <w:r>
        <w:rPr/>
        <w:t xml:space="preserve"> </w:t>
      </w:r>
      <w:r>
        <w:rPr>
          <w:spacing w:val="10"/>
        </w:rPr>
        <w:t>显著的杀菌效果</w:t>
      </w:r>
      <w:r>
        <w:rPr>
          <w:rFonts w:ascii="Times New Roman" w:hAnsi="Times New Roman" w:eastAsia="Times New Roman" w:cs="Times New Roman"/>
          <w:sz w:val="13"/>
          <w:szCs w:val="13"/>
          <w:spacing w:val="10"/>
          <w:position w:val="6"/>
        </w:rPr>
        <w:t>[7]</w:t>
      </w:r>
      <w:r>
        <w:rPr>
          <w:spacing w:val="10"/>
        </w:rPr>
        <w:t>；药物进入人体后，短时间内药效即可充分发挥出来，但药效持续时间也较</w:t>
      </w:r>
      <w:r>
        <w:rPr>
          <w:spacing w:val="9"/>
        </w:rPr>
        <w:t>短，所以单</w:t>
      </w:r>
      <w:r>
        <w:rPr/>
        <w:t xml:space="preserve"> </w:t>
      </w:r>
      <w:r>
        <w:rPr>
          <w:spacing w:val="9"/>
        </w:rPr>
        <w:t>独使用阿莫西林治疗时，药效无法持久发挥</w:t>
      </w:r>
      <w:r>
        <w:rPr>
          <w:spacing w:val="8"/>
        </w:rPr>
        <w:t>作用。替硝唑也是应用率较高的一种硝基咪唑类药物，</w:t>
      </w:r>
      <w:r>
        <w:rPr>
          <w:spacing w:val="-58"/>
        </w:rPr>
        <w:t xml:space="preserve"> </w:t>
      </w:r>
      <w:r>
        <w:rPr>
          <w:spacing w:val="8"/>
        </w:rPr>
        <w:t>口服之</w:t>
      </w:r>
      <w:r>
        <w:rPr/>
        <w:t xml:space="preserve"> </w:t>
      </w:r>
      <w:r>
        <w:rPr>
          <w:spacing w:val="11"/>
        </w:rPr>
        <w:t>后有着非常高的利用率，药效时间较长，可以明显抑</w:t>
      </w:r>
      <w:r>
        <w:rPr>
          <w:spacing w:val="10"/>
        </w:rPr>
        <w:t>制病菌</w:t>
      </w:r>
      <w:r>
        <w:rPr>
          <w:spacing w:val="-41"/>
        </w:rPr>
        <w:t xml:space="preserve"> </w:t>
      </w:r>
      <w:r>
        <w:rPr>
          <w:rFonts w:ascii="Times New Roman" w:hAnsi="Times New Roman" w:eastAsia="Times New Roman" w:cs="Times New Roman"/>
        </w:rPr>
        <w:t>DNA</w:t>
      </w:r>
      <w:r>
        <w:rPr>
          <w:rFonts w:ascii="Times New Roman" w:hAnsi="Times New Roman" w:eastAsia="Times New Roman" w:cs="Times New Roman"/>
          <w:spacing w:val="31"/>
          <w:w w:val="101"/>
        </w:rPr>
        <w:t xml:space="preserve"> </w:t>
      </w:r>
      <w:r>
        <w:rPr>
          <w:spacing w:val="10"/>
        </w:rPr>
        <w:t>的合成，同时还可以对细菌的繁殖产生</w:t>
      </w:r>
      <w:r>
        <w:rPr/>
        <w:t xml:space="preserve"> </w:t>
      </w:r>
      <w:r>
        <w:rPr>
          <w:spacing w:val="9"/>
        </w:rPr>
        <w:t>阻断的效果</w:t>
      </w:r>
      <w:r>
        <w:rPr>
          <w:rFonts w:ascii="Times New Roman" w:hAnsi="Times New Roman" w:eastAsia="Times New Roman" w:cs="Times New Roman"/>
          <w:sz w:val="13"/>
          <w:szCs w:val="13"/>
          <w:spacing w:val="9"/>
          <w:position w:val="6"/>
        </w:rPr>
        <w:t>[8]</w:t>
      </w:r>
      <w:r>
        <w:rPr>
          <w:rFonts w:ascii="Times New Roman" w:hAnsi="Times New Roman" w:eastAsia="Times New Roman" w:cs="Times New Roman"/>
          <w:sz w:val="13"/>
          <w:szCs w:val="13"/>
          <w:spacing w:val="10"/>
          <w:w w:val="101"/>
          <w:position w:val="6"/>
        </w:rPr>
        <w:t xml:space="preserve"> </w:t>
      </w:r>
      <w:r>
        <w:rPr>
          <w:spacing w:val="9"/>
        </w:rPr>
        <w:t>。联合应用阿莫西林之后，两种药物可发挥不同的作用机制，相互协同，对整体治疗效果有</w:t>
      </w:r>
      <w:r>
        <w:rPr/>
        <w:t xml:space="preserve"> </w:t>
      </w:r>
      <w:r>
        <w:rPr>
          <w:spacing w:val="10"/>
        </w:rPr>
        <w:t>提升作用，可使患者的临床症状得到有效控制；且联合用药与单药治疗相比，单药用药容易产生耐药性，</w:t>
      </w:r>
      <w:r>
        <w:rPr>
          <w:spacing w:val="7"/>
        </w:rPr>
        <w:t xml:space="preserve"> </w:t>
      </w:r>
      <w:r>
        <w:rPr>
          <w:spacing w:val="6"/>
        </w:rPr>
        <w:t>而为了达到控制病情的目的，就需要增加用药剂量，用药剂量增加的同时，不良反应出现的可能性也增大；</w:t>
      </w:r>
      <w:r>
        <w:rPr>
          <w:spacing w:val="18"/>
        </w:rPr>
        <w:t xml:space="preserve"> </w:t>
      </w:r>
      <w:r>
        <w:rPr>
          <w:spacing w:val="9"/>
        </w:rPr>
        <w:t>而联合用药中，对不同药物的用药剂量控制严格，各类药物用药剂量均不大，所以不容易产生耐药性，用</w:t>
      </w:r>
      <w:r>
        <w:rPr>
          <w:spacing w:val="15"/>
        </w:rPr>
        <w:t xml:space="preserve"> </w:t>
      </w:r>
      <w:r>
        <w:rPr>
          <w:spacing w:val="7"/>
        </w:rPr>
        <w:t>药安全性更高。</w:t>
      </w:r>
    </w:p>
    <w:p>
      <w:pPr>
        <w:pStyle w:val="BodyText"/>
        <w:ind w:left="883" w:firstLine="420"/>
        <w:spacing w:before="13" w:line="313" w:lineRule="auto"/>
        <w:jc w:val="both"/>
        <w:rPr/>
      </w:pPr>
      <w:r>
        <w:rPr>
          <w:spacing w:val="9"/>
        </w:rPr>
        <w:t>通过本文研究可以看到，观察组临床症状缓解时间明显更短（</w:t>
      </w:r>
      <w:r>
        <w:rPr>
          <w:rFonts w:ascii="Times New Roman" w:hAnsi="Times New Roman" w:eastAsia="Times New Roman" w:cs="Times New Roman"/>
          <w:spacing w:val="9"/>
        </w:rPr>
        <w:t>P</w:t>
      </w:r>
      <w:r>
        <w:rPr>
          <w:spacing w:val="9"/>
        </w:rPr>
        <w:t>＜</w:t>
      </w:r>
      <w:r>
        <w:rPr>
          <w:rFonts w:ascii="Times New Roman" w:hAnsi="Times New Roman" w:eastAsia="Times New Roman" w:cs="Times New Roman"/>
          <w:spacing w:val="9"/>
        </w:rPr>
        <w:t>0.05</w:t>
      </w:r>
      <w:r>
        <w:rPr>
          <w:spacing w:val="-30"/>
        </w:rPr>
        <w:t>），</w:t>
      </w:r>
      <w:r>
        <w:rPr>
          <w:spacing w:val="9"/>
        </w:rPr>
        <w:t>说明阿莫西林联合替硝唑对</w:t>
      </w:r>
      <w:r>
        <w:rPr/>
        <w:t xml:space="preserve"> </w:t>
      </w:r>
      <w:r>
        <w:rPr>
          <w:spacing w:val="7"/>
        </w:rPr>
        <w:t>急性肠胃炎患者进行治疗时，药效在短时间</w:t>
      </w:r>
      <w:r>
        <w:rPr>
          <w:spacing w:val="6"/>
        </w:rPr>
        <w:t>能得到充分发挥，对患者临床症状能尽快进行缓解；疗效方面，</w:t>
      </w:r>
      <w:r>
        <w:rPr/>
        <w:t xml:space="preserve"> </w:t>
      </w:r>
      <w:r>
        <w:rPr>
          <w:spacing w:val="9"/>
        </w:rPr>
        <w:t>观察组为</w:t>
      </w:r>
      <w:r>
        <w:rPr>
          <w:spacing w:val="-33"/>
        </w:rPr>
        <w:t xml:space="preserve"> </w:t>
      </w:r>
      <w:r>
        <w:rPr>
          <w:rFonts w:ascii="Times New Roman" w:hAnsi="Times New Roman" w:eastAsia="Times New Roman" w:cs="Times New Roman"/>
          <w:spacing w:val="9"/>
        </w:rPr>
        <w:t>97.83%</w:t>
      </w:r>
      <w:r>
        <w:rPr>
          <w:rFonts w:ascii="Times New Roman" w:hAnsi="Times New Roman" w:eastAsia="Times New Roman" w:cs="Times New Roman"/>
          <w:spacing w:val="-21"/>
        </w:rPr>
        <w:t xml:space="preserve"> </w:t>
      </w:r>
      <w:r>
        <w:rPr>
          <w:spacing w:val="9"/>
        </w:rPr>
        <w:t>，高于对照组的</w:t>
      </w:r>
      <w:r>
        <w:rPr>
          <w:spacing w:val="-37"/>
        </w:rPr>
        <w:t xml:space="preserve"> </w:t>
      </w:r>
      <w:r>
        <w:rPr>
          <w:rFonts w:ascii="Times New Roman" w:hAnsi="Times New Roman" w:eastAsia="Times New Roman" w:cs="Times New Roman"/>
          <w:spacing w:val="9"/>
        </w:rPr>
        <w:t>76.09%</w:t>
      </w:r>
      <w:r>
        <w:rPr>
          <w:spacing w:val="9"/>
        </w:rPr>
        <w:t>（</w:t>
      </w:r>
      <w:r>
        <w:rPr>
          <w:rFonts w:ascii="Times New Roman" w:hAnsi="Times New Roman" w:eastAsia="Times New Roman" w:cs="Times New Roman"/>
          <w:spacing w:val="9"/>
        </w:rPr>
        <w:t>P</w:t>
      </w:r>
      <w:r>
        <w:rPr>
          <w:spacing w:val="9"/>
        </w:rPr>
        <w:t>＜</w:t>
      </w:r>
      <w:r>
        <w:rPr>
          <w:rFonts w:ascii="Times New Roman" w:hAnsi="Times New Roman" w:eastAsia="Times New Roman" w:cs="Times New Roman"/>
          <w:spacing w:val="9"/>
        </w:rPr>
        <w:t>0.05</w:t>
      </w:r>
      <w:r>
        <w:rPr>
          <w:spacing w:val="-37"/>
        </w:rPr>
        <w:t>），</w:t>
      </w:r>
      <w:r>
        <w:rPr>
          <w:spacing w:val="9"/>
        </w:rPr>
        <w:t>提示</w:t>
      </w:r>
      <w:r>
        <w:rPr>
          <w:spacing w:val="8"/>
        </w:rPr>
        <w:t>急诊内科在治疗急性肠胃炎时，将阿莫西林与</w:t>
      </w:r>
      <w:r>
        <w:rPr/>
        <w:t xml:space="preserve"> </w:t>
      </w:r>
      <w:r>
        <w:rPr>
          <w:spacing w:val="13"/>
        </w:rPr>
        <w:t>替硝唑联合使用，在快速缓解患者症状的同</w:t>
      </w:r>
      <w:r>
        <w:rPr>
          <w:spacing w:val="12"/>
        </w:rPr>
        <w:t>时，治疗效果也得到有效提升。治疗后观察组</w:t>
      </w:r>
      <w:r>
        <w:rPr>
          <w:spacing w:val="-37"/>
        </w:rPr>
        <w:t xml:space="preserve"> </w:t>
      </w:r>
      <w:r>
        <w:rPr>
          <w:rFonts w:ascii="Times New Roman" w:hAnsi="Times New Roman" w:eastAsia="Times New Roman" w:cs="Times New Roman"/>
        </w:rPr>
        <w:t>IL</w:t>
      </w:r>
      <w:r>
        <w:rPr>
          <w:rFonts w:ascii="Times New Roman" w:hAnsi="Times New Roman" w:eastAsia="Times New Roman" w:cs="Times New Roman"/>
          <w:spacing w:val="12"/>
        </w:rPr>
        <w:t>-4</w:t>
      </w:r>
      <w:r>
        <w:rPr>
          <w:rFonts w:ascii="Times New Roman" w:hAnsi="Times New Roman" w:eastAsia="Times New Roman" w:cs="Times New Roman"/>
          <w:spacing w:val="-21"/>
        </w:rPr>
        <w:t xml:space="preserve"> </w:t>
      </w:r>
      <w:r>
        <w:rPr>
          <w:spacing w:val="12"/>
        </w:rPr>
        <w:t>、</w:t>
      </w:r>
      <w:r>
        <w:rPr>
          <w:rFonts w:ascii="Times New Roman" w:hAnsi="Times New Roman" w:eastAsia="Times New Roman" w:cs="Times New Roman"/>
        </w:rPr>
        <w:t>IL</w:t>
      </w:r>
      <w:r>
        <w:rPr>
          <w:rFonts w:ascii="Times New Roman" w:hAnsi="Times New Roman" w:eastAsia="Times New Roman" w:cs="Times New Roman"/>
          <w:spacing w:val="12"/>
        </w:rPr>
        <w:t>-6</w:t>
      </w:r>
      <w:r>
        <w:rPr>
          <w:rFonts w:ascii="Times New Roman" w:hAnsi="Times New Roman" w:eastAsia="Times New Roman" w:cs="Times New Roman"/>
          <w:spacing w:val="18"/>
          <w:w w:val="101"/>
        </w:rPr>
        <w:t xml:space="preserve"> </w:t>
      </w:r>
      <w:r>
        <w:rPr>
          <w:spacing w:val="12"/>
        </w:rPr>
        <w:t>及</w:t>
      </w:r>
      <w:r>
        <w:rPr/>
        <w:t xml:space="preserve"> </w:t>
      </w:r>
      <w:r>
        <w:rPr>
          <w:rFonts w:ascii="Times New Roman" w:hAnsi="Times New Roman" w:eastAsia="Times New Roman" w:cs="Times New Roman"/>
        </w:rPr>
        <w:t>CRP</w:t>
      </w:r>
      <w:r>
        <w:rPr>
          <w:rFonts w:ascii="Times New Roman" w:hAnsi="Times New Roman" w:eastAsia="Times New Roman" w:cs="Times New Roman"/>
          <w:spacing w:val="16"/>
          <w:w w:val="101"/>
        </w:rPr>
        <w:t xml:space="preserve"> </w:t>
      </w:r>
      <w:r>
        <w:rPr>
          <w:spacing w:val="9"/>
        </w:rPr>
        <w:t>等炎症因子水平均低于对照组（</w:t>
      </w:r>
      <w:r>
        <w:rPr>
          <w:rFonts w:ascii="Times New Roman" w:hAnsi="Times New Roman" w:eastAsia="Times New Roman" w:cs="Times New Roman"/>
          <w:spacing w:val="9"/>
        </w:rPr>
        <w:t>P</w:t>
      </w:r>
      <w:r>
        <w:rPr>
          <w:spacing w:val="9"/>
        </w:rPr>
        <w:t>＜</w:t>
      </w:r>
      <w:r>
        <w:rPr>
          <w:rFonts w:ascii="Times New Roman" w:hAnsi="Times New Roman" w:eastAsia="Times New Roman" w:cs="Times New Roman"/>
          <w:spacing w:val="9"/>
        </w:rPr>
        <w:t>0.05</w:t>
      </w:r>
      <w:r>
        <w:rPr>
          <w:spacing w:val="-39"/>
        </w:rPr>
        <w:t>），</w:t>
      </w:r>
      <w:r>
        <w:rPr>
          <w:spacing w:val="9"/>
        </w:rPr>
        <w:t>说明在急性肠胃炎治疗中，阿莫西林与替硝唑</w:t>
      </w:r>
      <w:r>
        <w:rPr>
          <w:spacing w:val="8"/>
        </w:rPr>
        <w:t>在改善患者</w:t>
      </w:r>
      <w:r>
        <w:rPr/>
        <w:t xml:space="preserve"> </w:t>
      </w:r>
      <w:r>
        <w:rPr>
          <w:spacing w:val="10"/>
        </w:rPr>
        <w:t>机体炎性状态方面能够发挥显著作用；观察</w:t>
      </w:r>
      <w:r>
        <w:rPr>
          <w:spacing w:val="9"/>
        </w:rPr>
        <w:t>组不良反应发生率明显更低（</w:t>
      </w:r>
      <w:r>
        <w:rPr>
          <w:rFonts w:ascii="Times New Roman" w:hAnsi="Times New Roman" w:eastAsia="Times New Roman" w:cs="Times New Roman"/>
          <w:spacing w:val="9"/>
        </w:rPr>
        <w:t>P</w:t>
      </w:r>
      <w:r>
        <w:rPr>
          <w:spacing w:val="9"/>
        </w:rPr>
        <w:t>＞</w:t>
      </w:r>
      <w:r>
        <w:rPr>
          <w:rFonts w:ascii="Times New Roman" w:hAnsi="Times New Roman" w:eastAsia="Times New Roman" w:cs="Times New Roman"/>
          <w:spacing w:val="9"/>
        </w:rPr>
        <w:t>0.05</w:t>
      </w:r>
      <w:r>
        <w:rPr>
          <w:spacing w:val="-37"/>
        </w:rPr>
        <w:t>），</w:t>
      </w:r>
      <w:r>
        <w:rPr>
          <w:spacing w:val="9"/>
        </w:rPr>
        <w:t>提示虽然观察组增加</w:t>
      </w:r>
      <w:r>
        <w:rPr/>
        <w:t xml:space="preserve"> </w:t>
      </w:r>
      <w:r>
        <w:rPr>
          <w:spacing w:val="9"/>
        </w:rPr>
        <w:t>了替硝唑用药，但在不良反应方面并未明显增加，说明联合用药不仅能够提高治疗效果，同时用药方案的</w:t>
      </w:r>
      <w:r>
        <w:rPr>
          <w:spacing w:val="16"/>
        </w:rPr>
        <w:t xml:space="preserve"> </w:t>
      </w:r>
      <w:r>
        <w:rPr>
          <w:spacing w:val="9"/>
        </w:rPr>
        <w:t>安全性也比较高，进一步证实了阿司匹林联合替硝唑在急性肠胃炎治疗中具有显著的优势。此外，需要注</w:t>
      </w:r>
      <w:r>
        <w:rPr>
          <w:spacing w:val="16"/>
        </w:rPr>
        <w:t xml:space="preserve"> </w:t>
      </w:r>
      <w:r>
        <w:rPr>
          <w:spacing w:val="7"/>
        </w:rPr>
        <w:t>意的是在对急性肠胃炎患者治疗后，因为该</w:t>
      </w:r>
      <w:r>
        <w:rPr>
          <w:spacing w:val="6"/>
        </w:rPr>
        <w:t>病的复发率也比较高，所以在日常生活中也要求患者做好预防。</w:t>
      </w:r>
      <w:r>
        <w:rPr/>
        <w:t xml:space="preserve"> </w:t>
      </w:r>
      <w:r>
        <w:rPr>
          <w:spacing w:val="9"/>
        </w:rPr>
        <w:t>如在夏秋季节，因为食物腐蚀变质的速度较快，减量不要吃隔夜食物；饮食以新鲜水果、蔬菜为主，避免</w:t>
      </w:r>
      <w:r>
        <w:rPr>
          <w:spacing w:val="13"/>
        </w:rPr>
        <w:t xml:space="preserve"> </w:t>
      </w:r>
      <w:r>
        <w:rPr>
          <w:spacing w:val="9"/>
        </w:rPr>
        <w:t>辛辣、生冷、刺激性食物，尽量不要吃冷饮。在生活习惯方面，要让患者养成健身的好习惯，每天适量进</w:t>
      </w:r>
      <w:r>
        <w:rPr>
          <w:spacing w:val="16"/>
        </w:rPr>
        <w:t xml:space="preserve"> </w:t>
      </w:r>
      <w:r>
        <w:rPr>
          <w:spacing w:val="9"/>
        </w:rPr>
        <w:t>行运动锻炼，长期坚持下去，对机体抵抗力有提升作用，也能减少病毒、细菌的入侵，可预防急性肠胃发</w:t>
      </w:r>
      <w:r>
        <w:rPr>
          <w:spacing w:val="13"/>
        </w:rPr>
        <w:t xml:space="preserve"> </w:t>
      </w:r>
      <w:r>
        <w:rPr>
          <w:spacing w:val="6"/>
        </w:rPr>
        <w:t>生的可能。</w:t>
      </w:r>
    </w:p>
    <w:p>
      <w:pPr>
        <w:pStyle w:val="BodyText"/>
        <w:ind w:left="888" w:right="73" w:firstLine="417"/>
        <w:spacing w:before="2" w:line="313" w:lineRule="auto"/>
        <w:rPr/>
      </w:pPr>
      <w:r>
        <w:rPr>
          <w:spacing w:val="9"/>
        </w:rPr>
        <w:t>综上所述，在对急性肠胃炎诊治时，阿莫西林联合替硝唑治疗，对患者症状缓解速度较快，治疗效果</w:t>
      </w:r>
      <w:r>
        <w:rPr>
          <w:spacing w:val="8"/>
        </w:rPr>
        <w:t xml:space="preserve"> </w:t>
      </w:r>
      <w:r>
        <w:rPr>
          <w:spacing w:val="6"/>
        </w:rPr>
        <w:t>显著，值得推广。</w:t>
      </w:r>
    </w:p>
    <w:p>
      <w:pPr>
        <w:spacing w:line="313" w:lineRule="auto"/>
        <w:sectPr>
          <w:headerReference w:type="default" r:id="rId1"/>
          <w:pgSz w:w="12240" w:h="16840"/>
          <w:pgMar w:top="400" w:right="1230" w:bottom="0" w:left="424" w:header="0" w:footer="0" w:gutter="0"/>
        </w:sectPr>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885"/>
        <w:spacing w:before="65" w:line="228" w:lineRule="auto"/>
        <w:outlineLvl w:val="3"/>
        <w:rPr/>
      </w:pPr>
      <w:r>
        <w:rPr>
          <w:b/>
          <w:bCs/>
          <w:spacing w:val="6"/>
        </w:rPr>
        <w:t>参考文献</w:t>
      </w:r>
    </w:p>
    <w:p>
      <w:pPr>
        <w:spacing w:line="263" w:lineRule="auto"/>
        <w:rPr>
          <w:rFonts w:ascii="Arial"/>
          <w:sz w:val="21"/>
        </w:rPr>
      </w:pPr>
      <w:r/>
    </w:p>
    <w:p>
      <w:pPr>
        <w:pStyle w:val="BodyText"/>
        <w:ind w:left="910"/>
        <w:spacing w:before="58" w:line="216" w:lineRule="auto"/>
        <w:rPr>
          <w:sz w:val="18"/>
          <w:szCs w:val="18"/>
        </w:rPr>
      </w:pPr>
      <w:r>
        <w:rPr>
          <w:sz w:val="18"/>
          <w:szCs w:val="18"/>
        </w:rPr>
        <w:t>[1]姜立峰.阿莫西林联合替硝唑治疗急性肠胃炎的</w:t>
      </w:r>
      <w:r>
        <w:rPr>
          <w:sz w:val="18"/>
          <w:szCs w:val="18"/>
          <w:spacing w:val="-1"/>
        </w:rPr>
        <w:t>疗效分析[J].中国现代药物应用,2021,15(3):161-163.</w:t>
      </w:r>
    </w:p>
    <w:p>
      <w:pPr>
        <w:pStyle w:val="BodyText"/>
        <w:ind w:left="910"/>
        <w:spacing w:before="130" w:line="216" w:lineRule="auto"/>
        <w:rPr>
          <w:sz w:val="18"/>
          <w:szCs w:val="18"/>
        </w:rPr>
      </w:pPr>
      <w:r>
        <w:rPr>
          <w:sz w:val="18"/>
          <w:szCs w:val="18"/>
          <w:spacing w:val="-1"/>
        </w:rPr>
        <w:t>[2]陈康.急性肠胃炎采用阿莫西林联合替硝唑治疗的效果[J].药店周刊,2021,30(4):68,85.</w:t>
      </w:r>
    </w:p>
    <w:p>
      <w:pPr>
        <w:pStyle w:val="BodyText"/>
        <w:ind w:left="910"/>
        <w:spacing w:before="130" w:line="216" w:lineRule="auto"/>
        <w:rPr>
          <w:sz w:val="18"/>
          <w:szCs w:val="18"/>
        </w:rPr>
      </w:pPr>
      <w:r>
        <w:rPr>
          <w:sz w:val="18"/>
          <w:szCs w:val="18"/>
        </w:rPr>
        <w:t>[3]黄飞.奥美拉唑结合替硝唑治疗急性肠胃</w:t>
      </w:r>
      <w:r>
        <w:rPr>
          <w:sz w:val="18"/>
          <w:szCs w:val="18"/>
          <w:spacing w:val="-1"/>
        </w:rPr>
        <w:t>炎的疗效及安全性分析[J].中国实用医药,2020,15(8):1-4.</w:t>
      </w:r>
    </w:p>
    <w:p>
      <w:pPr>
        <w:pStyle w:val="BodyText"/>
        <w:ind w:left="910"/>
        <w:spacing w:before="127" w:line="216" w:lineRule="auto"/>
        <w:rPr>
          <w:sz w:val="18"/>
          <w:szCs w:val="18"/>
        </w:rPr>
      </w:pPr>
      <w:r>
        <w:rPr>
          <w:sz w:val="18"/>
          <w:szCs w:val="18"/>
        </w:rPr>
        <w:t>[4]王鑫.替硝唑+阿莫西林治疗急性肠胃炎的临床应用价</w:t>
      </w:r>
      <w:r>
        <w:rPr>
          <w:sz w:val="18"/>
          <w:szCs w:val="18"/>
          <w:spacing w:val="-1"/>
        </w:rPr>
        <w:t>值研究[J].中国医药指南,2020,18(14):103-104.</w:t>
      </w:r>
    </w:p>
    <w:p>
      <w:pPr>
        <w:pStyle w:val="BodyText"/>
        <w:ind w:left="910"/>
        <w:spacing w:before="130" w:line="216" w:lineRule="auto"/>
        <w:rPr>
          <w:sz w:val="18"/>
          <w:szCs w:val="18"/>
        </w:rPr>
      </w:pPr>
      <w:r>
        <w:rPr>
          <w:sz w:val="18"/>
          <w:szCs w:val="18"/>
        </w:rPr>
        <w:t>[5]孙莉莉.阿莫西林联合替硝唑在急性肠胃炎</w:t>
      </w:r>
      <w:r>
        <w:rPr>
          <w:sz w:val="18"/>
          <w:szCs w:val="18"/>
          <w:spacing w:val="-1"/>
        </w:rPr>
        <w:t>治疗中的临床疗效研究[J].大医生,2022,7(4):126-128.</w:t>
      </w:r>
    </w:p>
    <w:p>
      <w:pPr>
        <w:pStyle w:val="BodyText"/>
        <w:ind w:left="910"/>
        <w:spacing w:before="130" w:line="216" w:lineRule="auto"/>
        <w:rPr>
          <w:sz w:val="18"/>
          <w:szCs w:val="18"/>
        </w:rPr>
      </w:pPr>
      <w:r>
        <w:rPr>
          <w:sz w:val="18"/>
          <w:szCs w:val="18"/>
        </w:rPr>
        <w:t>[6]张涛.奥美拉唑和中西医结合在急性肠胃炎患者中的临床</w:t>
      </w:r>
      <w:r>
        <w:rPr>
          <w:sz w:val="18"/>
          <w:szCs w:val="18"/>
          <w:spacing w:val="-1"/>
        </w:rPr>
        <w:t>治疗效果及对改善患者症状分析[J].母婴世界,2021(5):140.</w:t>
      </w:r>
    </w:p>
    <w:p>
      <w:pPr>
        <w:pStyle w:val="BodyText"/>
        <w:ind w:left="884" w:firstLine="25"/>
        <w:spacing w:before="127" w:line="283" w:lineRule="auto"/>
        <w:rPr>
          <w:sz w:val="18"/>
          <w:szCs w:val="18"/>
        </w:rPr>
      </w:pPr>
      <w:r>
        <w:rPr>
          <w:sz w:val="18"/>
          <w:szCs w:val="18"/>
        </w:rPr>
        <w:t>[7]赵旭,曾朝涛,张译文,等.益生菌作为添加治疗急性肠胃炎的</w:t>
      </w:r>
      <w:r>
        <w:rPr>
          <w:sz w:val="18"/>
          <w:szCs w:val="18"/>
          <w:spacing w:val="-1"/>
        </w:rPr>
        <w:t>疗效和降低急性肠胃炎腹泻时间的研究分析[J].中国临床药</w:t>
      </w:r>
      <w:r>
        <w:rPr>
          <w:sz w:val="18"/>
          <w:szCs w:val="18"/>
        </w:rPr>
        <w:t xml:space="preserve"> </w:t>
      </w:r>
      <w:r>
        <w:rPr>
          <w:sz w:val="18"/>
          <w:szCs w:val="18"/>
          <w:spacing w:val="-1"/>
        </w:rPr>
        <w:t>理学杂志,2021,37(2):172-174.</w:t>
      </w:r>
    </w:p>
    <w:p>
      <w:pPr>
        <w:pStyle w:val="BodyText"/>
        <w:ind w:left="910"/>
        <w:spacing w:before="131" w:line="216" w:lineRule="auto"/>
        <w:rPr>
          <w:sz w:val="18"/>
          <w:szCs w:val="18"/>
        </w:rPr>
      </w:pPr>
      <w:r>
        <w:rPr>
          <w:sz w:val="18"/>
          <w:szCs w:val="18"/>
        </w:rPr>
        <w:t>[8]余春芳.阿莫西林、奥美拉唑联合双歧杆菌在急性肠胃炎患者中的应用价值[J].</w:t>
      </w:r>
      <w:r>
        <w:rPr>
          <w:sz w:val="18"/>
          <w:szCs w:val="18"/>
          <w:spacing w:val="-1"/>
        </w:rPr>
        <w:t>中外医学研究,2021,19(30):37-40.</w:t>
      </w:r>
    </w:p>
    <w:sectPr>
      <w:headerReference w:type="default" r:id="rId3"/>
      <w:pgSz w:w="12240" w:h="16840"/>
      <w:pgMar w:top="400" w:right="1301" w:bottom="0" w:left="424"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8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1.2pt;margin-top:811.8pt;mso-position-vertical-relative:page;mso-position-horizontal-relative:page;width:168.95pt;height:12.5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1.2pt;margin-top:811.8pt;mso-position-vertical-relative:page;mso-position-horizontal-relative:page;width:168.95pt;height:12.5pt;z-index:-2516561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2025-02-13T17:00:06Z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2025-10-28T21:31:22</vt:filetime>
  </property>
</Properties>
</file>