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669"/>
        <w:spacing w:before="159" w:line="207" w:lineRule="auto"/>
        <w:rPr/>
      </w:pPr>
      <w:r>
        <w:rPr>
          <w:color w:val="AAABAF"/>
          <w:spacing w:val="-2"/>
        </w:rPr>
        <w:t>全科论著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2842" w:right="2424" w:firstLine="223"/>
        <w:spacing w:before="189" w:line="207" w:lineRule="auto"/>
        <w:outlineLvl w:val="0"/>
        <w:rPr>
          <w:sz w:val="44"/>
          <w:szCs w:val="4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306760</wp:posOffset>
            </wp:positionH>
            <wp:positionV relativeFrom="paragraph">
              <wp:posOffset>-202466</wp:posOffset>
            </wp:positionV>
            <wp:extent cx="6336003" cy="20955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6003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color w:val="231F20"/>
          <w:spacing w:val="-2"/>
        </w:rPr>
        <w:t>急诊内科急性肠胃炎患者</w:t>
      </w:r>
      <w:r>
        <w:rPr>
          <w:sz w:val="44"/>
          <w:szCs w:val="44"/>
          <w:color w:val="231F20"/>
          <w:spacing w:val="3"/>
        </w:rPr>
        <w:t xml:space="preserve">  </w:t>
      </w:r>
      <w:r>
        <w:rPr>
          <w:sz w:val="44"/>
          <w:szCs w:val="44"/>
          <w:color w:val="231F20"/>
          <w:spacing w:val="-1"/>
        </w:rPr>
        <w:t>采用中西医结合治疗的效果</w:t>
      </w:r>
    </w:p>
    <w:p>
      <w:pPr>
        <w:pStyle w:val="BodyText"/>
        <w:ind w:left="4635"/>
        <w:spacing w:before="308" w:line="189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color w:val="231F20"/>
          <w:spacing w:val="1"/>
        </w:rPr>
        <w:t>牛秀得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1"/>
        </w:rPr>
        <w:t>多杰才让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9"/>
        </w:rPr>
        <w:t>*</w:t>
      </w:r>
    </w:p>
    <w:p>
      <w:pPr>
        <w:ind w:left="3680"/>
        <w:spacing w:before="55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（青海省藏医院，青海 西宁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810007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）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821" w:right="408" w:hanging="10"/>
        <w:spacing w:before="86" w:line="220" w:lineRule="auto"/>
        <w:jc w:val="both"/>
        <w:rPr/>
      </w:pPr>
      <w:r>
        <w:rPr>
          <w:rFonts w:ascii="SimHei" w:hAnsi="SimHei" w:eastAsia="SimHei" w:cs="SimHei"/>
          <w:color w:val="231F20"/>
          <w:spacing w:val="4"/>
        </w:rPr>
        <w:t>【摘要】</w:t>
      </w:r>
      <w:r>
        <w:rPr>
          <w:rFonts w:ascii="SimHei" w:hAnsi="SimHei" w:eastAsia="SimHei" w:cs="SimHei"/>
          <w:color w:val="231F20"/>
          <w:spacing w:val="-52"/>
        </w:rPr>
        <w:t xml:space="preserve"> </w:t>
      </w:r>
      <w:r>
        <w:rPr>
          <w:color w:val="231F20"/>
          <w:spacing w:val="4"/>
        </w:rPr>
        <w:t>目的：分析对急诊内科急性肠胃炎患</w:t>
      </w:r>
      <w:r>
        <w:rPr>
          <w:color w:val="231F20"/>
          <w:spacing w:val="3"/>
        </w:rPr>
        <w:t>者开展中西医结合治疗的临床效果。方法：筛选</w:t>
      </w:r>
      <w:r>
        <w:rPr>
          <w:rFonts w:ascii="Times New Roman" w:hAnsi="Times New Roman" w:eastAsia="Times New Roman" w:cs="Times New Roman"/>
          <w:color w:val="231F20"/>
          <w:spacing w:val="3"/>
        </w:rPr>
        <w:t>2022</w:t>
      </w:r>
      <w:r>
        <w:rPr>
          <w:color w:val="231F20"/>
          <w:spacing w:val="3"/>
        </w:rPr>
        <w:t>年</w:t>
      </w:r>
      <w:r>
        <w:rPr>
          <w:rFonts w:ascii="Times New Roman" w:hAnsi="Times New Roman" w:eastAsia="Times New Roman" w:cs="Times New Roman"/>
          <w:color w:val="231F20"/>
          <w:spacing w:val="3"/>
        </w:rPr>
        <w:t>6</w:t>
      </w:r>
      <w:r>
        <w:rPr>
          <w:color w:val="231F20"/>
          <w:spacing w:val="3"/>
        </w:rPr>
        <w:t>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至</w:t>
      </w:r>
      <w:r>
        <w:rPr>
          <w:rFonts w:ascii="Times New Roman" w:hAnsi="Times New Roman" w:eastAsia="Times New Roman" w:cs="Times New Roman"/>
          <w:color w:val="231F20"/>
          <w:spacing w:val="9"/>
        </w:rPr>
        <w:t>2023</w:t>
      </w:r>
      <w:r>
        <w:rPr>
          <w:color w:val="231F20"/>
          <w:spacing w:val="9"/>
        </w:rPr>
        <w:t>年</w:t>
      </w:r>
      <w:r>
        <w:rPr>
          <w:rFonts w:ascii="Times New Roman" w:hAnsi="Times New Roman" w:eastAsia="Times New Roman" w:cs="Times New Roman"/>
          <w:color w:val="231F20"/>
          <w:spacing w:val="9"/>
        </w:rPr>
        <w:t>6</w:t>
      </w:r>
      <w:r>
        <w:rPr>
          <w:color w:val="231F20"/>
          <w:spacing w:val="9"/>
        </w:rPr>
        <w:t>月我院急诊内科接收的急性</w:t>
      </w:r>
      <w:r>
        <w:rPr>
          <w:color w:val="231F20"/>
          <w:spacing w:val="8"/>
        </w:rPr>
        <w:t>肠胃炎患者</w:t>
      </w:r>
      <w:r>
        <w:rPr>
          <w:rFonts w:ascii="Times New Roman" w:hAnsi="Times New Roman" w:eastAsia="Times New Roman" w:cs="Times New Roman"/>
          <w:color w:val="231F20"/>
          <w:spacing w:val="8"/>
        </w:rPr>
        <w:t>84</w:t>
      </w:r>
      <w:r>
        <w:rPr>
          <w:color w:val="231F20"/>
          <w:spacing w:val="8"/>
        </w:rPr>
        <w:t>例，通过随机数字表法将入选的患者分成两组，包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括观察组与对照组，每组患者</w:t>
      </w:r>
      <w:r>
        <w:rPr>
          <w:rFonts w:ascii="Times New Roman" w:hAnsi="Times New Roman" w:eastAsia="Times New Roman" w:cs="Times New Roman"/>
          <w:color w:val="231F20"/>
          <w:spacing w:val="7"/>
        </w:rPr>
        <w:t>42</w:t>
      </w:r>
      <w:r>
        <w:rPr>
          <w:color w:val="231F20"/>
          <w:spacing w:val="7"/>
        </w:rPr>
        <w:t>例，对照组患者采取常规西药</w:t>
      </w:r>
      <w:r>
        <w:rPr>
          <w:color w:val="231F20"/>
          <w:spacing w:val="6"/>
        </w:rPr>
        <w:t>治疗，观察组患者则采用中西医结合方案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治疗，详细记录并对比两组患者的临床效果。结果：治疗后，观察组患</w:t>
      </w:r>
      <w:r>
        <w:rPr>
          <w:color w:val="231F20"/>
          <w:spacing w:val="6"/>
        </w:rPr>
        <w:t>者各症状改善所用时间与对照组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相比明显缩短，患者体内的炎症因子指标降低幅度大于对照组，治疗总有效率与对照组</w:t>
      </w:r>
      <w:r>
        <w:rPr>
          <w:color w:val="231F20"/>
          <w:spacing w:val="5"/>
        </w:rPr>
        <w:t>相比明显提高，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患者的生活质量与对照组相比明显提高。以上差异均具有统计学意义（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＜</w:t>
      </w:r>
      <w:r>
        <w:rPr>
          <w:rFonts w:ascii="Times New Roman" w:hAnsi="Times New Roman" w:eastAsia="Times New Roman" w:cs="Times New Roman"/>
          <w:color w:val="231F20"/>
          <w:spacing w:val="5"/>
        </w:rPr>
        <w:t>0.05</w:t>
      </w:r>
      <w:r>
        <w:rPr>
          <w:color w:val="231F20"/>
          <w:spacing w:val="4"/>
        </w:rPr>
        <w:t>）。结论：对急性肠胃炎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患者及时采用中西医结合方案治疗，可确保患者的症状在短时间内得到</w:t>
      </w:r>
      <w:r>
        <w:rPr>
          <w:color w:val="231F20"/>
          <w:spacing w:val="6"/>
        </w:rPr>
        <w:t>改善，降低患者体内炎症因子水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平，提高患者身体恢复效率，提高患者生活质量。</w:t>
      </w:r>
    </w:p>
    <w:p>
      <w:pPr>
        <w:spacing w:line="220" w:lineRule="auto"/>
        <w:sectPr>
          <w:headerReference w:type="default" r:id="rId1"/>
          <w:pgSz w:w="11793" w:h="16045"/>
          <w:pgMar w:top="400" w:right="831" w:bottom="0" w:left="424" w:header="0" w:footer="0" w:gutter="0"/>
          <w:cols w:equalWidth="0" w:num="1">
            <w:col w:w="10537" w:space="0"/>
          </w:cols>
        </w:sectPr>
        <w:rPr/>
      </w:pPr>
    </w:p>
    <w:p>
      <w:pPr>
        <w:pStyle w:val="BodyText"/>
        <w:ind w:left="811"/>
        <w:spacing w:before="46" w:line="205" w:lineRule="auto"/>
        <w:rPr/>
      </w:pPr>
      <w:r>
        <w:rPr>
          <w:rFonts w:ascii="SimHei" w:hAnsi="SimHei" w:eastAsia="SimHei" w:cs="SimHei"/>
          <w:color w:val="231F20"/>
          <w:spacing w:val="3"/>
        </w:rPr>
        <w:t>【关键词】</w:t>
      </w:r>
      <w:r>
        <w:rPr>
          <w:color w:val="231F20"/>
          <w:spacing w:val="3"/>
        </w:rPr>
        <w:t>急性肠胃炎   急诊内科    中西医结合</w:t>
      </w:r>
    </w:p>
    <w:p>
      <w:pPr>
        <w:ind w:left="821"/>
        <w:spacing w:before="48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DOI:10.20255/j.cnki.issn1674-9561.2024.1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8.066</w:t>
      </w:r>
    </w:p>
    <w:p>
      <w:pPr>
        <w:pStyle w:val="BodyText"/>
        <w:ind w:left="483" w:right="354" w:firstLine="414"/>
        <w:spacing w:before="147" w:line="225" w:lineRule="auto"/>
        <w:jc w:val="both"/>
        <w:rPr/>
      </w:pPr>
      <w:r>
        <w:rPr>
          <w:color w:val="231F20"/>
          <w:spacing w:val="5"/>
        </w:rPr>
        <w:t>急性肠胃炎是一种常见的消化系统疾病，主要由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病毒、细菌或寄生虫感染引起。该疾病通常在短时间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内发作，表现为腹泻、腹痛、恶心、呕吐等症状。急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性肠胃炎的发病原因多种多样，包括食物中毒、饮食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不洁、接触感染源等。病情一般比较轻微，但对于儿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童、老年人及免疫系统功能较弱的人群来说，可能会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引发严重并发症，如脱水、电解质紊乱等。当前临床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西医针对该病主要通过抗菌药物和抗病毒药物治疗以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改善患者的临床症状，但由于该病治疗周期较长，长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时间使用单独西药治疗会产生副作用和耐药性，最终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会影响疾病控制效果，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降低患者的生活质量</w:t>
      </w:r>
      <w:r>
        <w:rPr>
          <w:rFonts w:ascii="SimSun" w:hAnsi="SimSun" w:eastAsia="SimSun" w:cs="SimSun"/>
          <w:sz w:val="11"/>
          <w:szCs w:val="11"/>
          <w:color w:val="231F20"/>
          <w:spacing w:val="6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9"/>
        </w:rPr>
        <w:t>1</w:t>
      </w:r>
      <w:r>
        <w:rPr>
          <w:sz w:val="11"/>
          <w:szCs w:val="11"/>
          <w:color w:val="231F20"/>
          <w:spacing w:val="6"/>
          <w:position w:val="9"/>
        </w:rPr>
        <w:t>-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color w:val="231F20"/>
          <w:spacing w:val="6"/>
          <w:position w:val="9"/>
        </w:rPr>
        <w:t>］</w:t>
      </w:r>
      <w:r>
        <w:rPr>
          <w:color w:val="231F20"/>
          <w:spacing w:val="6"/>
        </w:rPr>
        <w:t>。为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此，我院对 </w:t>
      </w:r>
      <w:r>
        <w:rPr>
          <w:rFonts w:ascii="Times New Roman" w:hAnsi="Times New Roman" w:eastAsia="Times New Roman" w:cs="Times New Roman"/>
          <w:color w:val="231F20"/>
          <w:spacing w:val="4"/>
        </w:rPr>
        <w:t>2022 </w:t>
      </w:r>
      <w:r>
        <w:rPr>
          <w:color w:val="231F20"/>
          <w:spacing w:val="4"/>
        </w:rPr>
        <w:t>年 </w:t>
      </w:r>
      <w:r>
        <w:rPr>
          <w:rFonts w:ascii="Times New Roman" w:hAnsi="Times New Roman" w:eastAsia="Times New Roman" w:cs="Times New Roman"/>
          <w:color w:val="231F20"/>
          <w:spacing w:val="4"/>
        </w:rPr>
        <w:t>6 </w:t>
      </w:r>
      <w:r>
        <w:rPr>
          <w:color w:val="231F20"/>
          <w:spacing w:val="4"/>
        </w:rPr>
        <w:t>月至 </w:t>
      </w:r>
      <w:r>
        <w:rPr>
          <w:rFonts w:ascii="Times New Roman" w:hAnsi="Times New Roman" w:eastAsia="Times New Roman" w:cs="Times New Roman"/>
          <w:color w:val="231F20"/>
          <w:spacing w:val="4"/>
        </w:rPr>
        <w:t>202</w:t>
      </w:r>
      <w:r>
        <w:rPr>
          <w:rFonts w:ascii="Times New Roman" w:hAnsi="Times New Roman" w:eastAsia="Times New Roman" w:cs="Times New Roman"/>
          <w:color w:val="231F20"/>
          <w:spacing w:val="3"/>
        </w:rPr>
        <w:t>3 </w:t>
      </w:r>
      <w:r>
        <w:rPr>
          <w:color w:val="231F20"/>
          <w:spacing w:val="3"/>
        </w:rPr>
        <w:t>年 </w:t>
      </w:r>
      <w:r>
        <w:rPr>
          <w:rFonts w:ascii="Times New Roman" w:hAnsi="Times New Roman" w:eastAsia="Times New Roman" w:cs="Times New Roman"/>
          <w:color w:val="231F20"/>
          <w:spacing w:val="3"/>
        </w:rPr>
        <w:t>6 </w:t>
      </w:r>
      <w:r>
        <w:rPr>
          <w:color w:val="231F20"/>
          <w:spacing w:val="3"/>
        </w:rPr>
        <w:t>月急诊内科收治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的急性肠胃炎患者 </w:t>
      </w:r>
      <w:r>
        <w:rPr>
          <w:rFonts w:ascii="Times New Roman" w:hAnsi="Times New Roman" w:eastAsia="Times New Roman" w:cs="Times New Roman"/>
          <w:color w:val="231F20"/>
          <w:spacing w:val="10"/>
        </w:rPr>
        <w:t>84 </w:t>
      </w:r>
      <w:r>
        <w:rPr>
          <w:color w:val="231F20"/>
          <w:spacing w:val="10"/>
        </w:rPr>
        <w:t>例进行分组研究，</w:t>
      </w:r>
      <w:r>
        <w:rPr>
          <w:color w:val="231F20"/>
          <w:spacing w:val="9"/>
        </w:rPr>
        <w:t>将单独采取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西药方案与采取中西医结合方案治疗的效果进行了对</w:t>
      </w:r>
      <w:r>
        <w:rPr>
          <w:color w:val="231F20"/>
        </w:rPr>
        <w:t xml:space="preserve"> </w:t>
      </w:r>
      <w:r>
        <w:rPr>
          <w:color w:val="231F20"/>
        </w:rPr>
        <w:t>比，报告如下。</w:t>
      </w:r>
    </w:p>
    <w:p>
      <w:pPr>
        <w:ind w:left="498"/>
        <w:spacing w:before="173" w:line="291" w:lineRule="exact"/>
        <w:outlineLvl w:val="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7"/>
          <w:position w:val="1"/>
        </w:rPr>
        <w:t>1</w:t>
      </w:r>
      <w:r>
        <w:rPr>
          <w:rFonts w:ascii="SimSun" w:hAnsi="SimSun" w:eastAsia="SimSun" w:cs="SimSun"/>
          <w:sz w:val="22"/>
          <w:szCs w:val="22"/>
          <w:color w:val="231F20"/>
          <w:spacing w:val="7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7"/>
          <w:position w:val="1"/>
        </w:rPr>
        <w:t>资料与方法</w:t>
      </w:r>
    </w:p>
    <w:p>
      <w:pPr>
        <w:pStyle w:val="BodyText"/>
        <w:ind w:left="915"/>
        <w:spacing w:before="148" w:line="182" w:lineRule="auto"/>
        <w:rPr/>
      </w:pPr>
      <w:r>
        <w:rPr>
          <w:rFonts w:ascii="Times New Roman" w:hAnsi="Times New Roman" w:eastAsia="Times New Roman" w:cs="Times New Roman"/>
          <w:color w:val="231F20"/>
        </w:rPr>
        <w:t>1.1    </w:t>
      </w:r>
      <w:r>
        <w:rPr>
          <w:color w:val="231F20"/>
        </w:rPr>
        <w:t>一般资料</w:t>
      </w:r>
    </w:p>
    <w:p>
      <w:pPr>
        <w:pStyle w:val="BodyText"/>
        <w:ind w:left="486" w:right="279" w:firstLine="408"/>
        <w:spacing w:before="62" w:line="229" w:lineRule="auto"/>
        <w:rPr/>
      </w:pPr>
      <w:r>
        <w:rPr>
          <w:color w:val="231F20"/>
          <w:spacing w:val="4"/>
        </w:rPr>
        <w:t>本研究纳入我院急诊内科 </w:t>
      </w:r>
      <w:r>
        <w:rPr>
          <w:rFonts w:ascii="Times New Roman" w:hAnsi="Times New Roman" w:eastAsia="Times New Roman" w:cs="Times New Roman"/>
          <w:color w:val="231F20"/>
          <w:spacing w:val="4"/>
        </w:rPr>
        <w:t>2022 </w:t>
      </w:r>
      <w:r>
        <w:rPr>
          <w:color w:val="231F20"/>
          <w:spacing w:val="4"/>
        </w:rPr>
        <w:t>年 </w:t>
      </w:r>
      <w:r>
        <w:rPr>
          <w:rFonts w:ascii="Times New Roman" w:hAnsi="Times New Roman" w:eastAsia="Times New Roman" w:cs="Times New Roman"/>
          <w:color w:val="231F20"/>
          <w:spacing w:val="4"/>
        </w:rPr>
        <w:t>6 </w:t>
      </w:r>
      <w:r>
        <w:rPr>
          <w:color w:val="231F20"/>
          <w:spacing w:val="4"/>
        </w:rPr>
        <w:t>月至 </w:t>
      </w:r>
      <w:r>
        <w:rPr>
          <w:rFonts w:ascii="Times New Roman" w:hAnsi="Times New Roman" w:eastAsia="Times New Roman" w:cs="Times New Roman"/>
          <w:color w:val="231F20"/>
          <w:spacing w:val="4"/>
        </w:rPr>
        <w:t>2023 </w:t>
      </w:r>
      <w:r>
        <w:rPr>
          <w:color w:val="231F20"/>
          <w:spacing w:val="4"/>
        </w:rPr>
        <w:t>年</w:t>
      </w:r>
      <w:r>
        <w:rPr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1"/>
        </w:rPr>
        <w:t>6 </w:t>
      </w:r>
      <w:r>
        <w:rPr>
          <w:color w:val="231F20"/>
          <w:spacing w:val="11"/>
        </w:rPr>
        <w:t>月收治的 </w:t>
      </w:r>
      <w:r>
        <w:rPr>
          <w:rFonts w:ascii="Times New Roman" w:hAnsi="Times New Roman" w:eastAsia="Times New Roman" w:cs="Times New Roman"/>
          <w:color w:val="231F20"/>
          <w:spacing w:val="11"/>
        </w:rPr>
        <w:t>84 </w:t>
      </w:r>
      <w:r>
        <w:rPr>
          <w:color w:val="231F20"/>
          <w:spacing w:val="11"/>
        </w:rPr>
        <w:t>例急性肠胃炎患者作为研究对象。通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过随机数字表法分为观察组和对照组，每组 </w:t>
      </w:r>
      <w:r>
        <w:rPr>
          <w:rFonts w:ascii="Times New Roman" w:hAnsi="Times New Roman" w:eastAsia="Times New Roman" w:cs="Times New Roman"/>
          <w:color w:val="231F20"/>
          <w:spacing w:val="13"/>
        </w:rPr>
        <w:t>42 </w:t>
      </w:r>
      <w:r>
        <w:rPr>
          <w:color w:val="231F20"/>
          <w:spacing w:val="13"/>
        </w:rPr>
        <w:t>例。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对照组中有 </w:t>
      </w:r>
      <w:r>
        <w:rPr>
          <w:rFonts w:ascii="Times New Roman" w:hAnsi="Times New Roman" w:eastAsia="Times New Roman" w:cs="Times New Roman"/>
          <w:color w:val="231F20"/>
          <w:spacing w:val="12"/>
        </w:rPr>
        <w:t>22 </w:t>
      </w:r>
      <w:r>
        <w:rPr>
          <w:color w:val="231F20"/>
          <w:spacing w:val="12"/>
        </w:rPr>
        <w:t>例男性和 </w:t>
      </w:r>
      <w:r>
        <w:rPr>
          <w:rFonts w:ascii="Times New Roman" w:hAnsi="Times New Roman" w:eastAsia="Times New Roman" w:cs="Times New Roman"/>
          <w:color w:val="231F20"/>
          <w:spacing w:val="12"/>
        </w:rPr>
        <w:t>20 </w:t>
      </w:r>
      <w:r>
        <w:rPr>
          <w:color w:val="231F20"/>
          <w:spacing w:val="12"/>
        </w:rPr>
        <w:t>例女性，患者的年龄为</w:t>
      </w:r>
    </w:p>
    <w:p>
      <w:pPr>
        <w:pStyle w:val="BodyText"/>
        <w:spacing w:before="130" w:line="159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  <w:position w:val="-1"/>
        </w:rPr>
        <w:t>中国知网</w:t>
      </w:r>
      <w:r>
        <w:rPr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11" w:firstLine="5"/>
        <w:spacing w:before="86" w:line="224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30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～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85 </w:t>
      </w:r>
      <w:r>
        <w:rPr>
          <w:color w:val="231F20"/>
          <w:spacing w:val="7"/>
        </w:rPr>
        <w:t>岁，平均年龄为（</w:t>
      </w:r>
      <w:r>
        <w:rPr>
          <w:rFonts w:ascii="Times New Roman" w:hAnsi="Times New Roman" w:eastAsia="Times New Roman" w:cs="Times New Roman"/>
          <w:color w:val="231F20"/>
          <w:spacing w:val="7"/>
        </w:rPr>
        <w:t>57.5</w:t>
      </w:r>
      <w:r>
        <w:rPr>
          <w:color w:val="231F20"/>
          <w:spacing w:val="7"/>
        </w:rPr>
        <w:t>±</w:t>
      </w:r>
      <w:r>
        <w:rPr>
          <w:rFonts w:ascii="Times New Roman" w:hAnsi="Times New Roman" w:eastAsia="Times New Roman" w:cs="Times New Roman"/>
          <w:color w:val="231F20"/>
          <w:spacing w:val="7"/>
        </w:rPr>
        <w:t>2.5</w:t>
      </w:r>
      <w:r>
        <w:rPr>
          <w:color w:val="231F20"/>
          <w:spacing w:val="7"/>
        </w:rPr>
        <w:t>）岁。观察组中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有 </w:t>
      </w:r>
      <w:r>
        <w:rPr>
          <w:rFonts w:ascii="Times New Roman" w:hAnsi="Times New Roman" w:eastAsia="Times New Roman" w:cs="Times New Roman"/>
          <w:color w:val="231F20"/>
          <w:spacing w:val="-1"/>
        </w:rPr>
        <w:t>23 </w:t>
      </w:r>
      <w:r>
        <w:rPr>
          <w:color w:val="231F20"/>
          <w:spacing w:val="-1"/>
        </w:rPr>
        <w:t>例男性和</w:t>
      </w:r>
      <w:r>
        <w:rPr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19 </w:t>
      </w:r>
      <w:r>
        <w:rPr>
          <w:color w:val="231F20"/>
          <w:spacing w:val="-1"/>
        </w:rPr>
        <w:t>例女性，患者的年龄为 </w:t>
      </w:r>
      <w:r>
        <w:rPr>
          <w:rFonts w:ascii="Times New Roman" w:hAnsi="Times New Roman" w:eastAsia="Times New Roman" w:cs="Times New Roman"/>
          <w:color w:val="231F20"/>
          <w:spacing w:val="-1"/>
        </w:rPr>
        <w:t>30 </w:t>
      </w:r>
      <w:r>
        <w:rPr>
          <w:rFonts w:ascii="SimSun" w:hAnsi="SimSun" w:eastAsia="SimSun" w:cs="SimSun"/>
          <w:color w:val="231F20"/>
          <w:spacing w:val="-1"/>
        </w:rPr>
        <w:t>～</w:t>
      </w:r>
      <w:r>
        <w:rPr>
          <w:rFonts w:ascii="SimSun" w:hAnsi="SimSun" w:eastAsia="SimSun" w:cs="SimSun"/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86 </w:t>
      </w:r>
      <w:r>
        <w:rPr>
          <w:color w:val="231F20"/>
          <w:spacing w:val="-1"/>
        </w:rPr>
        <w:t>岁，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平均年龄为（</w:t>
      </w:r>
      <w:r>
        <w:rPr>
          <w:rFonts w:ascii="Times New Roman" w:hAnsi="Times New Roman" w:eastAsia="Times New Roman" w:cs="Times New Roman"/>
          <w:color w:val="231F20"/>
          <w:spacing w:val="7"/>
        </w:rPr>
        <w:t>58.0</w:t>
      </w:r>
      <w:r>
        <w:rPr>
          <w:color w:val="231F20"/>
          <w:spacing w:val="7"/>
        </w:rPr>
        <w:t>±</w:t>
      </w:r>
      <w:r>
        <w:rPr>
          <w:rFonts w:ascii="Times New Roman" w:hAnsi="Times New Roman" w:eastAsia="Times New Roman" w:cs="Times New Roman"/>
          <w:color w:val="231F20"/>
          <w:spacing w:val="7"/>
        </w:rPr>
        <w:t>2.6</w:t>
      </w:r>
      <w:r>
        <w:rPr>
          <w:color w:val="231F20"/>
          <w:spacing w:val="7"/>
        </w:rPr>
        <w:t>）岁。通过对比分析两组患者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6"/>
        </w:rPr>
        <w:t>的一般资料，结果显示在年龄、性别等方面两组患者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无显著差异（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0.05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4"/>
        </w:rPr>
        <w:t>）。</w:t>
      </w:r>
    </w:p>
    <w:p>
      <w:pPr>
        <w:pStyle w:val="BodyText"/>
        <w:ind w:left="4" w:right="8" w:firstLine="408"/>
        <w:spacing w:before="3" w:line="221" w:lineRule="auto"/>
        <w:jc w:val="both"/>
        <w:rPr/>
      </w:pPr>
      <w:r>
        <w:rPr>
          <w:color w:val="231F20"/>
          <w:spacing w:val="1"/>
        </w:rPr>
        <w:t>纳入标准：①年龄在 </w:t>
      </w:r>
      <w:r>
        <w:rPr>
          <w:rFonts w:ascii="Times New Roman" w:hAnsi="Times New Roman" w:eastAsia="Times New Roman" w:cs="Times New Roman"/>
          <w:color w:val="231F20"/>
          <w:spacing w:val="1"/>
        </w:rPr>
        <w:t>18 </w:t>
      </w:r>
      <w:r>
        <w:rPr>
          <w:color w:val="231F20"/>
          <w:spacing w:val="1"/>
        </w:rPr>
        <w:t>岁及以上。②根据临床表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现和疾病史，被确诊为急性肠胃炎。③患者能够理解并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配合研究的要求，并且自愿参与研究，签署知情</w:t>
      </w:r>
      <w:r>
        <w:rPr>
          <w:color w:val="231F20"/>
          <w:spacing w:val="-8"/>
        </w:rPr>
        <w:t>同意书。</w:t>
      </w:r>
    </w:p>
    <w:p>
      <w:pPr>
        <w:pStyle w:val="BodyText"/>
        <w:ind w:firstLine="409"/>
        <w:spacing w:before="3" w:line="225" w:lineRule="auto"/>
        <w:jc w:val="both"/>
        <w:rPr/>
      </w:pPr>
      <w:r>
        <w:rPr>
          <w:color w:val="231F20"/>
          <w:spacing w:val="17"/>
        </w:rPr>
        <w:t>排除标准：①有严重基础疾病如心脏、肝功能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不全等。②有其他胃肠道疾病如溃疡病、克罗恩病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等。③有严重的精神疾病或智力障碍，不能正常配合  </w:t>
      </w:r>
      <w:r>
        <w:rPr>
          <w:color w:val="231F20"/>
          <w:spacing w:val="10"/>
        </w:rPr>
        <w:t>研究。④曾经接受过类似治疗方案或其他干预措施。</w:t>
      </w:r>
    </w:p>
    <w:p>
      <w:pPr>
        <w:pStyle w:val="BodyText"/>
        <w:ind w:left="4" w:right="86" w:hanging="3"/>
        <w:spacing w:line="204" w:lineRule="auto"/>
        <w:rPr/>
      </w:pPr>
      <w:r>
        <w:rPr>
          <w:color w:val="231F20"/>
          <w:spacing w:val="6"/>
        </w:rPr>
        <w:t>⑤孕妇或哺乳期妇女。⑥有过敏史，对研究所用药物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或中药成分过敏。</w:t>
      </w:r>
    </w:p>
    <w:p>
      <w:pPr>
        <w:pStyle w:val="BodyText"/>
        <w:ind w:left="429"/>
        <w:spacing w:before="62" w:line="179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1.2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  </w:t>
      </w:r>
      <w:r>
        <w:rPr>
          <w:color w:val="231F20"/>
          <w:spacing w:val="-3"/>
        </w:rPr>
        <w:t>方法</w:t>
      </w:r>
    </w:p>
    <w:p>
      <w:pPr>
        <w:pStyle w:val="BodyText"/>
        <w:ind w:left="1" w:right="75" w:firstLine="407"/>
        <w:spacing w:before="61" w:line="224" w:lineRule="auto"/>
        <w:jc w:val="both"/>
        <w:rPr/>
      </w:pPr>
      <w:r>
        <w:rPr>
          <w:color w:val="231F20"/>
          <w:spacing w:val="15"/>
        </w:rPr>
        <w:t>对照组接受西医常规治疗。包括每天进行</w:t>
      </w:r>
      <w:r>
        <w:rPr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1 </w:t>
      </w:r>
      <w:r>
        <w:rPr>
          <w:color w:val="231F20"/>
          <w:spacing w:val="15"/>
        </w:rPr>
        <w:t>次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静脉滴注泮托拉唑钠注射液，每次剂量为 </w:t>
      </w:r>
      <w:r>
        <w:rPr>
          <w:rFonts w:ascii="Times New Roman" w:hAnsi="Times New Roman" w:eastAsia="Times New Roman" w:cs="Times New Roman"/>
          <w:color w:val="231F20"/>
          <w:spacing w:val="7"/>
        </w:rPr>
        <w:t>40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color w:val="231F20"/>
          <w:spacing w:val="7"/>
        </w:rPr>
        <w:t>；每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天进行 </w:t>
      </w:r>
      <w:r>
        <w:rPr>
          <w:rFonts w:ascii="Times New Roman" w:hAnsi="Times New Roman" w:eastAsia="Times New Roman" w:cs="Times New Roman"/>
          <w:color w:val="231F20"/>
          <w:spacing w:val="5"/>
        </w:rPr>
        <w:t>1 </w:t>
      </w:r>
      <w:r>
        <w:rPr>
          <w:color w:val="231F20"/>
          <w:spacing w:val="5"/>
        </w:rPr>
        <w:t>次肌内注射盐酸山莨菪碱注射液，每次剂量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为 </w:t>
      </w:r>
      <w:r>
        <w:rPr>
          <w:rFonts w:ascii="Times New Roman" w:hAnsi="Times New Roman" w:eastAsia="Times New Roman" w:cs="Times New Roman"/>
          <w:color w:val="231F20"/>
          <w:spacing w:val="4"/>
        </w:rPr>
        <w:t>10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4"/>
        </w:rPr>
        <w:t>；每天口服</w:t>
      </w:r>
      <w:r>
        <w:rPr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 </w:t>
      </w:r>
      <w:r>
        <w:rPr>
          <w:color w:val="231F20"/>
          <w:spacing w:val="4"/>
        </w:rPr>
        <w:t>次阿莫西林胶囊，每次剂量为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g</w:t>
      </w:r>
      <w:r>
        <w:rPr>
          <w:color w:val="231F20"/>
          <w:spacing w:val="1"/>
        </w:rPr>
        <w:t>。该方案连续治疗 </w:t>
      </w:r>
      <w:r>
        <w:rPr>
          <w:rFonts w:ascii="Times New Roman" w:hAnsi="Times New Roman" w:eastAsia="Times New Roman" w:cs="Times New Roman"/>
          <w:color w:val="231F20"/>
          <w:spacing w:val="1"/>
        </w:rPr>
        <w:t>7 d</w:t>
      </w:r>
      <w:r>
        <w:rPr>
          <w:color w:val="231F20"/>
          <w:spacing w:val="1"/>
        </w:rPr>
        <w:t>。</w:t>
      </w:r>
    </w:p>
    <w:p>
      <w:pPr>
        <w:pStyle w:val="BodyText"/>
        <w:ind w:left="2" w:right="83" w:firstLine="411"/>
        <w:spacing w:before="3" w:line="233" w:lineRule="auto"/>
        <w:rPr/>
      </w:pPr>
      <w:r>
        <w:rPr>
          <w:color w:val="231F20"/>
          <w:spacing w:val="16"/>
        </w:rPr>
        <w:t>观察组在西医常规治疗的基础上，给予益坤消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痞汤口服治疗，中药的具体配方：党参、炒白术、茯</w:t>
      </w:r>
    </w:p>
    <w:p>
      <w:pPr>
        <w:ind w:left="1599"/>
        <w:spacing w:before="134" w:line="24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position w:val="-1"/>
        </w:rPr>
        <w:drawing>
          <wp:inline distT="0" distB="0" distL="0" distR="0">
            <wp:extent cx="1355345" cy="10120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345" cy="10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position w:val="-1"/>
        </w:rPr>
        <w:drawing>
          <wp:inline distT="0" distB="0" distL="0" distR="0">
            <wp:extent cx="262961" cy="10082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961" cy="1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033</w:t>
      </w:r>
    </w:p>
    <w:p>
      <w:pPr>
        <w:spacing w:line="246" w:lineRule="exact"/>
        <w:sectPr>
          <w:type w:val="continuous"/>
          <w:pgSz w:w="11793" w:h="16045"/>
          <w:pgMar w:top="400" w:right="831" w:bottom="0" w:left="424" w:header="0" w:footer="0" w:gutter="0"/>
          <w:cols w:equalWidth="0" w:num="2">
            <w:col w:w="5602" w:space="100"/>
            <w:col w:w="4836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491"/>
        <w:spacing w:before="160" w:line="185" w:lineRule="auto"/>
        <w:rPr/>
      </w:pPr>
      <w:r>
        <w:rPr>
          <w:color w:val="AAABAF"/>
          <w:spacing w:val="-2"/>
        </w:rPr>
        <w:t>全科论著</w:t>
      </w:r>
    </w:p>
    <w:p>
      <w:pPr>
        <w:spacing w:line="185" w:lineRule="auto"/>
        <w:sectPr>
          <w:headerReference w:type="default" r:id="rId7"/>
          <w:footerReference w:type="default" r:id="rId8"/>
          <w:pgSz w:w="11793" w:h="16045"/>
          <w:pgMar w:top="400" w:right="907" w:bottom="604" w:left="424" w:header="0" w:footer="353" w:gutter="0"/>
          <w:cols w:equalWidth="0" w:num="1">
            <w:col w:w="10462" w:space="0"/>
          </w:cols>
        </w:sectPr>
        <w:rPr/>
      </w:pP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87" w:right="165" w:hanging="4"/>
        <w:spacing w:before="86" w:line="224" w:lineRule="auto"/>
        <w:jc w:val="both"/>
        <w:rPr/>
      </w:pPr>
      <w:r>
        <w:rPr>
          <w:color w:val="231F20"/>
          <w:spacing w:val="10"/>
        </w:rPr>
        <w:t>苓、黄芪、黄芩、枳实、白芍、乌梅、三棱、莪术、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炙鸡内金各 </w:t>
      </w:r>
      <w:r>
        <w:rPr>
          <w:rFonts w:ascii="Times New Roman" w:hAnsi="Times New Roman" w:eastAsia="Times New Roman" w:cs="Times New Roman"/>
          <w:color w:val="231F20"/>
          <w:spacing w:val="5"/>
        </w:rPr>
        <w:t>10</w:t>
      </w:r>
      <w:r>
        <w:rPr>
          <w:rFonts w:ascii="Times New Roman" w:hAnsi="Times New Roman" w:eastAsia="Times New Roman" w:cs="Times New Roman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g</w:t>
      </w:r>
      <w:r>
        <w:rPr>
          <w:color w:val="231F20"/>
          <w:spacing w:val="5"/>
        </w:rPr>
        <w:t>，山楂</w:t>
      </w:r>
      <w:r>
        <w:rPr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12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g</w:t>
      </w:r>
      <w:r>
        <w:rPr>
          <w:color w:val="231F20"/>
          <w:spacing w:val="5"/>
        </w:rPr>
        <w:t>，山药</w:t>
      </w:r>
      <w:r>
        <w:rPr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15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g</w:t>
      </w:r>
      <w:r>
        <w:rPr>
          <w:color w:val="231F20"/>
          <w:spacing w:val="5"/>
        </w:rPr>
        <w:t>，甘草 </w:t>
      </w:r>
      <w:r>
        <w:rPr>
          <w:rFonts w:ascii="Times New Roman" w:hAnsi="Times New Roman" w:eastAsia="Times New Roman" w:cs="Times New Roman"/>
          <w:color w:val="231F20"/>
          <w:spacing w:val="5"/>
        </w:rPr>
        <w:t>7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g</w:t>
      </w:r>
      <w:r>
        <w:rPr>
          <w:color w:val="231F20"/>
          <w:spacing w:val="5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黄连、砂仁各 </w:t>
      </w:r>
      <w:r>
        <w:rPr>
          <w:rFonts w:ascii="Times New Roman" w:hAnsi="Times New Roman" w:eastAsia="Times New Roman" w:cs="Times New Roman"/>
          <w:color w:val="231F20"/>
          <w:spacing w:val="8"/>
        </w:rPr>
        <w:t>5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g</w:t>
      </w:r>
      <w:r>
        <w:rPr>
          <w:color w:val="231F20"/>
          <w:spacing w:val="8"/>
        </w:rPr>
        <w:t>（打碎后下</w:t>
      </w:r>
      <w:r>
        <w:rPr>
          <w:color w:val="231F20"/>
          <w:spacing w:val="-41"/>
        </w:rPr>
        <w:t>），</w:t>
      </w:r>
      <w:r>
        <w:rPr>
          <w:color w:val="231F20"/>
          <w:spacing w:val="8"/>
        </w:rPr>
        <w:t>采用水煎服的方</w:t>
      </w:r>
      <w:r>
        <w:rPr>
          <w:color w:val="231F20"/>
          <w:spacing w:val="7"/>
        </w:rPr>
        <w:t>式，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每日</w:t>
      </w:r>
      <w:r>
        <w:rPr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 </w:t>
      </w:r>
      <w:r>
        <w:rPr>
          <w:color w:val="231F20"/>
          <w:spacing w:val="1"/>
        </w:rPr>
        <w:t>剂，分早晚服用，连续服用 </w:t>
      </w:r>
      <w:r>
        <w:rPr>
          <w:rFonts w:ascii="Times New Roman" w:hAnsi="Times New Roman" w:eastAsia="Times New Roman" w:cs="Times New Roman"/>
          <w:color w:val="231F20"/>
          <w:spacing w:val="1"/>
        </w:rPr>
        <w:t>7 d</w:t>
      </w:r>
      <w:r>
        <w:rPr>
          <w:color w:val="231F20"/>
          <w:spacing w:val="1"/>
        </w:rPr>
        <w:t>。</w:t>
      </w:r>
    </w:p>
    <w:p>
      <w:pPr>
        <w:pStyle w:val="BodyText"/>
        <w:ind w:left="914"/>
        <w:spacing w:line="18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1.3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   </w:t>
      </w:r>
      <w:r>
        <w:rPr>
          <w:color w:val="231F20"/>
          <w:spacing w:val="-2"/>
        </w:rPr>
        <w:t>观察指标</w:t>
      </w:r>
    </w:p>
    <w:p>
      <w:pPr>
        <w:pStyle w:val="BodyText"/>
        <w:ind w:left="485" w:right="245" w:firstLine="409"/>
        <w:spacing w:before="54" w:line="222" w:lineRule="auto"/>
        <w:rPr/>
      </w:pPr>
      <w:r>
        <w:rPr>
          <w:color w:val="231F20"/>
          <w:spacing w:val="17"/>
        </w:rPr>
        <w:t>①临床指标。记录并对比两组患者的临床症状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改善时间及治疗前后炎症因子指标的改善情况。②治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4"/>
        </w:rPr>
        <w:t>疗有效率。分为显效、有效和无效 </w:t>
      </w:r>
      <w:r>
        <w:rPr>
          <w:rFonts w:ascii="Times New Roman" w:hAnsi="Times New Roman" w:eastAsia="Times New Roman" w:cs="Times New Roman"/>
          <w:color w:val="231F20"/>
          <w:spacing w:val="14"/>
        </w:rPr>
        <w:t>3 </w:t>
      </w:r>
      <w:r>
        <w:rPr>
          <w:color w:val="231F20"/>
          <w:spacing w:val="14"/>
        </w:rPr>
        <w:t>种情况，判定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6"/>
        </w:rPr>
        <w:t>标准：显效为临床症状完全缓解，大便炎症指</w:t>
      </w:r>
      <w:r>
        <w:rPr>
          <w:color w:val="231F20"/>
          <w:spacing w:val="15"/>
        </w:rPr>
        <w:t>标正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常，血常规炎症指标正常，影像学检查显示炎症灶消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失或显著减小；有效为临床症状显著改善，大便炎症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6"/>
        </w:rPr>
        <w:t>指标改善，血常规炎症指标趋于正常，影像学</w:t>
      </w:r>
      <w:r>
        <w:rPr>
          <w:color w:val="231F20"/>
          <w:spacing w:val="15"/>
        </w:rPr>
        <w:t>检查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显示炎症灶减小；无效为临床症状无改善或加重，大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便炎症指标无变化或恶化，血常规炎症指标无变化或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5"/>
        </w:rPr>
        <w:t>升高，影像学检查显示炎症灶无变化或扩大。计算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3"/>
        </w:rPr>
        <w:t>治疗总有效率的公式为</w:t>
      </w:r>
      <w:r>
        <w:rPr>
          <w:color w:val="231F20"/>
          <w:spacing w:val="-50"/>
          <w:w w:val="92"/>
        </w:rPr>
        <w:t>：（</w:t>
      </w:r>
      <w:r>
        <w:rPr>
          <w:color w:val="231F20"/>
          <w:spacing w:val="13"/>
        </w:rPr>
        <w:t>显效 </w:t>
      </w:r>
      <w:r>
        <w:rPr>
          <w:rFonts w:ascii="Times New Roman" w:hAnsi="Times New Roman" w:eastAsia="Times New Roman" w:cs="Times New Roman"/>
          <w:color w:val="231F20"/>
          <w:spacing w:val="13"/>
        </w:rPr>
        <w:t>+ </w:t>
      </w:r>
      <w:r>
        <w:rPr>
          <w:color w:val="231F20"/>
          <w:spacing w:val="13"/>
        </w:rPr>
        <w:t>有效）例数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/ </w:t>
      </w:r>
      <w:r>
        <w:rPr>
          <w:color w:val="231F20"/>
          <w:spacing w:val="13"/>
        </w:rPr>
        <w:t>总例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数</w:t>
      </w:r>
      <w:r>
        <w:rPr>
          <w:color w:val="231F20"/>
          <w:spacing w:val="63"/>
        </w:rPr>
        <w:t xml:space="preserve"> </w:t>
      </w:r>
      <w:r>
        <w:rPr>
          <w:color w:val="231F20"/>
          <w:spacing w:val="-1"/>
        </w:rPr>
        <w:t>×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100%</w:t>
      </w:r>
      <w:r>
        <w:rPr>
          <w:color w:val="231F20"/>
          <w:spacing w:val="-1"/>
        </w:rPr>
        <w:t>。③生活质量。使用健康调查量表 </w:t>
      </w:r>
      <w:r>
        <w:rPr>
          <w:rFonts w:ascii="Times New Roman" w:hAnsi="Times New Roman" w:eastAsia="Times New Roman" w:cs="Times New Roman"/>
          <w:color w:val="231F20"/>
          <w:spacing w:val="-1"/>
        </w:rPr>
        <w:t>36</w:t>
      </w:r>
      <w:r>
        <w:rPr>
          <w:color w:val="231F20"/>
          <w:spacing w:val="-1"/>
        </w:rPr>
        <w:t>（ </w:t>
      </w:r>
      <w:r>
        <w:rPr>
          <w:rFonts w:ascii="Times New Roman" w:hAnsi="Times New Roman" w:eastAsia="Times New Roman" w:cs="Times New Roman"/>
          <w:color w:val="231F20"/>
          <w:spacing w:val="-1"/>
        </w:rPr>
        <w:t>SF</w:t>
      </w:r>
      <w:r>
        <w:rPr>
          <w:color w:val="231F20"/>
          <w:spacing w:val="-1"/>
        </w:rPr>
        <w:t>-</w:t>
      </w:r>
    </w:p>
    <w:p>
      <w:pPr>
        <w:pStyle w:val="BodyText"/>
        <w:ind w:left="487" w:right="244" w:firstLine="3"/>
        <w:spacing w:before="35" w:line="20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36</w:t>
      </w:r>
      <w:r>
        <w:rPr>
          <w:color w:val="231F20"/>
          <w:spacing w:val="-1"/>
        </w:rPr>
        <w:t>）评估两组患者的生活质量，该量表最高得</w:t>
      </w:r>
      <w:r>
        <w:rPr>
          <w:color w:val="231F20"/>
          <w:spacing w:val="-2"/>
        </w:rPr>
        <w:t>分为</w:t>
      </w:r>
      <w:r>
        <w:rPr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100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1"/>
        </w:rPr>
        <w:t>分，得分越高表示生活质量越好。</w:t>
      </w:r>
    </w:p>
    <w:p>
      <w:pPr>
        <w:pStyle w:val="BodyText"/>
        <w:ind w:left="914"/>
        <w:spacing w:before="58" w:line="181" w:lineRule="auto"/>
        <w:rPr/>
      </w:pPr>
      <w:r>
        <w:rPr>
          <w:rFonts w:ascii="Times New Roman" w:hAnsi="Times New Roman" w:eastAsia="Times New Roman" w:cs="Times New Roman"/>
          <w:color w:val="231F20"/>
        </w:rPr>
        <w:t>1.4    </w:t>
      </w:r>
      <w:r>
        <w:rPr>
          <w:color w:val="231F20"/>
        </w:rPr>
        <w:t>统计学方法</w:t>
      </w:r>
    </w:p>
    <w:p>
      <w:pPr>
        <w:pStyle w:val="BodyText"/>
        <w:ind w:left="894"/>
        <w:spacing w:before="59" w:line="182" w:lineRule="auto"/>
        <w:rPr/>
      </w:pPr>
      <w:r>
        <w:rPr>
          <w:color w:val="231F20"/>
          <w:spacing w:val="7"/>
        </w:rPr>
        <w:t>使用 </w:t>
      </w:r>
      <w:r>
        <w:rPr>
          <w:rFonts w:ascii="Times New Roman" w:hAnsi="Times New Roman" w:eastAsia="Times New Roman" w:cs="Times New Roman"/>
          <w:color w:val="231F20"/>
        </w:rPr>
        <w:t>SPSS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20.0 </w:t>
      </w:r>
      <w:r>
        <w:rPr>
          <w:color w:val="231F20"/>
          <w:spacing w:val="7"/>
        </w:rPr>
        <w:t>软件进行数据分析。对于计量指</w:t>
      </w:r>
    </w:p>
    <w:p>
      <w:pPr>
        <w:pStyle w:val="BodyText"/>
        <w:ind w:left="486"/>
        <w:spacing w:before="55" w:line="283" w:lineRule="exact"/>
        <w:rPr/>
      </w:pPr>
      <w:r>
        <w:rPr>
          <w:color w:val="231F20"/>
          <w:spacing w:val="3"/>
          <w:position w:val="-1"/>
        </w:rPr>
        <w:t>标的描述使用（</w:t>
      </w:r>
      <w:r>
        <w:rPr>
          <w:color w:val="231F20"/>
          <w:spacing w:val="-28"/>
          <w:position w:val="-1"/>
        </w:rPr>
        <w:t xml:space="preserve"> </w:t>
      </w:r>
      <w:r>
        <w:ruby>
          <w:rubyPr>
            <w:rubyAlign w:val="left"/>
            <w:hpsRaise w:val="12"/>
            <w:hps w:val="10"/>
            <w:hpsBaseText w:val="20"/>
          </w:rubyPr>
          <w:rt>
            <w:r>
              <w:rPr>
                <w:rFonts w:ascii="Times New Roman" w:hAnsi="Times New Roman" w:eastAsia="Times New Roman" w:cs="Times New Roman"/>
                <w:sz w:val="10"/>
                <w:szCs w:val="10"/>
                <w:i/>
                <w:iCs/>
                <w:color w:val="231F20"/>
                <w:w w:val="101"/>
                <w:position w:val="-1"/>
              </w:rPr>
              <w:t>—</w:t>
            </w:r>
          </w:rt>
          <w:rubyBase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w w:val="110"/>
                <w:position w:val="-1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i/>
          <w:iCs/>
          <w:color w:val="231F20"/>
          <w:position w:val="-1"/>
        </w:rPr>
        <w:t xml:space="preserve"> </w:t>
      </w:r>
      <w:r>
        <w:rPr>
          <w:color w:val="231F20"/>
          <w:spacing w:val="3"/>
          <w:position w:val="-1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  <w:position w:val="-1"/>
        </w:rPr>
        <w:t>s</w:t>
      </w:r>
      <w:r>
        <w:rPr>
          <w:color w:val="231F20"/>
          <w:spacing w:val="-42"/>
          <w:position w:val="-1"/>
        </w:rPr>
        <w:t>），</w:t>
      </w:r>
      <w:r>
        <w:rPr>
          <w:color w:val="231F20"/>
          <w:spacing w:val="3"/>
          <w:position w:val="-1"/>
        </w:rPr>
        <w:t>使用 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  <w:position w:val="-1"/>
        </w:rPr>
        <w:t>t </w:t>
      </w:r>
      <w:r>
        <w:rPr>
          <w:color w:val="231F20"/>
          <w:spacing w:val="3"/>
          <w:position w:val="-1"/>
        </w:rPr>
        <w:t>检验进行组间比较；对</w:t>
      </w:r>
    </w:p>
    <w:p>
      <w:pPr>
        <w:pStyle w:val="BodyText"/>
        <w:ind w:left="510" w:right="244" w:hanging="16"/>
        <w:spacing w:before="35" w:line="224" w:lineRule="auto"/>
        <w:jc w:val="both"/>
        <w:rPr/>
      </w:pPr>
      <w:r>
        <w:rPr>
          <w:color w:val="231F20"/>
          <w:spacing w:val="4"/>
        </w:rPr>
        <w:t>于计数指标的描述使用</w:t>
      </w:r>
      <w:r>
        <w:rPr>
          <w:rFonts w:ascii="SimSun" w:hAnsi="SimSun" w:eastAsia="SimSun" w:cs="SimSun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n</w:t>
      </w:r>
      <w:r>
        <w:rPr>
          <w:color w:val="231F20"/>
          <w:spacing w:val="4"/>
        </w:rPr>
        <w:t>（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% </w:t>
      </w:r>
      <w:r>
        <w:rPr>
          <w:color w:val="231F20"/>
          <w:spacing w:val="-49"/>
          <w:w w:val="98"/>
        </w:rPr>
        <w:t>）</w:t>
      </w:r>
      <w:r>
        <w:rPr>
          <w:rFonts w:ascii="SimSun" w:hAnsi="SimSun" w:eastAsia="SimSun" w:cs="SimSun"/>
          <w:color w:val="231F20"/>
          <w:spacing w:val="-49"/>
          <w:w w:val="98"/>
        </w:rPr>
        <w:t>］</w:t>
      </w:r>
      <w:r>
        <w:rPr>
          <w:color w:val="231F20"/>
          <w:spacing w:val="-49"/>
          <w:w w:val="98"/>
        </w:rPr>
        <w:t>，</w:t>
      </w:r>
      <w:r>
        <w:rPr>
          <w:color w:val="231F20"/>
          <w:spacing w:val="4"/>
        </w:rPr>
        <w:t>使用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χ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9"/>
        </w:rPr>
        <w:t>2  </w:t>
      </w:r>
      <w:r>
        <w:rPr>
          <w:color w:val="231F20"/>
          <w:spacing w:val="4"/>
        </w:rPr>
        <w:t>检验进行</w:t>
      </w:r>
      <w:r>
        <w:rPr>
          <w:color w:val="231F20"/>
        </w:rPr>
        <w:t xml:space="preserve"> </w:t>
      </w:r>
      <w:r>
        <w:rPr>
          <w:color w:val="231F20"/>
        </w:rPr>
        <w:t>比较。当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  <w:w w:val="101"/>
        </w:rPr>
        <w:t xml:space="preserve"> </w:t>
      </w:r>
      <w:r>
        <w:rPr>
          <w:color w:val="231F20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0.05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</w:rPr>
        <w:t>时表示差异存在统计学意义。</w:t>
      </w:r>
    </w:p>
    <w:p>
      <w:pPr>
        <w:ind w:left="489"/>
        <w:spacing w:before="207" w:line="291" w:lineRule="exact"/>
        <w:outlineLvl w:val="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2</w:t>
      </w:r>
      <w:r>
        <w:rPr>
          <w:rFonts w:ascii="SimSun" w:hAnsi="SimSun" w:eastAsia="SimSun" w:cs="SimSun"/>
          <w:sz w:val="22"/>
          <w:szCs w:val="22"/>
          <w:color w:val="231F20"/>
          <w:spacing w:val="3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结果</w:t>
      </w:r>
    </w:p>
    <w:p>
      <w:pPr>
        <w:pStyle w:val="BodyText"/>
        <w:ind w:left="895"/>
        <w:spacing w:before="149" w:line="182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2.1    </w:t>
      </w:r>
      <w:r>
        <w:rPr>
          <w:color w:val="231F20"/>
          <w:spacing w:val="2"/>
        </w:rPr>
        <w:t>两组患者症状改善情况比较</w:t>
      </w:r>
    </w:p>
    <w:p>
      <w:pPr>
        <w:pStyle w:val="BodyText"/>
        <w:ind w:left="487" w:right="180" w:firstLine="411"/>
        <w:spacing w:before="56" w:line="225" w:lineRule="auto"/>
        <w:rPr/>
      </w:pPr>
      <w:r>
        <w:rPr>
          <w:color w:val="231F20"/>
          <w:spacing w:val="10"/>
        </w:rPr>
        <w:t>观察组患者治疗后临床症状改善时间明显缩短，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与对照组相比，差异具有统计学意义（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16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  <w:w w:val="101"/>
        </w:rPr>
        <w:t xml:space="preserve"> </w:t>
      </w:r>
      <w:r>
        <w:rPr>
          <w:color w:val="231F20"/>
          <w:spacing w:val="16"/>
        </w:rPr>
        <w:t>＜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</w:rPr>
        <w:t>0</w:t>
      </w:r>
      <w:r>
        <w:rPr>
          <w:rFonts w:ascii="Times New Roman" w:hAnsi="Times New Roman" w:eastAsia="Times New Roman" w:cs="Times New Roman"/>
          <w:color w:val="231F20"/>
          <w:spacing w:val="15"/>
        </w:rPr>
        <w:t>.05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36"/>
          <w:w w:val="75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见表</w:t>
      </w:r>
      <w:r>
        <w:rPr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color w:val="231F20"/>
          <w:spacing w:val="-5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9"/>
        <w:spacing w:before="38" w:line="219" w:lineRule="exact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表1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两组临床各症状改善时间比较（</w:t>
      </w:r>
      <w:r>
        <w:rPr>
          <w:rFonts w:ascii="SimHei" w:hAnsi="SimHei" w:eastAsia="SimHei" w:cs="SimHei"/>
          <w:sz w:val="16"/>
          <w:szCs w:val="16"/>
          <w:color w:val="231F20"/>
          <w:spacing w:val="-47"/>
          <w:position w:val="-1"/>
        </w:rPr>
        <w:t xml:space="preserve"> </w:t>
      </w:r>
      <w:r>
        <w:ruby>
          <w:rubyPr>
            <w:rubyAlign w:val="left"/>
            <w:hpsRaise w:val="10"/>
            <w:hps w:val="8"/>
            <w:hpsBaseText w:val="16"/>
          </w:rubyPr>
          <w:rt>
            <w:r>
              <w:rPr>
                <w:rFonts w:ascii="Times New Roman" w:hAnsi="Times New Roman" w:eastAsia="Times New Roman" w:cs="Times New Roman"/>
                <w:sz w:val="8"/>
                <w:szCs w:val="8"/>
                <w:i/>
                <w:iCs/>
                <w:color w:val="231F20"/>
                <w:w w:val="99"/>
                <w:position w:val="-1"/>
              </w:rPr>
              <w:t>—</w:t>
            </w:r>
          </w:rt>
          <w:rubyBase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w w:val="108"/>
                <w:position w:val="-1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-1"/>
        </w:rPr>
        <w:t xml:space="preserve"> </w:t>
      </w:r>
      <w:r>
        <w:rPr>
          <w:sz w:val="16"/>
          <w:szCs w:val="16"/>
          <w:color w:val="231F20"/>
          <w:spacing w:val="-3"/>
          <w:position w:val="-1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  <w:position w:val="-1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5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-1"/>
        </w:rPr>
        <w:t>d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）</w:t>
      </w:r>
    </w:p>
    <w:p>
      <w:pPr>
        <w:spacing w:line="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56" w:type="dxa"/>
        <w:tblInd w:w="1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1"/>
        <w:gridCol w:w="542"/>
        <w:gridCol w:w="884"/>
        <w:gridCol w:w="826"/>
        <w:gridCol w:w="824"/>
        <w:gridCol w:w="839"/>
      </w:tblGrid>
      <w:tr>
        <w:trPr>
          <w:trHeight w:val="224" w:hRule="atLeast"/>
        </w:trPr>
        <w:tc>
          <w:tcPr>
            <w:tcW w:w="84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78"/>
              <w:spacing w:before="42" w:line="17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组别</w:t>
            </w:r>
          </w:p>
        </w:tc>
        <w:tc>
          <w:tcPr>
            <w:tcW w:w="54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7"/>
              <w:spacing w:before="94" w:line="92" w:lineRule="exact"/>
              <w:rPr/>
            </w:pPr>
            <w:r>
              <w:rPr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8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88"/>
              <w:spacing w:before="4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恶心呕吐</w:t>
            </w:r>
          </w:p>
        </w:tc>
        <w:tc>
          <w:tcPr>
            <w:tcW w:w="82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73"/>
              <w:spacing w:before="43" w:line="17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腹痛</w:t>
            </w:r>
          </w:p>
        </w:tc>
        <w:tc>
          <w:tcPr>
            <w:tcW w:w="82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78"/>
              <w:spacing w:before="44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腹泻</w:t>
            </w:r>
          </w:p>
        </w:tc>
        <w:tc>
          <w:tcPr>
            <w:tcW w:w="83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44"/>
              <w:spacing w:before="42" w:line="17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食欲不振</w:t>
            </w:r>
          </w:p>
        </w:tc>
      </w:tr>
      <w:tr>
        <w:trPr>
          <w:trHeight w:val="224" w:hRule="atLeast"/>
        </w:trPr>
        <w:tc>
          <w:tcPr>
            <w:tcW w:w="841" w:type="dxa"/>
            <w:vAlign w:val="top"/>
            <w:tcBorders>
              <w:top w:val="single" w:color="231F20" w:sz="2" w:space="0"/>
            </w:tcBorders>
          </w:tcPr>
          <w:p>
            <w:pPr>
              <w:ind w:left="210"/>
              <w:spacing w:before="44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观察组</w:t>
            </w:r>
          </w:p>
        </w:tc>
        <w:tc>
          <w:tcPr>
            <w:tcW w:w="5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2"/>
              <w:spacing w:before="67" w:line="186" w:lineRule="auto"/>
              <w:rPr/>
            </w:pPr>
            <w:r>
              <w:rPr>
                <w:color w:val="231F20"/>
                <w:spacing w:val="-1"/>
              </w:rPr>
              <w:t>42</w:t>
            </w:r>
          </w:p>
        </w:tc>
        <w:tc>
          <w:tcPr>
            <w:tcW w:w="8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5"/>
              <w:spacing w:before="67" w:line="147" w:lineRule="exact"/>
              <w:rPr/>
            </w:pPr>
            <w:r>
              <w:rPr>
                <w:color w:val="231F20"/>
                <w:spacing w:val="-1"/>
                <w:position w:val="-3"/>
              </w:rPr>
              <w:t>5.8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3"/>
              </w:rPr>
              <w:t>±</w:t>
            </w:r>
            <w:r>
              <w:rPr>
                <w:color w:val="231F20"/>
                <w:spacing w:val="-1"/>
                <w:position w:val="-3"/>
              </w:rPr>
              <w:t>0.7</w:t>
            </w:r>
          </w:p>
        </w:tc>
        <w:tc>
          <w:tcPr>
            <w:tcW w:w="8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2"/>
              <w:spacing w:before="67" w:line="147" w:lineRule="exact"/>
              <w:rPr/>
            </w:pPr>
            <w:r>
              <w:rPr>
                <w:color w:val="231F20"/>
                <w:spacing w:val="-1"/>
                <w:position w:val="2"/>
              </w:rPr>
              <w:t>5.3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2"/>
              </w:rPr>
              <w:t>±</w:t>
            </w:r>
            <w:r>
              <w:rPr>
                <w:color w:val="231F20"/>
                <w:spacing w:val="-1"/>
                <w:position w:val="2"/>
              </w:rPr>
              <w:t>0.4</w:t>
            </w:r>
          </w:p>
        </w:tc>
        <w:tc>
          <w:tcPr>
            <w:tcW w:w="8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7"/>
              <w:spacing w:before="67" w:line="147" w:lineRule="exact"/>
              <w:rPr/>
            </w:pPr>
            <w:r>
              <w:rPr>
                <w:color w:val="231F20"/>
                <w:spacing w:val="-1"/>
                <w:position w:val="-3"/>
              </w:rPr>
              <w:t>5.7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3"/>
              </w:rPr>
              <w:t>±</w:t>
            </w:r>
            <w:r>
              <w:rPr>
                <w:color w:val="231F20"/>
                <w:spacing w:val="-1"/>
                <w:position w:val="-3"/>
              </w:rPr>
              <w:t>0.6</w:t>
            </w:r>
          </w:p>
        </w:tc>
        <w:tc>
          <w:tcPr>
            <w:tcW w:w="8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5"/>
              <w:spacing w:before="67" w:line="147" w:lineRule="exact"/>
              <w:rPr/>
            </w:pPr>
            <w:r>
              <w:rPr>
                <w:color w:val="231F20"/>
                <w:spacing w:val="-1"/>
                <w:position w:val="-3"/>
              </w:rPr>
              <w:t>5.6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3"/>
              </w:rPr>
              <w:t>±</w:t>
            </w:r>
            <w:r>
              <w:rPr>
                <w:color w:val="231F20"/>
                <w:spacing w:val="-1"/>
                <w:position w:val="-3"/>
              </w:rPr>
              <w:t>0.5</w:t>
            </w:r>
          </w:p>
        </w:tc>
      </w:tr>
      <w:tr>
        <w:trPr>
          <w:trHeight w:val="237" w:hRule="atLeast"/>
        </w:trPr>
        <w:tc>
          <w:tcPr>
            <w:tcW w:w="841" w:type="dxa"/>
            <w:vAlign w:val="top"/>
          </w:tcPr>
          <w:p>
            <w:pPr>
              <w:ind w:left="207"/>
              <w:spacing w:before="53"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对照组</w:t>
            </w:r>
          </w:p>
        </w:tc>
        <w:tc>
          <w:tcPr>
            <w:tcW w:w="542" w:type="dxa"/>
            <w:vAlign w:val="top"/>
          </w:tcPr>
          <w:p>
            <w:pPr>
              <w:pStyle w:val="TableText"/>
              <w:ind w:left="222"/>
              <w:spacing w:before="74" w:line="186" w:lineRule="auto"/>
              <w:rPr/>
            </w:pPr>
            <w:r>
              <w:rPr>
                <w:color w:val="231F20"/>
                <w:spacing w:val="-1"/>
              </w:rPr>
              <w:t>42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223"/>
              <w:spacing w:before="74" w:line="152" w:lineRule="exact"/>
              <w:rPr/>
            </w:pPr>
            <w:r>
              <w:rPr>
                <w:color w:val="231F20"/>
                <w:spacing w:val="-2"/>
                <w:position w:val="-3"/>
              </w:rPr>
              <w:t>7.7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  <w:position w:val="-3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4"/>
                <w:position w:val="-3"/>
              </w:rPr>
              <w:t xml:space="preserve"> </w:t>
            </w:r>
            <w:r>
              <w:rPr>
                <w:color w:val="231F20"/>
                <w:spacing w:val="-2"/>
                <w:position w:val="-3"/>
              </w:rPr>
              <w:t>1.1</w:t>
            </w:r>
          </w:p>
        </w:tc>
        <w:tc>
          <w:tcPr>
            <w:tcW w:w="826" w:type="dxa"/>
            <w:vAlign w:val="top"/>
          </w:tcPr>
          <w:p>
            <w:pPr>
              <w:pStyle w:val="TableText"/>
              <w:ind w:left="170"/>
              <w:spacing w:before="74" w:line="152" w:lineRule="exact"/>
              <w:rPr/>
            </w:pPr>
            <w:r>
              <w:rPr>
                <w:color w:val="231F20"/>
                <w:spacing w:val="-1"/>
                <w:position w:val="3"/>
              </w:rPr>
              <w:t>7.2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3"/>
              </w:rPr>
              <w:t>±</w:t>
            </w:r>
            <w:r>
              <w:rPr>
                <w:color w:val="231F20"/>
                <w:spacing w:val="-1"/>
                <w:position w:val="3"/>
              </w:rPr>
              <w:t>0.6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176"/>
              <w:spacing w:before="74" w:line="152" w:lineRule="exact"/>
              <w:rPr/>
            </w:pPr>
            <w:r>
              <w:rPr>
                <w:color w:val="231F20"/>
                <w:spacing w:val="-1"/>
                <w:position w:val="3"/>
              </w:rPr>
              <w:t>7.6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3"/>
              </w:rPr>
              <w:t>±</w:t>
            </w:r>
            <w:r>
              <w:rPr>
                <w:color w:val="231F20"/>
                <w:spacing w:val="-1"/>
                <w:position w:val="3"/>
              </w:rPr>
              <w:t>0.8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83"/>
              <w:spacing w:before="74" w:line="152" w:lineRule="exact"/>
              <w:rPr/>
            </w:pPr>
            <w:r>
              <w:rPr>
                <w:color w:val="231F20"/>
                <w:spacing w:val="-1"/>
                <w:position w:val="-3"/>
              </w:rPr>
              <w:t>7.5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  <w:position w:val="-3"/>
              </w:rPr>
              <w:t>±</w:t>
            </w:r>
            <w:r>
              <w:rPr>
                <w:color w:val="231F20"/>
                <w:spacing w:val="-1"/>
                <w:position w:val="-3"/>
              </w:rPr>
              <w:t>0.7</w:t>
            </w:r>
          </w:p>
        </w:tc>
      </w:tr>
      <w:tr>
        <w:trPr>
          <w:trHeight w:val="222" w:hRule="atLeast"/>
        </w:trPr>
        <w:tc>
          <w:tcPr>
            <w:tcW w:w="841" w:type="dxa"/>
            <w:vAlign w:val="top"/>
          </w:tcPr>
          <w:p>
            <w:pPr>
              <w:pStyle w:val="TableText"/>
              <w:ind w:left="401"/>
              <w:spacing w:before="79" w:line="163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542" w:type="dxa"/>
            <w:vAlign w:val="top"/>
          </w:tcPr>
          <w:p>
            <w:pPr>
              <w:spacing w:line="211" w:lineRule="exact"/>
              <w:rPr>
                <w:rFonts w:ascii="Arial"/>
                <w:sz w:val="18"/>
              </w:rPr>
            </w:pPr>
            <w:r/>
          </w:p>
        </w:tc>
        <w:tc>
          <w:tcPr>
            <w:tcW w:w="884" w:type="dxa"/>
            <w:vAlign w:val="top"/>
          </w:tcPr>
          <w:p>
            <w:pPr>
              <w:pStyle w:val="TableText"/>
              <w:ind w:left="258"/>
              <w:spacing w:before="68" w:line="186" w:lineRule="auto"/>
              <w:rPr/>
            </w:pPr>
            <w:r>
              <w:rPr>
                <w:color w:val="231F20"/>
                <w:spacing w:val="-1"/>
              </w:rPr>
              <w:t>9.443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9</w:t>
            </w:r>
          </w:p>
        </w:tc>
        <w:tc>
          <w:tcPr>
            <w:tcW w:w="826" w:type="dxa"/>
            <w:vAlign w:val="top"/>
          </w:tcPr>
          <w:p>
            <w:pPr>
              <w:pStyle w:val="TableText"/>
              <w:ind w:left="182"/>
              <w:spacing w:before="68" w:line="186" w:lineRule="auto"/>
              <w:rPr/>
            </w:pPr>
            <w:r>
              <w:rPr>
                <w:color w:val="231F20"/>
                <w:spacing w:val="-3"/>
              </w:rPr>
              <w:t>17.075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6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187"/>
              <w:spacing w:before="68" w:line="186" w:lineRule="auto"/>
              <w:rPr/>
            </w:pPr>
            <w:r>
              <w:rPr>
                <w:color w:val="231F20"/>
                <w:spacing w:val="-2"/>
              </w:rPr>
              <w:t>12.313 4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94"/>
              <w:spacing w:before="68" w:line="186" w:lineRule="auto"/>
              <w:rPr/>
            </w:pPr>
            <w:r>
              <w:rPr>
                <w:color w:val="231F20"/>
                <w:spacing w:val="-3"/>
              </w:rPr>
              <w:t>14.314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0</w:t>
            </w:r>
          </w:p>
        </w:tc>
      </w:tr>
      <w:tr>
        <w:trPr>
          <w:trHeight w:val="231" w:hRule="atLeast"/>
        </w:trPr>
        <w:tc>
          <w:tcPr>
            <w:tcW w:w="84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70"/>
              <w:spacing w:before="75" w:line="183" w:lineRule="auto"/>
              <w:rPr/>
            </w:pPr>
            <w:r>
              <w:rPr>
                <w:i/>
                <w:iCs/>
                <w:color w:val="231F20"/>
                <w:spacing w:val="4"/>
              </w:rPr>
              <w:t>P</w:t>
            </w:r>
          </w:p>
        </w:tc>
        <w:tc>
          <w:tcPr>
            <w:tcW w:w="542" w:type="dxa"/>
            <w:vAlign w:val="top"/>
            <w:tcBorders>
              <w:bottom w:val="single" w:color="231F20" w:sz="4" w:space="0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88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9"/>
              <w:spacing w:before="76" w:line="144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&lt;</w:t>
            </w:r>
            <w:r>
              <w:rPr>
                <w:color w:val="231F20"/>
                <w:spacing w:val="2"/>
              </w:rPr>
              <w:t>0.000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1</w:t>
            </w:r>
          </w:p>
        </w:tc>
        <w:tc>
          <w:tcPr>
            <w:tcW w:w="8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7"/>
              <w:spacing w:before="76" w:line="144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&lt;</w:t>
            </w:r>
            <w:r>
              <w:rPr>
                <w:color w:val="231F20"/>
                <w:spacing w:val="2"/>
              </w:rPr>
              <w:t>0.000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1</w:t>
            </w:r>
          </w:p>
        </w:tc>
        <w:tc>
          <w:tcPr>
            <w:tcW w:w="82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2"/>
              <w:spacing w:before="76" w:line="144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&lt;</w:t>
            </w:r>
            <w:r>
              <w:rPr>
                <w:color w:val="231F20"/>
                <w:spacing w:val="2"/>
              </w:rPr>
              <w:t>0.000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1</w:t>
            </w:r>
          </w:p>
        </w:tc>
        <w:tc>
          <w:tcPr>
            <w:tcW w:w="83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9"/>
              <w:spacing w:before="76" w:line="144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&lt;</w:t>
            </w:r>
            <w:r>
              <w:rPr>
                <w:color w:val="231F20"/>
                <w:spacing w:val="2"/>
              </w:rPr>
              <w:t>0.000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1</w:t>
            </w:r>
          </w:p>
        </w:tc>
      </w:tr>
    </w:tbl>
    <w:p>
      <w:pPr>
        <w:pStyle w:val="BodyText"/>
        <w:ind w:left="521"/>
        <w:spacing w:before="224" w:line="180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2.2    </w:t>
      </w:r>
      <w:r>
        <w:rPr>
          <w:color w:val="231F20"/>
          <w:spacing w:val="2"/>
        </w:rPr>
        <w:t>两组患者炎症因子指标对比</w:t>
      </w:r>
    </w:p>
    <w:p>
      <w:pPr>
        <w:pStyle w:val="BodyText"/>
        <w:ind w:left="112" w:right="3" w:firstLine="411"/>
        <w:spacing w:before="57" w:line="225" w:lineRule="auto"/>
        <w:rPr/>
      </w:pPr>
      <w:r>
        <w:rPr>
          <w:color w:val="231F20"/>
          <w:spacing w:val="6"/>
        </w:rPr>
        <w:t>治疗前，观察组和对照组患者体内炎症因子指标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0"/>
        </w:rPr>
        <w:t>对比，差异无统计学意义（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10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</w:rPr>
        <w:t xml:space="preserve"> </w:t>
      </w:r>
      <w:r>
        <w:rPr>
          <w:color w:val="231F20"/>
          <w:spacing w:val="10"/>
        </w:rPr>
        <w:t>＞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0.05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6"/>
          <w:w w:val="97"/>
        </w:rPr>
        <w:t>）；</w:t>
      </w:r>
      <w:r>
        <w:rPr>
          <w:color w:val="231F20"/>
          <w:spacing w:val="10"/>
        </w:rPr>
        <w:t>治疗后，观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察组患者体内炎症因子水平显著降低，且降低幅</w:t>
      </w:r>
      <w:r>
        <w:rPr>
          <w:color w:val="231F20"/>
          <w:spacing w:val="5"/>
        </w:rPr>
        <w:t>度明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显大于对照组（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0.05</w:t>
      </w:r>
      <w:r>
        <w:rPr>
          <w:color w:val="231F20"/>
          <w:spacing w:val="-4"/>
        </w:rPr>
        <w:t>）。见表 </w:t>
      </w: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color w:val="231F20"/>
          <w:spacing w:val="-4"/>
        </w:rPr>
        <w:t>。</w:t>
      </w:r>
    </w:p>
    <w:p>
      <w:pPr>
        <w:pStyle w:val="BodyText"/>
        <w:ind w:left="1029"/>
        <w:spacing w:before="181" w:line="219" w:lineRule="exact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表2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两组患者炎症因子指标对比（</w:t>
      </w:r>
      <w:r>
        <w:rPr>
          <w:rFonts w:ascii="SimHei" w:hAnsi="SimHei" w:eastAsia="SimHei" w:cs="SimHei"/>
          <w:sz w:val="16"/>
          <w:szCs w:val="16"/>
          <w:color w:val="231F20"/>
          <w:spacing w:val="-31"/>
          <w:position w:val="-1"/>
        </w:rPr>
        <w:t xml:space="preserve"> </w:t>
      </w:r>
      <w:r>
        <w:ruby>
          <w:rubyPr>
            <w:rubyAlign w:val="left"/>
            <w:hpsRaise w:val="10"/>
            <w:hps w:val="8"/>
            <w:hpsBaseText w:val="16"/>
          </w:rubyPr>
          <w:rt>
            <w:r>
              <w:rPr>
                <w:rFonts w:ascii="Times New Roman" w:hAnsi="Times New Roman" w:eastAsia="Times New Roman" w:cs="Times New Roman"/>
                <w:sz w:val="8"/>
                <w:szCs w:val="8"/>
                <w:i/>
                <w:iCs/>
                <w:color w:val="231F20"/>
                <w:w w:val="99"/>
                <w:position w:val="-1"/>
              </w:rPr>
              <w:t>—</w:t>
            </w:r>
          </w:rt>
          <w:rubyBase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w w:val="108"/>
                <w:position w:val="-1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-1"/>
        </w:rPr>
        <w:t xml:space="preserve"> </w:t>
      </w:r>
      <w:r>
        <w:rPr>
          <w:sz w:val="16"/>
          <w:szCs w:val="16"/>
          <w:color w:val="231F20"/>
          <w:spacing w:val="-3"/>
          <w:position w:val="-1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  <w:position w:val="-1"/>
        </w:rPr>
        <w:t>s </w:t>
      </w:r>
      <w:r>
        <w:rPr>
          <w:rFonts w:ascii="SimHei" w:hAnsi="SimHei" w:eastAsia="SimHei" w:cs="SimHei"/>
          <w:sz w:val="16"/>
          <w:szCs w:val="16"/>
          <w:color w:val="231F20"/>
          <w:spacing w:val="-3"/>
          <w:position w:val="-1"/>
        </w:rPr>
        <w:t>）</w:t>
      </w:r>
    </w:p>
    <w:p>
      <w:pPr>
        <w:spacing w:line="4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62" w:type="dxa"/>
        <w:tblInd w:w="1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3"/>
        <w:gridCol w:w="296"/>
        <w:gridCol w:w="638"/>
        <w:gridCol w:w="625"/>
        <w:gridCol w:w="692"/>
        <w:gridCol w:w="633"/>
        <w:gridCol w:w="692"/>
        <w:gridCol w:w="633"/>
      </w:tblGrid>
      <w:tr>
        <w:trPr>
          <w:trHeight w:val="247" w:hRule="atLeast"/>
        </w:trPr>
        <w:tc>
          <w:tcPr>
            <w:tcW w:w="55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35"/>
              <w:spacing w:before="180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组别</w:t>
            </w:r>
          </w:p>
        </w:tc>
        <w:tc>
          <w:tcPr>
            <w:tcW w:w="29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12"/>
              <w:spacing w:before="232" w:line="92" w:lineRule="exact"/>
              <w:rPr/>
            </w:pPr>
            <w:r>
              <w:rPr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1263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3"/>
              <w:spacing w:before="50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</w:rPr>
              <w:t>CRP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（</w:t>
            </w:r>
            <w:r>
              <w:rPr>
                <w:color w:val="231F20"/>
              </w:rPr>
              <w:t>mg/L</w:t>
            </w:r>
            <w:r>
              <w:rPr>
                <w:rFonts w:ascii="Microsoft YaHei" w:hAnsi="Microsoft YaHei" w:eastAsia="Microsoft YaHei" w:cs="Microsoft YaHei"/>
                <w:color w:val="231F20"/>
              </w:rPr>
              <w:t>）</w:t>
            </w:r>
          </w:p>
        </w:tc>
        <w:tc>
          <w:tcPr>
            <w:tcW w:w="1325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83"/>
              <w:spacing w:before="50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</w:rPr>
              <w:t>IL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-</w:t>
            </w:r>
            <w:r>
              <w:rPr>
                <w:color w:val="231F20"/>
                <w:spacing w:val="5"/>
              </w:rPr>
              <w:t>6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(</w:t>
            </w:r>
            <w:r>
              <w:rPr>
                <w:color w:val="231F20"/>
                <w:spacing w:val="5"/>
              </w:rPr>
              <w:t>μg/L</w:t>
            </w:r>
            <w:r>
              <w:rPr>
                <w:rFonts w:ascii="Microsoft YaHei" w:hAnsi="Microsoft YaHei" w:eastAsia="Microsoft YaHei" w:cs="Microsoft YaHei"/>
                <w:color w:val="231F20"/>
                <w:spacing w:val="5"/>
              </w:rPr>
              <w:t>）</w:t>
            </w:r>
          </w:p>
        </w:tc>
        <w:tc>
          <w:tcPr>
            <w:tcW w:w="1325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85"/>
              <w:spacing w:before="50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</w:rPr>
              <w:t>IL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4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（</w:t>
            </w:r>
            <w:r>
              <w:rPr>
                <w:color w:val="231F20"/>
              </w:rPr>
              <w:t>ng</w:t>
            </w:r>
            <w:r>
              <w:rPr>
                <w:color w:val="231F20"/>
                <w:spacing w:val="3"/>
              </w:rPr>
              <w:t>/L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）</w:t>
            </w:r>
          </w:p>
        </w:tc>
      </w:tr>
      <w:tr>
        <w:trPr>
          <w:trHeight w:val="247" w:hRule="atLeast"/>
        </w:trPr>
        <w:tc>
          <w:tcPr>
            <w:tcW w:w="55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10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治疗前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04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治疗后</w:t>
            </w:r>
          </w:p>
        </w:tc>
        <w:tc>
          <w:tcPr>
            <w:tcW w:w="69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72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治疗前</w:t>
            </w:r>
          </w:p>
        </w:tc>
        <w:tc>
          <w:tcPr>
            <w:tcW w:w="63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12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治疗后</w:t>
            </w:r>
          </w:p>
        </w:tc>
        <w:tc>
          <w:tcPr>
            <w:tcW w:w="69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72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治疗前</w:t>
            </w:r>
          </w:p>
        </w:tc>
        <w:tc>
          <w:tcPr>
            <w:tcW w:w="63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11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治疗后</w:t>
            </w:r>
          </w:p>
        </w:tc>
      </w:tr>
      <w:tr>
        <w:trPr>
          <w:trHeight w:val="247" w:hRule="atLeast"/>
        </w:trPr>
        <w:tc>
          <w:tcPr>
            <w:tcW w:w="553" w:type="dxa"/>
            <w:vAlign w:val="top"/>
            <w:tcBorders>
              <w:top w:val="single" w:color="231F20" w:sz="2" w:space="0"/>
            </w:tcBorders>
          </w:tcPr>
          <w:p>
            <w:pPr>
              <w:ind w:left="68"/>
              <w:spacing w:before="56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观察组</w:t>
            </w:r>
          </w:p>
        </w:tc>
        <w:tc>
          <w:tcPr>
            <w:tcW w:w="2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42</w:t>
            </w:r>
          </w:p>
        </w:tc>
        <w:tc>
          <w:tcPr>
            <w:tcW w:w="6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"/>
              <w:spacing w:before="79" w:line="157" w:lineRule="auto"/>
              <w:rPr/>
            </w:pPr>
            <w:r>
              <w:rPr>
                <w:color w:val="231F20"/>
                <w:spacing w:val="-2"/>
              </w:rPr>
              <w:t>10.5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2.6</w:t>
            </w:r>
          </w:p>
        </w:tc>
        <w:tc>
          <w:tcPr>
            <w:tcW w:w="6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3.5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0.6</w:t>
            </w:r>
          </w:p>
        </w:tc>
        <w:tc>
          <w:tcPr>
            <w:tcW w:w="6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52.6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2.9</w:t>
            </w:r>
          </w:p>
        </w:tc>
        <w:tc>
          <w:tcPr>
            <w:tcW w:w="6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"/>
              <w:spacing w:before="79" w:line="157" w:lineRule="auto"/>
              <w:rPr/>
            </w:pPr>
            <w:r>
              <w:rPr>
                <w:color w:val="231F20"/>
                <w:spacing w:val="-2"/>
              </w:rPr>
              <w:t>42.5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1.4</w:t>
            </w:r>
          </w:p>
        </w:tc>
        <w:tc>
          <w:tcPr>
            <w:tcW w:w="6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4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54.7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3.3</w:t>
            </w:r>
          </w:p>
        </w:tc>
        <w:tc>
          <w:tcPr>
            <w:tcW w:w="6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"/>
              <w:spacing w:before="79" w:line="157" w:lineRule="auto"/>
              <w:rPr/>
            </w:pPr>
            <w:r>
              <w:rPr>
                <w:color w:val="231F20"/>
                <w:spacing w:val="-2"/>
              </w:rPr>
              <w:t>36.6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1.5</w:t>
            </w:r>
          </w:p>
        </w:tc>
      </w:tr>
      <w:tr>
        <w:trPr>
          <w:trHeight w:val="260" w:hRule="atLeast"/>
        </w:trPr>
        <w:tc>
          <w:tcPr>
            <w:tcW w:w="553" w:type="dxa"/>
            <w:vAlign w:val="top"/>
          </w:tcPr>
          <w:p>
            <w:pPr>
              <w:ind w:left="65"/>
              <w:spacing w:before="66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对照组</w:t>
            </w:r>
          </w:p>
        </w:tc>
        <w:tc>
          <w:tcPr>
            <w:tcW w:w="296" w:type="dxa"/>
            <w:vAlign w:val="top"/>
          </w:tcPr>
          <w:p>
            <w:pPr>
              <w:pStyle w:val="TableText"/>
              <w:ind w:left="77"/>
              <w:spacing w:before="86" w:line="186" w:lineRule="auto"/>
              <w:rPr/>
            </w:pPr>
            <w:r>
              <w:rPr>
                <w:color w:val="231F20"/>
                <w:spacing w:val="-1"/>
              </w:rPr>
              <w:t>42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53"/>
              <w:spacing w:before="86" w:line="159" w:lineRule="auto"/>
              <w:rPr/>
            </w:pPr>
            <w:r>
              <w:rPr>
                <w:color w:val="231F20"/>
                <w:spacing w:val="-2"/>
              </w:rPr>
              <w:t>10.2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color w:val="231F20"/>
                <w:spacing w:val="-2"/>
              </w:rPr>
              <w:t>2.4</w:t>
            </w:r>
          </w:p>
        </w:tc>
        <w:tc>
          <w:tcPr>
            <w:tcW w:w="625" w:type="dxa"/>
            <w:vAlign w:val="top"/>
          </w:tcPr>
          <w:p>
            <w:pPr>
              <w:pStyle w:val="TableText"/>
              <w:ind w:left="72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5.7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0.9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105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52.8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3.1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40"/>
              <w:spacing w:before="86" w:line="159" w:lineRule="auto"/>
              <w:rPr/>
            </w:pPr>
            <w:r>
              <w:rPr>
                <w:color w:val="231F20"/>
                <w:spacing w:val="-2"/>
              </w:rPr>
              <w:t>48.3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1.7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105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54.6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3.2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40"/>
              <w:spacing w:before="86" w:line="159" w:lineRule="auto"/>
              <w:rPr/>
            </w:pPr>
            <w:r>
              <w:rPr>
                <w:color w:val="231F20"/>
                <w:spacing w:val="-2"/>
              </w:rPr>
              <w:t>42.0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±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1.9</w:t>
            </w:r>
          </w:p>
        </w:tc>
      </w:tr>
      <w:tr>
        <w:trPr>
          <w:trHeight w:val="245" w:hRule="atLeast"/>
        </w:trPr>
        <w:tc>
          <w:tcPr>
            <w:tcW w:w="553" w:type="dxa"/>
            <w:vAlign w:val="top"/>
          </w:tcPr>
          <w:p>
            <w:pPr>
              <w:pStyle w:val="TableText"/>
              <w:ind w:left="259"/>
              <w:spacing w:before="91" w:line="163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296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pStyle w:val="TableText"/>
              <w:ind w:left="112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0.549 4</w:t>
            </w:r>
          </w:p>
        </w:tc>
        <w:tc>
          <w:tcPr>
            <w:tcW w:w="625" w:type="dxa"/>
            <w:vAlign w:val="top"/>
          </w:tcPr>
          <w:p>
            <w:pPr>
              <w:pStyle w:val="TableText"/>
              <w:ind w:left="82"/>
              <w:spacing w:before="80" w:line="186" w:lineRule="auto"/>
              <w:rPr/>
            </w:pPr>
            <w:r>
              <w:rPr>
                <w:color w:val="231F20"/>
                <w:spacing w:val="-3"/>
              </w:rPr>
              <w:t>13.181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1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174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0.305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3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89"/>
              <w:spacing w:before="80" w:line="186" w:lineRule="auto"/>
              <w:rPr/>
            </w:pPr>
            <w:r>
              <w:rPr>
                <w:color w:val="231F20"/>
                <w:spacing w:val="-3"/>
              </w:rPr>
              <w:t>17.067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9</w:t>
            </w:r>
          </w:p>
        </w:tc>
        <w:tc>
          <w:tcPr>
            <w:tcW w:w="692" w:type="dxa"/>
            <w:vAlign w:val="top"/>
          </w:tcPr>
          <w:p>
            <w:pPr>
              <w:pStyle w:val="TableText"/>
              <w:ind w:left="173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0.140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9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89"/>
              <w:spacing w:before="80" w:line="186" w:lineRule="auto"/>
              <w:rPr/>
            </w:pPr>
            <w:r>
              <w:rPr>
                <w:color w:val="231F20"/>
                <w:spacing w:val="-3"/>
              </w:rPr>
              <w:t>14.456</w:t>
            </w:r>
            <w:r>
              <w:rPr>
                <w:color w:val="231F20"/>
                <w:spacing w:val="8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7</w:t>
            </w:r>
          </w:p>
        </w:tc>
      </w:tr>
      <w:tr>
        <w:trPr>
          <w:trHeight w:val="254" w:hRule="atLeast"/>
        </w:trPr>
        <w:tc>
          <w:tcPr>
            <w:tcW w:w="5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8"/>
              <w:spacing w:before="86" w:line="183" w:lineRule="auto"/>
              <w:rPr/>
            </w:pPr>
            <w:r>
              <w:rPr>
                <w:i/>
                <w:iCs/>
                <w:color w:val="231F20"/>
                <w:spacing w:val="4"/>
              </w:rPr>
              <w:t>P</w:t>
            </w:r>
          </w:p>
        </w:tc>
        <w:tc>
          <w:tcPr>
            <w:tcW w:w="29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2"/>
              <w:spacing w:before="88" w:line="186" w:lineRule="auto"/>
              <w:rPr/>
            </w:pPr>
            <w:r>
              <w:rPr>
                <w:color w:val="231F20"/>
                <w:spacing w:val="-1"/>
              </w:rPr>
              <w:t>0.584 2</w:t>
            </w:r>
          </w:p>
        </w:tc>
        <w:tc>
          <w:tcPr>
            <w:tcW w:w="6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"/>
              <w:spacing w:before="88" w:line="156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&lt;</w:t>
            </w:r>
            <w:r>
              <w:rPr>
                <w:color w:val="231F20"/>
                <w:spacing w:val="2"/>
              </w:rPr>
              <w:t>0.000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1</w:t>
            </w:r>
          </w:p>
        </w:tc>
        <w:tc>
          <w:tcPr>
            <w:tcW w:w="69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4"/>
              <w:spacing w:before="88" w:line="186" w:lineRule="auto"/>
              <w:rPr/>
            </w:pPr>
            <w:r>
              <w:rPr>
                <w:color w:val="231F20"/>
                <w:spacing w:val="-1"/>
              </w:rPr>
              <w:t>0.760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9</w:t>
            </w:r>
          </w:p>
        </w:tc>
        <w:tc>
          <w:tcPr>
            <w:tcW w:w="6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"/>
              <w:spacing w:before="88" w:line="156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&lt;</w:t>
            </w:r>
            <w:r>
              <w:rPr>
                <w:color w:val="231F20"/>
                <w:spacing w:val="2"/>
              </w:rPr>
              <w:t>0.000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1</w:t>
            </w:r>
          </w:p>
        </w:tc>
        <w:tc>
          <w:tcPr>
            <w:tcW w:w="69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4"/>
              <w:spacing w:before="88" w:line="186" w:lineRule="auto"/>
              <w:rPr/>
            </w:pPr>
            <w:r>
              <w:rPr>
                <w:color w:val="231F20"/>
                <w:spacing w:val="-1"/>
              </w:rPr>
              <w:t>0.888 2</w:t>
            </w:r>
          </w:p>
        </w:tc>
        <w:tc>
          <w:tcPr>
            <w:tcW w:w="6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"/>
              <w:spacing w:before="88" w:line="156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&lt;</w:t>
            </w:r>
            <w:r>
              <w:rPr>
                <w:color w:val="231F20"/>
                <w:spacing w:val="2"/>
              </w:rPr>
              <w:t>0.000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1</w:t>
            </w:r>
          </w:p>
        </w:tc>
      </w:tr>
    </w:tbl>
    <w:p>
      <w:pPr>
        <w:pStyle w:val="BodyText"/>
        <w:ind w:left="521"/>
        <w:spacing w:before="301" w:line="182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2.3    </w:t>
      </w:r>
      <w:r>
        <w:rPr>
          <w:color w:val="231F20"/>
          <w:spacing w:val="2"/>
        </w:rPr>
        <w:t>两组治疗效果比较</w:t>
      </w:r>
    </w:p>
    <w:p>
      <w:pPr>
        <w:pStyle w:val="BodyText"/>
        <w:ind w:left="112" w:right="8" w:firstLine="412"/>
        <w:spacing w:before="60" w:line="243" w:lineRule="auto"/>
        <w:rPr/>
      </w:pPr>
      <w:r>
        <w:rPr>
          <w:color w:val="231F20"/>
          <w:spacing w:val="6"/>
        </w:rPr>
        <w:t>观察组患者的治疗总有效率为 </w:t>
      </w:r>
      <w:r>
        <w:rPr>
          <w:rFonts w:ascii="Times New Roman" w:hAnsi="Times New Roman" w:eastAsia="Times New Roman" w:cs="Times New Roman"/>
          <w:color w:val="231F20"/>
          <w:spacing w:val="6"/>
        </w:rPr>
        <w:t>97.6%</w:t>
      </w:r>
      <w:r>
        <w:rPr>
          <w:color w:val="231F20"/>
          <w:spacing w:val="6"/>
        </w:rPr>
        <w:t>，显著高于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对照组的 </w:t>
      </w:r>
      <w:r>
        <w:rPr>
          <w:rFonts w:ascii="Times New Roman" w:hAnsi="Times New Roman" w:eastAsia="Times New Roman" w:cs="Times New Roman"/>
          <w:color w:val="231F20"/>
          <w:spacing w:val="-1"/>
        </w:rPr>
        <w:t>85.7%</w:t>
      </w:r>
      <w:r>
        <w:rPr>
          <w:color w:val="231F20"/>
          <w:spacing w:val="-1"/>
        </w:rPr>
        <w:t>（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0.05</w:t>
      </w:r>
      <w:r>
        <w:rPr>
          <w:color w:val="231F20"/>
          <w:spacing w:val="-41"/>
        </w:rPr>
        <w:t>），</w:t>
      </w:r>
      <w:r>
        <w:rPr>
          <w:color w:val="231F20"/>
          <w:spacing w:val="-1"/>
        </w:rPr>
        <w:t>见表 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color w:val="231F20"/>
          <w:spacing w:val="-1"/>
        </w:rPr>
        <w:t>。</w:t>
      </w:r>
    </w:p>
    <w:p>
      <w:pPr>
        <w:ind w:left="1224"/>
        <w:spacing w:before="74" w:line="241" w:lineRule="auto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表3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两组治疗效果比较［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（</w:t>
      </w:r>
      <w:r>
        <w:rPr>
          <w:rFonts w:ascii="SimHei" w:hAnsi="SimHei" w:eastAsia="SimHei" w:cs="SimHei"/>
          <w:sz w:val="16"/>
          <w:szCs w:val="16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%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）］</w:t>
      </w:r>
    </w:p>
    <w:p>
      <w:pPr>
        <w:spacing w:line="14" w:lineRule="exact"/>
        <w:rPr/>
      </w:pPr>
      <w:r/>
    </w:p>
    <w:tbl>
      <w:tblPr>
        <w:tblStyle w:val="TableNormal"/>
        <w:tblW w:w="4762" w:type="dxa"/>
        <w:tblInd w:w="1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7"/>
        <w:gridCol w:w="645"/>
        <w:gridCol w:w="785"/>
        <w:gridCol w:w="748"/>
        <w:gridCol w:w="720"/>
        <w:gridCol w:w="1047"/>
      </w:tblGrid>
      <w:tr>
        <w:trPr>
          <w:trHeight w:val="246" w:hRule="atLeast"/>
        </w:trPr>
        <w:tc>
          <w:tcPr>
            <w:tcW w:w="8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7"/>
              <w:spacing w:before="54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组别</w:t>
            </w:r>
          </w:p>
        </w:tc>
        <w:tc>
          <w:tcPr>
            <w:tcW w:w="6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74"/>
              <w:spacing w:before="106" w:line="92" w:lineRule="exact"/>
              <w:rPr/>
            </w:pPr>
            <w:r>
              <w:rPr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78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73"/>
              <w:spacing w:before="54" w:line="17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显效</w:t>
            </w:r>
          </w:p>
        </w:tc>
        <w:tc>
          <w:tcPr>
            <w:tcW w:w="74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7"/>
              <w:spacing w:before="54" w:line="17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有效</w:t>
            </w:r>
          </w:p>
        </w:tc>
        <w:tc>
          <w:tcPr>
            <w:tcW w:w="72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7"/>
              <w:spacing w:before="54" w:line="17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无效</w:t>
            </w:r>
          </w:p>
        </w:tc>
        <w:tc>
          <w:tcPr>
            <w:tcW w:w="104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66"/>
              <w:spacing w:before="5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总有效率</w:t>
            </w:r>
          </w:p>
        </w:tc>
      </w:tr>
      <w:tr>
        <w:trPr>
          <w:trHeight w:val="246" w:hRule="atLeast"/>
        </w:trPr>
        <w:tc>
          <w:tcPr>
            <w:tcW w:w="817" w:type="dxa"/>
            <w:vAlign w:val="top"/>
            <w:tcBorders>
              <w:top w:val="single" w:color="231F20" w:sz="2" w:space="0"/>
            </w:tcBorders>
          </w:tcPr>
          <w:p>
            <w:pPr>
              <w:ind w:left="170"/>
              <w:spacing w:before="56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观察组</w:t>
            </w:r>
          </w:p>
        </w:tc>
        <w:tc>
          <w:tcPr>
            <w:tcW w:w="6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9"/>
              <w:spacing w:before="79" w:line="186" w:lineRule="auto"/>
              <w:rPr/>
            </w:pPr>
            <w:r>
              <w:rPr>
                <w:color w:val="231F20"/>
                <w:spacing w:val="-1"/>
              </w:rPr>
              <w:t>42</w:t>
            </w:r>
          </w:p>
        </w:tc>
        <w:tc>
          <w:tcPr>
            <w:tcW w:w="7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6"/>
              <w:spacing w:before="79" w:line="186" w:lineRule="auto"/>
              <w:rPr/>
            </w:pPr>
            <w:r>
              <w:rPr>
                <w:color w:val="231F20"/>
                <w:spacing w:val="-2"/>
              </w:rPr>
              <w:t>30</w:t>
            </w:r>
          </w:p>
        </w:tc>
        <w:tc>
          <w:tcPr>
            <w:tcW w:w="7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4"/>
              <w:spacing w:before="79" w:line="186" w:lineRule="auto"/>
              <w:rPr/>
            </w:pPr>
            <w:r>
              <w:rPr>
                <w:color w:val="231F20"/>
                <w:spacing w:val="-6"/>
              </w:rPr>
              <w:t>11</w:t>
            </w:r>
          </w:p>
        </w:tc>
        <w:tc>
          <w:tcPr>
            <w:tcW w:w="7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7"/>
              <w:spacing w:before="79" w:line="186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0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8"/>
              <w:spacing w:before="53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5"/>
              </w:rPr>
              <w:t>41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 </w:t>
            </w:r>
            <w:r>
              <w:rPr>
                <w:color w:val="231F20"/>
                <w:spacing w:val="-5"/>
              </w:rPr>
              <w:t>97.6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</w:tc>
      </w:tr>
      <w:tr>
        <w:trPr>
          <w:trHeight w:val="248" w:hRule="atLeast"/>
        </w:trPr>
        <w:tc>
          <w:tcPr>
            <w:tcW w:w="817" w:type="dxa"/>
            <w:vAlign w:val="top"/>
          </w:tcPr>
          <w:p>
            <w:pPr>
              <w:ind w:left="166"/>
              <w:spacing w:before="66" w:line="17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对照组</w:t>
            </w:r>
          </w:p>
        </w:tc>
        <w:tc>
          <w:tcPr>
            <w:tcW w:w="645" w:type="dxa"/>
            <w:vAlign w:val="top"/>
          </w:tcPr>
          <w:p>
            <w:pPr>
              <w:pStyle w:val="TableText"/>
              <w:ind w:left="239"/>
              <w:spacing w:before="87" w:line="186" w:lineRule="auto"/>
              <w:rPr/>
            </w:pPr>
            <w:r>
              <w:rPr>
                <w:color w:val="231F20"/>
                <w:spacing w:val="-1"/>
              </w:rPr>
              <w:t>42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343"/>
              <w:spacing w:before="87" w:line="186" w:lineRule="auto"/>
              <w:rPr/>
            </w:pPr>
            <w:r>
              <w:rPr>
                <w:color w:val="231F20"/>
                <w:spacing w:val="-1"/>
              </w:rPr>
              <w:t>20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321"/>
              <w:spacing w:before="87" w:line="186" w:lineRule="auto"/>
              <w:rPr/>
            </w:pPr>
            <w:r>
              <w:rPr>
                <w:color w:val="231F20"/>
                <w:spacing w:val="-5"/>
              </w:rPr>
              <w:t>16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347"/>
              <w:spacing w:before="87" w:line="186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12"/>
              <w:spacing w:before="60" w:line="17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5"/>
              </w:rPr>
              <w:t>36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85.7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</w:tc>
      </w:tr>
      <w:tr>
        <w:trPr>
          <w:trHeight w:val="260" w:hRule="atLeast"/>
        </w:trPr>
        <w:tc>
          <w:tcPr>
            <w:tcW w:w="817" w:type="dxa"/>
            <w:vAlign w:val="top"/>
          </w:tcPr>
          <w:p>
            <w:pPr>
              <w:pStyle w:val="TableText"/>
              <w:ind w:left="310"/>
              <w:spacing w:before="64" w:line="192" w:lineRule="auto"/>
              <w:rPr>
                <w:sz w:val="8"/>
                <w:szCs w:val="8"/>
              </w:rPr>
            </w:pPr>
            <w:r>
              <w:rPr>
                <w:i/>
                <w:iCs/>
                <w:color w:val="231F20"/>
                <w:spacing w:val="8"/>
                <w:position w:val="-1"/>
              </w:rPr>
              <w:t>χ</w:t>
            </w:r>
            <w:r>
              <w:rPr>
                <w:sz w:val="8"/>
                <w:szCs w:val="8"/>
                <w:color w:val="231F20"/>
                <w:spacing w:val="8"/>
                <w:position w:val="3"/>
              </w:rPr>
              <w:t>2</w:t>
            </w:r>
          </w:p>
        </w:tc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34"/>
              <w:spacing w:before="92" w:line="186" w:lineRule="auto"/>
              <w:rPr/>
            </w:pPr>
            <w:r>
              <w:rPr>
                <w:color w:val="231F20"/>
                <w:spacing w:val="-1"/>
              </w:rPr>
              <w:t>3.896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</w:t>
            </w:r>
          </w:p>
        </w:tc>
      </w:tr>
      <w:tr>
        <w:trPr>
          <w:trHeight w:val="251" w:hRule="atLeast"/>
        </w:trPr>
        <w:tc>
          <w:tcPr>
            <w:tcW w:w="8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9"/>
              <w:spacing w:before="84" w:line="183" w:lineRule="auto"/>
              <w:rPr/>
            </w:pPr>
            <w:r>
              <w:rPr>
                <w:i/>
                <w:iCs/>
                <w:color w:val="231F20"/>
                <w:spacing w:val="4"/>
              </w:rPr>
              <w:t>P</w:t>
            </w:r>
          </w:p>
        </w:tc>
        <w:tc>
          <w:tcPr>
            <w:tcW w:w="645" w:type="dxa"/>
            <w:vAlign w:val="top"/>
            <w:tcBorders>
              <w:bottom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785" w:type="dxa"/>
            <w:vAlign w:val="top"/>
            <w:tcBorders>
              <w:bottom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748" w:type="dxa"/>
            <w:vAlign w:val="top"/>
            <w:tcBorders>
              <w:bottom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720" w:type="dxa"/>
            <w:vAlign w:val="top"/>
            <w:tcBorders>
              <w:bottom w:val="single" w:color="231F20" w:sz="4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3"/>
              <w:spacing w:before="85" w:line="186" w:lineRule="auto"/>
              <w:rPr/>
            </w:pPr>
            <w:r>
              <w:rPr>
                <w:color w:val="231F20"/>
                <w:spacing w:val="-1"/>
              </w:rPr>
              <w:t>0.048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3</w:t>
            </w:r>
          </w:p>
        </w:tc>
      </w:tr>
    </w:tbl>
    <w:p>
      <w:pPr>
        <w:pStyle w:val="BodyText"/>
        <w:ind w:left="521"/>
        <w:spacing w:before="293" w:line="179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2.4    </w:t>
      </w:r>
      <w:r>
        <w:rPr>
          <w:color w:val="231F20"/>
          <w:spacing w:val="2"/>
        </w:rPr>
        <w:t>两组生活质量对比</w:t>
      </w:r>
    </w:p>
    <w:p>
      <w:pPr>
        <w:pStyle w:val="BodyText"/>
        <w:ind w:right="7" w:firstLine="523"/>
        <w:spacing w:before="61" w:line="229" w:lineRule="auto"/>
        <w:rPr/>
      </w:pPr>
      <w:r>
        <w:rPr>
          <w:color w:val="231F20"/>
          <w:spacing w:val="28"/>
        </w:rPr>
        <w:t>治疗前，两组生活质量评分对比差异不显著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3"/>
        </w:rPr>
        <w:t>（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1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  <w:w w:val="101"/>
        </w:rPr>
        <w:t xml:space="preserve"> </w:t>
      </w:r>
      <w:r>
        <w:rPr>
          <w:color w:val="231F20"/>
          <w:spacing w:val="13"/>
        </w:rPr>
        <w:t>＞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0.05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47"/>
          <w:w w:val="97"/>
        </w:rPr>
        <w:t>）；</w:t>
      </w:r>
      <w:r>
        <w:rPr>
          <w:color w:val="231F20"/>
          <w:spacing w:val="13"/>
        </w:rPr>
        <w:t>治疗后，观察组患者的生活质量各项</w:t>
      </w:r>
      <w:r>
        <w:rPr>
          <w:color w:val="231F20"/>
        </w:rPr>
        <w:t xml:space="preserve"> </w:t>
      </w:r>
      <w:r>
        <w:rPr>
          <w:color w:val="231F20"/>
          <w:spacing w:val="31"/>
        </w:rPr>
        <w:t>指标评分均显著提高，与对照组相比，差异显著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（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</w:rPr>
        <w:t xml:space="preserve"> </w:t>
      </w:r>
      <w:r>
        <w:rPr>
          <w:color w:val="231F20"/>
          <w:spacing w:val="-8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0.05</w:t>
      </w:r>
      <w:r>
        <w:rPr>
          <w:color w:val="231F20"/>
          <w:spacing w:val="-8"/>
        </w:rPr>
        <w:t>）。见表 </w:t>
      </w:r>
      <w:r>
        <w:rPr>
          <w:rFonts w:ascii="Times New Roman" w:hAnsi="Times New Roman" w:eastAsia="Times New Roman" w:cs="Times New Roman"/>
          <w:color w:val="231F20"/>
          <w:spacing w:val="-8"/>
        </w:rPr>
        <w:t>4</w:t>
      </w:r>
      <w:r>
        <w:rPr>
          <w:color w:val="231F20"/>
          <w:spacing w:val="-8"/>
        </w:rPr>
        <w:t>。</w:t>
      </w:r>
    </w:p>
    <w:p>
      <w:pPr>
        <w:spacing w:line="229" w:lineRule="auto"/>
        <w:sectPr>
          <w:type w:val="continuous"/>
          <w:pgSz w:w="11793" w:h="16045"/>
          <w:pgMar w:top="400" w:right="907" w:bottom="604" w:left="424" w:header="0" w:footer="353" w:gutter="0"/>
          <w:cols w:equalWidth="0" w:num="2">
            <w:col w:w="5491" w:space="100"/>
            <w:col w:w="4872" w:space="0"/>
          </w:cols>
        </w:sectPr>
        <w:rPr/>
      </w:pP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4011"/>
        <w:spacing w:before="68" w:line="219" w:lineRule="exact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-1"/>
        </w:rPr>
        <w:t>表4</w:t>
      </w: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-1"/>
        </w:rPr>
        <w:t>两组生活质量评分对比（</w:t>
      </w:r>
      <w:r>
        <w:rPr>
          <w:rFonts w:ascii="SimHei" w:hAnsi="SimHei" w:eastAsia="SimHei" w:cs="SimHei"/>
          <w:sz w:val="16"/>
          <w:szCs w:val="16"/>
          <w:color w:val="231F20"/>
          <w:spacing w:val="-45"/>
          <w:position w:val="-1"/>
        </w:rPr>
        <w:t xml:space="preserve"> </w:t>
      </w:r>
      <w:r>
        <w:ruby>
          <w:rubyPr>
            <w:rubyAlign w:val="left"/>
            <w:hpsRaise w:val="10"/>
            <w:hps w:val="8"/>
            <w:hpsBaseText w:val="16"/>
          </w:rubyPr>
          <w:rt>
            <w:r>
              <w:rPr>
                <w:rFonts w:ascii="Times New Roman" w:hAnsi="Times New Roman" w:eastAsia="Times New Roman" w:cs="Times New Roman"/>
                <w:sz w:val="8"/>
                <w:szCs w:val="8"/>
                <w:i/>
                <w:iCs/>
                <w:color w:val="231F20"/>
                <w:w w:val="99"/>
                <w:position w:val="-1"/>
              </w:rPr>
              <w:t>—</w:t>
            </w:r>
          </w:rt>
          <w:rubyBase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w w:val="108"/>
                <w:position w:val="-1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  <w:position w:val="-1"/>
        </w:rPr>
        <w:t xml:space="preserve"> </w:t>
      </w:r>
      <w:r>
        <w:rPr>
          <w:sz w:val="16"/>
          <w:szCs w:val="16"/>
          <w:color w:val="231F20"/>
          <w:spacing w:val="-2"/>
          <w:position w:val="-1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  <w:position w:val="-1"/>
        </w:rPr>
        <w:t>s</w:t>
      </w:r>
      <w:r>
        <w:rPr>
          <w:rFonts w:ascii="SimHei" w:hAnsi="SimHei" w:eastAsia="SimHei" w:cs="SimHei"/>
          <w:sz w:val="16"/>
          <w:szCs w:val="16"/>
          <w:color w:val="231F20"/>
          <w:spacing w:val="-2"/>
          <w:position w:val="-1"/>
        </w:rPr>
        <w:t>，分）</w:t>
      </w:r>
    </w:p>
    <w:p>
      <w:pPr>
        <w:spacing w:line="5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977" w:type="dxa"/>
        <w:tblInd w:w="4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6"/>
        <w:gridCol w:w="779"/>
        <w:gridCol w:w="999"/>
        <w:gridCol w:w="1001"/>
        <w:gridCol w:w="1060"/>
        <w:gridCol w:w="1000"/>
        <w:gridCol w:w="1062"/>
        <w:gridCol w:w="999"/>
        <w:gridCol w:w="1060"/>
        <w:gridCol w:w="1001"/>
      </w:tblGrid>
      <w:tr>
        <w:trPr>
          <w:trHeight w:val="247" w:hRule="atLeast"/>
        </w:trPr>
        <w:tc>
          <w:tcPr>
            <w:tcW w:w="101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362"/>
              <w:spacing w:before="180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组别</w:t>
            </w:r>
          </w:p>
        </w:tc>
        <w:tc>
          <w:tcPr>
            <w:tcW w:w="77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49"/>
              <w:spacing w:before="232" w:line="92" w:lineRule="exact"/>
              <w:rPr/>
            </w:pPr>
            <w:r>
              <w:rPr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2000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23"/>
              <w:spacing w:before="52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躯体疼痛</w:t>
            </w:r>
          </w:p>
        </w:tc>
        <w:tc>
          <w:tcPr>
            <w:tcW w:w="2060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83"/>
              <w:spacing w:before="54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情感职能</w:t>
            </w:r>
          </w:p>
        </w:tc>
        <w:tc>
          <w:tcPr>
            <w:tcW w:w="2061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86"/>
              <w:spacing w:before="55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生理功能</w:t>
            </w:r>
          </w:p>
        </w:tc>
        <w:tc>
          <w:tcPr>
            <w:tcW w:w="2061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83"/>
              <w:spacing w:before="55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社会功能</w:t>
            </w:r>
          </w:p>
        </w:tc>
      </w:tr>
      <w:tr>
        <w:trPr>
          <w:trHeight w:val="247" w:hRule="atLeast"/>
        </w:trPr>
        <w:tc>
          <w:tcPr>
            <w:tcW w:w="101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295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治疗前</w:t>
            </w:r>
          </w:p>
        </w:tc>
        <w:tc>
          <w:tcPr>
            <w:tcW w:w="100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296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治疗后</w:t>
            </w:r>
          </w:p>
        </w:tc>
        <w:tc>
          <w:tcPr>
            <w:tcW w:w="106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55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治疗前</w:t>
            </w:r>
          </w:p>
        </w:tc>
        <w:tc>
          <w:tcPr>
            <w:tcW w:w="100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295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治疗后</w:t>
            </w:r>
          </w:p>
        </w:tc>
        <w:tc>
          <w:tcPr>
            <w:tcW w:w="10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56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治疗前</w:t>
            </w:r>
          </w:p>
        </w:tc>
        <w:tc>
          <w:tcPr>
            <w:tcW w:w="99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294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治疗后</w:t>
            </w:r>
          </w:p>
        </w:tc>
        <w:tc>
          <w:tcPr>
            <w:tcW w:w="106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55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治疗前</w:t>
            </w:r>
          </w:p>
        </w:tc>
        <w:tc>
          <w:tcPr>
            <w:tcW w:w="100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295"/>
              <w:spacing w:before="55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治疗后</w:t>
            </w:r>
          </w:p>
        </w:tc>
      </w:tr>
      <w:tr>
        <w:trPr>
          <w:trHeight w:val="247" w:hRule="atLeast"/>
        </w:trPr>
        <w:tc>
          <w:tcPr>
            <w:tcW w:w="1016" w:type="dxa"/>
            <w:vAlign w:val="top"/>
            <w:tcBorders>
              <w:top w:val="single" w:color="231F20" w:sz="2" w:space="0"/>
            </w:tcBorders>
          </w:tcPr>
          <w:p>
            <w:pPr>
              <w:ind w:left="295"/>
              <w:spacing w:before="56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观察组</w:t>
            </w:r>
          </w:p>
        </w:tc>
        <w:tc>
          <w:tcPr>
            <w:tcW w:w="7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4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42</w:t>
            </w:r>
          </w:p>
        </w:tc>
        <w:tc>
          <w:tcPr>
            <w:tcW w:w="9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6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63.5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4.8</w:t>
            </w:r>
          </w:p>
        </w:tc>
        <w:tc>
          <w:tcPr>
            <w:tcW w:w="10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91.6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6.5</w:t>
            </w:r>
          </w:p>
        </w:tc>
        <w:tc>
          <w:tcPr>
            <w:tcW w:w="10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7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57.5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5.2</w:t>
            </w:r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92.3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7.9</w:t>
            </w:r>
          </w:p>
        </w:tc>
        <w:tc>
          <w:tcPr>
            <w:tcW w:w="10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7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61.5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3.6</w:t>
            </w:r>
          </w:p>
        </w:tc>
        <w:tc>
          <w:tcPr>
            <w:tcW w:w="9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8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86.7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6.8</w:t>
            </w:r>
          </w:p>
        </w:tc>
        <w:tc>
          <w:tcPr>
            <w:tcW w:w="10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8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58.6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5.1</w:t>
            </w:r>
          </w:p>
        </w:tc>
        <w:tc>
          <w:tcPr>
            <w:tcW w:w="10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/>
              <w:spacing w:before="79" w:line="157" w:lineRule="auto"/>
              <w:rPr/>
            </w:pPr>
            <w:r>
              <w:rPr>
                <w:color w:val="231F20"/>
                <w:spacing w:val="-1"/>
              </w:rPr>
              <w:t>93.5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2.9</w:t>
            </w:r>
          </w:p>
        </w:tc>
      </w:tr>
      <w:tr>
        <w:trPr>
          <w:trHeight w:val="260" w:hRule="atLeast"/>
        </w:trPr>
        <w:tc>
          <w:tcPr>
            <w:tcW w:w="1016" w:type="dxa"/>
            <w:vAlign w:val="top"/>
          </w:tcPr>
          <w:p>
            <w:pPr>
              <w:ind w:left="291"/>
              <w:spacing w:before="66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对照组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313"/>
              <w:spacing w:before="86" w:line="186" w:lineRule="auto"/>
              <w:rPr/>
            </w:pPr>
            <w:r>
              <w:rPr>
                <w:color w:val="231F20"/>
                <w:spacing w:val="-1"/>
              </w:rPr>
              <w:t>42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226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63.4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4.7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230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87.5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6.2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287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57.6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5.3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229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86.6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6.5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287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61.3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3.4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228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83.5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6.5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287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58.7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5.2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229"/>
              <w:spacing w:before="86" w:line="159" w:lineRule="auto"/>
              <w:rPr/>
            </w:pPr>
            <w:r>
              <w:rPr>
                <w:color w:val="231F20"/>
                <w:spacing w:val="-1"/>
              </w:rPr>
              <w:t>87.7 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±</w:t>
            </w:r>
            <w:r>
              <w:rPr>
                <w:color w:val="231F20"/>
                <w:spacing w:val="-1"/>
              </w:rPr>
              <w:t>2.5</w:t>
            </w:r>
          </w:p>
        </w:tc>
      </w:tr>
      <w:tr>
        <w:trPr>
          <w:trHeight w:val="245" w:hRule="atLeast"/>
        </w:trPr>
        <w:tc>
          <w:tcPr>
            <w:tcW w:w="1016" w:type="dxa"/>
            <w:vAlign w:val="top"/>
          </w:tcPr>
          <w:p>
            <w:pPr>
              <w:pStyle w:val="TableText"/>
              <w:ind w:left="485"/>
              <w:spacing w:before="91" w:line="163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779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295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0.096 4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294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2.958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0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355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0.087 2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296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3.610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8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356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0.261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7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292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2.204</w:t>
            </w:r>
            <w:r>
              <w:rPr>
                <w:color w:val="231F20"/>
                <w:spacing w:val="8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5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355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0.088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9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296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9.817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10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54"/>
              <w:spacing w:before="86" w:line="183" w:lineRule="auto"/>
              <w:rPr/>
            </w:pPr>
            <w:r>
              <w:rPr>
                <w:i/>
                <w:iCs/>
                <w:color w:val="231F20"/>
                <w:spacing w:val="4"/>
              </w:rPr>
              <w:t>P</w:t>
            </w:r>
          </w:p>
        </w:tc>
        <w:tc>
          <w:tcPr>
            <w:tcW w:w="77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5"/>
              <w:spacing w:before="88" w:line="186" w:lineRule="auto"/>
              <w:rPr/>
            </w:pPr>
            <w:r>
              <w:rPr>
                <w:color w:val="231F20"/>
                <w:spacing w:val="-1"/>
              </w:rPr>
              <w:t>0.923 4</w:t>
            </w:r>
          </w:p>
        </w:tc>
        <w:tc>
          <w:tcPr>
            <w:tcW w:w="10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6"/>
              <w:spacing w:before="88" w:line="186" w:lineRule="auto"/>
              <w:rPr/>
            </w:pPr>
            <w:r>
              <w:rPr>
                <w:color w:val="231F20"/>
                <w:spacing w:val="-1"/>
              </w:rPr>
              <w:t>0.004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0</w:t>
            </w:r>
          </w:p>
        </w:tc>
        <w:tc>
          <w:tcPr>
            <w:tcW w:w="10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5"/>
              <w:spacing w:before="88" w:line="186" w:lineRule="auto"/>
              <w:rPr/>
            </w:pPr>
            <w:r>
              <w:rPr>
                <w:color w:val="231F20"/>
                <w:spacing w:val="-1"/>
              </w:rPr>
              <w:t>0.930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7</w:t>
            </w:r>
          </w:p>
        </w:tc>
        <w:tc>
          <w:tcPr>
            <w:tcW w:w="100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5"/>
              <w:spacing w:before="88" w:line="186" w:lineRule="auto"/>
              <w:rPr/>
            </w:pPr>
            <w:r>
              <w:rPr>
                <w:color w:val="231F20"/>
                <w:spacing w:val="-1"/>
              </w:rPr>
              <w:t>0.000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5</w:t>
            </w:r>
          </w:p>
        </w:tc>
        <w:tc>
          <w:tcPr>
            <w:tcW w:w="106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6"/>
              <w:spacing w:before="88" w:line="186" w:lineRule="auto"/>
              <w:rPr/>
            </w:pPr>
            <w:r>
              <w:rPr>
                <w:color w:val="231F20"/>
                <w:spacing w:val="-1"/>
              </w:rPr>
              <w:t>0.794 2</w:t>
            </w:r>
          </w:p>
        </w:tc>
        <w:tc>
          <w:tcPr>
            <w:tcW w:w="9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4"/>
              <w:spacing w:before="88" w:line="186" w:lineRule="auto"/>
              <w:rPr/>
            </w:pPr>
            <w:r>
              <w:rPr>
                <w:color w:val="231F20"/>
                <w:spacing w:val="-1"/>
              </w:rPr>
              <w:t>0.030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3</w:t>
            </w:r>
          </w:p>
        </w:tc>
        <w:tc>
          <w:tcPr>
            <w:tcW w:w="10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5"/>
              <w:spacing w:before="88" w:line="186" w:lineRule="auto"/>
              <w:rPr/>
            </w:pPr>
            <w:r>
              <w:rPr>
                <w:color w:val="231F20"/>
                <w:spacing w:val="-1"/>
              </w:rPr>
              <w:t>0.929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3</w:t>
            </w:r>
          </w:p>
        </w:tc>
        <w:tc>
          <w:tcPr>
            <w:tcW w:w="10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7"/>
              <w:spacing w:before="88" w:line="155" w:lineRule="exact"/>
              <w:rPr/>
            </w:pP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&lt;</w:t>
            </w:r>
            <w:r>
              <w:rPr>
                <w:color w:val="231F20"/>
                <w:spacing w:val="2"/>
              </w:rPr>
              <w:t>0.000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32" w:lineRule="exact"/>
        <w:rPr/>
      </w:pPr>
      <w:r/>
    </w:p>
    <w:p>
      <w:pPr>
        <w:spacing w:line="32" w:lineRule="exact"/>
        <w:sectPr>
          <w:type w:val="continuous"/>
          <w:pgSz w:w="11793" w:h="16045"/>
          <w:pgMar w:top="400" w:right="907" w:bottom="604" w:left="424" w:header="0" w:footer="353" w:gutter="0"/>
          <w:cols w:equalWidth="0" w:num="1">
            <w:col w:w="10462" w:space="0"/>
          </w:cols>
        </w:sectPr>
        <w:rPr/>
      </w:pPr>
    </w:p>
    <w:p>
      <w:pPr>
        <w:ind w:left="489"/>
        <w:spacing w:before="251" w:line="292" w:lineRule="exact"/>
        <w:outlineLvl w:val="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3</w:t>
      </w:r>
      <w:r>
        <w:rPr>
          <w:rFonts w:ascii="SimSun" w:hAnsi="SimSun" w:eastAsia="SimSun" w:cs="SimSun"/>
          <w:sz w:val="22"/>
          <w:szCs w:val="22"/>
          <w:color w:val="231F20"/>
          <w:spacing w:val="3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color w:val="231F20"/>
          <w:spacing w:val="-6"/>
          <w:position w:val="1"/>
        </w:rPr>
        <w:t>讨论</w:t>
      </w:r>
    </w:p>
    <w:p>
      <w:pPr>
        <w:pStyle w:val="BodyText"/>
        <w:ind w:left="486" w:right="361" w:firstLine="412"/>
        <w:spacing w:before="144" w:line="203" w:lineRule="auto"/>
        <w:jc w:val="both"/>
        <w:rPr/>
      </w:pPr>
      <w:r>
        <w:rPr>
          <w:color w:val="231F20"/>
          <w:spacing w:val="17"/>
        </w:rPr>
        <w:t>急性肠胃炎是一种常见的消化系统疾病，其发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生会给患者的身体健康带来很大的危害，主要表现为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腹痛、腹泻、恶心、呕吐等症状。这些症状不仅会影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响患者的正常生活和工作，还可能导致营养不良、脱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"/>
        <w:spacing w:before="45" w:line="210" w:lineRule="auto"/>
        <w:jc w:val="both"/>
        <w:rPr/>
      </w:pPr>
      <w:r>
        <w:rPr>
          <w:color w:val="231F20"/>
          <w:spacing w:val="6"/>
        </w:rPr>
        <w:t>水等并发症的发生。因此，及时了解急性肠胃炎的诱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发因素及危害性，对于预防和治疗该疾病具有重要意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义。泮托拉唑钠、盐酸山莨菪碱联合阿莫西林胶囊是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临床治疗该病常用的西药方案，泮托拉唑钠注射液是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一种常用的抗酸药物，属于质子泵抑制剂，主要通过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抑制胃酸的分泌达到治疗的效果</w:t>
      </w:r>
      <w:r>
        <w:rPr>
          <w:rFonts w:ascii="SimSun" w:hAnsi="SimSun" w:eastAsia="SimSun" w:cs="SimSun"/>
          <w:sz w:val="11"/>
          <w:szCs w:val="11"/>
          <w:color w:val="231F20"/>
          <w:spacing w:val="6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9"/>
        </w:rPr>
        <w:t>3</w:t>
      </w:r>
      <w:r>
        <w:rPr>
          <w:sz w:val="11"/>
          <w:szCs w:val="11"/>
          <w:color w:val="231F20"/>
          <w:spacing w:val="6"/>
          <w:position w:val="9"/>
        </w:rPr>
        <w:t>-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color w:val="231F20"/>
          <w:spacing w:val="6"/>
          <w:position w:val="9"/>
        </w:rPr>
        <w:t>］</w:t>
      </w:r>
      <w:r>
        <w:rPr>
          <w:color w:val="231F20"/>
          <w:spacing w:val="6"/>
        </w:rPr>
        <w:t>。盐酸山莨菪碱</w:t>
      </w:r>
    </w:p>
    <w:p>
      <w:pPr>
        <w:spacing w:line="210" w:lineRule="auto"/>
        <w:sectPr>
          <w:type w:val="continuous"/>
          <w:pgSz w:w="11793" w:h="16045"/>
          <w:pgMar w:top="400" w:right="907" w:bottom="604" w:left="424" w:header="0" w:footer="353" w:gutter="0"/>
          <w:cols w:equalWidth="0" w:num="2">
            <w:col w:w="5603" w:space="100"/>
            <w:col w:w="4760" w:space="0"/>
          </w:cols>
        </w:sectPr>
        <w:rPr/>
      </w:pPr>
    </w:p>
    <w:p>
      <w:pPr>
        <w:spacing w:before="83"/>
        <w:rPr/>
      </w:pPr>
      <w:r/>
    </w:p>
    <w:p>
      <w:pPr>
        <w:sectPr>
          <w:headerReference w:type="default" r:id="rId9"/>
          <w:footerReference w:type="default" r:id="rId10"/>
          <w:pgSz w:w="11793" w:h="16045"/>
          <w:pgMar w:top="828" w:right="843" w:bottom="353" w:left="0" w:header="520" w:footer="0" w:gutter="0"/>
          <w:cols w:equalWidth="0" w:num="1">
            <w:col w:w="10950" w:space="0"/>
          </w:cols>
        </w:sectPr>
        <w:rPr/>
      </w:pPr>
    </w:p>
    <w:p>
      <w:pPr>
        <w:pStyle w:val="BodyText"/>
        <w:ind w:left="907" w:right="164" w:firstLine="8"/>
        <w:spacing w:before="45" w:line="224" w:lineRule="auto"/>
        <w:jc w:val="both"/>
        <w:rPr/>
      </w:pPr>
      <w:r>
        <w:rPr>
          <w:color w:val="231F20"/>
          <w:spacing w:val="6"/>
        </w:rPr>
        <w:t>注射液是一种常用的治疗急性肠胃炎的药物，该药具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有抑制胃酸分泌的作用。急性肠胃炎患者往往伴有胃   </w:t>
      </w:r>
      <w:r>
        <w:rPr>
          <w:color w:val="231F20"/>
          <w:spacing w:val="6"/>
        </w:rPr>
        <w:t>酸分泌过多的情况，导致胃黏膜受到刺激和损伤。盐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酸山莨菪碱注射液可以通过抑制胃酸分泌的方式减轻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对胃黏膜的刺激，有助于减少症状的出现，抑制病情  </w:t>
      </w:r>
      <w:r>
        <w:rPr>
          <w:color w:val="231F20"/>
          <w:spacing w:val="6"/>
        </w:rPr>
        <w:t>加重。阿莫西林胶囊是一种常用的抗菌药物，广泛应  </w:t>
      </w:r>
      <w:r>
        <w:rPr>
          <w:color w:val="231F20"/>
          <w:spacing w:val="6"/>
        </w:rPr>
        <w:t>用于急性肠胃炎的治疗中，其主要作用是通过抑制细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菌的细胞壁合成发挥抗菌效果。阿莫西林胶囊能够有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效治疗肠胃炎引起的细菌感染，减轻患者的症状和不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适感。但常规西药治疗方案在治疗急性肠胃炎时存在  </w:t>
      </w:r>
      <w:r>
        <w:rPr>
          <w:color w:val="231F20"/>
          <w:spacing w:val="6"/>
        </w:rPr>
        <w:t>一些缺陷，如副作用较多、难以根除病因、抗药性的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产生、缺乏个体化治疗、无法修复肠胃黏膜损伤及治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疗周期长等。因此，有必要寻求其他治疗方法，如结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合中医治疗，以提高治疗效果。在中医理论中，急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5"/>
        </w:rPr>
        <w:t>性肠胃炎被归类为“湿热内蕴”范畴，认为病因与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湿邪侵袭脾胃有关。中医治疗急性肠胃炎的主要方法  </w:t>
      </w:r>
      <w:r>
        <w:rPr>
          <w:color w:val="231F20"/>
          <w:spacing w:val="6"/>
        </w:rPr>
        <w:t>包括清热解毒、健脾和胃、调理脾胃功能等</w:t>
      </w:r>
      <w:r>
        <w:rPr>
          <w:rFonts w:ascii="SimSun" w:hAnsi="SimSun" w:eastAsia="SimSun" w:cs="SimSun"/>
          <w:sz w:val="11"/>
          <w:szCs w:val="11"/>
          <w:color w:val="231F20"/>
          <w:spacing w:val="6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9"/>
        </w:rPr>
        <w:t>5</w:t>
      </w:r>
      <w:r>
        <w:rPr>
          <w:sz w:val="11"/>
          <w:szCs w:val="11"/>
          <w:color w:val="231F20"/>
          <w:spacing w:val="6"/>
          <w:position w:val="9"/>
        </w:rPr>
        <w:t>-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color w:val="231F20"/>
          <w:spacing w:val="6"/>
          <w:position w:val="9"/>
        </w:rPr>
        <w:t>］</w:t>
      </w:r>
      <w:r>
        <w:rPr>
          <w:color w:val="231F20"/>
          <w:spacing w:val="6"/>
        </w:rPr>
        <w:t>。为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此，我院在常规西药治疗基础上添加了中药益坤消痞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汤，且取得了较好的治疗效果。益坤消痞汤是一</w:t>
      </w:r>
      <w:r>
        <w:rPr>
          <w:color w:val="231F20"/>
          <w:spacing w:val="6"/>
        </w:rPr>
        <w:t>种中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药方剂，由多种中药组成。这些中药各自具有不同的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功效，组合在一起可以发挥协同作用，提高治疗效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果。方中的白术具有健脾胃、利水湿的功效，可以促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5"/>
        </w:rPr>
        <w:t>进消化液分泌，增加胃肠蠕动，改善消化功能。同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6"/>
        </w:rPr>
        <w:t>时，白术还可以去除体内湿气，减轻腹胀和胃部不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适。茯苓属于中草药中的养胃药物，能够促进胃肠蠕  </w:t>
      </w:r>
      <w:r>
        <w:rPr>
          <w:color w:val="231F20"/>
          <w:spacing w:val="6"/>
        </w:rPr>
        <w:t>动，增加食欲，加快食物的消化和吸收。茯苓还具有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利尿的作用，可以帮助排出体内的湿气，减轻腹部不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适。党参补气养血、益肺健脾，可提高免疫力，增强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体力和抵抗力，对疲劳、气短、食欲不振等症状有良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好的疗效；黄芪补气固表，可提升免疫力，增强体力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和抵抗力，对疲劳、食欲不振、脾胃虚弱等症状</w:t>
      </w:r>
      <w:r>
        <w:rPr>
          <w:color w:val="231F20"/>
          <w:spacing w:val="6"/>
        </w:rPr>
        <w:t>有一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定疗效；黄芩清热解毒、泻火明目，对于感冒发热、 </w:t>
      </w:r>
      <w:r>
        <w:rPr>
          <w:color w:val="231F20"/>
          <w:spacing w:val="6"/>
        </w:rPr>
        <w:t>咽喉肿痛、口腔溃疡等炎症症状有一定的疗效；白芍  </w:t>
      </w:r>
      <w:r>
        <w:rPr>
          <w:color w:val="231F20"/>
          <w:spacing w:val="6"/>
        </w:rPr>
        <w:t>活血化瘀，止痛缓筋；三棱利水消肿、清热解毒；莪  </w:t>
      </w:r>
      <w:r>
        <w:rPr>
          <w:color w:val="231F20"/>
          <w:spacing w:val="9"/>
        </w:rPr>
        <w:t>术与炙鸡内金活血止痛；山楂消食理气、活血通络；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5"/>
        </w:rPr>
        <w:t>山药益肺健脾、补肾养胃；黄连清热燥湿、解毒消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肿</w:t>
      </w:r>
      <w:r>
        <w:rPr>
          <w:rFonts w:ascii="SimSun" w:hAnsi="SimSun" w:eastAsia="SimSun" w:cs="SimSun"/>
          <w:sz w:val="11"/>
          <w:szCs w:val="11"/>
          <w:color w:val="231F20"/>
          <w:spacing w:val="8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8"/>
          <w:position w:val="9"/>
        </w:rPr>
        <w:t>7</w:t>
      </w:r>
      <w:r>
        <w:rPr>
          <w:sz w:val="11"/>
          <w:szCs w:val="11"/>
          <w:color w:val="231F20"/>
          <w:spacing w:val="8"/>
          <w:position w:val="9"/>
        </w:rPr>
        <w:t>-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8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color w:val="231F20"/>
          <w:spacing w:val="-4"/>
          <w:position w:val="9"/>
        </w:rPr>
        <w:t>］</w:t>
      </w:r>
      <w:r>
        <w:rPr>
          <w:color w:val="231F20"/>
          <w:spacing w:val="-4"/>
        </w:rPr>
        <w:t>；</w:t>
      </w:r>
      <w:r>
        <w:rPr>
          <w:color w:val="231F20"/>
          <w:spacing w:val="8"/>
        </w:rPr>
        <w:t>甘草在中药中常用于调节药方的味道和</w:t>
      </w:r>
      <w:r>
        <w:rPr>
          <w:color w:val="231F20"/>
          <w:spacing w:val="7"/>
        </w:rPr>
        <w:t>调和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药物的作用，有一定的抗炎和抗病毒的作用，对于治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疗急性肠胃炎有一定的作用。甘草还可以抑制胃酸分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泌，缓解胃部的疼痛和不适。益坤消痞汤的各中药成  </w:t>
      </w:r>
      <w:r>
        <w:rPr>
          <w:color w:val="231F20"/>
          <w:spacing w:val="6"/>
        </w:rPr>
        <w:t>分具有多种功效，可以综合调节肠胃功能，改善消化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不良和腹胀等症状。与单纯的西药治疗相比，中药益  </w:t>
      </w:r>
      <w:r>
        <w:rPr>
          <w:color w:val="231F20"/>
          <w:spacing w:val="7"/>
        </w:rPr>
        <w:t>坤消痞汤的优势在于其天然中药成分具有较低的毒副</w:t>
      </w:r>
    </w:p>
    <w:p>
      <w:pPr>
        <w:spacing w:line="8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12"/>
        <w:spacing w:before="35" w:line="224" w:lineRule="auto"/>
        <w:jc w:val="both"/>
        <w:rPr/>
      </w:pPr>
      <w:r>
        <w:rPr>
          <w:color w:val="231F20"/>
          <w:spacing w:val="6"/>
        </w:rPr>
        <w:t>作用，对肠胃有温和的调理作用。同时，中药方剂因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为是多种中药的组合，可以针对不同的症状和人体状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况进行个体化治疗，提高治疗效果。因此，中药益坤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消痞汤与西药配合治疗急性肠胃炎具有独特的优势和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6"/>
        </w:rPr>
        <w:t>价值</w:t>
      </w:r>
      <w:r>
        <w:rPr>
          <w:rFonts w:ascii="SimSun" w:hAnsi="SimSun" w:eastAsia="SimSun" w:cs="SimSun"/>
          <w:sz w:val="11"/>
          <w:szCs w:val="11"/>
          <w:color w:val="231F20"/>
          <w:spacing w:val="16"/>
          <w:position w:val="9"/>
        </w:rPr>
        <w:t>［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position w:val="9"/>
        </w:rPr>
        <w:t>9</w:t>
      </w:r>
      <w:r>
        <w:rPr>
          <w:sz w:val="11"/>
          <w:szCs w:val="11"/>
          <w:color w:val="231F20"/>
          <w:spacing w:val="16"/>
          <w:position w:val="9"/>
        </w:rPr>
        <w:t>-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position w:val="9"/>
        </w:rPr>
        <w:t>10</w:t>
      </w:r>
      <w:r>
        <w:rPr>
          <w:rFonts w:ascii="SimSun" w:hAnsi="SimSun" w:eastAsia="SimSun" w:cs="SimSun"/>
          <w:sz w:val="11"/>
          <w:szCs w:val="11"/>
          <w:color w:val="231F20"/>
          <w:spacing w:val="16"/>
          <w:position w:val="9"/>
        </w:rPr>
        <w:t>］</w:t>
      </w:r>
      <w:r>
        <w:rPr>
          <w:color w:val="231F20"/>
          <w:spacing w:val="16"/>
        </w:rPr>
        <w:t>。本研究结果显示，观察组患者治疗后临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床症状改善时间明显缩短，与对照组相比，差异具有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1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  <w:w w:val="101"/>
        </w:rPr>
        <w:t xml:space="preserve"> </w:t>
      </w:r>
      <w:r>
        <w:rPr>
          <w:color w:val="231F20"/>
          <w:spacing w:val="14"/>
        </w:rPr>
        <w:t>＜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0.05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4"/>
          <w:w w:val="92"/>
        </w:rPr>
        <w:t>）；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治疗后，观察组患者体内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炎症因子水平显著降低，且降低幅度明显大于对照组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（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7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＜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0.05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7"/>
        </w:rPr>
        <w:t>）；</w:t>
      </w:r>
      <w:r>
        <w:rPr>
          <w:color w:val="231F20"/>
          <w:spacing w:val="7"/>
        </w:rPr>
        <w:t>观察组患者的治疗总有效率为 </w:t>
      </w:r>
      <w:r>
        <w:rPr>
          <w:rFonts w:ascii="Times New Roman" w:hAnsi="Times New Roman" w:eastAsia="Times New Roman" w:cs="Times New Roman"/>
          <w:color w:val="231F20"/>
          <w:spacing w:val="7"/>
        </w:rPr>
        <w:t>97.6%</w:t>
      </w:r>
      <w:r>
        <w:rPr>
          <w:color w:val="231F20"/>
          <w:spacing w:val="7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显著高于对照组的 </w:t>
      </w:r>
      <w:r>
        <w:rPr>
          <w:rFonts w:ascii="Times New Roman" w:hAnsi="Times New Roman" w:eastAsia="Times New Roman" w:cs="Times New Roman"/>
          <w:color w:val="231F20"/>
          <w:spacing w:val="6"/>
        </w:rPr>
        <w:t>85.7%</w:t>
      </w:r>
      <w:r>
        <w:rPr>
          <w:color w:val="231F20"/>
          <w:spacing w:val="6"/>
        </w:rPr>
        <w:t>（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6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</w:rPr>
        <w:t xml:space="preserve"> </w:t>
      </w:r>
      <w:r>
        <w:rPr>
          <w:color w:val="231F20"/>
          <w:spacing w:val="6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0.05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4"/>
          <w:w w:val="91"/>
        </w:rPr>
        <w:t>）；</w:t>
      </w:r>
      <w:r>
        <w:rPr>
          <w:color w:val="231F20"/>
          <w:spacing w:val="5"/>
        </w:rPr>
        <w:t>治疗后，观察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组患者的生活质量各项指标评分均显著提高，与对照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组相比，差异显著（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＜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0.05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4"/>
        </w:rPr>
        <w:t>）。</w:t>
      </w:r>
    </w:p>
    <w:p>
      <w:pPr>
        <w:pStyle w:val="BodyText"/>
        <w:ind w:left="112" w:right="72" w:firstLine="406"/>
        <w:spacing w:line="229" w:lineRule="auto"/>
        <w:jc w:val="both"/>
        <w:rPr/>
      </w:pPr>
      <w:r>
        <w:rPr>
          <w:color w:val="231F20"/>
          <w:spacing w:val="6"/>
        </w:rPr>
        <w:t>综上所述，将中西医结合方案应用于急性肠胃炎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患者中，可获得更加理想的治疗效果，短时间内改善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患者各项症状，降低患者体内炎症因子水平，提高疾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病治愈率。</w:t>
      </w:r>
    </w:p>
    <w:p>
      <w:pPr>
        <w:ind w:left="100"/>
        <w:spacing w:before="295" w:line="24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【参考文献】</w:t>
      </w:r>
    </w:p>
    <w:p>
      <w:pPr>
        <w:ind w:left="629" w:right="64" w:hanging="512"/>
        <w:spacing w:before="79" w:line="284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1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唐三华</w:t>
      </w:r>
      <w:r>
        <w:rPr>
          <w:rFonts w:ascii="FangSong" w:hAnsi="FangSong" w:eastAsia="FangSong" w:cs="FangSong"/>
          <w:sz w:val="17"/>
          <w:szCs w:val="17"/>
          <w:color w:val="231F20"/>
          <w:spacing w:val="-4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．中西医结合治疗急性肠胃炎临</w:t>
      </w:r>
      <w:r>
        <w:rPr>
          <w:rFonts w:ascii="FangSong" w:hAnsi="FangSong" w:eastAsia="FangSong" w:cs="FangSong"/>
          <w:sz w:val="17"/>
          <w:szCs w:val="17"/>
          <w:color w:val="231F20"/>
        </w:rPr>
        <w:t>床观察</w:t>
      </w:r>
      <w:r>
        <w:rPr>
          <w:rFonts w:ascii="SimSun" w:hAnsi="SimSun" w:eastAsia="SimSun" w:cs="SimSun"/>
          <w:sz w:val="17"/>
          <w:szCs w:val="17"/>
          <w:color w:val="231F2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9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</w:rPr>
        <w:t>实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用中医药杂志，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36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589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628" w:right="64" w:hanging="511"/>
        <w:spacing w:before="78" w:line="257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2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9"/>
        </w:rPr>
        <w:t>陈姝霞</w:t>
      </w:r>
      <w:r>
        <w:rPr>
          <w:rFonts w:ascii="FangSong" w:hAnsi="FangSong" w:eastAsia="FangSong" w:cs="FangSong"/>
          <w:sz w:val="17"/>
          <w:szCs w:val="17"/>
          <w:color w:val="231F20"/>
          <w:spacing w:val="-3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9"/>
        </w:rPr>
        <w:t>．中西医结合治疗急性肠胃炎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45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9"/>
        </w:rPr>
        <w:t>例临床效果观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察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3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中国药物与临床，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2021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21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9</w:t>
      </w:r>
      <w:r>
        <w:rPr>
          <w:rFonts w:ascii="FangSong" w:hAnsi="FangSong" w:eastAsia="FangSong" w:cs="FangSong"/>
          <w:sz w:val="17"/>
          <w:szCs w:val="17"/>
          <w:color w:val="231F20"/>
          <w:spacing w:val="3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1573</w:t>
      </w:r>
      <w:r>
        <w:rPr>
          <w:sz w:val="17"/>
          <w:szCs w:val="17"/>
          <w:color w:val="231F20"/>
          <w:spacing w:val="-5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1574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．</w:t>
      </w:r>
    </w:p>
    <w:p>
      <w:pPr>
        <w:pStyle w:val="BodyText"/>
        <w:ind w:left="628" w:right="65" w:hanging="511"/>
        <w:spacing w:before="51" w:line="258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0"/>
        </w:rPr>
        <w:t>3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0"/>
        </w:rPr>
        <w:t>王永梅，马健</w:t>
      </w:r>
      <w:r>
        <w:rPr>
          <w:rFonts w:ascii="FangSong" w:hAnsi="FangSong" w:eastAsia="FangSong" w:cs="FangSong"/>
          <w:sz w:val="17"/>
          <w:szCs w:val="17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0"/>
        </w:rPr>
        <w:t>．中西医结合治疗急性肠胃炎的临床观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察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］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青海医药杂志，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2019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49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FangSong" w:hAnsi="FangSong" w:eastAsia="FangSong" w:cs="FangSong"/>
          <w:sz w:val="17"/>
          <w:szCs w:val="17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54</w:t>
      </w:r>
      <w:r>
        <w:rPr>
          <w:sz w:val="17"/>
          <w:szCs w:val="17"/>
          <w:color w:val="231F20"/>
          <w:spacing w:val="-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55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629" w:right="64" w:hanging="512"/>
        <w:spacing w:before="49" w:line="278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4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3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陈宏达，陈镇涛，连运兴，等</w:t>
      </w:r>
      <w:r>
        <w:rPr>
          <w:rFonts w:ascii="FangSong" w:hAnsi="FangSong" w:eastAsia="FangSong" w:cs="FangSong"/>
          <w:sz w:val="17"/>
          <w:szCs w:val="17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．雷贝拉唑和中西医结合在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6"/>
        </w:rPr>
        <w:t>急性肠胃炎患者中的临床治疗效果及对改善患者症状分</w:t>
      </w:r>
      <w:r>
        <w:rPr>
          <w:rFonts w:ascii="FangSong" w:hAnsi="FangSong" w:eastAsia="FangSong" w:cs="FangSong"/>
          <w:sz w:val="17"/>
          <w:szCs w:val="17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析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］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养生大世界，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2023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17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FangSong" w:hAnsi="FangSong" w:eastAsia="FangSong" w:cs="FangSong"/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14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99</w:t>
      </w:r>
      <w:r>
        <w:rPr>
          <w:sz w:val="17"/>
          <w:szCs w:val="17"/>
          <w:color w:val="231F20"/>
          <w:spacing w:val="-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0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．</w:t>
      </w:r>
    </w:p>
    <w:p>
      <w:pPr>
        <w:ind w:left="622" w:right="64" w:hanging="505"/>
        <w:spacing w:before="50" w:line="299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5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张涛</w:t>
      </w:r>
      <w:r>
        <w:rPr>
          <w:rFonts w:ascii="FangSong" w:hAnsi="FangSong" w:eastAsia="FangSong" w:cs="FangSong"/>
          <w:sz w:val="17"/>
          <w:szCs w:val="17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．奥美拉唑和中西医结合在急性肠胃炎患者中的临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9"/>
        </w:rPr>
        <w:t>床治疗效果及对改善患者症状分析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9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9"/>
        </w:rPr>
        <w:t>母婴世</w:t>
      </w:r>
      <w:r>
        <w:rPr>
          <w:rFonts w:ascii="FangSong" w:hAnsi="FangSong" w:eastAsia="FangSong" w:cs="FangSong"/>
          <w:sz w:val="17"/>
          <w:szCs w:val="17"/>
          <w:color w:val="231F20"/>
          <w:spacing w:val="8"/>
        </w:rPr>
        <w:t>界，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2021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19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140</w:t>
      </w:r>
      <w:r>
        <w:rPr>
          <w:rFonts w:ascii="FangSong" w:hAnsi="FangSong" w:eastAsia="FangSong" w:cs="FangSong"/>
          <w:sz w:val="17"/>
          <w:szCs w:val="17"/>
          <w:color w:val="231F20"/>
          <w:spacing w:val="-5"/>
        </w:rPr>
        <w:t>．</w:t>
      </w:r>
    </w:p>
    <w:p>
      <w:pPr>
        <w:ind w:left="638" w:right="63" w:hanging="521"/>
        <w:spacing w:before="75" w:line="289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6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谭小蓉</w:t>
      </w:r>
      <w:r>
        <w:rPr>
          <w:rFonts w:ascii="FangSong" w:hAnsi="FangSong" w:eastAsia="FangSong" w:cs="FangSong"/>
          <w:sz w:val="17"/>
          <w:szCs w:val="17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．中西医结合在急性肠胃炎患者中的治疗效果及对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改善患者症状分析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J</w:t>
      </w:r>
      <w:r>
        <w:rPr>
          <w:rFonts w:ascii="SimSun" w:hAnsi="SimSun" w:eastAsia="SimSun" w:cs="SimSun"/>
          <w:sz w:val="17"/>
          <w:szCs w:val="17"/>
          <w:color w:val="231F20"/>
        </w:rPr>
        <w:t>］</w:t>
      </w:r>
      <w:r>
        <w:rPr>
          <w:rFonts w:ascii="FangSong" w:hAnsi="FangSong" w:eastAsia="FangSong" w:cs="FangSong"/>
          <w:sz w:val="17"/>
          <w:szCs w:val="17"/>
          <w:color w:val="231F20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健康之友，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17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24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</w:rPr>
        <w:t>）：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7"/>
        </w:rPr>
        <w:t>118</w:t>
      </w:r>
      <w:r>
        <w:rPr>
          <w:rFonts w:ascii="FangSong" w:hAnsi="FangSong" w:eastAsia="FangSong" w:cs="FangSong"/>
          <w:sz w:val="17"/>
          <w:szCs w:val="17"/>
          <w:color w:val="231F20"/>
          <w:spacing w:val="-7"/>
        </w:rPr>
        <w:t>．</w:t>
      </w:r>
    </w:p>
    <w:p>
      <w:pPr>
        <w:pStyle w:val="BodyText"/>
        <w:ind w:left="634" w:right="63" w:hanging="517"/>
        <w:spacing w:before="100" w:line="279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7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朱凯，叶小雪，黄适</w:t>
      </w:r>
      <w:r>
        <w:rPr>
          <w:rFonts w:ascii="FangSong" w:hAnsi="FangSong" w:eastAsia="FangSong" w:cs="FangSong"/>
          <w:sz w:val="17"/>
          <w:szCs w:val="17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．中医辨证施治联合西医常规治疗急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性肠胃炎的疗效及对炎症因子水平的影响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辽宁中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医杂志，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2019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46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4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785</w:t>
      </w:r>
      <w:r>
        <w:rPr>
          <w:sz w:val="17"/>
          <w:szCs w:val="17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787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．</w:t>
      </w:r>
    </w:p>
    <w:p>
      <w:pPr>
        <w:pStyle w:val="BodyText"/>
        <w:ind w:left="650" w:right="87" w:hanging="533"/>
        <w:spacing w:before="48" w:line="258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8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李文华</w:t>
      </w:r>
      <w:r>
        <w:rPr>
          <w:rFonts w:ascii="FangSong" w:hAnsi="FangSong" w:eastAsia="FangSong" w:cs="FangSong"/>
          <w:sz w:val="17"/>
          <w:szCs w:val="17"/>
          <w:color w:val="231F20"/>
          <w:spacing w:val="-4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．藿香正气丸治疗急性肠胃炎的临床疗效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］</w:t>
      </w:r>
      <w:r>
        <w:rPr>
          <w:rFonts w:ascii="FangSong" w:hAnsi="FangSong" w:eastAsia="FangSong" w:cs="FangSong"/>
          <w:sz w:val="17"/>
          <w:szCs w:val="17"/>
          <w:color w:val="231F20"/>
          <w:spacing w:val="1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中国卫生标准管理，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11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4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131</w:t>
      </w:r>
      <w:r>
        <w:rPr>
          <w:sz w:val="17"/>
          <w:szCs w:val="17"/>
          <w:color w:val="231F20"/>
          <w:spacing w:val="-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133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631" w:right="63" w:hanging="514"/>
        <w:spacing w:before="49" w:line="271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9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］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方雯雯，王旭东，吴朝霞，等</w:t>
      </w:r>
      <w:r>
        <w:rPr>
          <w:rFonts w:ascii="FangSong" w:hAnsi="FangSong" w:eastAsia="FangSong" w:cs="FangSong"/>
          <w:sz w:val="17"/>
          <w:szCs w:val="17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．益坤消痞汤治疗急性肠胃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炎的临床观察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J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中国中医急症，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2023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32</w:t>
      </w:r>
      <w:r>
        <w:rPr>
          <w:rFonts w:ascii="FangSong" w:hAnsi="FangSong" w:eastAsia="FangSong" w:cs="FangSong"/>
          <w:sz w:val="17"/>
          <w:szCs w:val="17"/>
          <w:color w:val="231F20"/>
          <w:spacing w:val="-2"/>
        </w:rPr>
        <w:t>（</w:t>
      </w:r>
      <w:r>
        <w:rPr>
          <w:rFonts w:ascii="FangSong" w:hAnsi="FangSong" w:eastAsia="FangSong" w:cs="FangSong"/>
          <w:sz w:val="17"/>
          <w:szCs w:val="17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）：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1810</w:t>
      </w:r>
      <w:r>
        <w:rPr>
          <w:sz w:val="17"/>
          <w:szCs w:val="17"/>
          <w:color w:val="231F20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1813</w:t>
      </w:r>
      <w:r>
        <w:rPr>
          <w:rFonts w:ascii="FangSong" w:hAnsi="FangSong" w:eastAsia="FangSong" w:cs="FangSong"/>
          <w:sz w:val="17"/>
          <w:szCs w:val="17"/>
          <w:color w:val="231F20"/>
        </w:rPr>
        <w:t>．</w:t>
      </w:r>
    </w:p>
    <w:p>
      <w:pPr>
        <w:pStyle w:val="BodyText"/>
        <w:ind w:left="625" w:right="63" w:hanging="508"/>
        <w:spacing w:before="73" w:line="28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10</w:t>
      </w:r>
      <w:r>
        <w:rPr>
          <w:rFonts w:ascii="SimSun" w:hAnsi="SimSun" w:eastAsia="SimSun" w:cs="SimSun"/>
          <w:sz w:val="17"/>
          <w:szCs w:val="17"/>
          <w:color w:val="231F20"/>
        </w:rPr>
        <w:t>］</w:t>
      </w:r>
      <w:r>
        <w:rPr>
          <w:rFonts w:ascii="FangSong" w:hAnsi="FangSong" w:eastAsia="FangSong" w:cs="FangSong"/>
          <w:sz w:val="17"/>
          <w:szCs w:val="17"/>
          <w:color w:val="231F20"/>
        </w:rPr>
        <w:t>刘琳．藿香正气散加减联合中药贴敷神</w:t>
      </w:r>
      <w:r>
        <w:rPr>
          <w:rFonts w:ascii="FangSong" w:hAnsi="FangSong" w:eastAsia="FangSong" w:cs="FangSong"/>
          <w:sz w:val="17"/>
          <w:szCs w:val="17"/>
          <w:color w:val="231F20"/>
          <w:spacing w:val="-1"/>
        </w:rPr>
        <w:t>阙穴对急性肠胃炎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患者炎症因子水平的影响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rFonts w:ascii="SimSun" w:hAnsi="SimSun" w:eastAsia="SimSun" w:cs="SimSun"/>
          <w:sz w:val="17"/>
          <w:szCs w:val="17"/>
          <w:color w:val="231F20"/>
        </w:rPr>
        <w:t>］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</w:rPr>
        <w:t>．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中国民间疗法，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2022</w:t>
      </w:r>
      <w:r>
        <w:rPr>
          <w:rFonts w:ascii="FangSong" w:hAnsi="FangSong" w:eastAsia="FangSong" w:cs="FangSong"/>
          <w:sz w:val="17"/>
          <w:szCs w:val="17"/>
          <w:color w:val="231F20"/>
          <w:spacing w:val="2"/>
        </w:rPr>
        <w:t>，</w:t>
      </w:r>
      <w:r>
        <w:rPr>
          <w:rFonts w:ascii="FangSong" w:hAnsi="FangSong" w:eastAsia="FangSong" w:cs="FangSong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30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（</w:t>
      </w:r>
      <w:r>
        <w:rPr>
          <w:rFonts w:ascii="FangSong" w:hAnsi="FangSong" w:eastAsia="FangSong" w:cs="FangSong"/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color w:val="231F20"/>
          <w:spacing w:val="-6"/>
        </w:rPr>
        <w:t>）：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86</w:t>
      </w:r>
      <w:r>
        <w:rPr>
          <w:sz w:val="17"/>
          <w:szCs w:val="17"/>
          <w:color w:val="231F20"/>
          <w:spacing w:val="-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88</w:t>
      </w:r>
      <w:r>
        <w:rPr>
          <w:rFonts w:ascii="FangSong" w:hAnsi="FangSong" w:eastAsia="FangSong" w:cs="FangSong"/>
          <w:sz w:val="17"/>
          <w:szCs w:val="17"/>
          <w:color w:val="231F20"/>
          <w:spacing w:val="-4"/>
        </w:rPr>
        <w:t>．</w:t>
      </w:r>
    </w:p>
    <w:p>
      <w:pPr>
        <w:ind w:left="631"/>
        <w:spacing w:before="40" w:line="23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*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通讯作者：多杰才让</w:t>
      </w:r>
    </w:p>
    <w:p>
      <w:pPr>
        <w:spacing w:line="235" w:lineRule="auto"/>
        <w:sectPr>
          <w:type w:val="continuous"/>
          <w:pgSz w:w="11793" w:h="16045"/>
          <w:pgMar w:top="828" w:right="843" w:bottom="353" w:left="0" w:header="520" w:footer="0" w:gutter="0"/>
          <w:cols w:equalWidth="0" w:num="2">
            <w:col w:w="5915" w:space="100"/>
            <w:col w:w="4936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24"/>
        <w:spacing w:before="90" w:line="160" w:lineRule="auto"/>
        <w:rPr>
          <w:rFonts w:ascii="Arial" w:hAnsi="Arial" w:eastAsia="Arial" w:cs="Arial"/>
          <w:sz w:val="18"/>
          <w:szCs w:val="18"/>
        </w:rPr>
      </w:pPr>
      <w:r>
        <w:rPr>
          <w:sz w:val="21"/>
          <w:szCs w:val="21"/>
          <w:color w:val="999999"/>
          <w:spacing w:val="4"/>
        </w:rPr>
        <w:t>中国知网</w:t>
      </w:r>
      <w:r>
        <w:rPr>
          <w:sz w:val="21"/>
          <w:szCs w:val="21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1"/>
          <w:szCs w:val="21"/>
          <w:color w:val="999999"/>
        </w:rPr>
        <w:t>https</w:t>
      </w:r>
      <w:r>
        <w:rPr>
          <w:rFonts w:ascii="Arial" w:hAnsi="Arial" w:eastAsia="Arial" w:cs="Arial"/>
          <w:sz w:val="21"/>
          <w:szCs w:val="21"/>
          <w:color w:val="999999"/>
          <w:spacing w:val="4"/>
        </w:rPr>
        <w:t>:</w:t>
      </w:r>
      <w:r>
        <w:rPr>
          <w:sz w:val="21"/>
          <w:szCs w:val="21"/>
        </w:rPr>
        <w:drawing>
          <wp:inline distT="0" distB="0" distL="0" distR="0">
            <wp:extent cx="44534" cy="10972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34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44534" cy="10972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34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999999"/>
        </w:rPr>
        <w:t>WWW</w:t>
      </w:r>
      <w:r>
        <w:rPr>
          <w:rFonts w:ascii="Arial" w:hAnsi="Arial" w:eastAsia="Arial" w:cs="Arial"/>
          <w:sz w:val="21"/>
          <w:szCs w:val="21"/>
          <w:color w:val="999999"/>
          <w:spacing w:val="4"/>
        </w:rPr>
        <w:t>.</w:t>
      </w:r>
      <w:r>
        <w:rPr>
          <w:rFonts w:ascii="Arial" w:hAnsi="Arial" w:eastAsia="Arial" w:cs="Arial"/>
          <w:sz w:val="21"/>
          <w:szCs w:val="21"/>
          <w:color w:val="999999"/>
        </w:rPr>
        <w:t>cnki</w:t>
      </w:r>
      <w:r>
        <w:rPr>
          <w:rFonts w:ascii="Arial" w:hAnsi="Arial" w:eastAsia="Arial" w:cs="Arial"/>
          <w:sz w:val="21"/>
          <w:szCs w:val="21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1"/>
          <w:szCs w:val="21"/>
          <w:color w:val="999999"/>
          <w:spacing w:val="4"/>
        </w:rPr>
        <w:t>.</w:t>
      </w:r>
      <w:r>
        <w:rPr>
          <w:rFonts w:ascii="Arial" w:hAnsi="Arial" w:eastAsia="Arial" w:cs="Arial"/>
          <w:sz w:val="21"/>
          <w:szCs w:val="21"/>
          <w:color w:val="999999"/>
          <w:spacing w:val="-32"/>
        </w:rPr>
        <w:t xml:space="preserve"> </w:t>
      </w:r>
      <w:r>
        <w:rPr>
          <w:rFonts w:ascii="Arial" w:hAnsi="Arial" w:eastAsia="Arial" w:cs="Arial"/>
          <w:sz w:val="21"/>
          <w:szCs w:val="21"/>
          <w:color w:val="999999"/>
        </w:rPr>
        <w:t>net</w:t>
      </w:r>
      <w:r>
        <w:rPr>
          <w:rFonts w:ascii="Arial" w:hAnsi="Arial" w:eastAsia="Arial" w:cs="Arial"/>
          <w:sz w:val="21"/>
          <w:szCs w:val="21"/>
          <w:color w:val="999999"/>
          <w:spacing w:val="4"/>
        </w:rPr>
        <w:t xml:space="preserve">                                            </w:t>
      </w:r>
      <w:r>
        <w:rPr>
          <w:rFonts w:ascii="Arial" w:hAnsi="Arial" w:eastAsia="Arial" w:cs="Arial"/>
          <w:sz w:val="21"/>
          <w:szCs w:val="21"/>
          <w:color w:val="999999"/>
          <w:spacing w:val="3"/>
        </w:rPr>
        <w:t xml:space="preserve">                     </w:t>
      </w:r>
      <w:r>
        <w:rPr>
          <w:rFonts w:ascii="Arial" w:hAnsi="Arial" w:eastAsia="Arial" w:cs="Arial"/>
          <w:sz w:val="21"/>
          <w:szCs w:val="21"/>
          <w:color w:val="BCBDC0"/>
        </w:rPr>
        <w:t>RENOWNED</w:t>
      </w:r>
      <w:r>
        <w:rPr>
          <w:rFonts w:ascii="Arial" w:hAnsi="Arial" w:eastAsia="Arial" w:cs="Arial"/>
          <w:sz w:val="21"/>
          <w:szCs w:val="21"/>
          <w:color w:val="BCBDC0"/>
          <w:spacing w:val="3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580652" cy="9714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652" cy="9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color w:val="BCBDC0"/>
          <w:spacing w:val="10"/>
        </w:rPr>
        <w:t xml:space="preserve">  </w:t>
      </w:r>
      <w:r>
        <w:rPr>
          <w:rFonts w:ascii="Arial" w:hAnsi="Arial" w:eastAsia="Arial" w:cs="Arial"/>
          <w:sz w:val="21"/>
          <w:szCs w:val="21"/>
          <w:color w:val="BDBEC1"/>
        </w:rPr>
        <w:t>E</w:t>
      </w:r>
      <w:r>
        <w:rPr>
          <w:rFonts w:ascii="Arial" w:hAnsi="Arial" w:eastAsia="Arial" w:cs="Arial"/>
          <w:sz w:val="21"/>
          <w:szCs w:val="21"/>
          <w:color w:val="BDBEC1"/>
          <w:spacing w:val="2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</w:rPr>
        <w:t>I</w:t>
      </w:r>
      <w:r>
        <w:rPr>
          <w:rFonts w:ascii="Arial" w:hAnsi="Arial" w:eastAsia="Arial" w:cs="Arial"/>
          <w:sz w:val="21"/>
          <w:szCs w:val="21"/>
          <w:color w:val="231F20"/>
          <w:spacing w:val="3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035</w:t>
      </w:r>
    </w:p>
    <w:sectPr>
      <w:type w:val="continuous"/>
      <w:pgSz w:w="11793" w:h="16045"/>
      <w:pgMar w:top="828" w:right="843" w:bottom="353" w:left="0" w:header="520" w:footer="0" w:gutter="0"/>
      <w:cols w:equalWidth="0" w:num="1">
        <w:col w:w="109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1" w:lineRule="auto"/>
      <w:rPr>
        <w:sz w:val="18"/>
        <w:szCs w:val="18"/>
      </w:rPr>
    </w:pPr>
    <w:r>
      <w:rPr>
        <w:rFonts w:ascii="Arial" w:hAnsi="Arial" w:eastAsia="Arial" w:cs="Arial"/>
        <w:sz w:val="18"/>
        <w:szCs w:val="18"/>
        <w:color w:val="231F20"/>
        <w:position w:val="-4"/>
      </w:rPr>
      <w:drawing>
        <wp:inline distT="0" distB="0" distL="0" distR="0">
          <wp:extent cx="276859" cy="145085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76859" cy="145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8"/>
        <w:szCs w:val="18"/>
        <w:color w:val="231F20"/>
        <w:spacing w:val="4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-3"/>
      </w:rPr>
      <w:t>034</w:t>
    </w:r>
    <w:r>
      <w:rPr>
        <w:rFonts w:ascii="Arial" w:hAnsi="Arial" w:eastAsia="Arial" w:cs="Arial"/>
        <w:sz w:val="18"/>
        <w:szCs w:val="18"/>
        <w:color w:val="231F20"/>
        <w:spacing w:val="8"/>
      </w:rPr>
      <w:t xml:space="preserve">   </w:t>
    </w:r>
    <w:r>
      <w:rPr>
        <w:sz w:val="18"/>
        <w:szCs w:val="18"/>
        <w:position w:val="-5"/>
      </w:rPr>
      <w:drawing>
        <wp:inline distT="0" distB="0" distL="0" distR="0">
          <wp:extent cx="1705444" cy="134112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05444" cy="134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8" w:line="181" w:lineRule="auto"/>
      <w:rPr/>
    </w:pPr>
    <w:r>
      <w:rPr>
        <w:color w:val="AAABAF"/>
        <w:position w:val="3"/>
      </w:rPr>
      <w:drawing>
        <wp:inline distT="0" distB="0" distL="0" distR="0">
          <wp:extent cx="197997" cy="66002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7997" cy="660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AAABAF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AAABAF"/>
        <w:spacing w:val="-2"/>
      </w:rPr>
      <w:t>全科论著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1.xml"/><Relationship Id="rId7" Type="http://schemas.openxmlformats.org/officeDocument/2006/relationships/header" Target="header2.xml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11.jpe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2025-03-10T09:43:37Z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2025-10-28T21:31:22</vt:filetime>
  </property>
</Properties>
</file>