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16"/>
        <w:spacing w:before="69" w:line="249" w:lineRule="auto"/>
        <w:rPr>
          <w:rFonts w:ascii="Times New Roman" w:hAnsi="Times New Roman" w:eastAsia="Times New Roman" w:cs="Times New Roman"/>
        </w:rPr>
      </w:pPr>
      <w:r>
        <w:rPr>
          <w:sz w:val="20"/>
          <w:szCs w:val="20"/>
          <w:color w:val="231F20"/>
          <w:position w:val="-8"/>
        </w:rPr>
        <w:t>·</w:t>
      </w:r>
      <w:r>
        <w:rPr>
          <w:sz w:val="20"/>
          <w:szCs w:val="20"/>
          <w:color w:val="231F20"/>
          <w:spacing w:val="-27"/>
          <w:position w:val="-8"/>
        </w:rPr>
        <w:t xml:space="preserve"> </w:t>
      </w:r>
      <w:r>
        <w:rPr>
          <w:sz w:val="20"/>
          <w:szCs w:val="20"/>
          <w:color w:val="231F20"/>
          <w:position w:val="-8"/>
        </w:rPr>
        <w:t>528</w:t>
      </w:r>
      <w:r>
        <w:rPr>
          <w:sz w:val="20"/>
          <w:szCs w:val="20"/>
          <w:color w:val="231F20"/>
          <w:spacing w:val="48"/>
          <w:position w:val="-8"/>
        </w:rPr>
        <w:t xml:space="preserve"> </w:t>
      </w:r>
      <w:r>
        <w:rPr>
          <w:sz w:val="20"/>
          <w:szCs w:val="20"/>
          <w:color w:val="231F20"/>
          <w:position w:val="-8"/>
        </w:rPr>
        <w:t>·                    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中国冶金工业医学杂志   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2023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年第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40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卷第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11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5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期   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Chin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Med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J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Metall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Indus,October.2023,Vol.40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No.5</w:t>
      </w:r>
    </w:p>
    <w:p>
      <w:pPr>
        <w:ind w:left="397"/>
        <w:spacing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DOI:10.13586/j.cnki.yjyx1984.2023.05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.077</w:t>
      </w:r>
    </w:p>
    <w:p>
      <w:pPr>
        <w:pStyle w:val="BodyText"/>
        <w:ind w:left="954"/>
        <w:spacing w:before="54" w:line="217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17"/>
        </w:rPr>
        <w:t>支持性心理干预对急性肠胃炎患者心理状态及应激水平的影响*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5274"/>
        <w:spacing w:before="62" w:line="256" w:lineRule="exact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4"/>
          <w:position w:val="1"/>
        </w:rPr>
        <w:t>张静</w:t>
      </w:r>
    </w:p>
    <w:p>
      <w:pPr>
        <w:ind w:left="2691"/>
        <w:spacing w:before="49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3"/>
        </w:rPr>
        <w:t>大连大学附属中山医院肝胆胰腹腔镜外科，辽宁</w:t>
      </w:r>
      <w:r>
        <w:rPr>
          <w:rFonts w:ascii="KaiTi" w:hAnsi="KaiTi" w:eastAsia="KaiTi" w:cs="KaiTi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>大连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3"/>
        </w:rPr>
        <w:t>116000</w:t>
      </w:r>
    </w:p>
    <w:p>
      <w:pPr>
        <w:spacing w:before="77"/>
        <w:rPr/>
      </w:pPr>
      <w:r/>
    </w:p>
    <w:p>
      <w:pPr>
        <w:sectPr>
          <w:headerReference w:type="default" r:id="rId1"/>
          <w:pgSz w:w="11906" w:h="16838"/>
          <w:pgMar w:top="400" w:right="957" w:bottom="0" w:left="407" w:header="0" w:footer="0" w:gutter="0"/>
          <w:cols w:equalWidth="0" w:num="1">
            <w:col w:w="10541" w:space="0"/>
          </w:cols>
        </w:sectPr>
        <w:rPr/>
      </w:pPr>
    </w:p>
    <w:p>
      <w:pPr>
        <w:pStyle w:val="BodyText"/>
        <w:ind w:left="445" w:right="292" w:firstLine="354"/>
        <w:spacing w:before="35" w:line="326" w:lineRule="auto"/>
        <w:jc w:val="both"/>
        <w:rPr/>
      </w:pPr>
      <w:r>
        <w:rPr>
          <w:color w:val="231F20"/>
          <w:spacing w:val="17"/>
        </w:rPr>
        <w:t>急性肠胃炎起病急骤，患者易产生不同程度的负面情绪及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心理应激反应，因此，支持性心理干预具有重要意义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。本文观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察支持性心理干预对急性肠胃炎患者心理状态及应激水平的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影响，报告如下。</w:t>
      </w:r>
    </w:p>
    <w:p>
      <w:pPr>
        <w:ind w:left="459"/>
        <w:spacing w:before="102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资料与方法</w:t>
      </w:r>
    </w:p>
    <w:p>
      <w:pPr>
        <w:pStyle w:val="BodyText"/>
        <w:ind w:left="444" w:right="231" w:firstLine="16"/>
        <w:spacing w:before="163" w:line="317" w:lineRule="auto"/>
        <w:rPr/>
      </w:pPr>
      <w:r>
        <w:rPr>
          <w:color w:val="231F20"/>
          <w:spacing w:val="11"/>
        </w:rPr>
        <w:t>1.1  临床资料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11"/>
        </w:rPr>
        <w:t>选取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2020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8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月—2021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年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7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月本院就诊</w:t>
      </w:r>
      <w:r>
        <w:rPr>
          <w:color w:val="231F20"/>
          <w:spacing w:val="10"/>
        </w:rPr>
        <w:t>的94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例急性肠胃炎患者，均符合急性肠胃炎的诊断标准，依从性良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3"/>
        </w:rPr>
        <w:t>好，签署知情同意书，资料完整，本研究经院伦理委员会批准。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6"/>
        </w:rPr>
        <w:t>排除合并严重多脏器基础疾病，精神障碍，退出研究者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。采用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数字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9"/>
        </w:rPr>
        <w:t>随机法将其分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9"/>
        </w:rPr>
        <w:t>为对照组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9"/>
        </w:rPr>
        <w:t>与观察组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9"/>
        </w:rPr>
        <w:t>，每组各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9"/>
        </w:rPr>
        <w:t>47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9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9"/>
        </w:rPr>
        <w:t>。对照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组：男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27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例、女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20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例，年龄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25～57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5"/>
        </w:rPr>
        <w:t>岁、平均（40.19±3.06）岁，病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程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3～12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h、平均（7.69±0.84）h；观察组：男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25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例、女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22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例，</w:t>
      </w:r>
      <w:r>
        <w:rPr>
          <w:color w:val="231F20"/>
          <w:spacing w:val="-6"/>
        </w:rPr>
        <w:t>年龄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25～58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5"/>
        </w:rPr>
        <w:t>岁、平均（40.23±3.04）岁，病程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3～13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h、平均病程（7.67±</w:t>
      </w:r>
    </w:p>
    <w:p>
      <w:pPr>
        <w:pStyle w:val="BodyText"/>
        <w:ind w:left="445" w:right="241" w:firstLine="1"/>
        <w:spacing w:before="56" w:line="268" w:lineRule="auto"/>
        <w:rPr/>
      </w:pPr>
      <w:r>
        <w:rPr>
          <w:color w:val="231F20"/>
          <w:spacing w:val="8"/>
        </w:rPr>
        <w:t>0.85）h。两组的一般资料比较，差异无统计学意义（</w:t>
      </w:r>
      <w:r>
        <w:rPr>
          <w:sz w:val="17"/>
          <w:szCs w:val="17"/>
          <w:i/>
          <w:iCs/>
          <w:color w:val="231F20"/>
          <w:spacing w:val="8"/>
        </w:rPr>
        <w:t>P</w:t>
      </w:r>
      <w:r>
        <w:rPr>
          <w:color w:val="231F20"/>
          <w:spacing w:val="8"/>
        </w:rPr>
        <w:t>＞0.05</w:t>
      </w:r>
      <w:r>
        <w:rPr>
          <w:color w:val="231F20"/>
          <w:spacing w:val="-33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具有可比性。</w:t>
      </w:r>
    </w:p>
    <w:p>
      <w:pPr>
        <w:pStyle w:val="BodyText"/>
        <w:ind w:left="444" w:right="231" w:firstLine="16"/>
        <w:spacing w:before="81" w:line="320" w:lineRule="auto"/>
        <w:rPr/>
      </w:pPr>
      <w:r>
        <w:rPr>
          <w:color w:val="231F20"/>
          <w:spacing w:val="9"/>
        </w:rPr>
        <w:t>1.2  方法  对照组实施常规护理，具体如下</w:t>
      </w:r>
      <w:r>
        <w:rPr>
          <w:color w:val="231F20"/>
          <w:spacing w:val="-31"/>
          <w:w w:val="73"/>
        </w:rPr>
        <w:t>：（</w:t>
      </w:r>
      <w:r>
        <w:rPr>
          <w:color w:val="231F20"/>
          <w:spacing w:val="9"/>
        </w:rPr>
        <w:t>1）生活护理。协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助患者进行日常活动，呕吐时协助其坐起或侧卧，头偏向一侧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以免发生误吸；吐毕给予漱口并更换污染衣物、被褥，开窗通风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以去除异味。（2）用药指导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。遵医嘱使用抗生素，维持静脉营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养，纠正水、电解质及酸碱紊乱。（3）心理</w:t>
      </w:r>
      <w:r>
        <w:rPr>
          <w:color w:val="231F20"/>
          <w:spacing w:val="6"/>
        </w:rPr>
        <w:t>护理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6"/>
        </w:rPr>
        <w:t>。耐心解答患者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及家属疑问，指导患者采用深呼吸、转移注意力等方法以减少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呕吐。（4）病情观察。密切关注患者的生命体征、皮</w:t>
      </w:r>
      <w:r>
        <w:rPr>
          <w:color w:val="231F20"/>
          <w:spacing w:val="7"/>
        </w:rPr>
        <w:t>肤的弹性及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温湿度、呕吐物及粪便的性状等。（5）饮食护理。根</w:t>
      </w:r>
      <w:r>
        <w:rPr>
          <w:color w:val="231F20"/>
          <w:spacing w:val="7"/>
        </w:rPr>
        <w:t>据症状轻重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缓急选择合适饮食，病情缓解后由流食逐步恢复至正常饮食。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7"/>
        </w:rPr>
        <w:t>观察组在对照组的基础上实施支持性心理干预，与患者建立良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好的护患关系，然后实施支持性心理干预</w:t>
      </w:r>
      <w:r>
        <w:rPr>
          <w:color w:val="231F20"/>
          <w:spacing w:val="-31"/>
          <w:w w:val="72"/>
        </w:rPr>
        <w:t>：（</w:t>
      </w:r>
      <w:r>
        <w:rPr>
          <w:color w:val="231F20"/>
          <w:spacing w:val="14"/>
        </w:rPr>
        <w:t>1）耐心倾听。在安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静的会谈环境中引导患者倾诉其内心的痛苦与烦恼，了解其目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前存在的心理问题及产生的原因，实施解决问题的方法</w:t>
      </w:r>
      <w:r>
        <w:rPr>
          <w:color w:val="231F20"/>
          <w:spacing w:val="7"/>
        </w:rPr>
        <w:t>。（2）支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持与鼓励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。针对患者的消极、悲观心态给予支持与鼓励，结合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患者的实际情况提高其治疗信心，使患者感受到来自外界的支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持。（3）说明与指导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。采用通俗易懂的语言向患者讲解疾病相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关知识，纠正其错误认知，将指导内容制定成学习手册并分发。</w:t>
      </w:r>
    </w:p>
    <w:p>
      <w:pPr>
        <w:pStyle w:val="BodyText"/>
        <w:ind w:left="443" w:right="292" w:hanging="63"/>
        <w:spacing w:before="82" w:line="322" w:lineRule="auto"/>
        <w:jc w:val="both"/>
        <w:rPr/>
      </w:pPr>
      <w:r>
        <w:rPr>
          <w:color w:val="231F20"/>
          <w:spacing w:val="21"/>
        </w:rPr>
        <w:t>（4）培养信心及希望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1"/>
        </w:rPr>
        <w:t>。指出患者的优点及自身解决问题的能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力，并给予支持。（5）调整对应激的看法。帮助患者</w:t>
      </w:r>
      <w:r>
        <w:rPr>
          <w:color w:val="231F20"/>
          <w:spacing w:val="7"/>
        </w:rPr>
        <w:t>对起病急骤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的急性肠胃炎进行重新评估及了解。（6）控制及训练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。采用想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象放松训练、强化训练、角色扮演等方法对患者进行针对性的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自我管理训练。（7）资源利用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。鼓励患者利用其社会支持资源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解决自身问题。（8）避免依赖心理。避免过度安慰及</w:t>
      </w:r>
      <w:r>
        <w:rPr>
          <w:color w:val="231F20"/>
          <w:spacing w:val="7"/>
        </w:rPr>
        <w:t>支持，强调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患者的主动性及实践能力，检查其理解及执行情况。（</w:t>
      </w:r>
      <w:r>
        <w:rPr>
          <w:color w:val="231F20"/>
          <w:spacing w:val="7"/>
        </w:rPr>
        <w:t>9）生活护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理。建议患者戒烟戒酒、少食多餐，禁食辛辣油炸食品，避免熬</w:t>
      </w:r>
    </w:p>
    <w:p>
      <w:pPr>
        <w:spacing w:line="326" w:lineRule="auto"/>
        <w:rPr>
          <w:rFonts w:ascii="Arial"/>
          <w:sz w:val="21"/>
        </w:rPr>
      </w:pPr>
      <w:r>
        <w:pict>
          <v:shape id="_x0000_s4" style="position:absolute;margin-left:22.3039pt;margin-top:16.6927pt;mso-position-vertical-relative:text;mso-position-horizontal-relative:text;width:70.9pt;height:0.4pt;z-index:251658240;" filled="false" strokecolor="#231F20" strokeweight="0.37pt" coordsize="1418,8" coordorigin="0,0" path="m0,3l1417,3e">
            <v:stroke joinstyle="miter" miterlimit="4"/>
          </v:shape>
        </w:pict>
      </w:r>
      <w:r/>
    </w:p>
    <w:p>
      <w:pPr>
        <w:ind w:left="1163" w:right="928" w:hanging="712"/>
        <w:spacing w:before="65" w:line="234" w:lineRule="auto"/>
        <w:rPr>
          <w:rFonts w:ascii="KaiTi" w:hAnsi="KaiTi" w:eastAsia="KaiTi" w:cs="KaiTi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7"/>
        </w:rPr>
        <w:t>*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基金项目：</w:t>
      </w:r>
      <w:r>
        <w:rPr>
          <w:rFonts w:ascii="KaiTi" w:hAnsi="KaiTi" w:eastAsia="KaiTi" w:cs="KaiTi"/>
          <w:sz w:val="15"/>
          <w:szCs w:val="15"/>
          <w:color w:val="231F20"/>
          <w:spacing w:val="7"/>
        </w:rPr>
        <w:t>大连市登峰计划医学重点专科建设项目</w:t>
      </w:r>
      <w:r>
        <w:rPr>
          <w:rFonts w:ascii="KaiTi" w:hAnsi="KaiTi" w:eastAsia="KaiTi" w:cs="KaiTi"/>
          <w:sz w:val="15"/>
          <w:szCs w:val="15"/>
          <w:color w:val="231F20"/>
          <w:spacing w:val="6"/>
        </w:rPr>
        <w:t>经费资助</w:t>
      </w:r>
      <w:r>
        <w:rPr>
          <w:rFonts w:ascii="KaiTi" w:hAnsi="KaiTi" w:eastAsia="KaiTi" w:cs="KaiTi"/>
          <w:sz w:val="15"/>
          <w:szCs w:val="15"/>
          <w:color w:val="231F20"/>
        </w:rPr>
        <w:t xml:space="preserve"> </w:t>
      </w:r>
      <w:r>
        <w:rPr>
          <w:rFonts w:ascii="KaiTi" w:hAnsi="KaiTi" w:eastAsia="KaiTi" w:cs="KaiTi"/>
          <w:sz w:val="15"/>
          <w:szCs w:val="15"/>
          <w:color w:val="231F20"/>
          <w:spacing w:val="-9"/>
        </w:rPr>
        <w:t>［大卫发（2021）243</w:t>
      </w:r>
      <w:r>
        <w:rPr>
          <w:rFonts w:ascii="KaiTi" w:hAnsi="KaiTi" w:eastAsia="KaiTi" w:cs="KaiTi"/>
          <w:sz w:val="15"/>
          <w:szCs w:val="15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5"/>
          <w:szCs w:val="15"/>
          <w:color w:val="231F20"/>
          <w:spacing w:val="-9"/>
        </w:rPr>
        <w:t>号］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4"/>
        <w:spacing w:before="32" w:line="229" w:lineRule="auto"/>
        <w:rPr/>
      </w:pPr>
      <w:r>
        <w:rPr>
          <w:color w:val="231F20"/>
          <w:spacing w:val="9"/>
        </w:rPr>
        <w:t>夜等；建议失眠者适当运动。</w:t>
      </w:r>
    </w:p>
    <w:p>
      <w:pPr>
        <w:pStyle w:val="BodyText"/>
        <w:ind w:left="63" w:right="12" w:firstLine="16"/>
        <w:spacing w:before="84" w:line="313" w:lineRule="auto"/>
        <w:rPr/>
      </w:pPr>
      <w:r>
        <w:rPr>
          <w:color w:val="231F20"/>
          <w:spacing w:val="13"/>
        </w:rPr>
        <w:t>1.3  观察指标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3"/>
        </w:rPr>
        <w:t>（1）比较两组临床症状消失时间及住院时间，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临床症状根据《临床症状转归依据》评估。（2）比较</w:t>
      </w:r>
      <w:r>
        <w:rPr>
          <w:color w:val="231F20"/>
          <w:spacing w:val="7"/>
        </w:rPr>
        <w:t>两组干预前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后的心理状态及心理应激水平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3"/>
        </w:rPr>
        <w:t>。心理状态采用汉</w:t>
      </w:r>
      <w:r>
        <w:rPr>
          <w:color w:val="231F20"/>
          <w:spacing w:val="22"/>
        </w:rPr>
        <w:t>密顿焦虑量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表（</w:t>
      </w:r>
      <w:r>
        <w:rPr>
          <w:color w:val="231F20"/>
        </w:rPr>
        <w:t>HAMA</w:t>
      </w:r>
      <w:r>
        <w:rPr>
          <w:color w:val="231F20"/>
          <w:spacing w:val="20"/>
        </w:rPr>
        <w:t>）及汉密顿抑郁量表（</w:t>
      </w:r>
      <w:r>
        <w:rPr>
          <w:color w:val="231F20"/>
        </w:rPr>
        <w:t>HAMD</w:t>
      </w:r>
      <w:r>
        <w:rPr>
          <w:color w:val="231F20"/>
          <w:spacing w:val="20"/>
        </w:rPr>
        <w:t>）进行评估，分数越低焦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虑、抑郁程度越低，心理状态越好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。心理应激水平采用斯坦福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急性应激反应问卷（</w:t>
      </w:r>
      <w:r>
        <w:rPr>
          <w:color w:val="231F20"/>
        </w:rPr>
        <w:t>SASRQ</w:t>
      </w:r>
      <w:r>
        <w:rPr>
          <w:color w:val="231F20"/>
          <w:spacing w:val="15"/>
        </w:rPr>
        <w:t>）进行评估，分数越高急性应激障碍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越严重。（3）采用本院自制满意度调查问卷进行护</w:t>
      </w:r>
      <w:r>
        <w:rPr>
          <w:color w:val="231F20"/>
          <w:spacing w:val="13"/>
        </w:rPr>
        <w:t>理满意度调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查，分数越高满意度越高。</w:t>
      </w:r>
    </w:p>
    <w:p>
      <w:pPr>
        <w:pStyle w:val="BodyText"/>
        <w:ind w:left="79"/>
        <w:spacing w:before="83" w:line="228" w:lineRule="exact"/>
        <w:rPr/>
      </w:pPr>
      <w:r>
        <w:rPr>
          <w:color w:val="231F20"/>
          <w:spacing w:val="10"/>
          <w:position w:val="1"/>
        </w:rPr>
        <w:t>1.4  统计学处理  应用</w:t>
      </w:r>
      <w:r>
        <w:rPr>
          <w:color w:val="231F20"/>
          <w:spacing w:val="-28"/>
          <w:position w:val="1"/>
        </w:rPr>
        <w:t xml:space="preserve"> </w:t>
      </w:r>
      <w:r>
        <w:rPr>
          <w:color w:val="231F20"/>
          <w:position w:val="1"/>
        </w:rPr>
        <w:t>SPSS</w:t>
      </w:r>
      <w:r>
        <w:rPr>
          <w:color w:val="231F20"/>
          <w:spacing w:val="-22"/>
          <w:position w:val="1"/>
        </w:rPr>
        <w:t xml:space="preserve"> </w:t>
      </w:r>
      <w:r>
        <w:rPr>
          <w:color w:val="231F20"/>
          <w:spacing w:val="10"/>
          <w:position w:val="1"/>
        </w:rPr>
        <w:t>24.0</w:t>
      </w:r>
      <w:r>
        <w:rPr>
          <w:color w:val="231F20"/>
          <w:spacing w:val="-43"/>
          <w:position w:val="1"/>
        </w:rPr>
        <w:t xml:space="preserve"> </w:t>
      </w:r>
      <w:r>
        <w:rPr>
          <w:color w:val="231F20"/>
          <w:spacing w:val="10"/>
          <w:position w:val="1"/>
        </w:rPr>
        <w:t>统计学软件处理数据，以</w:t>
      </w:r>
      <w:r>
        <w:rPr>
          <w:color w:val="231F20"/>
          <w:spacing w:val="-32"/>
          <w:position w:val="1"/>
        </w:rPr>
        <w:t xml:space="preserve"> </w:t>
      </w:r>
      <w:r>
        <w:rPr>
          <w:sz w:val="17"/>
          <w:szCs w:val="17"/>
          <w:i/>
          <w:iCs/>
          <w:color w:val="231F20"/>
          <w:spacing w:val="10"/>
          <w:position w:val="1"/>
        </w:rPr>
        <w:t>P</w:t>
      </w:r>
      <w:r>
        <w:rPr>
          <w:color w:val="231F20"/>
          <w:spacing w:val="10"/>
          <w:position w:val="1"/>
        </w:rPr>
        <w:t>&lt;</w:t>
      </w:r>
    </w:p>
    <w:p>
      <w:pPr>
        <w:pStyle w:val="BodyText"/>
        <w:ind w:left="65"/>
        <w:spacing w:before="54" w:line="225" w:lineRule="exact"/>
        <w:rPr/>
      </w:pPr>
      <w:r>
        <w:rPr>
          <w:color w:val="231F20"/>
          <w:spacing w:val="8"/>
          <w:position w:val="1"/>
        </w:rPr>
        <w:t>0.05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spacing w:val="8"/>
          <w:position w:val="1"/>
        </w:rPr>
        <w:t>为差异有统计学意义。</w:t>
      </w:r>
    </w:p>
    <w:p>
      <w:pPr>
        <w:ind w:left="66"/>
        <w:spacing w:before="165" w:line="21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结果</w:t>
      </w:r>
    </w:p>
    <w:p>
      <w:pPr>
        <w:pStyle w:val="BodyText"/>
        <w:ind w:firstLine="66"/>
        <w:spacing w:before="160" w:line="311" w:lineRule="auto"/>
        <w:rPr/>
      </w:pPr>
      <w:r>
        <w:rPr>
          <w:color w:val="231F20"/>
          <w:spacing w:val="18"/>
        </w:rPr>
        <w:t>2.1  两组临床症状消失时间及住院时间比较  观察组与对照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组腹痛消失时间分别为（17.28±4.51）、（22.18±6.35）h，腹泻消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失时间分别为（21.45±4.28）、（28.33±3.16）h，恶心呕吐消失时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别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为（7.38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±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2.01）、（11.58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±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7"/>
        </w:rPr>
        <w:t>2.46）h，住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院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别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（2.47±0.49）、（4.26±1.03）d，观察组临床症状消失及住院时间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均短于对照组，两组比较差异均有统计学意义（</w:t>
      </w:r>
      <w:r>
        <w:rPr>
          <w:sz w:val="17"/>
          <w:szCs w:val="17"/>
          <w:i/>
          <w:iCs/>
          <w:color w:val="231F20"/>
          <w:spacing w:val="5"/>
        </w:rPr>
        <w:t>t</w:t>
      </w:r>
      <w:r>
        <w:rPr>
          <w:color w:val="231F20"/>
          <w:spacing w:val="5"/>
        </w:rPr>
        <w:t>＝7.462、6.283、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7.518、6.836，均</w:t>
      </w:r>
      <w:r>
        <w:rPr>
          <w:color w:val="231F20"/>
          <w:spacing w:val="-31"/>
        </w:rPr>
        <w:t xml:space="preserve"> </w:t>
      </w:r>
      <w:r>
        <w:rPr>
          <w:sz w:val="17"/>
          <w:szCs w:val="17"/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＜0.05）。</w:t>
      </w:r>
    </w:p>
    <w:p>
      <w:pPr>
        <w:pStyle w:val="BodyText"/>
        <w:ind w:left="68" w:right="63" w:hanging="2"/>
        <w:spacing w:before="53" w:line="293" w:lineRule="auto"/>
        <w:rPr/>
      </w:pPr>
      <w:r>
        <w:rPr>
          <w:color w:val="231F20"/>
          <w:spacing w:val="12"/>
        </w:rPr>
        <w:t>2.2  两组干预前后心理状态及心理应激水平比较  干预前，对 </w:t>
      </w:r>
      <w:r>
        <w:rPr>
          <w:color w:val="231F20"/>
          <w:spacing w:val="4"/>
        </w:rPr>
        <w:t>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HAMA</w:t>
      </w:r>
      <w:r>
        <w:rPr>
          <w:color w:val="231F20"/>
          <w:spacing w:val="4"/>
        </w:rPr>
        <w:t>、</w:t>
      </w:r>
      <w:r>
        <w:rPr>
          <w:color w:val="231F20"/>
        </w:rPr>
        <w:t>HAMD</w:t>
      </w:r>
      <w:r>
        <w:rPr>
          <w:color w:val="231F20"/>
          <w:spacing w:val="4"/>
        </w:rPr>
        <w:t>、</w:t>
      </w:r>
      <w:r>
        <w:rPr>
          <w:color w:val="231F20"/>
        </w:rPr>
        <w:t>SASRQ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分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别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为（30.27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±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4"/>
        </w:rPr>
        <w:t>3.14）、（28.75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±</w:t>
      </w:r>
    </w:p>
    <w:p>
      <w:pPr>
        <w:pStyle w:val="BodyText"/>
        <w:ind w:left="66"/>
        <w:spacing w:before="56" w:line="225" w:lineRule="exact"/>
        <w:rPr/>
      </w:pPr>
      <w:r>
        <w:rPr>
          <w:color w:val="231F20"/>
          <w:spacing w:val="-9"/>
          <w:position w:val="1"/>
        </w:rPr>
        <w:t>2.67）、（85.31±4.17）分，观察组分别为（30.29±3.11）、（28.7</w:t>
      </w:r>
      <w:r>
        <w:rPr>
          <w:color w:val="231F20"/>
          <w:spacing w:val="-10"/>
          <w:position w:val="1"/>
        </w:rPr>
        <w:t>3±</w:t>
      </w:r>
    </w:p>
    <w:p>
      <w:pPr>
        <w:pStyle w:val="BodyText"/>
        <w:ind w:left="66"/>
        <w:spacing w:before="57" w:line="228" w:lineRule="exact"/>
        <w:rPr/>
      </w:pPr>
      <w:r>
        <w:rPr>
          <w:color w:val="231F20"/>
          <w:spacing w:val="2"/>
          <w:position w:val="1"/>
        </w:rPr>
        <w:t>2.64）、（85.33±4.15）分</w:t>
      </w:r>
      <w:r>
        <w:rPr>
          <w:color w:val="231F20"/>
          <w:spacing w:val="-38"/>
          <w:position w:val="1"/>
        </w:rPr>
        <w:t xml:space="preserve"> </w:t>
      </w:r>
      <w:r>
        <w:rPr>
          <w:color w:val="231F20"/>
          <w:spacing w:val="2"/>
          <w:position w:val="1"/>
        </w:rPr>
        <w:t>，两组</w:t>
      </w:r>
      <w:r>
        <w:rPr>
          <w:color w:val="231F20"/>
          <w:spacing w:val="-31"/>
          <w:position w:val="1"/>
        </w:rPr>
        <w:t xml:space="preserve"> </w:t>
      </w:r>
      <w:r>
        <w:rPr>
          <w:color w:val="231F20"/>
          <w:spacing w:val="2"/>
          <w:position w:val="1"/>
        </w:rPr>
        <w:t>比较差异均无统计学</w:t>
      </w:r>
      <w:r>
        <w:rPr>
          <w:color w:val="231F20"/>
          <w:spacing w:val="-47"/>
          <w:position w:val="1"/>
        </w:rPr>
        <w:t xml:space="preserve"> </w:t>
      </w:r>
      <w:r>
        <w:rPr>
          <w:color w:val="231F20"/>
          <w:spacing w:val="2"/>
          <w:position w:val="1"/>
        </w:rPr>
        <w:t>意义（</w:t>
      </w:r>
      <w:r>
        <w:rPr>
          <w:sz w:val="17"/>
          <w:szCs w:val="17"/>
          <w:i/>
          <w:iCs/>
          <w:color w:val="231F20"/>
          <w:spacing w:val="2"/>
          <w:position w:val="1"/>
        </w:rPr>
        <w:t>t</w:t>
      </w:r>
      <w:r>
        <w:rPr>
          <w:color w:val="231F20"/>
          <w:spacing w:val="2"/>
          <w:position w:val="1"/>
        </w:rPr>
        <w:t>=</w:t>
      </w:r>
    </w:p>
    <w:p>
      <w:pPr>
        <w:pStyle w:val="BodyText"/>
        <w:ind w:left="65"/>
        <w:spacing w:before="56" w:line="305" w:lineRule="auto"/>
        <w:rPr/>
      </w:pPr>
      <w:r>
        <w:rPr>
          <w:color w:val="231F20"/>
          <w:spacing w:val="3"/>
        </w:rPr>
        <w:t>0.652、1.013、0.583，均</w:t>
      </w:r>
      <w:r>
        <w:rPr>
          <w:color w:val="231F20"/>
          <w:spacing w:val="-31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＞0.05</w:t>
      </w:r>
      <w:r>
        <w:rPr>
          <w:color w:val="231F20"/>
          <w:spacing w:val="-32"/>
          <w:w w:val="74"/>
        </w:rPr>
        <w:t>）；</w:t>
      </w:r>
      <w:r>
        <w:rPr>
          <w:color w:val="231F20"/>
          <w:spacing w:val="3"/>
        </w:rPr>
        <w:t>干预后，对照组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HAMA</w:t>
      </w:r>
      <w:r>
        <w:rPr>
          <w:color w:val="231F20"/>
          <w:spacing w:val="3"/>
        </w:rPr>
        <w:t>、</w:t>
      </w:r>
      <w:r>
        <w:rPr>
          <w:color w:val="231F20"/>
        </w:rPr>
        <w:t>HAMD</w:t>
      </w:r>
      <w:r>
        <w:rPr>
          <w:color w:val="231F20"/>
          <w:spacing w:val="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SASRQ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分别为（14.26±1.25）、</w:t>
      </w:r>
      <w:r>
        <w:rPr>
          <w:color w:val="231F20"/>
          <w:spacing w:val="-7"/>
        </w:rPr>
        <w:t>（14.28±0.58）、（72.37±4.38）分，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观察组分别为（10.17±0.64）、（10.37±0.66）、（49.26±4.19）分。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7"/>
        </w:rPr>
        <w:t>两组干预后的心理状态及心理应激水平均显著低于干预前，且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5"/>
        </w:rPr>
        <w:t>观察组下降均优于对照组，两组比较差异均有统计学意义（</w:t>
      </w:r>
      <w:r>
        <w:rPr>
          <w:sz w:val="17"/>
          <w:szCs w:val="17"/>
          <w:i/>
          <w:iCs/>
          <w:color w:val="231F20"/>
          <w:spacing w:val="15"/>
        </w:rPr>
        <w:t>t</w:t>
      </w:r>
      <w:r>
        <w:rPr>
          <w:color w:val="231F20"/>
          <w:spacing w:val="15"/>
        </w:rPr>
        <w:t>=</w:t>
      </w:r>
    </w:p>
    <w:p>
      <w:pPr>
        <w:pStyle w:val="BodyText"/>
        <w:ind w:left="64"/>
        <w:spacing w:before="53" w:line="229" w:lineRule="exact"/>
        <w:rPr/>
      </w:pPr>
      <w:r>
        <w:rPr>
          <w:color w:val="231F20"/>
          <w:spacing w:val="-12"/>
          <w:position w:val="1"/>
        </w:rPr>
        <w:t>7.836、6.928、7.536，均</w:t>
      </w:r>
      <w:r>
        <w:rPr>
          <w:color w:val="231F20"/>
          <w:spacing w:val="-19"/>
          <w:position w:val="1"/>
        </w:rPr>
        <w:t xml:space="preserve"> </w:t>
      </w:r>
      <w:r>
        <w:rPr>
          <w:sz w:val="17"/>
          <w:szCs w:val="17"/>
          <w:i/>
          <w:iCs/>
          <w:color w:val="231F20"/>
          <w:spacing w:val="-12"/>
          <w:position w:val="1"/>
        </w:rPr>
        <w:t>P</w:t>
      </w:r>
      <w:r>
        <w:rPr>
          <w:color w:val="231F20"/>
          <w:spacing w:val="-12"/>
          <w:position w:val="1"/>
        </w:rPr>
        <w:t>＜0.05）。</w:t>
      </w:r>
    </w:p>
    <w:p>
      <w:pPr>
        <w:pStyle w:val="BodyText"/>
        <w:ind w:right="63" w:firstLine="66"/>
        <w:spacing w:before="55" w:line="309" w:lineRule="auto"/>
        <w:rPr/>
      </w:pPr>
      <w:r>
        <w:rPr>
          <w:color w:val="231F20"/>
          <w:spacing w:val="12"/>
        </w:rPr>
        <w:t>2.3  两组满意度比较  观察组护患沟通、专业技能、人文关怀 </w:t>
      </w:r>
      <w:r>
        <w:rPr>
          <w:color w:val="231F20"/>
          <w:spacing w:val="-8"/>
        </w:rPr>
        <w:t>评分分别为（92.14±6.05）、（91.28±7.21）、（91.16±6.82）分，对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照组分别为（78.27±5.18）、（78.15±6.22）、（77.34±6.13）分，观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9"/>
        </w:rPr>
        <w:t>察组满意度评分均优于对照组，两组比较差异均有统计学意义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（</w:t>
      </w:r>
      <w:r>
        <w:rPr>
          <w:sz w:val="17"/>
          <w:szCs w:val="17"/>
          <w:i/>
          <w:iCs/>
          <w:color w:val="231F20"/>
          <w:spacing w:val="-11"/>
        </w:rPr>
        <w:t>t</w:t>
      </w:r>
      <w:r>
        <w:rPr>
          <w:color w:val="231F20"/>
          <w:spacing w:val="-11"/>
        </w:rPr>
        <w:t>＝7.361、7.824、8.265，均</w:t>
      </w:r>
      <w:r>
        <w:rPr>
          <w:color w:val="231F20"/>
          <w:spacing w:val="-26"/>
        </w:rPr>
        <w:t xml:space="preserve"> </w:t>
      </w:r>
      <w:r>
        <w:rPr>
          <w:sz w:val="17"/>
          <w:szCs w:val="17"/>
          <w:i/>
          <w:iCs/>
          <w:color w:val="231F20"/>
          <w:spacing w:val="-11"/>
        </w:rPr>
        <w:t>P</w:t>
      </w:r>
      <w:r>
        <w:rPr>
          <w:color w:val="231F20"/>
          <w:spacing w:val="-11"/>
        </w:rPr>
        <w:t>＜0.05）。</w:t>
      </w:r>
    </w:p>
    <w:p>
      <w:pPr>
        <w:ind w:left="67"/>
        <w:spacing w:before="160" w:line="215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讨论</w:t>
      </w:r>
    </w:p>
    <w:p>
      <w:pPr>
        <w:pStyle w:val="BodyText"/>
        <w:ind w:left="64" w:right="63" w:firstLine="353"/>
        <w:spacing w:before="160" w:line="326" w:lineRule="auto"/>
        <w:jc w:val="both"/>
        <w:rPr/>
      </w:pPr>
      <w:r>
        <w:rPr>
          <w:color w:val="231F20"/>
          <w:spacing w:val="17"/>
        </w:rPr>
        <w:t>急性肠胃炎的发病率较高且反复发作，患者易出现心情烦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躁及情绪不稳等，而不良情绪会刺激胃肠黏膜，导致治疗不理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想、周期延长</w:t>
      </w:r>
      <w:r>
        <w:rPr>
          <w:sz w:val="8"/>
          <w:szCs w:val="8"/>
          <w:color w:val="231F20"/>
          <w:spacing w:val="11"/>
          <w:position w:val="6"/>
        </w:rPr>
        <w:t>［1-2］</w:t>
      </w:r>
      <w:r>
        <w:rPr>
          <w:color w:val="231F20"/>
          <w:spacing w:val="11"/>
        </w:rPr>
        <w:t>。支持性心理干预是一种基于应激理论指导依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据的心理治疗模式，通过言语手段实施心理支持，从而达到加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强患者精神活动的防御能力，控制和恢复患者对环境适应的目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5"/>
        </w:rPr>
        <w:t>的</w:t>
      </w:r>
      <w:r>
        <w:rPr>
          <w:sz w:val="8"/>
          <w:szCs w:val="8"/>
          <w:color w:val="231F20"/>
          <w:spacing w:val="15"/>
          <w:position w:val="6"/>
        </w:rPr>
        <w:t>［3］</w:t>
      </w:r>
      <w:r>
        <w:rPr>
          <w:color w:val="231F20"/>
          <w:spacing w:val="15"/>
        </w:rPr>
        <w:t>。本文将支持性心理干预应用于急性</w:t>
      </w:r>
      <w:r>
        <w:rPr>
          <w:color w:val="231F20"/>
          <w:spacing w:val="14"/>
        </w:rPr>
        <w:t>肠胃炎患者，以期改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善其心理状态及应激水平，取得了较好的效果。</w:t>
      </w:r>
    </w:p>
    <w:p>
      <w:pPr>
        <w:spacing w:line="326" w:lineRule="auto"/>
        <w:sectPr>
          <w:type w:val="continuous"/>
          <w:pgSz w:w="11906" w:h="16838"/>
          <w:pgMar w:top="400" w:right="957" w:bottom="0" w:left="407" w:header="0" w:footer="0" w:gutter="0"/>
          <w:cols w:equalWidth="0" w:num="2">
            <w:col w:w="5526" w:space="100"/>
            <w:col w:w="4916" w:space="0"/>
          </w:cols>
        </w:sectPr>
        <w:rPr/>
      </w:pP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2"/>
          <w:pgSz w:w="11906" w:h="16838"/>
          <w:pgMar w:top="1553" w:right="790" w:bottom="0" w:left="407" w:header="1230" w:footer="0" w:gutter="0"/>
          <w:cols w:equalWidth="0" w:num="1">
            <w:col w:w="10708" w:space="0"/>
          </w:cols>
        </w:sectPr>
        <w:rPr/>
      </w:pPr>
    </w:p>
    <w:p>
      <w:pPr>
        <w:pStyle w:val="BodyText"/>
        <w:ind w:left="615" w:right="249" w:firstLine="351"/>
        <w:spacing w:before="36" w:line="325" w:lineRule="auto"/>
        <w:jc w:val="both"/>
        <w:rPr/>
      </w:pPr>
      <w:r>
        <w:rPr>
          <w:color w:val="231F20"/>
          <w:spacing w:val="17"/>
        </w:rPr>
        <w:t>本文结果显示，观察组的临床症状消失及住院时间均短于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对照组；两组干预后的心理状态及心理应激水平均显著低于干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预前，且观察组下降均优于对照组；观察组满意度评分均优于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对照组。分析原因：支持性心理干预通过恰当交谈的方法能有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效帮助患者认识问题、改善心境、提高治疗信心，从而改善</w:t>
      </w:r>
      <w:r>
        <w:rPr>
          <w:color w:val="231F20"/>
          <w:spacing w:val="10"/>
        </w:rPr>
        <w:t>治疗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效果、缩短治疗周期；由于急性肠胃炎发病急骤</w:t>
      </w:r>
      <w:r>
        <w:rPr>
          <w:color w:val="231F20"/>
          <w:spacing w:val="12"/>
        </w:rPr>
        <w:t>且复发率较高，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患者常伴随抑郁、焦虑等情绪，产生不同程度的</w:t>
      </w:r>
      <w:r>
        <w:rPr>
          <w:color w:val="231F20"/>
          <w:spacing w:val="12"/>
        </w:rPr>
        <w:t>心理应激反应，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而支持性心理干预通过让患者充分宣泄负面情绪并给予其针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对性的鼓励、支持，使患者能发挥潜在的主观能动性，降低</w:t>
      </w:r>
      <w:r>
        <w:rPr>
          <w:color w:val="231F20"/>
          <w:spacing w:val="10"/>
        </w:rPr>
        <w:t>心理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应激水平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2"/>
        </w:rPr>
        <w:t>。综上所述，对急性肠胃炎患者实施支持性心理干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预，不仅能有效缩短临床症状消失时间及住院时间，且能改善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0"/>
        </w:rPr>
        <w:t>患者的心理状态及应激水平，提高满意度，值得应用。</w:t>
      </w:r>
    </w:p>
    <w:p>
      <w:pPr>
        <w:spacing w:line="6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0"/>
        <w:spacing w:before="168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参考文献</w:t>
      </w:r>
    </w:p>
    <w:p>
      <w:pPr>
        <w:pStyle w:val="BodyText"/>
        <w:ind w:left="482" w:right="12" w:hanging="483"/>
        <w:spacing w:before="197" w:line="31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［1］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16"/>
        </w:rPr>
        <w:t>叶春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FOCUS</w:t>
      </w:r>
      <w:r>
        <w:rPr>
          <w:sz w:val="15"/>
          <w:szCs w:val="15"/>
          <w:color w:val="231F20"/>
          <w:spacing w:val="16"/>
        </w:rPr>
        <w:t>-</w:t>
      </w:r>
      <w:r>
        <w:rPr>
          <w:sz w:val="15"/>
          <w:szCs w:val="15"/>
          <w:color w:val="231F20"/>
        </w:rPr>
        <w:t>PDCA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16"/>
        </w:rPr>
        <w:t>程序配合支持性心理治疗对血</w:t>
      </w:r>
      <w:r>
        <w:rPr>
          <w:sz w:val="15"/>
          <w:szCs w:val="15"/>
          <w:color w:val="231F20"/>
          <w:spacing w:val="15"/>
        </w:rPr>
        <w:t>液透析患者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心理状态、生活质量及并发症的影响［J］.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6"/>
        </w:rPr>
        <w:t>实用医</w:t>
      </w:r>
      <w:r>
        <w:rPr>
          <w:sz w:val="15"/>
          <w:szCs w:val="15"/>
          <w:color w:val="231F20"/>
          <w:spacing w:val="5"/>
        </w:rPr>
        <w:t>院临床杂志，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2019，16（1</w:t>
      </w:r>
      <w:r>
        <w:rPr>
          <w:sz w:val="15"/>
          <w:szCs w:val="15"/>
          <w:color w:val="231F20"/>
          <w:spacing w:val="-28"/>
          <w:w w:val="70"/>
        </w:rPr>
        <w:t>）：</w:t>
      </w:r>
      <w:r>
        <w:rPr>
          <w:sz w:val="15"/>
          <w:szCs w:val="15"/>
          <w:color w:val="231F20"/>
          <w:spacing w:val="-4"/>
        </w:rPr>
        <w:t>55-58.</w:t>
      </w:r>
    </w:p>
    <w:p>
      <w:pPr>
        <w:pStyle w:val="BodyText"/>
        <w:ind w:left="484" w:right="60" w:hanging="484"/>
        <w:spacing w:before="60" w:line="3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［2］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5"/>
        </w:rPr>
        <w:t>李霜，张红娇，刘丽敏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5"/>
        </w:rPr>
        <w:t>支持性心理治疗联合术前访视对胃肠道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恶性肿瘤手术患者焦虑情绪及日常生活的影响［J］.解放军预防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医学杂志，2019，37（7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8"/>
        </w:rPr>
        <w:t>3.</w:t>
      </w:r>
    </w:p>
    <w:p>
      <w:pPr>
        <w:pStyle w:val="BodyText"/>
        <w:ind w:left="420" w:right="60" w:hanging="421"/>
        <w:spacing w:before="70" w:line="3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［3］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5"/>
        </w:rPr>
        <w:t>章益琴，章天天，李晶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5"/>
        </w:rPr>
        <w:t>支持性心理治疗对慢性乙型肝炎患者自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我感受负担及健康相关行为的影响［J］.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"/>
        </w:rPr>
        <w:t>中国医药导报</w:t>
      </w:r>
      <w:r>
        <w:rPr>
          <w:sz w:val="15"/>
          <w:szCs w:val="15"/>
          <w:color w:val="231F20"/>
        </w:rPr>
        <w:t>，2021，18 </w:t>
      </w:r>
      <w:r>
        <w:rPr>
          <w:sz w:val="15"/>
          <w:szCs w:val="15"/>
          <w:color w:val="231F20"/>
          <w:spacing w:val="10"/>
        </w:rPr>
        <w:t>（2</w:t>
      </w:r>
      <w:r>
        <w:rPr>
          <w:sz w:val="15"/>
          <w:szCs w:val="15"/>
          <w:color w:val="231F20"/>
          <w:spacing w:val="-26"/>
          <w:w w:val="65"/>
        </w:rPr>
        <w:t>）：</w:t>
      </w:r>
      <w:r>
        <w:rPr>
          <w:sz w:val="15"/>
          <w:szCs w:val="15"/>
          <w:color w:val="231F20"/>
          <w:spacing w:val="10"/>
        </w:rPr>
        <w:t>4.</w:t>
      </w:r>
    </w:p>
    <w:p>
      <w:pPr>
        <w:pStyle w:val="BodyText"/>
        <w:spacing w:before="55" w:line="21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（收稿日期：</w:t>
      </w:r>
      <w:r>
        <w:rPr>
          <w:sz w:val="15"/>
          <w:szCs w:val="15"/>
          <w:b/>
          <w:bCs/>
          <w:color w:val="231F20"/>
          <w:spacing w:val="-1"/>
        </w:rPr>
        <w:t>2023-06-10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p>
      <w:pPr>
        <w:spacing w:line="211" w:lineRule="auto"/>
        <w:sectPr>
          <w:type w:val="continuous"/>
          <w:pgSz w:w="11906" w:h="16838"/>
          <w:pgMar w:top="1553" w:right="790" w:bottom="0" w:left="407" w:header="1230" w:footer="0" w:gutter="0"/>
          <w:cols w:equalWidth="0" w:num="2">
            <w:col w:w="5703" w:space="100"/>
            <w:col w:w="4905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862"/>
        <w:spacing w:before="100" w:line="217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17"/>
        </w:rPr>
        <w:t>躯干核心肌群训练联合运动想象疗法用于脑卒中偏瘫</w:t>
      </w:r>
    </w:p>
    <w:p>
      <w:pPr>
        <w:pStyle w:val="BodyText"/>
        <w:ind w:left="3991"/>
        <w:spacing w:before="60" w:line="217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17"/>
        </w:rPr>
        <w:t>恢复期患者的效果观察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5327"/>
        <w:spacing w:before="63" w:line="254" w:lineRule="exact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3"/>
          <w:position w:val="1"/>
        </w:rPr>
        <w:t>康欣玲</w:t>
      </w:r>
    </w:p>
    <w:p>
      <w:pPr>
        <w:ind w:left="3991"/>
        <w:spacing w:before="51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1"/>
        </w:rPr>
        <w:t>鞍山市长大医院，辽宁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鞍山</w:t>
      </w:r>
      <w:r>
        <w:rPr>
          <w:rFonts w:ascii="KaiTi" w:hAnsi="KaiTi" w:eastAsia="KaiTi" w:cs="KaiTi"/>
          <w:sz w:val="19"/>
          <w:szCs w:val="19"/>
          <w:color w:val="231F20"/>
          <w:spacing w:val="30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114011</w:t>
      </w:r>
    </w:p>
    <w:p>
      <w:pPr>
        <w:spacing w:before="80"/>
        <w:rPr/>
      </w:pPr>
      <w:r/>
    </w:p>
    <w:p>
      <w:pPr>
        <w:sectPr>
          <w:type w:val="continuous"/>
          <w:pgSz w:w="11906" w:h="16838"/>
          <w:pgMar w:top="1553" w:right="790" w:bottom="0" w:left="407" w:header="1230" w:footer="0" w:gutter="0"/>
          <w:cols w:equalWidth="0" w:num="1">
            <w:col w:w="10708" w:space="0"/>
          </w:cols>
        </w:sectPr>
        <w:rPr/>
      </w:pPr>
    </w:p>
    <w:p>
      <w:pPr>
        <w:pStyle w:val="BodyText"/>
        <w:ind w:left="615" w:right="292" w:firstLine="352"/>
        <w:spacing w:before="32" w:line="328" w:lineRule="auto"/>
        <w:jc w:val="both"/>
        <w:rPr/>
      </w:pPr>
      <w:r>
        <w:rPr>
          <w:color w:val="231F20"/>
          <w:spacing w:val="17"/>
        </w:rPr>
        <w:t>积极开展脑卒中偏瘫恢复期患者的运动功能与平衡机能的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康复训练，有效改善患者的运动能力及提高生存质量，仍是</w:t>
      </w:r>
      <w:r>
        <w:rPr>
          <w:color w:val="231F20"/>
          <w:spacing w:val="10"/>
        </w:rPr>
        <w:t>当前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脑卒中康复的主要目标。本文探讨躯干核心肌群训练联合运动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2"/>
        </w:rPr>
        <w:t>想象疗法用于脑卒中偏瘫恢复期患者的效果，现报告如下。</w:t>
      </w:r>
    </w:p>
    <w:p>
      <w:pPr>
        <w:ind w:left="629"/>
        <w:spacing w:before="104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资料与方法</w:t>
      </w:r>
    </w:p>
    <w:p>
      <w:pPr>
        <w:pStyle w:val="BodyText"/>
        <w:ind w:left="551" w:right="292" w:firstLine="79"/>
        <w:spacing w:before="162" w:line="301" w:lineRule="auto"/>
        <w:rPr/>
      </w:pPr>
      <w:r>
        <w:rPr>
          <w:color w:val="231F20"/>
          <w:spacing w:val="8"/>
        </w:rPr>
        <w:t>1.1  临床资料  选择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2018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8"/>
        </w:rPr>
        <w:t>月—2019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8"/>
        </w:rPr>
        <w:t>8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月我院收治的脑卒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中偏瘫恢复期患者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8"/>
        </w:rPr>
        <w:t>91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8"/>
        </w:rPr>
        <w:t>例，入院时均经颅脑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8"/>
        </w:rPr>
        <w:t>、</w:t>
      </w:r>
      <w:r>
        <w:rPr>
          <w:color w:val="231F20"/>
        </w:rPr>
        <w:t>MRI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8"/>
        </w:rPr>
        <w:t>检查诊断为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脑卒中，临床表现有偏侧肢体麻木无力、运动障碍等，患侧肢体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肌力 </w:t>
      </w:r>
      <w:r>
        <w:rPr>
          <w:rFonts w:ascii="Microsoft YaHei" w:hAnsi="Microsoft YaHei" w:eastAsia="Microsoft YaHei" w:cs="Microsoft YaHei"/>
          <w:color w:val="231F20"/>
          <w:spacing w:val="12"/>
        </w:rPr>
        <w:t>Ⅰ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12"/>
        </w:rPr>
        <w:t>~</w:t>
      </w:r>
      <w:r>
        <w:rPr>
          <w:rFonts w:ascii="Microsoft YaHei" w:hAnsi="Microsoft YaHei" w:eastAsia="Microsoft YaHei" w:cs="Microsoft YaHei"/>
          <w:color w:val="231F20"/>
          <w:spacing w:val="12"/>
        </w:rPr>
        <w:t>Ⅲ</w:t>
      </w:r>
      <w:r>
        <w:rPr>
          <w:color w:val="231F20"/>
          <w:spacing w:val="12"/>
        </w:rPr>
        <w:t>级，均为首次脑卒中发病，意识清楚，病情稳</w:t>
      </w:r>
      <w:r>
        <w:rPr>
          <w:color w:val="231F20"/>
          <w:spacing w:val="11"/>
        </w:rPr>
        <w:t>定，无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失语及认知功能障碍，能够配合检查与治疗，患者对治疗方案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9"/>
        </w:rPr>
        <w:t>知情同意，本研究获医院伦理委员会批准。排除合并骨折或肌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3"/>
        </w:rPr>
        <w:t>肉疾病、精神障碍、双侧肢体运动功能障碍和严重心、肝、肾功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能不全者。其中，缺血性脑卒中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64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例、出血性脑卒中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27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例。依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据康复训练方法不同将其分为对照组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9"/>
        </w:rPr>
        <w:t>42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9"/>
        </w:rPr>
        <w:t>例与观察组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9"/>
        </w:rPr>
        <w:t>49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9"/>
        </w:rPr>
        <w:t>例。对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照组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：男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24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例、女 18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，平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均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"/>
        </w:rPr>
        <w:t>龄（57.3±8.1）岁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，平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"/>
        </w:rPr>
        <w:t>均病程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（5.6±1.2）周，肌力 </w:t>
      </w:r>
      <w:r>
        <w:rPr>
          <w:rFonts w:ascii="Microsoft YaHei" w:hAnsi="Microsoft YaHei" w:eastAsia="Microsoft YaHei" w:cs="Microsoft YaHei"/>
          <w:color w:val="231F20"/>
          <w:spacing w:val="-6"/>
        </w:rPr>
        <w:t>Ⅰ</w:t>
      </w:r>
      <w:r>
        <w:rPr>
          <w:color w:val="231F20"/>
          <w:spacing w:val="-6"/>
        </w:rPr>
        <w:t>级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6"/>
        </w:rPr>
        <w:t>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例、</w:t>
      </w:r>
      <w:r>
        <w:rPr>
          <w:rFonts w:ascii="Microsoft YaHei" w:hAnsi="Microsoft YaHei" w:eastAsia="Microsoft YaHei" w:cs="Microsoft YaHei"/>
          <w:color w:val="231F20"/>
          <w:spacing w:val="-6"/>
        </w:rPr>
        <w:t>Ⅱ</w:t>
      </w:r>
      <w:r>
        <w:rPr>
          <w:color w:val="231F20"/>
          <w:spacing w:val="-6"/>
        </w:rPr>
        <w:t>级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7"/>
        </w:rPr>
        <w:t>25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7"/>
        </w:rPr>
        <w:t>例、</w:t>
      </w:r>
      <w:r>
        <w:rPr>
          <w:rFonts w:ascii="Microsoft YaHei" w:hAnsi="Microsoft YaHei" w:eastAsia="Microsoft YaHei" w:cs="Microsoft YaHei"/>
          <w:color w:val="231F20"/>
          <w:spacing w:val="-7"/>
        </w:rPr>
        <w:t>Ⅲ</w:t>
      </w:r>
      <w:r>
        <w:rPr>
          <w:color w:val="231F20"/>
          <w:spacing w:val="-7"/>
        </w:rPr>
        <w:t>级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8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7"/>
        </w:rPr>
        <w:t>例；观察组：男28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例、女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21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例，平均年龄（56.8±7.2）岁，平均病程（5.1±1.7）周，肌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力 </w:t>
      </w:r>
      <w:r>
        <w:rPr>
          <w:rFonts w:ascii="Microsoft YaHei" w:hAnsi="Microsoft YaHei" w:eastAsia="Microsoft YaHei" w:cs="Microsoft YaHei"/>
          <w:color w:val="231F20"/>
          <w:spacing w:val="5"/>
        </w:rPr>
        <w:t>Ⅰ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5"/>
        </w:rPr>
        <w:t>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11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例、</w:t>
      </w:r>
      <w:r>
        <w:rPr>
          <w:rFonts w:ascii="Microsoft YaHei" w:hAnsi="Microsoft YaHei" w:eastAsia="Microsoft YaHei" w:cs="Microsoft YaHei"/>
          <w:color w:val="231F20"/>
          <w:spacing w:val="5"/>
        </w:rPr>
        <w:t>Ⅱ</w:t>
      </w:r>
      <w:r>
        <w:rPr>
          <w:color w:val="231F20"/>
          <w:spacing w:val="5"/>
        </w:rPr>
        <w:t>级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28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例、</w:t>
      </w:r>
      <w:r>
        <w:rPr>
          <w:rFonts w:ascii="Microsoft YaHei" w:hAnsi="Microsoft YaHei" w:eastAsia="Microsoft YaHei" w:cs="Microsoft YaHei"/>
          <w:color w:val="231F20"/>
          <w:spacing w:val="5"/>
        </w:rPr>
        <w:t>Ⅲ</w:t>
      </w:r>
      <w:r>
        <w:rPr>
          <w:color w:val="231F20"/>
          <w:spacing w:val="5"/>
        </w:rPr>
        <w:t>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10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例。两组的临床资料比较，差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异无统计学意义（</w:t>
      </w:r>
      <w:r>
        <w:rPr>
          <w:sz w:val="17"/>
          <w:szCs w:val="17"/>
          <w:i/>
          <w:iCs/>
          <w:color w:val="231F20"/>
          <w:spacing w:val="12"/>
        </w:rPr>
        <w:t>P</w:t>
      </w:r>
      <w:r>
        <w:rPr>
          <w:color w:val="231F20"/>
          <w:spacing w:val="12"/>
        </w:rPr>
        <w:t>＞0.05</w:t>
      </w:r>
      <w:r>
        <w:rPr>
          <w:color w:val="231F20"/>
          <w:spacing w:val="-31"/>
          <w:w w:val="73"/>
        </w:rPr>
        <w:t>），</w:t>
      </w:r>
      <w:r>
        <w:rPr>
          <w:color w:val="231F20"/>
          <w:spacing w:val="12"/>
        </w:rPr>
        <w:t>具有可比性。</w:t>
      </w:r>
    </w:p>
    <w:p>
      <w:pPr>
        <w:pStyle w:val="BodyText"/>
        <w:ind w:left="614" w:right="292" w:firstLine="16"/>
        <w:spacing w:before="55" w:line="315" w:lineRule="auto"/>
        <w:rPr/>
      </w:pPr>
      <w:r>
        <w:rPr>
          <w:color w:val="231F20"/>
          <w:spacing w:val="6"/>
        </w:rPr>
        <w:t>1.2  方法  对照组采取常规康复治疗，包括肌肉牵张、平衡、作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1"/>
        </w:rPr>
        <w:t>业、负重、重心转换、患侧下肢支撑训练等。观察组在常规康复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的基础上实施躯干核心肌群训练（静态姿势控制训练、姿势维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7"/>
        </w:rPr>
        <w:t>持下运动训练、站立位姿势维持与平衡训练）联合运动想象疗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法。（1）静态姿势控制训练。该训练包括躯干前屈训</w:t>
      </w:r>
      <w:r>
        <w:rPr>
          <w:color w:val="231F20"/>
          <w:spacing w:val="7"/>
        </w:rPr>
        <w:t>练、桥式训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练、抗阻训练等。患者取仰卧位，固定下肢，收紧腰腹部肌肉发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力，然后抬起其双肩使躯干离开床面呈前屈状态做躯干前屈训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练；以患者双足和双肩为支撑点、双膝关节弯曲成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90°,嘱其收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2" w:firstLine="9"/>
        <w:spacing w:before="26" w:line="337" w:lineRule="auto"/>
        <w:jc w:val="both"/>
        <w:rPr/>
      </w:pPr>
      <w:r>
        <w:rPr>
          <w:color w:val="231F20"/>
          <w:spacing w:val="24"/>
        </w:rPr>
        <w:t>紧腰腹部肌肉发力，抬起臀部和躯干做桥式训</w:t>
      </w:r>
      <w:r>
        <w:rPr>
          <w:color w:val="231F20"/>
          <w:spacing w:val="23"/>
        </w:rPr>
        <w:t>练或双足放在</w:t>
      </w:r>
      <w:r>
        <w:rPr>
          <w:color w:val="231F20"/>
        </w:rPr>
        <w:t xml:space="preserve">  </w:t>
      </w:r>
      <w:r>
        <w:rPr>
          <w:color w:val="231F20"/>
        </w:rPr>
        <w:t>Bobath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球上，嘱患者收紧腰腹部肌肉发力，使头、骨盆、脚踝在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同一条直线上做桥式训练，同时进行骨盆旋转控制训练。每个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姿势维持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min、休息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min，共进行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次。（2）姿势维持下运动训  </w:t>
      </w:r>
      <w:r>
        <w:rPr>
          <w:color w:val="231F20"/>
          <w:spacing w:val="14"/>
        </w:rPr>
        <w:t>练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。患者取卧位或坐位，利用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Bobath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球进行桥式抬腿、桥式屈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膝等训练，或进行仰卧起坐训练，完成姿势维持下的运动训练，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每个动作做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15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次。（3）站立位姿势维持与平衡训练。让患者用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健侧足站立在平衡垫上，做躯干前屈、后伸、侧屈、旋转等动作；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协助患者做单足站立、半蹲躯体前倾等动作，完成平衡能力训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练，10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min/次、2次/d。（4）运动想象训练。采用视觉想象任务训练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模式，首先让患者做全身放松性活动5～10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9"/>
        </w:rPr>
        <w:t>，然后让其完成一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个想象运动任务，如想象在室内步行、跨步练习、外出步行练习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等；诱导患者假想出进行运动的环境，并尝试做出各种动作以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形成一个清晰的运动想象画面，共进行运动想象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15～20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10"/>
        </w:rPr>
        <w:t>；在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想象任务结束后行放松性活动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10"/>
        </w:rPr>
        <w:t>。上述训练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次/d，5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d/周。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进行核心肌群训练时应遵循及早、适度、渐进、充分、轻缓及自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助的原则，疗程为4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8"/>
        </w:rPr>
        <w:t>周。</w:t>
      </w:r>
    </w:p>
    <w:p>
      <w:pPr>
        <w:pStyle w:val="BodyText"/>
        <w:ind w:right="60" w:firstLine="79"/>
        <w:spacing w:before="3" w:line="299" w:lineRule="auto"/>
        <w:jc w:val="both"/>
        <w:rPr/>
      </w:pPr>
      <w:r>
        <w:rPr>
          <w:color w:val="231F20"/>
          <w:spacing w:val="3"/>
        </w:rPr>
        <w:t>1.3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3"/>
        </w:rPr>
        <w:t>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察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3"/>
        </w:rPr>
        <w:t>指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标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及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3"/>
        </w:rPr>
        <w:t>疗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3"/>
        </w:rPr>
        <w:t>效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判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定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标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准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3"/>
        </w:rPr>
        <w:t>采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用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起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3"/>
        </w:rPr>
        <w:t>立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走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3"/>
        </w:rPr>
        <w:t>测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3"/>
        </w:rPr>
        <w:t>试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时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（</w:t>
      </w:r>
      <w:r>
        <w:rPr>
          <w:color w:val="231F20"/>
        </w:rPr>
        <w:t>TUGT</w:t>
      </w:r>
      <w:r>
        <w:rPr>
          <w:color w:val="231F20"/>
          <w:spacing w:val="5"/>
        </w:rPr>
        <w:t>）评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价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躯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体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活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动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能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力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，采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用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下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肢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运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动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功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能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5"/>
        </w:rPr>
        <w:t>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价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量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（</w:t>
      </w:r>
      <w:r>
        <w:rPr>
          <w:color w:val="231F20"/>
        </w:rPr>
        <w:t>FMA</w:t>
      </w:r>
      <w:r>
        <w:rPr>
          <w:color w:val="231F20"/>
          <w:spacing w:val="21"/>
        </w:rPr>
        <w:t>-L）评价患肢运动功能，采用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Berg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1"/>
        </w:rPr>
        <w:t>平衡量表评价平衡能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力。评价标准：</w:t>
      </w:r>
      <w:r>
        <w:rPr>
          <w:color w:val="231F20"/>
        </w:rPr>
        <w:t>TUGT</w:t>
      </w:r>
      <w:r>
        <w:rPr>
          <w:color w:val="231F20"/>
          <w:spacing w:val="16"/>
        </w:rPr>
        <w:t>＜10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s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示可自由活动、</w:t>
      </w:r>
      <w:r>
        <w:rPr>
          <w:color w:val="231F20"/>
        </w:rPr>
        <w:t>TUGT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10～20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s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5"/>
        </w:rPr>
        <w:t>示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尚可独立活动、</w:t>
      </w:r>
      <w:r>
        <w:rPr>
          <w:color w:val="231F20"/>
        </w:rPr>
        <w:t>TUGT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8"/>
        </w:rPr>
        <w:t>为21～30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8"/>
        </w:rPr>
        <w:t>s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8"/>
        </w:rPr>
        <w:t>示活动受限</w:t>
      </w:r>
      <w:r>
        <w:rPr>
          <w:color w:val="231F20"/>
          <w:spacing w:val="17"/>
        </w:rPr>
        <w:t>、</w:t>
      </w:r>
      <w:r>
        <w:rPr>
          <w:color w:val="231F20"/>
        </w:rPr>
        <w:t>TUGT</w:t>
      </w:r>
      <w:r>
        <w:rPr>
          <w:color w:val="231F20"/>
          <w:spacing w:val="17"/>
        </w:rPr>
        <w:t>＞30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7"/>
        </w:rPr>
        <w:t>s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7"/>
        </w:rPr>
        <w:t>示活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动功能障碍；</w:t>
      </w:r>
      <w:r>
        <w:rPr>
          <w:color w:val="231F20"/>
        </w:rPr>
        <w:t>FMA</w:t>
      </w:r>
      <w:r>
        <w:rPr>
          <w:color w:val="231F20"/>
          <w:spacing w:val="13"/>
        </w:rPr>
        <w:t>-L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总分为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34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分，分数越高运动功能</w:t>
      </w:r>
      <w:r>
        <w:rPr>
          <w:color w:val="231F20"/>
          <w:spacing w:val="12"/>
        </w:rPr>
        <w:t>越好；</w:t>
      </w:r>
      <w:r>
        <w:rPr>
          <w:color w:val="231F20"/>
        </w:rPr>
        <w:t>Berg </w:t>
      </w:r>
      <w:r>
        <w:rPr>
          <w:color w:val="231F20"/>
          <w:spacing w:val="16"/>
        </w:rPr>
        <w:t>总分为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6"/>
        </w:rPr>
        <w:t>56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6"/>
        </w:rPr>
        <w:t>分，分数越高平衡能力越好。疗效标准：肢体运动障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碍症状消失、肌力在</w:t>
      </w:r>
      <w:r>
        <w:rPr>
          <w:rFonts w:ascii="Microsoft YaHei" w:hAnsi="Microsoft YaHei" w:eastAsia="Microsoft YaHei" w:cs="Microsoft YaHei"/>
          <w:color w:val="231F20"/>
          <w:spacing w:val="13"/>
        </w:rPr>
        <w:t>Ⅳ</w:t>
      </w:r>
      <w:r>
        <w:rPr>
          <w:color w:val="231F20"/>
          <w:spacing w:val="13"/>
        </w:rPr>
        <w:t>级以上、能够生活自理为显效，肢体运动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障碍症状明显改善、肌力</w:t>
      </w:r>
      <w:r>
        <w:rPr>
          <w:rFonts w:ascii="Microsoft YaHei" w:hAnsi="Microsoft YaHei" w:eastAsia="Microsoft YaHei" w:cs="Microsoft YaHei"/>
          <w:color w:val="231F20"/>
          <w:spacing w:val="13"/>
        </w:rPr>
        <w:t>Ⅲ</w:t>
      </w:r>
      <w:r>
        <w:rPr>
          <w:color w:val="231F20"/>
          <w:spacing w:val="13"/>
        </w:rPr>
        <w:t>级、基本能够生活自理为有效，肢体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运动障碍症状无改善，肌力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Ⅱ</w:t>
      </w:r>
      <w:r>
        <w:rPr>
          <w:color w:val="231F20"/>
          <w:spacing w:val="13"/>
        </w:rPr>
        <w:t>级以下为无效。</w:t>
      </w:r>
    </w:p>
    <w:sectPr>
      <w:type w:val="continuous"/>
      <w:pgSz w:w="11906" w:h="16838"/>
      <w:pgMar w:top="1553" w:right="790" w:bottom="0" w:left="407" w:header="1230" w:footer="0" w:gutter="0"/>
      <w:cols w:equalWidth="0" w:num="2">
        <w:col w:w="5696" w:space="100"/>
        <w:col w:w="49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2"/>
      <w:spacing w:before="10" w:line="199" w:lineRule="auto"/>
      <w:rPr>
        <w:sz w:val="20"/>
        <w:szCs w:val="20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u w:val="single" w:color="auto"/>
        <w:color w:val="231F20"/>
        <w:spacing w:val="1"/>
        <w:position w:val="1"/>
      </w:rPr>
      <w:t>中国冶金工业医学杂志   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2023 </w:t>
    </w:r>
    <w:r>
      <w:rPr>
        <w:rFonts w:ascii="Microsoft YaHei" w:hAnsi="Microsoft YaHei" w:eastAsia="Microsoft YaHei" w:cs="Microsoft YaHei"/>
        <w:u w:val="single" w:color="auto"/>
        <w:color w:val="231F20"/>
        <w:spacing w:val="1"/>
        <w:position w:val="1"/>
      </w:rPr>
      <w:t>年第</w:t>
    </w:r>
    <w:r>
      <w:rPr>
        <w:rFonts w:ascii="Microsoft YaHei" w:hAnsi="Microsoft YaHei" w:eastAsia="Microsoft YaHei" w:cs="Microsoft YaHei"/>
        <w:u w:val="single" w:color="auto"/>
        <w:color w:val="231F20"/>
        <w:spacing w:val="-10"/>
        <w:position w:val="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40</w:t>
    </w:r>
    <w:r>
      <w:rPr>
        <w:rFonts w:ascii="Times New Roman" w:hAnsi="Times New Roman" w:eastAsia="Times New Roman" w:cs="Times New Roman"/>
        <w:u w:val="single" w:color="auto"/>
        <w:color w:val="231F20"/>
        <w:spacing w:val="-8"/>
        <w:position w:val="1"/>
      </w:rPr>
      <w:t xml:space="preserve"> </w:t>
    </w:r>
    <w:r>
      <w:rPr>
        <w:rFonts w:ascii="Microsoft YaHei" w:hAnsi="Microsoft YaHei" w:eastAsia="Microsoft YaHei" w:cs="Microsoft YaHei"/>
        <w:u w:val="single" w:color="auto"/>
        <w:color w:val="231F20"/>
        <w:spacing w:val="1"/>
        <w:position w:val="1"/>
      </w:rPr>
      <w:t>卷第</w:t>
    </w:r>
    <w:r>
      <w:rPr>
        <w:rFonts w:ascii="Microsoft YaHei" w:hAnsi="Microsoft YaHei" w:eastAsia="Microsoft YaHei" w:cs="Microsoft YaHei"/>
        <w:u w:val="single" w:color="auto"/>
        <w:color w:val="231F20"/>
        <w:spacing w:val="-10"/>
        <w:position w:val="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5</w:t>
    </w:r>
    <w:r>
      <w:rPr>
        <w:rFonts w:ascii="Times New Roman" w:hAnsi="Times New Roman" w:eastAsia="Times New Roman" w:cs="Times New Roman"/>
        <w:u w:val="single" w:color="auto"/>
        <w:color w:val="231F20"/>
        <w:spacing w:val="-9"/>
        <w:position w:val="1"/>
      </w:rPr>
      <w:t xml:space="preserve"> </w:t>
    </w:r>
    <w:r>
      <w:rPr>
        <w:rFonts w:ascii="Microsoft YaHei" w:hAnsi="Microsoft YaHei" w:eastAsia="Microsoft YaHei" w:cs="Microsoft YaHei"/>
        <w:u w:val="single" w:color="auto"/>
        <w:color w:val="231F20"/>
        <w:spacing w:val="1"/>
        <w:position w:val="1"/>
      </w:rPr>
      <w:t>期    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Chin</w:t>
    </w:r>
    <w:r>
      <w:rPr>
        <w:rFonts w:ascii="Times New Roman" w:hAnsi="Times New Roman" w:eastAsia="Times New Roman" w:cs="Times New Roman"/>
        <w:u w:val="single" w:color="auto"/>
        <w:color w:val="231F20"/>
        <w:spacing w:val="12"/>
        <w:position w:val="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Med</w:t>
    </w:r>
    <w:r>
      <w:rPr>
        <w:rFonts w:ascii="Times New Roman" w:hAnsi="Times New Roman" w:eastAsia="Times New Roman" w:cs="Times New Roman"/>
        <w:u w:val="single" w:color="auto"/>
        <w:color w:val="231F20"/>
        <w:spacing w:val="12"/>
        <w:w w:val="101"/>
        <w:position w:val="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J</w:t>
    </w:r>
    <w:r>
      <w:rPr>
        <w:rFonts w:ascii="Times New Roman" w:hAnsi="Times New Roman" w:eastAsia="Times New Roman" w:cs="Times New Roman"/>
        <w:u w:val="single" w:color="auto"/>
        <w:color w:val="231F20"/>
        <w:spacing w:val="12"/>
        <w:position w:val="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Metall</w:t>
    </w:r>
    <w:r>
      <w:rPr>
        <w:rFonts w:ascii="Times New Roman" w:hAnsi="Times New Roman" w:eastAsia="Times New Roman" w:cs="Times New Roman"/>
        <w:u w:val="single" w:color="auto"/>
        <w:color w:val="231F20"/>
        <w:spacing w:val="13"/>
        <w:position w:val="1"/>
      </w:rPr>
      <w:t xml:space="preserve"> 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Indus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,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October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.2023,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Vol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.40 </w:t>
    </w:r>
    <w:r>
      <w:rPr>
        <w:rFonts w:ascii="Times New Roman" w:hAnsi="Times New Roman" w:eastAsia="Times New Roman" w:cs="Times New Roman"/>
        <w:u w:val="single" w:color="auto"/>
        <w:color w:val="231F20"/>
        <w:position w:val="1"/>
      </w:rPr>
      <w:t>No</w:t>
    </w:r>
    <w:r>
      <w:rPr>
        <w:rFonts w:ascii="Times New Roman" w:hAnsi="Times New Roman" w:eastAsia="Times New Roman" w:cs="Times New Roman"/>
        <w:u w:val="single" w:color="auto"/>
        <w:color w:val="231F20"/>
        <w:spacing w:val="1"/>
        <w:position w:val="1"/>
      </w:rPr>
      <w:t>.5</w:t>
    </w:r>
    <w:r>
      <w:rPr>
        <w:rFonts w:ascii="Times New Roman" w:hAnsi="Times New Roman" w:eastAsia="Times New Roman" w:cs="Times New Roman"/>
        <w:color w:val="231F20"/>
        <w:spacing w:val="1"/>
        <w:position w:val="1"/>
      </w:rPr>
      <w:t xml:space="preserve">                                                     </w:t>
    </w:r>
    <w:r>
      <w:rPr>
        <w:sz w:val="20"/>
        <w:szCs w:val="20"/>
        <w:color w:val="231F20"/>
        <w:spacing w:val="1"/>
        <w:position w:val="-8"/>
      </w:rPr>
      <w:t>·</w:t>
    </w:r>
    <w:r>
      <w:rPr>
        <w:sz w:val="20"/>
        <w:szCs w:val="20"/>
        <w:color w:val="231F20"/>
        <w:spacing w:val="-34"/>
        <w:position w:val="-8"/>
      </w:rPr>
      <w:t xml:space="preserve"> </w:t>
    </w:r>
    <w:r>
      <w:rPr>
        <w:sz w:val="20"/>
        <w:szCs w:val="20"/>
        <w:color w:val="231F20"/>
        <w:spacing w:val="1"/>
        <w:position w:val="-8"/>
      </w:rPr>
      <w:t>529</w:t>
    </w:r>
    <w:r>
      <w:rPr>
        <w:sz w:val="20"/>
        <w:szCs w:val="20"/>
        <w:color w:val="231F20"/>
        <w:spacing w:val="49"/>
        <w:position w:val="-8"/>
      </w:rPr>
      <w:t xml:space="preserve"> </w:t>
    </w:r>
    <w:r>
      <w:rPr>
        <w:sz w:val="20"/>
        <w:szCs w:val="20"/>
        <w:color w:val="231F20"/>
        <w:spacing w:val="1"/>
        <w:position w:val="-8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2023-10-13T05:51:50Z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2025-10-28T21:31:27</vt:filetime>
  </property>
</Properties>
</file>