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tbl>
      <w:tblPr>
        <w:tblStyle w:val="TableNormal"/>
        <w:tblW w:w="9437" w:type="dxa"/>
        <w:tblInd w:w="84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28"/>
        <w:gridCol w:w="4083"/>
        <w:gridCol w:w="2726"/>
      </w:tblGrid>
      <w:tr>
        <w:trPr>
          <w:trHeight w:val="231" w:hRule="atLeast"/>
        </w:trPr>
        <w:tc>
          <w:tcPr>
            <w:tcW w:w="2628" w:type="dxa"/>
            <w:vAlign w:val="top"/>
          </w:tcPr>
          <w:p>
            <w:pPr>
              <w:ind w:left="634"/>
              <w:spacing w:line="17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2023 年 8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月</w:t>
            </w:r>
          </w:p>
        </w:tc>
        <w:tc>
          <w:tcPr>
            <w:tcW w:w="4083" w:type="dxa"/>
            <w:vAlign w:val="top"/>
          </w:tcPr>
          <w:p>
            <w:pPr>
              <w:ind w:left="1484"/>
              <w:spacing w:before="2" w:line="17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4"/>
              </w:rPr>
              <w:t>中国民康医学</w:t>
            </w:r>
          </w:p>
        </w:tc>
        <w:tc>
          <w:tcPr>
            <w:tcW w:w="2726" w:type="dxa"/>
            <w:vAlign w:val="top"/>
          </w:tcPr>
          <w:p>
            <w:pPr>
              <w:ind w:left="1253"/>
              <w:spacing w:line="17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23"/>
                <w:w w:val="99"/>
              </w:rPr>
              <w:t>Aug.，2023</w:t>
            </w:r>
          </w:p>
        </w:tc>
      </w:tr>
      <w:tr>
        <w:trPr>
          <w:trHeight w:val="231" w:hRule="atLeast"/>
        </w:trPr>
        <w:tc>
          <w:tcPr>
            <w:tcW w:w="2628" w:type="dxa"/>
            <w:vAlign w:val="top"/>
          </w:tcPr>
          <w:p>
            <w:pPr>
              <w:spacing w:before="24" w:line="196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9"/>
              </w:rPr>
              <w:t>第 35 卷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9"/>
              </w:rPr>
              <w:t>半月刊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7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9"/>
              </w:rPr>
              <w:t>第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9"/>
              </w:rPr>
              <w:t>16 期</w:t>
            </w:r>
          </w:p>
        </w:tc>
        <w:tc>
          <w:tcPr>
            <w:tcW w:w="4083" w:type="dxa"/>
            <w:vAlign w:val="top"/>
          </w:tcPr>
          <w:p>
            <w:pPr>
              <w:pStyle w:val="TableText"/>
              <w:ind w:left="476"/>
              <w:spacing w:before="53" w:line="172" w:lineRule="auto"/>
              <w:rPr/>
            </w:pPr>
            <w:r>
              <w:rPr>
                <w:color w:val="231F20"/>
                <w:spacing w:val="-13"/>
              </w:rPr>
              <w:t>Medical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3"/>
              </w:rPr>
              <w:t>Journal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13"/>
              </w:rPr>
              <w:t>of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13"/>
              </w:rPr>
              <w:t>Chinese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13"/>
              </w:rPr>
              <w:t>People's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3"/>
              </w:rPr>
              <w:t>Health</w:t>
            </w:r>
          </w:p>
        </w:tc>
        <w:tc>
          <w:tcPr>
            <w:tcW w:w="2726" w:type="dxa"/>
            <w:vAlign w:val="top"/>
          </w:tcPr>
          <w:p>
            <w:pPr>
              <w:pStyle w:val="TableText"/>
              <w:spacing w:before="53" w:line="172" w:lineRule="auto"/>
              <w:jc w:val="right"/>
              <w:rPr/>
            </w:pPr>
            <w:r>
              <w:rPr>
                <w:color w:val="231F20"/>
                <w:spacing w:val="-9"/>
              </w:rPr>
              <w:t>Vol.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9"/>
              </w:rPr>
              <w:t>35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9"/>
              </w:rPr>
              <w:t>Semimonthly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9"/>
              </w:rPr>
              <w:t>No.16</w:t>
            </w:r>
          </w:p>
        </w:tc>
      </w:tr>
    </w:tbl>
    <w:p>
      <w:pPr>
        <w:ind w:firstLine="722"/>
        <w:spacing w:before="114" w:line="37" w:lineRule="exact"/>
        <w:rPr/>
      </w:pPr>
      <w:r>
        <w:rPr/>
        <w:pict>
          <v:shape id="_x0000_s2" style="mso-position-vertical-relative:line;mso-position-horizontal-relative:char;width:481.9pt;height:1.9pt;" filled="false" strokecolor="#231F20" strokeweight="0.30pt" coordsize="9637,37" coordorigin="0,0" path="m0,3l9637,3m0,34l9637,34e">
            <v:stroke joinstyle="miter" miterlimit="4"/>
          </v:shape>
        </w:pict>
      </w:r>
    </w:p>
    <w:p>
      <w:pPr>
        <w:ind w:left="639"/>
        <w:spacing w:before="202" w:line="22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31F20"/>
          <w:spacing w:val="24"/>
        </w:rPr>
        <w:t>【临床研究】</w:t>
      </w:r>
    </w:p>
    <w:p>
      <w:pPr>
        <w:ind w:left="1169"/>
        <w:spacing w:before="376" w:line="180" w:lineRule="auto"/>
        <w:outlineLvl w:val="0"/>
        <w:rPr>
          <w:rFonts w:ascii="Microsoft YaHei" w:hAnsi="Microsoft YaHei" w:eastAsia="Microsoft YaHei" w:cs="Microsoft YaHei"/>
          <w:sz w:val="34"/>
          <w:szCs w:val="34"/>
        </w:rPr>
      </w:pPr>
      <w:r>
        <w:rPr>
          <w:rFonts w:ascii="Microsoft YaHei" w:hAnsi="Microsoft YaHei" w:eastAsia="Microsoft YaHei" w:cs="Microsoft YaHei"/>
          <w:sz w:val="34"/>
          <w:szCs w:val="34"/>
          <w:color w:val="231F20"/>
          <w:spacing w:val="77"/>
        </w:rPr>
        <w:t>替硝唑联合阿莫西林治疗急性肠胃炎患者的效果</w:t>
      </w:r>
    </w:p>
    <w:p>
      <w:pPr>
        <w:ind w:left="4823"/>
        <w:spacing w:before="190" w:line="235" w:lineRule="auto"/>
        <w:outlineLvl w:val="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李慧国，万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青</w:t>
      </w:r>
    </w:p>
    <w:p>
      <w:pPr>
        <w:ind w:left="3699"/>
        <w:spacing w:before="53" w:line="20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（南昌市第九医院消化内科，江西   南昌    330029）</w:t>
      </w:r>
    </w:p>
    <w:p>
      <w:pPr>
        <w:pStyle w:val="BodyText"/>
        <w:ind w:left="727" w:right="16" w:firstLine="330"/>
        <w:spacing w:before="5" w:line="23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color w:val="231F20"/>
          <w:spacing w:val="-2"/>
        </w:rPr>
        <w:t>【摘要】</w:t>
      </w:r>
      <w:r>
        <w:rPr>
          <w:rFonts w:ascii="SimHei" w:hAnsi="SimHei" w:eastAsia="SimHei" w:cs="SimHei"/>
          <w:color w:val="231F20"/>
          <w:spacing w:val="-2"/>
        </w:rPr>
        <w:t xml:space="preserve">  </w:t>
      </w:r>
      <w:r>
        <w:rPr>
          <w:rFonts w:ascii="SimHei" w:hAnsi="SimHei" w:eastAsia="SimHei" w:cs="SimHei"/>
          <w:color w:val="231F20"/>
          <w:spacing w:val="-2"/>
        </w:rPr>
        <w:t>目的：</w:t>
      </w:r>
      <w:r>
        <w:rPr>
          <w:rFonts w:ascii="Microsoft YaHei" w:hAnsi="Microsoft YaHei" w:eastAsia="Microsoft YaHei" w:cs="Microsoft YaHei"/>
          <w:color w:val="231F20"/>
          <w:spacing w:val="-2"/>
        </w:rPr>
        <w:t>观察替硝唑联合阿莫西林治疗急性肠胃炎患者的效果。</w:t>
      </w:r>
      <w:r>
        <w:rPr>
          <w:rFonts w:ascii="SimHei" w:hAnsi="SimHei" w:eastAsia="SimHei" w:cs="SimHei"/>
          <w:color w:val="231F20"/>
          <w:spacing w:val="-2"/>
        </w:rPr>
        <w:t>方法：</w:t>
      </w:r>
      <w:r>
        <w:rPr>
          <w:rFonts w:ascii="Microsoft YaHei" w:hAnsi="Microsoft YaHei" w:eastAsia="Microsoft YaHei" w:cs="Microsoft YaHei"/>
          <w:color w:val="231F20"/>
          <w:spacing w:val="-2"/>
        </w:rPr>
        <w:t>选取 2020 年 3 月至 2021 年 4 月该院收治的 60 例急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"/>
        </w:rPr>
        <w:t>性肠胃炎患者进行前瞻性研究，按照随机数字表法将其分为对照组和研究组各 30 例。对照组采用阿莫西林胶囊治疗，研究组在对照组基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础上联合替硝唑片治疗。比较两组临床疗效、临床症状消失时间、治疗前后炎性因子 [</w:t>
      </w:r>
      <w:r>
        <w:rPr>
          <w:rFonts w:ascii="Microsoft YaHei" w:hAnsi="Microsoft YaHei" w:eastAsia="Microsoft YaHei" w:cs="Microsoft YaHei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白细胞介素 -6（IL-6）、C 反应蛋白</w:t>
      </w:r>
      <w:r>
        <w:rPr>
          <w:rFonts w:ascii="Microsoft YaHei" w:hAnsi="Microsoft YaHei" w:eastAsia="Microsoft YaHei" w:cs="Microsoft YaHei"/>
          <w:color w:val="231F20"/>
          <w:spacing w:val="-2"/>
        </w:rPr>
        <w:t>（CRP）] 水平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3"/>
        </w:rPr>
        <w:t>及不良反应发生率。</w:t>
      </w:r>
      <w:r>
        <w:rPr>
          <w:rFonts w:ascii="SimHei" w:hAnsi="SimHei" w:eastAsia="SimHei" w:cs="SimHei"/>
          <w:color w:val="231F20"/>
          <w:spacing w:val="-3"/>
        </w:rPr>
        <w:t>结果：</w:t>
      </w:r>
      <w:r>
        <w:rPr>
          <w:rFonts w:ascii="Microsoft YaHei" w:hAnsi="Microsoft YaHei" w:eastAsia="Microsoft YaHei" w:cs="Microsoft YaHei"/>
          <w:color w:val="231F20"/>
          <w:spacing w:val="-3"/>
        </w:rPr>
        <w:t>研究组治疗总有效率为 96.67%，高于对照组的 73.33%，差异有统计学意义（</w:t>
      </w:r>
      <w:r>
        <w:rPr>
          <w:i/>
          <w:iCs/>
          <w:color w:val="231F20"/>
          <w:spacing w:val="-3"/>
        </w:rPr>
        <w:t>P</w:t>
      </w:r>
      <w:r>
        <w:rPr>
          <w:rFonts w:ascii="Microsoft YaHei" w:hAnsi="Microsoft YaHei" w:eastAsia="Microsoft YaHei" w:cs="Microsoft YaHei"/>
          <w:color w:val="231F20"/>
          <w:spacing w:val="-3"/>
        </w:rPr>
        <w:t>&lt;0.05</w:t>
      </w:r>
      <w:r>
        <w:rPr>
          <w:rFonts w:ascii="Microsoft YaHei" w:hAnsi="Microsoft YaHei" w:eastAsia="Microsoft YaHei" w:cs="Microsoft YaHei"/>
          <w:color w:val="231F20"/>
          <w:spacing w:val="1"/>
        </w:rPr>
        <w:t>）；</w:t>
      </w:r>
      <w:r>
        <w:rPr>
          <w:rFonts w:ascii="Microsoft YaHei" w:hAnsi="Microsoft YaHei" w:eastAsia="Microsoft YaHei" w:cs="Microsoft YaHei"/>
          <w:color w:val="231F20"/>
          <w:spacing w:val="-3"/>
        </w:rPr>
        <w:t>研究组腹泻消失时间、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腹痛消失时间、呕吐消失时间均短于对照组，差异有统计学意义（</w:t>
      </w:r>
      <w:r>
        <w:rPr>
          <w:i/>
          <w:iCs/>
          <w:color w:val="231F20"/>
        </w:rPr>
        <w:t>P</w:t>
      </w:r>
      <w:r>
        <w:rPr>
          <w:rFonts w:ascii="Microsoft YaHei" w:hAnsi="Microsoft YaHei" w:eastAsia="Microsoft YaHei" w:cs="Microsoft YaHei"/>
          <w:color w:val="231F20"/>
        </w:rPr>
        <w:t>&lt;0.05</w:t>
      </w:r>
      <w:r>
        <w:rPr>
          <w:rFonts w:ascii="Microsoft YaHei" w:hAnsi="Microsoft YaHei" w:eastAsia="Microsoft YaHei" w:cs="Microsoft YaHei"/>
          <w:color w:val="231F20"/>
          <w:spacing w:val="-1"/>
        </w:rPr>
        <w:t>）；</w:t>
      </w:r>
      <w:r>
        <w:rPr>
          <w:rFonts w:ascii="Microsoft YaHei" w:hAnsi="Microsoft YaHei" w:eastAsia="Microsoft YaHei" w:cs="Microsoft YaHei"/>
          <w:color w:val="231F20"/>
        </w:rPr>
        <w:t>治疗后，两组 IL-6</w:t>
      </w:r>
      <w:r>
        <w:rPr>
          <w:rFonts w:ascii="Microsoft YaHei" w:hAnsi="Microsoft YaHei" w:eastAsia="Microsoft YaHei" w:cs="Microsoft YaHei"/>
          <w:color w:val="231F20"/>
          <w:spacing w:val="-1"/>
        </w:rPr>
        <w:t xml:space="preserve"> 和 CRP 水平均低于治疗前，且研究组低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于对照组，差异有统计学意义（</w:t>
      </w:r>
      <w:r>
        <w:rPr>
          <w:i/>
          <w:iCs/>
          <w:color w:val="231F20"/>
          <w:spacing w:val="-2"/>
        </w:rPr>
        <w:t>P</w:t>
      </w:r>
      <w:r>
        <w:rPr>
          <w:rFonts w:ascii="Microsoft YaHei" w:hAnsi="Microsoft YaHei" w:eastAsia="Microsoft YaHei" w:cs="Microsoft YaHei"/>
          <w:color w:val="231F20"/>
          <w:spacing w:val="-2"/>
        </w:rPr>
        <w:t>&lt;0.05</w:t>
      </w:r>
      <w:r>
        <w:rPr>
          <w:rFonts w:ascii="Microsoft YaHei" w:hAnsi="Microsoft YaHei" w:eastAsia="Microsoft YaHei" w:cs="Microsoft YaHei"/>
          <w:color w:val="231F20"/>
          <w:spacing w:val="-1"/>
        </w:rPr>
        <w:t>）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；</w:t>
      </w:r>
      <w:r>
        <w:rPr>
          <w:rFonts w:ascii="Microsoft YaHei" w:hAnsi="Microsoft YaHei" w:eastAsia="Microsoft YaHei" w:cs="Microsoft YaHei"/>
          <w:color w:val="231F20"/>
          <w:spacing w:val="-2"/>
        </w:rPr>
        <w:t>两组不良反应发生率比较，差异无统计学意义（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i/>
          <w:iCs/>
          <w:color w:val="231F20"/>
          <w:spacing w:val="-2"/>
        </w:rPr>
        <w:t>P</w:t>
      </w:r>
      <w:r>
        <w:rPr>
          <w:rFonts w:ascii="Microsoft YaHei" w:hAnsi="Microsoft YaHei" w:eastAsia="Microsoft YaHei" w:cs="Microsoft YaHei"/>
          <w:color w:val="231F20"/>
          <w:spacing w:val="-2"/>
        </w:rPr>
        <w:t>&gt;0.05）。</w:t>
      </w:r>
      <w:r>
        <w:rPr>
          <w:rFonts w:ascii="SimHei" w:hAnsi="SimHei" w:eastAsia="SimHei" w:cs="SimHei"/>
          <w:color w:val="231F20"/>
          <w:spacing w:val="-2"/>
        </w:rPr>
        <w:t>结论：</w:t>
      </w:r>
      <w:r>
        <w:rPr>
          <w:rFonts w:ascii="Microsoft YaHei" w:hAnsi="Microsoft YaHei" w:eastAsia="Microsoft YaHei" w:cs="Microsoft YaHei"/>
          <w:color w:val="231F20"/>
          <w:spacing w:val="-2"/>
        </w:rPr>
        <w:t>替硝唑联合阿莫西林治疗急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性肠胃炎患者，可提高临床疗效，缩短临床症状消失时间，降低炎性因子水平，其效</w:t>
      </w:r>
      <w:r>
        <w:rPr>
          <w:rFonts w:ascii="Microsoft YaHei" w:hAnsi="Microsoft YaHei" w:eastAsia="Microsoft YaHei" w:cs="Microsoft YaHei"/>
          <w:color w:val="231F20"/>
          <w:spacing w:val="-1"/>
        </w:rPr>
        <w:t>果优于单纯阿莫西林胶囊治疗。</w:t>
      </w:r>
    </w:p>
    <w:p>
      <w:pPr>
        <w:ind w:left="1058"/>
        <w:spacing w:line="21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</w:rPr>
        <w:t>【关键词】</w:t>
      </w:r>
      <w:r>
        <w:rPr>
          <w:rFonts w:ascii="SimHei" w:hAnsi="SimHei" w:eastAsia="SimHei" w:cs="SimHei"/>
          <w:sz w:val="16"/>
          <w:szCs w:val="16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阿莫西林胶囊；替硝唑；急性肠胃炎；炎性因子；不良反应</w:t>
      </w:r>
    </w:p>
    <w:p>
      <w:pPr>
        <w:pStyle w:val="BodyText"/>
        <w:ind w:left="1071"/>
        <w:spacing w:before="4" w:line="236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3"/>
        </w:rPr>
        <w:t>doi:    10.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3969 /</w:t>
      </w:r>
      <w:r>
        <w:rPr>
          <w:sz w:val="18"/>
          <w:szCs w:val="18"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j.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issn.</w:t>
      </w:r>
      <w:r>
        <w:rPr>
          <w:sz w:val="18"/>
          <w:szCs w:val="18"/>
          <w:color w:val="231F20"/>
          <w:spacing w:val="21"/>
          <w:w w:val="102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1672-0369.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2023.</w:t>
      </w:r>
      <w:r>
        <w:rPr>
          <w:sz w:val="18"/>
          <w:szCs w:val="18"/>
          <w:color w:val="231F20"/>
          <w:spacing w:val="21"/>
          <w:w w:val="102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16.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013</w:t>
      </w:r>
    </w:p>
    <w:p>
      <w:pPr>
        <w:pStyle w:val="BodyText"/>
        <w:ind w:left="1087"/>
        <w:spacing w:before="58" w:line="20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4"/>
        </w:rPr>
        <w:t>中图分类号：</w:t>
      </w:r>
      <w:r>
        <w:rPr>
          <w:rFonts w:ascii="SimHei" w:hAnsi="SimHei" w:eastAsia="SimHei" w:cs="SimHei"/>
          <w:sz w:val="18"/>
          <w:szCs w:val="18"/>
          <w:color w:val="231F20"/>
          <w:spacing w:val="-4"/>
        </w:rPr>
        <w:t xml:space="preserve">  </w:t>
      </w:r>
      <w:r>
        <w:rPr>
          <w:sz w:val="18"/>
          <w:szCs w:val="18"/>
          <w:color w:val="231F20"/>
          <w:spacing w:val="-4"/>
        </w:rPr>
        <w:t>R57             </w:t>
      </w:r>
      <w:r>
        <w:rPr>
          <w:rFonts w:ascii="SimHei" w:hAnsi="SimHei" w:eastAsia="SimHei" w:cs="SimHei"/>
          <w:sz w:val="18"/>
          <w:szCs w:val="18"/>
          <w:color w:val="231F20"/>
          <w:spacing w:val="-4"/>
        </w:rPr>
        <w:t>文献标识码</w:t>
      </w:r>
      <w:r>
        <w:rPr>
          <w:rFonts w:ascii="SimHei" w:hAnsi="SimHei" w:eastAsia="SimHei" w:cs="SimHei"/>
          <w:sz w:val="18"/>
          <w:szCs w:val="18"/>
          <w:color w:val="231F20"/>
          <w:spacing w:val="-5"/>
        </w:rPr>
        <w:t>：</w:t>
      </w:r>
      <w:r>
        <w:rPr>
          <w:rFonts w:ascii="SimHei" w:hAnsi="SimHei" w:eastAsia="SimHei" w:cs="SimHei"/>
          <w:sz w:val="18"/>
          <w:szCs w:val="18"/>
          <w:color w:val="231F20"/>
          <w:spacing w:val="-5"/>
        </w:rPr>
        <w:t xml:space="preserve">  </w:t>
      </w:r>
      <w:r>
        <w:rPr>
          <w:sz w:val="18"/>
          <w:szCs w:val="18"/>
          <w:color w:val="231F20"/>
          <w:spacing w:val="-5"/>
        </w:rPr>
        <w:t>B             </w:t>
      </w:r>
      <w:r>
        <w:rPr>
          <w:rFonts w:ascii="SimHei" w:hAnsi="SimHei" w:eastAsia="SimHei" w:cs="SimHei"/>
          <w:sz w:val="18"/>
          <w:szCs w:val="18"/>
          <w:color w:val="231F20"/>
          <w:spacing w:val="-5"/>
        </w:rPr>
        <w:t>文章编号：</w:t>
      </w:r>
      <w:r>
        <w:rPr>
          <w:rFonts w:ascii="SimHei" w:hAnsi="SimHei" w:eastAsia="SimHei" w:cs="SimHei"/>
          <w:sz w:val="18"/>
          <w:szCs w:val="18"/>
          <w:color w:val="231F20"/>
          <w:spacing w:val="-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1672-0369（2023）16-0041-03</w:t>
      </w:r>
    </w:p>
    <w:p>
      <w:pPr>
        <w:pStyle w:val="BodyText"/>
        <w:ind w:left="1281"/>
        <w:spacing w:before="163" w:line="189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231F20"/>
        </w:rPr>
        <w:t>Effects</w:t>
      </w:r>
      <w:r>
        <w:rPr>
          <w:sz w:val="26"/>
          <w:szCs w:val="26"/>
          <w:b/>
          <w:bCs/>
          <w:color w:val="231F20"/>
          <w:spacing w:val="8"/>
        </w:rPr>
        <w:t xml:space="preserve"> </w:t>
      </w:r>
      <w:r>
        <w:rPr>
          <w:sz w:val="26"/>
          <w:szCs w:val="26"/>
          <w:b/>
          <w:bCs/>
          <w:color w:val="231F20"/>
        </w:rPr>
        <w:t>ofTinidazole</w:t>
      </w:r>
      <w:r>
        <w:rPr>
          <w:sz w:val="26"/>
          <w:szCs w:val="26"/>
          <w:b/>
          <w:bCs/>
          <w:color w:val="231F20"/>
          <w:spacing w:val="8"/>
        </w:rPr>
        <w:t xml:space="preserve"> </w:t>
      </w:r>
      <w:r>
        <w:rPr>
          <w:sz w:val="26"/>
          <w:szCs w:val="26"/>
          <w:b/>
          <w:bCs/>
          <w:color w:val="231F20"/>
        </w:rPr>
        <w:t>combined</w:t>
      </w:r>
      <w:r>
        <w:rPr>
          <w:sz w:val="26"/>
          <w:szCs w:val="26"/>
          <w:b/>
          <w:bCs/>
          <w:color w:val="231F20"/>
          <w:spacing w:val="8"/>
        </w:rPr>
        <w:t xml:space="preserve"> </w:t>
      </w:r>
      <w:r>
        <w:rPr>
          <w:sz w:val="26"/>
          <w:szCs w:val="26"/>
          <w:b/>
          <w:bCs/>
          <w:color w:val="231F20"/>
        </w:rPr>
        <w:t>with</w:t>
      </w:r>
      <w:r>
        <w:rPr>
          <w:sz w:val="26"/>
          <w:szCs w:val="26"/>
          <w:b/>
          <w:bCs/>
          <w:color w:val="231F20"/>
          <w:spacing w:val="-11"/>
        </w:rPr>
        <w:t xml:space="preserve"> </w:t>
      </w:r>
      <w:r>
        <w:rPr>
          <w:sz w:val="26"/>
          <w:szCs w:val="26"/>
          <w:b/>
          <w:bCs/>
          <w:color w:val="231F20"/>
        </w:rPr>
        <w:t>Amoxicillin</w:t>
      </w:r>
      <w:r>
        <w:rPr>
          <w:sz w:val="26"/>
          <w:szCs w:val="26"/>
          <w:b/>
          <w:bCs/>
          <w:color w:val="231F20"/>
          <w:spacing w:val="8"/>
        </w:rPr>
        <w:t xml:space="preserve"> </w:t>
      </w:r>
      <w:r>
        <w:rPr>
          <w:sz w:val="26"/>
          <w:szCs w:val="26"/>
          <w:b/>
          <w:bCs/>
          <w:color w:val="231F20"/>
        </w:rPr>
        <w:t>in</w:t>
      </w:r>
      <w:r>
        <w:rPr>
          <w:sz w:val="26"/>
          <w:szCs w:val="26"/>
          <w:b/>
          <w:bCs/>
          <w:color w:val="231F20"/>
          <w:spacing w:val="8"/>
        </w:rPr>
        <w:t xml:space="preserve"> </w:t>
      </w:r>
      <w:r>
        <w:rPr>
          <w:sz w:val="26"/>
          <w:szCs w:val="26"/>
          <w:b/>
          <w:bCs/>
          <w:color w:val="231F20"/>
        </w:rPr>
        <w:t>treatment</w:t>
      </w:r>
      <w:r>
        <w:rPr>
          <w:sz w:val="26"/>
          <w:szCs w:val="26"/>
          <w:b/>
          <w:bCs/>
          <w:color w:val="231F20"/>
          <w:spacing w:val="8"/>
        </w:rPr>
        <w:t xml:space="preserve"> </w:t>
      </w:r>
      <w:r>
        <w:rPr>
          <w:sz w:val="26"/>
          <w:szCs w:val="26"/>
          <w:b/>
          <w:bCs/>
          <w:color w:val="231F20"/>
        </w:rPr>
        <w:t>of</w:t>
      </w:r>
      <w:r>
        <w:rPr>
          <w:sz w:val="26"/>
          <w:szCs w:val="26"/>
          <w:b/>
          <w:bCs/>
          <w:color w:val="231F20"/>
          <w:spacing w:val="-15"/>
        </w:rPr>
        <w:t xml:space="preserve"> </w:t>
      </w:r>
      <w:r>
        <w:rPr>
          <w:sz w:val="26"/>
          <w:szCs w:val="26"/>
          <w:b/>
          <w:bCs/>
          <w:color w:val="231F20"/>
        </w:rPr>
        <w:t>patients</w:t>
      </w:r>
      <w:r>
        <w:rPr>
          <w:sz w:val="26"/>
          <w:szCs w:val="26"/>
          <w:b/>
          <w:bCs/>
          <w:color w:val="231F20"/>
          <w:spacing w:val="8"/>
        </w:rPr>
        <w:t xml:space="preserve"> </w:t>
      </w:r>
      <w:r>
        <w:rPr>
          <w:sz w:val="26"/>
          <w:szCs w:val="26"/>
          <w:b/>
          <w:bCs/>
          <w:color w:val="231F20"/>
        </w:rPr>
        <w:t>with</w:t>
      </w:r>
    </w:p>
    <w:p>
      <w:pPr>
        <w:pStyle w:val="BodyText"/>
        <w:ind w:left="4428"/>
        <w:spacing w:before="124" w:line="189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231F20"/>
          <w:spacing w:val="-1"/>
        </w:rPr>
        <w:t>acute gastroenteritis</w:t>
      </w:r>
    </w:p>
    <w:p>
      <w:pPr>
        <w:pStyle w:val="BodyText"/>
        <w:ind w:left="4719"/>
        <w:spacing w:before="111" w:line="19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LI Huiguo, WAN Qing</w:t>
      </w:r>
    </w:p>
    <w:p>
      <w:pPr>
        <w:pStyle w:val="BodyText"/>
        <w:ind w:left="2037"/>
        <w:spacing w:before="40" w:line="236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(</w:t>
      </w:r>
      <w:r>
        <w:rPr>
          <w:sz w:val="18"/>
          <w:szCs w:val="18"/>
          <w:color w:val="231F20"/>
          <w:position w:val="3"/>
        </w:rPr>
        <w:t>Department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Gastroenterology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Nanchang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Ninth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Hospital</w:t>
      </w:r>
      <w:r>
        <w:rPr>
          <w:sz w:val="18"/>
          <w:szCs w:val="18"/>
          <w:color w:val="231F20"/>
          <w:spacing w:val="1"/>
          <w:position w:val="3"/>
        </w:rPr>
        <w:t>, </w:t>
      </w:r>
      <w:r>
        <w:rPr>
          <w:sz w:val="18"/>
          <w:szCs w:val="18"/>
          <w:color w:val="231F20"/>
          <w:position w:val="3"/>
        </w:rPr>
        <w:t>Nanchang</w:t>
      </w:r>
      <w:r>
        <w:rPr>
          <w:sz w:val="18"/>
          <w:szCs w:val="18"/>
          <w:color w:val="231F20"/>
          <w:spacing w:val="1"/>
          <w:position w:val="3"/>
        </w:rPr>
        <w:t xml:space="preserve"> 330029 </w:t>
      </w:r>
      <w:r>
        <w:rPr>
          <w:sz w:val="18"/>
          <w:szCs w:val="18"/>
          <w:color w:val="231F20"/>
          <w:position w:val="3"/>
        </w:rPr>
        <w:t>Jiangxi</w:t>
      </w:r>
      <w:r>
        <w:rPr>
          <w:sz w:val="18"/>
          <w:szCs w:val="18"/>
          <w:color w:val="231F20"/>
          <w:spacing w:val="1"/>
          <w:position w:val="3"/>
        </w:rPr>
        <w:t>, </w:t>
      </w:r>
      <w:r>
        <w:rPr>
          <w:sz w:val="18"/>
          <w:szCs w:val="18"/>
          <w:color w:val="231F20"/>
          <w:position w:val="3"/>
        </w:rPr>
        <w:t>China</w:t>
      </w:r>
      <w:r>
        <w:rPr>
          <w:sz w:val="18"/>
          <w:szCs w:val="18"/>
          <w:color w:val="231F20"/>
          <w:spacing w:val="1"/>
          <w:position w:val="3"/>
        </w:rPr>
        <w:t>)</w:t>
      </w:r>
    </w:p>
    <w:p>
      <w:pPr>
        <w:pStyle w:val="BodyText"/>
        <w:ind w:left="1143"/>
        <w:spacing w:before="85" w:line="219" w:lineRule="auto"/>
        <w:rPr/>
      </w:pPr>
      <w:r>
        <w:rPr>
          <w:rFonts w:ascii="Microsoft YaHei" w:hAnsi="Microsoft YaHei" w:eastAsia="Microsoft YaHei" w:cs="Microsoft YaHei"/>
          <w:color w:val="231F20"/>
          <w:spacing w:val="2"/>
        </w:rPr>
        <w:t>【</w:t>
      </w:r>
      <w:r>
        <w:rPr>
          <w:rFonts w:ascii="Microsoft YaHei" w:hAnsi="Microsoft YaHei" w:eastAsia="Microsoft YaHei" w:cs="Microsoft YaHei"/>
          <w:color w:val="231F20"/>
          <w:spacing w:val="-2"/>
        </w:rPr>
        <w:t xml:space="preserve"> </w:t>
      </w:r>
      <w:r>
        <w:rPr>
          <w:b/>
          <w:bCs/>
          <w:color w:val="231F20"/>
          <w:spacing w:val="2"/>
        </w:rPr>
        <w:t>Abstract </w:t>
      </w:r>
      <w:r>
        <w:rPr>
          <w:rFonts w:ascii="Microsoft YaHei" w:hAnsi="Microsoft YaHei" w:eastAsia="Microsoft YaHei" w:cs="Microsoft YaHei"/>
          <w:color w:val="231F20"/>
          <w:spacing w:val="2"/>
        </w:rPr>
        <w:t>】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b/>
          <w:bCs/>
          <w:color w:val="231F20"/>
          <w:spacing w:val="2"/>
        </w:rPr>
        <w:t>Objective: </w:t>
      </w:r>
      <w:r>
        <w:rPr>
          <w:color w:val="231F20"/>
          <w:spacing w:val="2"/>
        </w:rPr>
        <w:t>To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observe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2"/>
        </w:rPr>
        <w:t>effects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2"/>
        </w:rPr>
        <w:t>Tinidazole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combined with Amoxicillin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2"/>
        </w:rPr>
        <w:t>in treatment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patients with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2"/>
        </w:rPr>
        <w:t>acute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2"/>
        </w:rPr>
        <w:t>gastroenteritis.</w:t>
      </w:r>
    </w:p>
    <w:p>
      <w:pPr>
        <w:pStyle w:val="BodyText"/>
        <w:ind w:left="725" w:right="77" w:firstLine="3"/>
        <w:spacing w:before="6" w:line="336" w:lineRule="auto"/>
        <w:jc w:val="both"/>
        <w:rPr/>
      </w:pPr>
      <w:r>
        <w:rPr>
          <w:b/>
          <w:bCs/>
          <w:color w:val="231F20"/>
        </w:rPr>
        <w:t>Methods</w:t>
      </w:r>
      <w:r>
        <w:rPr>
          <w:b/>
          <w:bCs/>
          <w:color w:val="231F20"/>
          <w:spacing w:val="13"/>
        </w:rPr>
        <w:t>: </w:t>
      </w:r>
      <w:r>
        <w:rPr>
          <w:color w:val="231F20"/>
        </w:rPr>
        <w:t>A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prospective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conducted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3"/>
        </w:rPr>
        <w:t>60 </w:t>
      </w:r>
      <w:r>
        <w:rPr>
          <w:color w:val="231F20"/>
        </w:rPr>
        <w:t>patients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gastroenteritis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admitted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hospital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March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13"/>
        </w:rPr>
        <w:t>2020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April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3"/>
        </w:rPr>
        <w:t>2021.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They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were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divided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3"/>
        </w:rPr>
        <w:t>into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control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group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study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3"/>
        </w:rPr>
        <w:t>g</w:t>
      </w:r>
      <w:r>
        <w:rPr>
          <w:color w:val="231F20"/>
          <w:spacing w:val="2"/>
        </w:rPr>
        <w:t>roup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according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random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number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table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method,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2"/>
        </w:rPr>
        <w:t>30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2"/>
        </w:rPr>
        <w:t>cases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each.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2"/>
        </w:rPr>
        <w:t>control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group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was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2"/>
        </w:rPr>
        <w:t>treated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2"/>
        </w:rPr>
        <w:t>with Amoxicillin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capsules,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while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2"/>
        </w:rPr>
        <w:t>study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group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was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2"/>
        </w:rPr>
        <w:t>treated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Tinidazole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2"/>
        </w:rPr>
        <w:t>tablets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2"/>
        </w:rPr>
        <w:t>basis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of that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of 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control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group.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ef</w:t>
      </w:r>
      <w:r>
        <w:rPr>
          <w:color w:val="231F20"/>
          <w:spacing w:val="12"/>
        </w:rPr>
        <w:t>ﬁ</w:t>
      </w:r>
      <w:r>
        <w:rPr>
          <w:color w:val="231F20"/>
        </w:rPr>
        <w:t>cacy</w:t>
      </w:r>
      <w:r>
        <w:rPr>
          <w:color w:val="231F20"/>
          <w:spacing w:val="12"/>
        </w:rPr>
        <w:t>,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disappearance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symptoms</w:t>
      </w:r>
      <w:r>
        <w:rPr>
          <w:color w:val="231F20"/>
          <w:spacing w:val="12"/>
        </w:rPr>
        <w:t>,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levels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2"/>
        </w:rPr>
        <w:t>ﬂ</w:t>
      </w:r>
      <w:r>
        <w:rPr>
          <w:color w:val="231F20"/>
        </w:rPr>
        <w:t>ammatory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</w:rPr>
        <w:t>factors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2"/>
        </w:rPr>
        <w:t>[</w:t>
      </w:r>
      <w:r>
        <w:rPr>
          <w:color w:val="231F20"/>
        </w:rPr>
        <w:t>interleukin</w:t>
      </w:r>
      <w:r>
        <w:rPr>
          <w:color w:val="231F20"/>
          <w:spacing w:val="12"/>
        </w:rPr>
        <w:t>-6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12"/>
        </w:rPr>
        <w:t>(</w:t>
      </w:r>
      <w:r>
        <w:rPr>
          <w:color w:val="231F20"/>
        </w:rPr>
        <w:t>IL</w:t>
      </w:r>
      <w:r>
        <w:rPr>
          <w:color w:val="231F20"/>
          <w:spacing w:val="12"/>
        </w:rPr>
        <w:t>-6),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2"/>
        </w:rPr>
        <w:t>C-</w:t>
      </w:r>
      <w:r>
        <w:rPr>
          <w:color w:val="231F20"/>
        </w:rPr>
        <w:t>reactive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protein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12"/>
        </w:rPr>
        <w:t>(</w:t>
      </w:r>
      <w:r>
        <w:rPr>
          <w:color w:val="231F20"/>
        </w:rPr>
        <w:t>CRP</w:t>
      </w:r>
      <w:r>
        <w:rPr>
          <w:color w:val="231F20"/>
          <w:spacing w:val="11"/>
        </w:rPr>
        <w:t>)]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before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after the treatment,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3"/>
        </w:rPr>
        <w:t>and 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incidence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of advers</w:t>
      </w:r>
      <w:r>
        <w:rPr>
          <w:color w:val="231F20"/>
          <w:spacing w:val="2"/>
        </w:rPr>
        <w:t>e reactions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2"/>
        </w:rPr>
        <w:t>were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compared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between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2"/>
        </w:rPr>
        <w:t>two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groups.</w:t>
      </w:r>
      <w:r>
        <w:rPr>
          <w:color w:val="231F20"/>
          <w:spacing w:val="12"/>
        </w:rPr>
        <w:t xml:space="preserve"> </w:t>
      </w:r>
      <w:r>
        <w:rPr>
          <w:b/>
          <w:bCs/>
          <w:color w:val="231F20"/>
          <w:spacing w:val="2"/>
        </w:rPr>
        <w:t>Results:</w:t>
      </w:r>
      <w:r>
        <w:rPr>
          <w:b/>
          <w:bCs/>
          <w:color w:val="231F20"/>
          <w:spacing w:val="12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2"/>
        </w:rPr>
        <w:t>total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2"/>
        </w:rPr>
        <w:t>effective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2"/>
        </w:rPr>
        <w:t>rate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4"/>
        </w:rPr>
        <w:t xml:space="preserve"> 96.67%, </w:t>
      </w:r>
      <w:r>
        <w:rPr>
          <w:color w:val="231F20"/>
        </w:rPr>
        <w:t>which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higher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14"/>
        </w:rPr>
        <w:t xml:space="preserve"> 73.33%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4"/>
        </w:rPr>
        <w:t>,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difference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statistically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signi</w:t>
      </w:r>
      <w:r>
        <w:rPr>
          <w:color w:val="231F20"/>
          <w:spacing w:val="14"/>
        </w:rPr>
        <w:t>ﬁ</w:t>
      </w:r>
      <w:r>
        <w:rPr>
          <w:color w:val="231F20"/>
        </w:rPr>
        <w:t>cant </w:t>
      </w:r>
      <w:r>
        <w:rPr>
          <w:color w:val="231F20"/>
          <w:spacing w:val="2"/>
        </w:rPr>
        <w:t>(</w:t>
      </w:r>
      <w:r>
        <w:rPr>
          <w:i/>
          <w:iCs/>
          <w:color w:val="231F20"/>
          <w:spacing w:val="2"/>
        </w:rPr>
        <w:t>P</w:t>
      </w:r>
      <w:r>
        <w:rPr>
          <w:color w:val="231F20"/>
          <w:spacing w:val="2"/>
        </w:rPr>
        <w:t>&lt;0.05).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disappearance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time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of clinical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2"/>
        </w:rPr>
        <w:t>symptoms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such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as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diarrhea,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abdominal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pain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2"/>
        </w:rPr>
        <w:t>vomiting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study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group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2"/>
        </w:rPr>
        <w:t>were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shorter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2"/>
        </w:rPr>
        <w:t>than</w:t>
      </w:r>
      <w:r>
        <w:rPr>
          <w:color w:val="231F20"/>
        </w:rPr>
        <w:t xml:space="preserve"> </w:t>
      </w:r>
      <w:r>
        <w:rPr>
          <w:color w:val="231F20"/>
        </w:rPr>
        <w:t>those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3"/>
        </w:rPr>
        <w:t>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differences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statistically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signi</w:t>
      </w:r>
      <w:r>
        <w:rPr>
          <w:color w:val="231F20"/>
          <w:spacing w:val="13"/>
        </w:rPr>
        <w:t>ﬁ</w:t>
      </w:r>
      <w:r>
        <w:rPr>
          <w:color w:val="231F20"/>
        </w:rPr>
        <w:t>cant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3"/>
        </w:rPr>
        <w:t>(</w:t>
      </w:r>
      <w:r>
        <w:rPr>
          <w:i/>
          <w:iCs/>
          <w:color w:val="231F20"/>
          <w:spacing w:val="13"/>
        </w:rPr>
        <w:t>P</w:t>
      </w:r>
      <w:r>
        <w:rPr>
          <w:color w:val="231F20"/>
          <w:spacing w:val="13"/>
        </w:rPr>
        <w:t>&lt;0.05). </w:t>
      </w:r>
      <w:r>
        <w:rPr>
          <w:color w:val="231F20"/>
        </w:rPr>
        <w:t>After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13"/>
        </w:rPr>
        <w:t>,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levels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IL</w:t>
      </w:r>
      <w:r>
        <w:rPr>
          <w:color w:val="231F20"/>
          <w:spacing w:val="13"/>
        </w:rPr>
        <w:t>-6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CRP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two </w:t>
      </w:r>
      <w:r>
        <w:rPr>
          <w:color w:val="231F20"/>
          <w:spacing w:val="2"/>
        </w:rPr>
        <w:t>groups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were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2"/>
        </w:rPr>
        <w:t>lower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2"/>
        </w:rPr>
        <w:t>than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those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2"/>
        </w:rPr>
        <w:t>before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treatment,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those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study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group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2"/>
        </w:rPr>
        <w:t>were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lower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2"/>
        </w:rPr>
        <w:t>than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2"/>
        </w:rPr>
        <w:t>those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control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2"/>
        </w:rPr>
        <w:t>group,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differences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were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statistically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signiﬁcant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(</w:t>
      </w:r>
      <w:r>
        <w:rPr>
          <w:i/>
          <w:iCs/>
          <w:color w:val="231F20"/>
          <w:spacing w:val="4"/>
        </w:rPr>
        <w:t>P</w:t>
      </w:r>
      <w:r>
        <w:rPr>
          <w:color w:val="231F20"/>
          <w:spacing w:val="4"/>
        </w:rPr>
        <w:t>&lt;</w:t>
      </w:r>
      <w:r>
        <w:rPr>
          <w:color w:val="231F20"/>
          <w:spacing w:val="3"/>
        </w:rPr>
        <w:t>0.05).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3"/>
        </w:rPr>
        <w:t>However,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there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was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no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signiﬁcant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difference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incidence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of adverse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reactions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between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3"/>
        </w:rPr>
        <w:t>two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groups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(</w:t>
      </w:r>
      <w:r>
        <w:rPr>
          <w:i/>
          <w:iCs/>
          <w:color w:val="231F20"/>
          <w:spacing w:val="3"/>
        </w:rPr>
        <w:t>P</w:t>
      </w:r>
      <w:r>
        <w:rPr>
          <w:color w:val="231F20"/>
          <w:spacing w:val="3"/>
        </w:rPr>
        <w:t>&gt;0.05).</w:t>
      </w:r>
      <w:r>
        <w:rPr>
          <w:color w:val="231F20"/>
          <w:spacing w:val="12"/>
        </w:rPr>
        <w:t xml:space="preserve"> </w:t>
      </w:r>
      <w:r>
        <w:rPr>
          <w:b/>
          <w:bCs/>
          <w:color w:val="231F20"/>
          <w:spacing w:val="3"/>
        </w:rPr>
        <w:t>Conclusions: </w:t>
      </w:r>
      <w:r>
        <w:rPr>
          <w:color w:val="231F20"/>
          <w:spacing w:val="3"/>
        </w:rPr>
        <w:t>Tinidazo</w:t>
      </w:r>
      <w:r>
        <w:rPr>
          <w:color w:val="231F20"/>
          <w:spacing w:val="2"/>
        </w:rPr>
        <w:t>le combined with Amoxicillin in the treatment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2"/>
        </w:rPr>
        <w:t>patients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2"/>
        </w:rPr>
        <w:t>acute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2"/>
        </w:rPr>
        <w:t>gastroenteritis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2"/>
        </w:rPr>
        <w:t>can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2"/>
        </w:rPr>
        <w:t>improve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clinical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3"/>
        </w:rPr>
        <w:t>efﬁcacy,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3"/>
        </w:rPr>
        <w:t>shorten 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disappearance</w:t>
      </w:r>
      <w:r>
        <w:rPr>
          <w:color w:val="231F20"/>
          <w:spacing w:val="2"/>
        </w:rPr>
        <w:t xml:space="preserve"> time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2"/>
        </w:rPr>
        <w:t>of clinical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2"/>
        </w:rPr>
        <w:t>symptoms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2"/>
        </w:rPr>
        <w:t>and reduce the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2"/>
        </w:rPr>
        <w:t>levels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of inﬂammatory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factors. Moreover,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2"/>
        </w:rPr>
        <w:t>it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2"/>
        </w:rPr>
        <w:t>is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superior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single Amoxicillin capsules treat</w:t>
      </w:r>
      <w:r>
        <w:rPr>
          <w:color w:val="231F20"/>
          <w:spacing w:val="2"/>
        </w:rPr>
        <w:t>ment.</w:t>
      </w:r>
    </w:p>
    <w:p>
      <w:pPr>
        <w:pStyle w:val="BodyText"/>
        <w:ind w:left="1143"/>
        <w:spacing w:before="35" w:line="219" w:lineRule="auto"/>
        <w:rPr/>
      </w:pPr>
      <w:r>
        <w:rPr>
          <w:rFonts w:ascii="Microsoft YaHei" w:hAnsi="Microsoft YaHei" w:eastAsia="Microsoft YaHei" w:cs="Microsoft YaHei"/>
          <w:color w:val="231F20"/>
        </w:rPr>
        <w:t>【</w:t>
      </w:r>
      <w:r>
        <w:rPr>
          <w:b/>
          <w:bCs/>
          <w:color w:val="231F20"/>
        </w:rPr>
        <w:t>Keywords</w:t>
      </w:r>
      <w:r>
        <w:rPr>
          <w:rFonts w:ascii="Microsoft YaHei" w:hAnsi="Microsoft YaHei" w:eastAsia="Microsoft YaHei" w:cs="Microsoft YaHei"/>
          <w:color w:val="231F20"/>
        </w:rPr>
        <w:t>】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</w:rPr>
        <w:t>Amoxicillin capsules; Tinidazole;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Acute gastroenteritis; Inﬂammatory factor;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Adverse rea</w:t>
      </w:r>
      <w:r>
        <w:rPr>
          <w:color w:val="231F20"/>
          <w:spacing w:val="-1"/>
        </w:rPr>
        <w:t>ction</w:t>
      </w:r>
    </w:p>
    <w:p>
      <w:pPr>
        <w:spacing w:line="211" w:lineRule="exact"/>
        <w:rPr/>
      </w:pPr>
      <w:r/>
    </w:p>
    <w:p>
      <w:pPr>
        <w:spacing w:line="211" w:lineRule="exact"/>
        <w:sectPr>
          <w:footerReference w:type="default" r:id="rId1"/>
          <w:pgSz w:w="11906" w:h="16838"/>
          <w:pgMar w:top="833" w:right="1052" w:bottom="547" w:left="407" w:header="0" w:footer="354" w:gutter="0"/>
          <w:cols w:equalWidth="0" w:num="1">
            <w:col w:w="10445" w:space="0"/>
          </w:cols>
        </w:sectPr>
        <w:rPr/>
      </w:pPr>
    </w:p>
    <w:p>
      <w:pPr>
        <w:ind w:left="729" w:right="230" w:firstLine="429"/>
        <w:spacing w:before="46" w:line="227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pict>
          <v:shape id="_x0000_s4" style="position:absolute;margin-left:36.3788pt;margin-top:146.163pt;mso-position-vertical-relative:text;mso-position-horizontal-relative:text;width:120.45pt;height:0.2pt;z-index:251658240;" filled="false" strokecolor="#231F20" strokeweight="0.20pt" coordsize="2408,4" coordorigin="0,0" path="m0,1l2408,1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急性肠胃炎是由细菌或病毒感染引起的肠道感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染性疾病，夏、秋季高发，通常是因饮食或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受凉所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致，患者临床表现为腹痛、腹泻、呕吐等症状，是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消化内科常见的疾病之一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3"/>
          <w:position w:val="9"/>
        </w:rPr>
        <w:t>[1-3]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2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。阿莫西林为半合成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0"/>
        </w:rPr>
        <w:t>的广谱抗菌药物，但长期使用易产生抗药性，且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单一用药局限性较大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1"/>
          <w:position w:val="9"/>
        </w:rPr>
        <w:t>[4]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。替硝唑的杀菌作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用与阿莫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西林相似，且不良反应较少，安全性较好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"/>
          <w:position w:val="9"/>
        </w:rPr>
        <w:t>[5]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3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。本文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1"/>
        </w:rPr>
        <w:t>观察替硝唑联合阿莫西林治疗急性肠胃炎患者的</w:t>
      </w:r>
    </w:p>
    <w:p>
      <w:pPr>
        <w:ind w:left="731"/>
        <w:spacing w:before="273" w:line="19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>收稿日期：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2023-06-09</w:t>
      </w:r>
    </w:p>
    <w:p>
      <w:pPr>
        <w:ind w:left="734" w:right="232" w:hanging="3"/>
        <w:spacing w:before="2" w:line="19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作者简介：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李慧国（1982.10—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），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男，汉族，江西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南昌人，本科，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主治医师，研究方向为消化内科</w:t>
      </w:r>
    </w:p>
    <w:p>
      <w:pPr>
        <w:spacing w:line="6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3"/>
        <w:spacing w:before="40" w:line="17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效果。</w:t>
      </w:r>
    </w:p>
    <w:p>
      <w:pPr>
        <w:ind w:left="29"/>
        <w:spacing w:before="60" w:line="24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4"/>
        </w:rPr>
        <w:t>1</w:t>
      </w:r>
      <w:r>
        <w:rPr>
          <w:rFonts w:ascii="SimHei" w:hAnsi="SimHei" w:eastAsia="SimHei" w:cs="SimHei"/>
          <w:sz w:val="21"/>
          <w:szCs w:val="21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-4"/>
        </w:rPr>
        <w:t>资料与方法</w:t>
      </w:r>
    </w:p>
    <w:p>
      <w:pPr>
        <w:ind w:firstLine="31"/>
        <w:spacing w:before="72" w:line="226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1.1    一般资料    选取 2020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年 3 月至 2021 年 4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月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本院收治的 60 例急性肠胃炎患者进行前瞻性研究。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纳入标准：符合急性肠胃炎诊断标准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4"/>
          <w:position w:val="9"/>
        </w:rPr>
        <w:t>[6]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；年龄≥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18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岁；近 1 周未接受过抗生素治疗。排除标准：对本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研究药物过敏；合并心、肝、肾等器官疾病；合并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呼吸道疾病；合并精神障碍或神经功能异常；妊娠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或哺乳期；依从性差。患者对本研究内容了解并自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愿签署知情同意书，且研究经本院伦理委员会批准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（批准文号：20200123）。按照随机数字表法将其</w:t>
      </w:r>
    </w:p>
    <w:p>
      <w:pPr>
        <w:spacing w:line="226" w:lineRule="auto"/>
        <w:sectPr>
          <w:type w:val="continuous"/>
          <w:pgSz w:w="11906" w:h="16838"/>
          <w:pgMar w:top="833" w:right="1052" w:bottom="547" w:left="407" w:header="0" w:footer="354" w:gutter="0"/>
          <w:cols w:equalWidth="0" w:num="2">
            <w:col w:w="5606" w:space="100"/>
            <w:col w:w="4739" w:space="0"/>
          </w:cols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ind w:left="9878"/>
        <w:spacing w:before="234" w:line="144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  <w:position w:val="-3"/>
        </w:rPr>
        <w:t>41</w:t>
      </w:r>
    </w:p>
    <w:p>
      <w:pPr>
        <w:spacing w:line="144" w:lineRule="exact"/>
        <w:sectPr>
          <w:type w:val="continuous"/>
          <w:pgSz w:w="11906" w:h="16838"/>
          <w:pgMar w:top="833" w:right="1052" w:bottom="547" w:left="407" w:header="0" w:footer="354" w:gutter="0"/>
          <w:cols w:equalWidth="0" w:num="1">
            <w:col w:w="10445" w:space="0"/>
          </w:cols>
        </w:sectPr>
        <w:rPr>
          <w:rFonts w:ascii="SimSun" w:hAnsi="SimSun" w:eastAsia="SimSun" w:cs="SimSun"/>
          <w:sz w:val="21"/>
          <w:szCs w:val="21"/>
        </w:rPr>
      </w:pPr>
    </w:p>
    <w:tbl>
      <w:tblPr>
        <w:tblStyle w:val="TableNormal"/>
        <w:tblW w:w="9437" w:type="dxa"/>
        <w:tblInd w:w="81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28"/>
        <w:gridCol w:w="4083"/>
        <w:gridCol w:w="2726"/>
      </w:tblGrid>
      <w:tr>
        <w:trPr>
          <w:trHeight w:val="231" w:hRule="atLeast"/>
        </w:trPr>
        <w:tc>
          <w:tcPr>
            <w:tcW w:w="2628" w:type="dxa"/>
            <w:vAlign w:val="top"/>
          </w:tcPr>
          <w:p>
            <w:pPr>
              <w:ind w:left="634"/>
              <w:spacing w:line="17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2023 年 8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月</w:t>
            </w:r>
          </w:p>
        </w:tc>
        <w:tc>
          <w:tcPr>
            <w:tcW w:w="4083" w:type="dxa"/>
            <w:vAlign w:val="top"/>
          </w:tcPr>
          <w:p>
            <w:pPr>
              <w:ind w:left="1484"/>
              <w:spacing w:before="2" w:line="17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4"/>
              </w:rPr>
              <w:t>中国民康医学</w:t>
            </w:r>
          </w:p>
        </w:tc>
        <w:tc>
          <w:tcPr>
            <w:tcW w:w="2726" w:type="dxa"/>
            <w:vAlign w:val="top"/>
          </w:tcPr>
          <w:p>
            <w:pPr>
              <w:ind w:left="1253"/>
              <w:spacing w:line="17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23"/>
                <w:w w:val="99"/>
              </w:rPr>
              <w:t>Aug.，2023</w:t>
            </w:r>
          </w:p>
        </w:tc>
      </w:tr>
      <w:tr>
        <w:trPr>
          <w:trHeight w:val="231" w:hRule="atLeast"/>
        </w:trPr>
        <w:tc>
          <w:tcPr>
            <w:tcW w:w="2628" w:type="dxa"/>
            <w:vAlign w:val="top"/>
          </w:tcPr>
          <w:p>
            <w:pPr>
              <w:spacing w:before="24" w:line="196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9"/>
              </w:rPr>
              <w:t>第 35 卷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9"/>
              </w:rPr>
              <w:t>半月刊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7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9"/>
              </w:rPr>
              <w:t>第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9"/>
              </w:rPr>
              <w:t>16 期</w:t>
            </w:r>
          </w:p>
        </w:tc>
        <w:tc>
          <w:tcPr>
            <w:tcW w:w="4083" w:type="dxa"/>
            <w:vAlign w:val="top"/>
          </w:tcPr>
          <w:p>
            <w:pPr>
              <w:pStyle w:val="TableText"/>
              <w:ind w:left="476"/>
              <w:spacing w:before="53" w:line="172" w:lineRule="auto"/>
              <w:rPr/>
            </w:pPr>
            <w:r>
              <w:rPr>
                <w:color w:val="231F20"/>
                <w:spacing w:val="-13"/>
              </w:rPr>
              <w:t>Medical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3"/>
              </w:rPr>
              <w:t>Journal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13"/>
              </w:rPr>
              <w:t>of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13"/>
              </w:rPr>
              <w:t>Chinese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13"/>
              </w:rPr>
              <w:t>People's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3"/>
              </w:rPr>
              <w:t>Health</w:t>
            </w:r>
          </w:p>
        </w:tc>
        <w:tc>
          <w:tcPr>
            <w:tcW w:w="2726" w:type="dxa"/>
            <w:vAlign w:val="top"/>
          </w:tcPr>
          <w:p>
            <w:pPr>
              <w:pStyle w:val="TableText"/>
              <w:spacing w:before="53" w:line="172" w:lineRule="auto"/>
              <w:jc w:val="right"/>
              <w:rPr/>
            </w:pPr>
            <w:r>
              <w:rPr>
                <w:color w:val="231F20"/>
                <w:spacing w:val="-9"/>
              </w:rPr>
              <w:t>Vol.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9"/>
              </w:rPr>
              <w:t>35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9"/>
              </w:rPr>
              <w:t>Semimonthly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9"/>
              </w:rPr>
              <w:t>No.16</w:t>
            </w:r>
          </w:p>
        </w:tc>
      </w:tr>
    </w:tbl>
    <w:p>
      <w:pPr>
        <w:ind w:firstLine="726"/>
        <w:spacing w:before="109" w:line="37" w:lineRule="exact"/>
        <w:rPr/>
      </w:pPr>
      <w:r>
        <w:rPr/>
        <w:pict>
          <v:shape id="_x0000_s6" style="mso-position-vertical-relative:line;mso-position-horizontal-relative:char;width:481.9pt;height:1.9pt;" filled="false" strokecolor="#231F20" strokeweight="0.30pt" coordsize="9637,37" coordorigin="0,0" path="m0,3l9637,3m0,34l9637,34e">
            <v:stroke joinstyle="miter" miterlimit="4"/>
          </v:shape>
        </w:pict>
      </w:r>
    </w:p>
    <w:p>
      <w:pPr>
        <w:spacing w:line="163" w:lineRule="exact"/>
        <w:rPr/>
      </w:pPr>
      <w:r/>
    </w:p>
    <w:p>
      <w:pPr>
        <w:spacing w:line="163" w:lineRule="exact"/>
        <w:sectPr>
          <w:footerReference w:type="default" r:id="rId2"/>
          <w:pgSz w:w="11906" w:h="16838"/>
          <w:pgMar w:top="833" w:right="1053" w:bottom="1108" w:left="407" w:header="0" w:footer="354" w:gutter="0"/>
          <w:cols w:equalWidth="0" w:num="1">
            <w:col w:w="10445" w:space="0"/>
          </w:cols>
        </w:sectPr>
        <w:rPr/>
      </w:pPr>
    </w:p>
    <w:p>
      <w:pPr>
        <w:pStyle w:val="BodyText"/>
        <w:ind w:left="730" w:right="160"/>
        <w:spacing w:before="41" w:line="226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分为对照组和研究组各 30 例。对照组：男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13 例，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女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17 例；年龄 26~34 岁，平均（29.34±1.66）岁；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6"/>
        </w:rPr>
        <w:t>病程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6"/>
        </w:rPr>
        <w:t>2~4 h，平均（2.87±0.68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7"/>
        </w:rPr>
        <w:t>）h。研究组：男 15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7"/>
        </w:rPr>
        <w:t>例，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女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15 例；年龄 26~34 岁；平均（29.37±1.68）岁；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病程 2~4 h，平均（3.17±0.74）h。两组一般资料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比较，差异无统计学意义（</w:t>
      </w:r>
      <w:r>
        <w:rPr>
          <w:sz w:val="21"/>
          <w:szCs w:val="21"/>
          <w:i/>
          <w:iCs/>
          <w:color w:val="231F20"/>
          <w:spacing w:val="-5"/>
        </w:rPr>
        <w:t>P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&gt;0.05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有可比性。</w:t>
      </w:r>
    </w:p>
    <w:p>
      <w:pPr>
        <w:ind w:left="729" w:right="231" w:firstLine="19"/>
        <w:spacing w:line="227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3"/>
        </w:rPr>
        <w:t>1.2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1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3"/>
        </w:rPr>
        <w:t>方法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8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3"/>
        </w:rPr>
        <w:t>两组入院后均给予常规治疗。在此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1"/>
        </w:rPr>
        <w:t>基础上，对照组给予阿莫西林胶囊 [ 通化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0"/>
        </w:rPr>
        <w:t>茂祥制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2"/>
        </w:rPr>
        <w:t>药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2"/>
        </w:rPr>
        <w:t>有 限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2"/>
        </w:rPr>
        <w:t>公 司， 国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2"/>
        </w:rPr>
        <w:t>药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2"/>
        </w:rPr>
        <w:t>准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2"/>
        </w:rPr>
        <w:t>字 H22023467，0.25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2"/>
        </w:rPr>
        <w:t>g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2"/>
        </w:rPr>
        <w:t>（按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1"/>
        </w:rPr>
        <w:t>C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1"/>
          <w:position w:val="-3"/>
        </w:rPr>
        <w:t>16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1"/>
        </w:rPr>
        <w:t>H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1"/>
          <w:position w:val="-3"/>
        </w:rPr>
        <w:t>19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2"/>
        </w:rPr>
        <w:t>N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0"/>
          <w:position w:val="-3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8"/>
          <w:w w:val="92"/>
        </w:rPr>
        <w:t>O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0"/>
          <w:position w:val="-3"/>
        </w:rPr>
        <w:t>5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1"/>
        </w:rPr>
        <w:t>S 计）]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1"/>
        </w:rPr>
        <w:t>口服治疗，0.5 g/ 次，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2"/>
        </w:rPr>
        <w:t>3 次 /d。</w:t>
      </w:r>
    </w:p>
    <w:p>
      <w:pPr>
        <w:ind w:left="729" w:right="231" w:firstLine="424"/>
        <w:spacing w:before="3" w:line="225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研究组在对照组基础上联合替硝唑片（重庆华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邦制药有限公司，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国药准字 H20013001，0.5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9"/>
        </w:rPr>
        <w:t>g）口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3"/>
        </w:rPr>
        <w:t>服治疗，1 g/ 次，1 次 /d。</w:t>
      </w:r>
    </w:p>
    <w:p>
      <w:pPr>
        <w:ind w:left="1156"/>
        <w:spacing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两组均持续治疗 5 d。</w:t>
      </w:r>
    </w:p>
    <w:p>
      <w:pPr>
        <w:ind w:left="725" w:right="148" w:firstLine="22"/>
        <w:spacing w:before="36" w:line="226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1.3   观察指标   （1）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比较两组临床疗效。治疗后，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患者腹泻、恶心、呕吐等临床症状完全消失，且大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便性状完全恢复正常为显效；治疗后，患者腹泻、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恶心、呕吐等临床症状有所改善，且大便性状逐渐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恢复为有效；治疗后，患者临床症状无好转为无效。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总有效率 =（显效 + 有效）例数 / 总例数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×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100%。</w:t>
      </w:r>
    </w:p>
    <w:p>
      <w:pPr>
        <w:ind w:left="716" w:right="231"/>
        <w:spacing w:before="5" w:line="226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（2）比较两组临床症状消失时间，包括腹泻消失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时间、腹痛消失时间及呕吐消失时间。（3）比较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两组治疗前后炎性因子水平。采集患者清晨空腹肘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静脉血 5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mL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，常规离心后获得血清，采用酶联免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疫吸附法测定白细胞介素 -6（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IL-6）、C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反应蛋白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（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CRP）水平。（4）比较两组不良反应发生率。</w:t>
      </w:r>
    </w:p>
    <w:p>
      <w:pPr>
        <w:pStyle w:val="BodyText"/>
        <w:ind w:left="730" w:right="230" w:firstLine="18"/>
        <w:spacing w:before="1" w:line="232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1.4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统计学方法   应用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SPSS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21.0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软件进行统计学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分析，计量资料以（</w:t>
      </w:r>
      <w:r>
        <w:rPr>
          <w:sz w:val="21"/>
          <w:szCs w:val="21"/>
          <w:i/>
          <w:iCs/>
          <w:color w:val="231F20"/>
        </w:rPr>
        <w:t>x</w:t>
      </w:r>
      <w:r>
        <w:rPr>
          <w:rFonts w:ascii="Microsoft YaHei" w:hAnsi="Microsoft YaHei" w:eastAsia="Microsoft YaHei" w:cs="Microsoft YaHei"/>
          <w:sz w:val="8"/>
          <w:szCs w:val="8"/>
          <w:color w:val="231F20"/>
          <w:position w:val="13"/>
        </w:rPr>
        <w:t>—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±</w:t>
      </w:r>
      <w:r>
        <w:rPr>
          <w:sz w:val="21"/>
          <w:szCs w:val="21"/>
          <w:i/>
          <w:iCs/>
          <w:color w:val="231F20"/>
        </w:rPr>
        <w:t>s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）表示，采用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6"/>
          <w:w w:val="101"/>
        </w:rPr>
        <w:t xml:space="preserve"> </w:t>
      </w:r>
      <w:r>
        <w:rPr>
          <w:sz w:val="21"/>
          <w:szCs w:val="21"/>
          <w:i/>
          <w:iCs/>
          <w:color w:val="231F20"/>
        </w:rPr>
        <w:t>t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检验，计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数资料以率（%）表示，采用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0"/>
        </w:rPr>
        <w:t xml:space="preserve"> </w:t>
      </w:r>
      <w:r>
        <w:rPr>
          <w:sz w:val="21"/>
          <w:szCs w:val="21"/>
          <w:i/>
          <w:iCs/>
          <w:color w:val="231F20"/>
          <w:spacing w:val="2"/>
        </w:rPr>
        <w:t>χ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2"/>
          <w:position w:val="9"/>
        </w:rPr>
        <w:t>2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28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检验，以 </w:t>
      </w:r>
      <w:r>
        <w:rPr>
          <w:sz w:val="21"/>
          <w:szCs w:val="21"/>
          <w:i/>
          <w:iCs/>
          <w:color w:val="231F20"/>
          <w:spacing w:val="2"/>
        </w:rPr>
        <w:t>P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&lt;0.05</w:t>
      </w:r>
    </w:p>
    <w:p>
      <w:pPr>
        <w:spacing w:line="1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8"/>
        <w:spacing w:before="40" w:line="17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为差异有统计学意义。</w:t>
      </w:r>
    </w:p>
    <w:p>
      <w:pPr>
        <w:ind w:left="14"/>
        <w:spacing w:before="60" w:line="281" w:lineRule="exact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1"/>
          <w:position w:val="1"/>
        </w:rPr>
        <w:t>2</w:t>
      </w:r>
      <w:r>
        <w:rPr>
          <w:rFonts w:ascii="SimHei" w:hAnsi="SimHei" w:eastAsia="SimHei" w:cs="SimHei"/>
          <w:sz w:val="21"/>
          <w:szCs w:val="21"/>
          <w:color w:val="231F20"/>
          <w:spacing w:val="7"/>
          <w:position w:val="1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-1"/>
          <w:position w:val="1"/>
        </w:rPr>
        <w:t>结果</w:t>
      </w:r>
    </w:p>
    <w:p>
      <w:pPr>
        <w:pStyle w:val="BodyText"/>
        <w:ind w:left="13" w:right="12" w:firstLine="1"/>
        <w:spacing w:before="66" w:line="21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2.1   两组临床疗效比较    研究组治疗总有效率为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8"/>
          <w:w w:val="99"/>
        </w:rPr>
        <w:t>96.67%（29/30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5"/>
          <w:w w:val="90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8"/>
          <w:w w:val="99"/>
        </w:rPr>
        <w:t>明显高于对照组的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8"/>
          <w:w w:val="99"/>
        </w:rPr>
        <w:t>73.33%（22/30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5"/>
          <w:w w:val="90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差异有统计学意义（</w:t>
      </w:r>
      <w:r>
        <w:rPr>
          <w:sz w:val="21"/>
          <w:szCs w:val="21"/>
          <w:i/>
          <w:iCs/>
          <w:color w:val="231F20"/>
          <w:spacing w:val="-7"/>
        </w:rPr>
        <w:t>P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&lt;0.05）。见表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1。</w:t>
      </w:r>
    </w:p>
    <w:p>
      <w:pPr>
        <w:pStyle w:val="BodyText"/>
        <w:ind w:right="79" w:firstLine="14"/>
        <w:spacing w:before="39" w:line="22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5"/>
        </w:rPr>
        <w:t>2.2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9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5"/>
        </w:rPr>
        <w:t>两组临床症状消失时间比较   研究组腹泻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1"/>
        </w:rPr>
        <w:t>消失时间、腹痛消失时间、呕吐消失时间等临床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1"/>
        </w:rPr>
        <w:t>症状消失时间均短于对照组，差异有统计学意义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1"/>
        </w:rPr>
        <w:t>（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9"/>
        </w:rPr>
        <w:t xml:space="preserve"> </w:t>
      </w:r>
      <w:r>
        <w:rPr>
          <w:sz w:val="21"/>
          <w:szCs w:val="21"/>
          <w:i/>
          <w:iCs/>
          <w:color w:val="231F20"/>
          <w:spacing w:val="-11"/>
        </w:rPr>
        <w:t>P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1"/>
        </w:rPr>
        <w:t>&lt;0.05）。见表 2。</w:t>
      </w:r>
    </w:p>
    <w:p>
      <w:pPr>
        <w:pStyle w:val="BodyText"/>
        <w:ind w:right="13" w:firstLine="14"/>
        <w:spacing w:before="41" w:line="22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2.3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1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两组治疗前后炎性因子水平比较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治疗前，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两组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IL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-6 和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CRP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水平比较，差异均无统计学意义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（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i/>
          <w:iCs/>
          <w:color w:val="231F20"/>
          <w:spacing w:val="-2"/>
        </w:rPr>
        <w:t>P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&gt;0.05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5"/>
        </w:rPr>
        <w:t>）；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治疗后，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两组 IL-6 和 CRP 水平均低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于治疗前，且研究组低于对照组，差异有统计学意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义（</w:t>
      </w:r>
      <w:r>
        <w:rPr>
          <w:sz w:val="21"/>
          <w:szCs w:val="21"/>
          <w:i/>
          <w:iCs/>
          <w:color w:val="231F20"/>
          <w:spacing w:val="-8"/>
        </w:rPr>
        <w:t>P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&lt;0.05）。见表 3。</w:t>
      </w:r>
    </w:p>
    <w:p>
      <w:pPr>
        <w:pStyle w:val="BodyText"/>
        <w:ind w:left="14"/>
        <w:spacing w:before="38" w:line="21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2.4   两组不良反应发生率比较    两组不良反应发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生率比较，差异无统计学意义（</w:t>
      </w:r>
      <w:r>
        <w:rPr>
          <w:sz w:val="21"/>
          <w:szCs w:val="21"/>
          <w:i/>
          <w:iCs/>
          <w:color w:val="231F20"/>
          <w:spacing w:val="-6"/>
        </w:rPr>
        <w:t>P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&gt;0.05）。见表 4。</w:t>
      </w:r>
    </w:p>
    <w:p>
      <w:pPr>
        <w:ind w:left="16"/>
        <w:spacing w:before="31" w:line="277" w:lineRule="exact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1"/>
          <w:position w:val="1"/>
        </w:rPr>
        <w:t>3</w:t>
      </w:r>
      <w:r>
        <w:rPr>
          <w:rFonts w:ascii="SimHei" w:hAnsi="SimHei" w:eastAsia="SimHei" w:cs="SimHei"/>
          <w:sz w:val="21"/>
          <w:szCs w:val="21"/>
          <w:color w:val="231F20"/>
          <w:spacing w:val="1"/>
          <w:position w:val="1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1"/>
          <w:position w:val="1"/>
        </w:rPr>
        <w:t>讨论</w:t>
      </w:r>
    </w:p>
    <w:p>
      <w:pPr>
        <w:ind w:left="12" w:right="11" w:firstLine="429"/>
        <w:spacing w:before="78" w:line="226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急性肠胃炎多由饮食不当、暴饮暴食或食入生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冷、受污染的食品，导致病毒、细菌、寄生虫等感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染引起的胃肠黏膜急性炎症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3"/>
          <w:position w:val="9"/>
        </w:rPr>
        <w:t>[7-9]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0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。阿莫西林是临床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治疗急性肠胃炎常用的广谱抗菌药，口服给药后可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直接穿透细菌细胞壁，并与细菌内的转肽酶相结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合，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抑制细菌活性，阻断细菌细胞壁合成，且胃肠道吸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收率高，药物持续作用时间长，但阿莫西林的药效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  <w:position w:val="-2"/>
        </w:rPr>
        <w:t>易受患者饮食成分影响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3"/>
          <w:position w:val="7"/>
        </w:rPr>
        <w:t>[10-12]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  <w:position w:val="-2"/>
        </w:rPr>
        <w:t>。</w:t>
      </w:r>
    </w:p>
    <w:p>
      <w:pPr>
        <w:ind w:left="11" w:right="88" w:firstLine="444"/>
        <w:spacing w:before="3" w:line="229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已知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IL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-6 为促炎因子，可直接反映机体炎症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反应的严重程度；CRP 参与机体炎症反应，其水平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与机体炎症反应程度呈正相关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5"/>
          <w:position w:val="9"/>
        </w:rPr>
        <w:t>[13]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1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。本研究结果显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示，研究组治疗总有效率高于对照组，腹泻消失时</w:t>
      </w:r>
    </w:p>
    <w:p>
      <w:pPr>
        <w:spacing w:line="229" w:lineRule="auto"/>
        <w:sectPr>
          <w:type w:val="continuous"/>
          <w:pgSz w:w="11906" w:h="16838"/>
          <w:pgMar w:top="833" w:right="1053" w:bottom="1108" w:left="407" w:header="0" w:footer="354" w:gutter="0"/>
          <w:cols w:equalWidth="0" w:num="2">
            <w:col w:w="5606" w:space="100"/>
            <w:col w:w="4739" w:space="0"/>
          </w:cols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pStyle w:val="BodyText"/>
        <w:ind w:left="4201"/>
        <w:spacing w:before="147" w:line="241" w:lineRule="auto"/>
        <w:outlineLvl w:val="0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3"/>
        </w:rPr>
        <w:t>表</w:t>
      </w:r>
      <w:r>
        <w:rPr>
          <w:rFonts w:ascii="SimHei" w:hAnsi="SimHei" w:eastAsia="SimHei" w:cs="SimHei"/>
          <w:sz w:val="18"/>
          <w:szCs w:val="18"/>
          <w:color w:val="231F20"/>
          <w:spacing w:val="-22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3"/>
        </w:rPr>
        <w:t>1</w:t>
      </w:r>
      <w:r>
        <w:rPr>
          <w:rFonts w:ascii="SimHei" w:hAnsi="SimHei" w:eastAsia="SimHei" w:cs="SimHei"/>
          <w:sz w:val="18"/>
          <w:szCs w:val="18"/>
          <w:color w:val="231F20"/>
          <w:spacing w:val="-3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231F20"/>
          <w:spacing w:val="-3"/>
        </w:rPr>
        <w:t>两组临床疗效比较</w:t>
      </w:r>
      <w:r>
        <w:rPr>
          <w:rFonts w:ascii="SimHei" w:hAnsi="SimHei" w:eastAsia="SimHei" w:cs="SimHei"/>
          <w:sz w:val="18"/>
          <w:szCs w:val="18"/>
          <w:color w:val="231F20"/>
          <w:spacing w:val="-34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3"/>
        </w:rPr>
        <w:t>[</w:t>
      </w:r>
      <w:r>
        <w:rPr>
          <w:sz w:val="18"/>
          <w:szCs w:val="18"/>
          <w:i/>
          <w:iCs/>
          <w:color w:val="231F20"/>
          <w:spacing w:val="-3"/>
        </w:rPr>
        <w:t>n</w:t>
      </w:r>
      <w:r>
        <w:rPr>
          <w:rFonts w:ascii="SimHei" w:hAnsi="SimHei" w:eastAsia="SimHei" w:cs="SimHei"/>
          <w:sz w:val="18"/>
          <w:szCs w:val="18"/>
          <w:color w:val="231F20"/>
          <w:spacing w:val="-3"/>
        </w:rPr>
        <w:t>（%）]</w:t>
      </w:r>
    </w:p>
    <w:p>
      <w:pPr>
        <w:spacing w:line="9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637" w:type="dxa"/>
        <w:tblInd w:w="7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68"/>
        <w:gridCol w:w="1918"/>
        <w:gridCol w:w="1790"/>
        <w:gridCol w:w="1766"/>
        <w:gridCol w:w="1895"/>
      </w:tblGrid>
      <w:tr>
        <w:trPr>
          <w:trHeight w:val="276" w:hRule="atLeast"/>
        </w:trPr>
        <w:tc>
          <w:tcPr>
            <w:tcW w:w="226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013"/>
              <w:spacing w:before="60" w:line="179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</w:rPr>
              <w:t>组别</w:t>
            </w:r>
          </w:p>
        </w:tc>
        <w:tc>
          <w:tcPr>
            <w:tcW w:w="191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865"/>
              <w:spacing w:before="61" w:line="178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</w:rPr>
              <w:t>显效</w:t>
            </w:r>
          </w:p>
        </w:tc>
        <w:tc>
          <w:tcPr>
            <w:tcW w:w="179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772"/>
              <w:spacing w:before="61" w:line="178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</w:rPr>
              <w:t>有效</w:t>
            </w:r>
          </w:p>
        </w:tc>
        <w:tc>
          <w:tcPr>
            <w:tcW w:w="176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731"/>
              <w:spacing w:before="61" w:line="178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</w:rPr>
              <w:t>无效</w:t>
            </w:r>
          </w:p>
        </w:tc>
        <w:tc>
          <w:tcPr>
            <w:tcW w:w="189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636"/>
              <w:spacing w:before="60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2"/>
              </w:rPr>
              <w:t>总有效率</w:t>
            </w:r>
          </w:p>
        </w:tc>
      </w:tr>
      <w:tr>
        <w:trPr>
          <w:trHeight w:val="277" w:hRule="atLeast"/>
        </w:trPr>
        <w:tc>
          <w:tcPr>
            <w:tcW w:w="2268" w:type="dxa"/>
            <w:vAlign w:val="top"/>
            <w:tcBorders>
              <w:top w:val="single" w:color="231F20" w:sz="2" w:space="0"/>
            </w:tcBorders>
          </w:tcPr>
          <w:p>
            <w:pPr>
              <w:ind w:left="609"/>
              <w:spacing w:before="59" w:line="18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7"/>
              </w:rPr>
              <w:t>研究组（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-7"/>
              </w:rPr>
              <w:t>n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7"/>
              </w:rPr>
              <w:t>=30）</w:t>
            </w:r>
          </w:p>
        </w:tc>
        <w:tc>
          <w:tcPr>
            <w:tcW w:w="1918" w:type="dxa"/>
            <w:vAlign w:val="top"/>
            <w:tcBorders>
              <w:top w:val="single" w:color="231F20" w:sz="2" w:space="0"/>
            </w:tcBorders>
          </w:tcPr>
          <w:p>
            <w:pPr>
              <w:ind w:left="608"/>
              <w:spacing w:before="59" w:line="18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25（83.33）</w:t>
            </w:r>
          </w:p>
        </w:tc>
        <w:tc>
          <w:tcPr>
            <w:tcW w:w="1790" w:type="dxa"/>
            <w:vAlign w:val="top"/>
            <w:tcBorders>
              <w:top w:val="single" w:color="231F20" w:sz="2" w:space="0"/>
            </w:tcBorders>
          </w:tcPr>
          <w:p>
            <w:pPr>
              <w:ind w:left="552"/>
              <w:spacing w:before="59" w:line="18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3"/>
              </w:rPr>
              <w:t>4（ 13.33）</w:t>
            </w:r>
          </w:p>
        </w:tc>
        <w:tc>
          <w:tcPr>
            <w:tcW w:w="1766" w:type="dxa"/>
            <w:vAlign w:val="top"/>
            <w:tcBorders>
              <w:top w:val="single" w:color="231F20" w:sz="2" w:space="0"/>
            </w:tcBorders>
          </w:tcPr>
          <w:p>
            <w:pPr>
              <w:ind w:left="568"/>
              <w:spacing w:before="59" w:line="18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1（3.33）</w:t>
            </w:r>
          </w:p>
        </w:tc>
        <w:tc>
          <w:tcPr>
            <w:tcW w:w="1895" w:type="dxa"/>
            <w:vAlign w:val="top"/>
            <w:tcBorders>
              <w:top w:val="single" w:color="231F20" w:sz="2" w:space="0"/>
            </w:tcBorders>
          </w:tcPr>
          <w:p>
            <w:pPr>
              <w:ind w:left="534"/>
              <w:spacing w:before="59" w:line="18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29（96.67）</w:t>
            </w:r>
          </w:p>
        </w:tc>
      </w:tr>
      <w:tr>
        <w:trPr>
          <w:trHeight w:val="276" w:hRule="atLeast"/>
        </w:trPr>
        <w:tc>
          <w:tcPr>
            <w:tcW w:w="2268" w:type="dxa"/>
            <w:vAlign w:val="top"/>
          </w:tcPr>
          <w:p>
            <w:pPr>
              <w:ind w:left="609"/>
              <w:spacing w:before="64" w:line="17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7"/>
              </w:rPr>
              <w:t>对照组（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-7"/>
              </w:rPr>
              <w:t>n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7"/>
              </w:rPr>
              <w:t>=30）</w:t>
            </w:r>
          </w:p>
        </w:tc>
        <w:tc>
          <w:tcPr>
            <w:tcW w:w="1918" w:type="dxa"/>
            <w:vAlign w:val="top"/>
          </w:tcPr>
          <w:p>
            <w:pPr>
              <w:ind w:left="622"/>
              <w:spacing w:before="64" w:line="17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1"/>
              </w:rPr>
              <w:t>16（53.33）</w:t>
            </w:r>
          </w:p>
        </w:tc>
        <w:tc>
          <w:tcPr>
            <w:tcW w:w="1790" w:type="dxa"/>
            <w:vAlign w:val="top"/>
          </w:tcPr>
          <w:p>
            <w:pPr>
              <w:ind w:left="556"/>
              <w:spacing w:before="64" w:line="17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9"/>
              </w:rPr>
              <w:t>6（20.00）</w:t>
            </w:r>
          </w:p>
        </w:tc>
        <w:tc>
          <w:tcPr>
            <w:tcW w:w="1766" w:type="dxa"/>
            <w:vAlign w:val="top"/>
          </w:tcPr>
          <w:p>
            <w:pPr>
              <w:ind w:left="557"/>
              <w:spacing w:before="64" w:line="17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9"/>
              </w:rPr>
              <w:t>8（26.67）</w:t>
            </w:r>
          </w:p>
        </w:tc>
        <w:tc>
          <w:tcPr>
            <w:tcW w:w="1895" w:type="dxa"/>
            <w:vAlign w:val="top"/>
          </w:tcPr>
          <w:p>
            <w:pPr>
              <w:ind w:left="534"/>
              <w:spacing w:before="64" w:line="17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22（73.33）</w:t>
            </w:r>
          </w:p>
        </w:tc>
      </w:tr>
      <w:tr>
        <w:trPr>
          <w:trHeight w:val="292" w:hRule="atLeast"/>
        </w:trPr>
        <w:tc>
          <w:tcPr>
            <w:tcW w:w="2268" w:type="dxa"/>
            <w:vAlign w:val="top"/>
          </w:tcPr>
          <w:p>
            <w:pPr>
              <w:ind w:left="997"/>
              <w:spacing w:before="53" w:line="20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2"/>
                <w:position w:val="-1"/>
              </w:rPr>
              <w:t>χ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231F20"/>
                <w:spacing w:val="2"/>
                <w:position w:val="5"/>
              </w:rPr>
              <w:t>2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231F20"/>
                <w:spacing w:val="16"/>
                <w:w w:val="102"/>
                <w:position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2"/>
                <w:position w:val="-1"/>
              </w:rPr>
              <w:t>值</w:t>
            </w:r>
          </w:p>
        </w:tc>
        <w:tc>
          <w:tcPr>
            <w:tcW w:w="19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95" w:type="dxa"/>
            <w:vAlign w:val="top"/>
          </w:tcPr>
          <w:p>
            <w:pPr>
              <w:ind w:left="770"/>
              <w:spacing w:before="72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4.706</w:t>
            </w:r>
          </w:p>
        </w:tc>
      </w:tr>
      <w:tr>
        <w:trPr>
          <w:trHeight w:val="281" w:hRule="atLeast"/>
        </w:trPr>
        <w:tc>
          <w:tcPr>
            <w:tcW w:w="2268" w:type="dxa"/>
            <w:vAlign w:val="top"/>
            <w:tcBorders>
              <w:bottom w:val="single" w:color="231F20" w:sz="4" w:space="0"/>
            </w:tcBorders>
          </w:tcPr>
          <w:p>
            <w:pPr>
              <w:ind w:left="1017"/>
              <w:spacing w:before="63" w:line="18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1"/>
              </w:rPr>
              <w:t>P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1"/>
              </w:rPr>
              <w:t>值</w:t>
            </w:r>
          </w:p>
        </w:tc>
        <w:tc>
          <w:tcPr>
            <w:tcW w:w="1918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90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66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95" w:type="dxa"/>
            <w:vAlign w:val="top"/>
            <w:tcBorders>
              <w:bottom w:val="single" w:color="231F20" w:sz="4" w:space="0"/>
            </w:tcBorders>
          </w:tcPr>
          <w:p>
            <w:pPr>
              <w:ind w:left="772"/>
              <w:spacing w:before="61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0.030</w:t>
            </w:r>
          </w:p>
        </w:tc>
      </w:tr>
    </w:tbl>
    <w:p>
      <w:pPr>
        <w:pStyle w:val="BodyText"/>
        <w:ind w:left="3733"/>
        <w:spacing w:before="250" w:line="189" w:lineRule="auto"/>
        <w:outlineLvl w:val="0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3"/>
        </w:rPr>
        <w:t>表</w:t>
      </w:r>
      <w:r>
        <w:rPr>
          <w:rFonts w:ascii="SimHei" w:hAnsi="SimHei" w:eastAsia="SimHei" w:cs="SimHei"/>
          <w:sz w:val="18"/>
          <w:szCs w:val="18"/>
          <w:color w:val="231F20"/>
          <w:spacing w:val="-4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3"/>
        </w:rPr>
        <w:t>2</w:t>
      </w:r>
      <w:r>
        <w:rPr>
          <w:rFonts w:ascii="SimHei" w:hAnsi="SimHei" w:eastAsia="SimHei" w:cs="SimHei"/>
          <w:sz w:val="18"/>
          <w:szCs w:val="18"/>
          <w:color w:val="231F20"/>
          <w:spacing w:val="-3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231F20"/>
          <w:spacing w:val="-3"/>
        </w:rPr>
        <w:t>两组临床症状消失时间比较（d，</w:t>
      </w:r>
      <w:r>
        <w:rPr>
          <w:sz w:val="18"/>
          <w:szCs w:val="18"/>
          <w:i/>
          <w:iCs/>
          <w:color w:val="231F20"/>
          <w:spacing w:val="-3"/>
        </w:rPr>
        <w:t>x</w:t>
      </w:r>
      <w:r>
        <w:rPr>
          <w:rFonts w:ascii="Microsoft YaHei" w:hAnsi="Microsoft YaHei" w:eastAsia="Microsoft YaHei" w:cs="Microsoft YaHei"/>
          <w:sz w:val="8"/>
          <w:szCs w:val="8"/>
          <w:color w:val="231F20"/>
          <w:spacing w:val="-3"/>
          <w:position w:val="10"/>
        </w:rPr>
        <w:t>—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±</w:t>
      </w:r>
      <w:r>
        <w:rPr>
          <w:sz w:val="18"/>
          <w:szCs w:val="18"/>
          <w:i/>
          <w:iCs/>
          <w:color w:val="231F20"/>
          <w:spacing w:val="-3"/>
        </w:rPr>
        <w:t>s </w:t>
      </w:r>
      <w:r>
        <w:rPr>
          <w:rFonts w:ascii="SimHei" w:hAnsi="SimHei" w:eastAsia="SimHei" w:cs="SimHei"/>
          <w:sz w:val="18"/>
          <w:szCs w:val="18"/>
          <w:color w:val="231F20"/>
          <w:spacing w:val="-3"/>
        </w:rPr>
        <w:t>）</w:t>
      </w:r>
    </w:p>
    <w:tbl>
      <w:tblPr>
        <w:tblStyle w:val="TableNormal"/>
        <w:tblW w:w="9637" w:type="dxa"/>
        <w:tblInd w:w="7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16"/>
        <w:gridCol w:w="2398"/>
        <w:gridCol w:w="2413"/>
        <w:gridCol w:w="2410"/>
      </w:tblGrid>
      <w:tr>
        <w:trPr>
          <w:trHeight w:val="282" w:hRule="atLeast"/>
        </w:trPr>
        <w:tc>
          <w:tcPr>
            <w:tcW w:w="241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1048"/>
              <w:spacing w:before="65" w:line="179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</w:rPr>
              <w:t>组别</w:t>
            </w:r>
          </w:p>
        </w:tc>
        <w:tc>
          <w:tcPr>
            <w:tcW w:w="239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721"/>
              <w:spacing w:before="67" w:line="17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</w:rPr>
              <w:t>腹泻消失时间</w:t>
            </w:r>
          </w:p>
        </w:tc>
        <w:tc>
          <w:tcPr>
            <w:tcW w:w="241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733"/>
              <w:spacing w:before="66" w:line="17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</w:rPr>
              <w:t>腹痛消失时间</w:t>
            </w:r>
          </w:p>
        </w:tc>
        <w:tc>
          <w:tcPr>
            <w:tcW w:w="241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737"/>
              <w:spacing w:before="67" w:line="17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2"/>
              </w:rPr>
              <w:t>呕吐消失时间</w:t>
            </w:r>
          </w:p>
        </w:tc>
      </w:tr>
      <w:tr>
        <w:trPr>
          <w:trHeight w:val="278" w:hRule="atLeast"/>
        </w:trPr>
        <w:tc>
          <w:tcPr>
            <w:tcW w:w="2416" w:type="dxa"/>
            <w:vAlign w:val="top"/>
            <w:tcBorders>
              <w:top w:val="single" w:color="231F20" w:sz="2" w:space="0"/>
            </w:tcBorders>
          </w:tcPr>
          <w:p>
            <w:pPr>
              <w:ind w:left="643"/>
              <w:spacing w:before="58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7"/>
              </w:rPr>
              <w:t>研究组（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-7"/>
              </w:rPr>
              <w:t>n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7"/>
              </w:rPr>
              <w:t>=30）</w:t>
            </w:r>
          </w:p>
        </w:tc>
        <w:tc>
          <w:tcPr>
            <w:tcW w:w="2398" w:type="dxa"/>
            <w:vAlign w:val="top"/>
            <w:tcBorders>
              <w:top w:val="single" w:color="231F20" w:sz="2" w:space="0"/>
            </w:tcBorders>
          </w:tcPr>
          <w:p>
            <w:pPr>
              <w:ind w:left="858"/>
              <w:spacing w:before="58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6"/>
              </w:rPr>
              <w:t>1.89±0.61</w:t>
            </w:r>
          </w:p>
        </w:tc>
        <w:tc>
          <w:tcPr>
            <w:tcW w:w="2413" w:type="dxa"/>
            <w:vAlign w:val="top"/>
            <w:tcBorders>
              <w:top w:val="single" w:color="231F20" w:sz="2" w:space="0"/>
            </w:tcBorders>
          </w:tcPr>
          <w:p>
            <w:pPr>
              <w:ind w:left="870"/>
              <w:spacing w:before="58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6"/>
              </w:rPr>
              <w:t>1.20±0.31</w:t>
            </w:r>
          </w:p>
        </w:tc>
        <w:tc>
          <w:tcPr>
            <w:tcW w:w="2410" w:type="dxa"/>
            <w:vAlign w:val="top"/>
            <w:tcBorders>
              <w:top w:val="single" w:color="231F20" w:sz="2" w:space="0"/>
            </w:tcBorders>
          </w:tcPr>
          <w:p>
            <w:pPr>
              <w:ind w:left="866"/>
              <w:spacing w:before="58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6"/>
              </w:rPr>
              <w:t>1.23±0.64</w:t>
            </w:r>
          </w:p>
        </w:tc>
      </w:tr>
      <w:tr>
        <w:trPr>
          <w:trHeight w:val="280" w:hRule="atLeast"/>
        </w:trPr>
        <w:tc>
          <w:tcPr>
            <w:tcW w:w="2416" w:type="dxa"/>
            <w:vAlign w:val="top"/>
          </w:tcPr>
          <w:p>
            <w:pPr>
              <w:ind w:left="644"/>
              <w:spacing w:before="62" w:line="18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7"/>
              </w:rPr>
              <w:t>对照组（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-7"/>
              </w:rPr>
              <w:t>n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7"/>
              </w:rPr>
              <w:t>=30）</w:t>
            </w:r>
          </w:p>
        </w:tc>
        <w:tc>
          <w:tcPr>
            <w:tcW w:w="2398" w:type="dxa"/>
            <w:vAlign w:val="top"/>
          </w:tcPr>
          <w:p>
            <w:pPr>
              <w:ind w:left="845"/>
              <w:spacing w:before="62" w:line="18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4"/>
              </w:rPr>
              <w:t>2.65±0.63</w:t>
            </w:r>
          </w:p>
        </w:tc>
        <w:tc>
          <w:tcPr>
            <w:tcW w:w="2413" w:type="dxa"/>
            <w:vAlign w:val="top"/>
          </w:tcPr>
          <w:p>
            <w:pPr>
              <w:ind w:left="857"/>
              <w:spacing w:before="62" w:line="18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4"/>
              </w:rPr>
              <w:t>2.03±0.43</w:t>
            </w:r>
          </w:p>
        </w:tc>
        <w:tc>
          <w:tcPr>
            <w:tcW w:w="2410" w:type="dxa"/>
            <w:vAlign w:val="top"/>
          </w:tcPr>
          <w:p>
            <w:pPr>
              <w:ind w:left="853"/>
              <w:spacing w:before="62" w:line="18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4"/>
              </w:rPr>
              <w:t>2.11±0.40</w:t>
            </w:r>
          </w:p>
        </w:tc>
      </w:tr>
      <w:tr>
        <w:trPr>
          <w:trHeight w:val="282" w:hRule="atLeast"/>
        </w:trPr>
        <w:tc>
          <w:tcPr>
            <w:tcW w:w="2416" w:type="dxa"/>
            <w:vAlign w:val="top"/>
          </w:tcPr>
          <w:p>
            <w:pPr>
              <w:ind w:left="1089"/>
              <w:spacing w:before="68" w:line="178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-2"/>
              </w:rPr>
              <w:t>t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2"/>
              </w:rPr>
              <w:t>值</w:t>
            </w:r>
          </w:p>
        </w:tc>
        <w:tc>
          <w:tcPr>
            <w:tcW w:w="2398" w:type="dxa"/>
            <w:vAlign w:val="top"/>
          </w:tcPr>
          <w:p>
            <w:pPr>
              <w:ind w:left="1022"/>
              <w:spacing w:before="66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4.747</w:t>
            </w:r>
          </w:p>
        </w:tc>
        <w:tc>
          <w:tcPr>
            <w:tcW w:w="2413" w:type="dxa"/>
            <w:vAlign w:val="top"/>
          </w:tcPr>
          <w:p>
            <w:pPr>
              <w:ind w:left="1038"/>
              <w:spacing w:before="66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8.576</w:t>
            </w:r>
          </w:p>
        </w:tc>
        <w:tc>
          <w:tcPr>
            <w:tcW w:w="2410" w:type="dxa"/>
            <w:vAlign w:val="top"/>
          </w:tcPr>
          <w:p>
            <w:pPr>
              <w:ind w:left="1033"/>
              <w:spacing w:before="66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6.386</w:t>
            </w:r>
          </w:p>
        </w:tc>
      </w:tr>
      <w:tr>
        <w:trPr>
          <w:trHeight w:val="288" w:hRule="atLeast"/>
        </w:trPr>
        <w:tc>
          <w:tcPr>
            <w:tcW w:w="2416" w:type="dxa"/>
            <w:vAlign w:val="top"/>
            <w:tcBorders>
              <w:bottom w:val="single" w:color="231F20" w:sz="2" w:space="0"/>
            </w:tcBorders>
          </w:tcPr>
          <w:p>
            <w:pPr>
              <w:ind w:left="1052"/>
              <w:spacing w:before="67" w:line="182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1"/>
              </w:rPr>
              <w:t>P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1"/>
              </w:rPr>
              <w:t>值</w:t>
            </w:r>
          </w:p>
        </w:tc>
        <w:tc>
          <w:tcPr>
            <w:tcW w:w="2398" w:type="dxa"/>
            <w:vAlign w:val="top"/>
            <w:tcBorders>
              <w:bottom w:val="single" w:color="231F20" w:sz="2" w:space="0"/>
            </w:tcBorders>
          </w:tcPr>
          <w:p>
            <w:pPr>
              <w:ind w:left="1024"/>
              <w:spacing w:before="64" w:line="18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0.000</w:t>
            </w:r>
          </w:p>
        </w:tc>
        <w:tc>
          <w:tcPr>
            <w:tcW w:w="2413" w:type="dxa"/>
            <w:vAlign w:val="top"/>
            <w:tcBorders>
              <w:bottom w:val="single" w:color="231F20" w:sz="2" w:space="0"/>
            </w:tcBorders>
          </w:tcPr>
          <w:p>
            <w:pPr>
              <w:ind w:left="1036"/>
              <w:spacing w:before="64" w:line="18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0.000</w:t>
            </w:r>
          </w:p>
        </w:tc>
        <w:tc>
          <w:tcPr>
            <w:tcW w:w="2410" w:type="dxa"/>
            <w:vAlign w:val="top"/>
            <w:tcBorders>
              <w:bottom w:val="single" w:color="231F20" w:sz="2" w:space="0"/>
            </w:tcBorders>
          </w:tcPr>
          <w:p>
            <w:pPr>
              <w:ind w:left="1032"/>
              <w:spacing w:before="64" w:line="18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0.000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38"/>
          <w:pgMar w:top="833" w:right="1053" w:bottom="1108" w:left="407" w:header="0" w:footer="354" w:gutter="0"/>
          <w:cols w:equalWidth="0" w:num="1">
            <w:col w:w="10445" w:space="0"/>
          </w:cols>
        </w:sectPr>
        <w:rPr>
          <w:rFonts w:ascii="Arial" w:hAnsi="Arial" w:eastAsia="Arial" w:cs="Arial"/>
          <w:sz w:val="2"/>
          <w:szCs w:val="2"/>
        </w:rPr>
      </w:pPr>
    </w:p>
    <w:tbl>
      <w:tblPr>
        <w:tblStyle w:val="TableNormal"/>
        <w:tblW w:w="9437" w:type="dxa"/>
        <w:tblInd w:w="84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28"/>
        <w:gridCol w:w="4083"/>
        <w:gridCol w:w="2726"/>
      </w:tblGrid>
      <w:tr>
        <w:trPr>
          <w:trHeight w:val="231" w:hRule="atLeast"/>
        </w:trPr>
        <w:tc>
          <w:tcPr>
            <w:tcW w:w="2628" w:type="dxa"/>
            <w:vAlign w:val="top"/>
          </w:tcPr>
          <w:p>
            <w:pPr>
              <w:ind w:left="634"/>
              <w:spacing w:line="17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2023 年 8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月</w:t>
            </w:r>
          </w:p>
        </w:tc>
        <w:tc>
          <w:tcPr>
            <w:tcW w:w="4083" w:type="dxa"/>
            <w:vAlign w:val="top"/>
          </w:tcPr>
          <w:p>
            <w:pPr>
              <w:ind w:left="1484"/>
              <w:spacing w:before="2" w:line="17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4"/>
              </w:rPr>
              <w:t>中国民康医学</w:t>
            </w:r>
          </w:p>
        </w:tc>
        <w:tc>
          <w:tcPr>
            <w:tcW w:w="2726" w:type="dxa"/>
            <w:vAlign w:val="top"/>
          </w:tcPr>
          <w:p>
            <w:pPr>
              <w:ind w:left="1253"/>
              <w:spacing w:line="17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23"/>
                <w:w w:val="99"/>
              </w:rPr>
              <w:t>Aug.，2023</w:t>
            </w:r>
          </w:p>
        </w:tc>
      </w:tr>
      <w:tr>
        <w:trPr>
          <w:trHeight w:val="231" w:hRule="atLeast"/>
        </w:trPr>
        <w:tc>
          <w:tcPr>
            <w:tcW w:w="2628" w:type="dxa"/>
            <w:vAlign w:val="top"/>
          </w:tcPr>
          <w:p>
            <w:pPr>
              <w:spacing w:before="24" w:line="196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9"/>
              </w:rPr>
              <w:t>第 35 卷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9"/>
              </w:rPr>
              <w:t>半月刊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7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9"/>
              </w:rPr>
              <w:t>第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9"/>
              </w:rPr>
              <w:t>16 期</w:t>
            </w:r>
          </w:p>
        </w:tc>
        <w:tc>
          <w:tcPr>
            <w:tcW w:w="4083" w:type="dxa"/>
            <w:vAlign w:val="top"/>
          </w:tcPr>
          <w:p>
            <w:pPr>
              <w:pStyle w:val="TableText"/>
              <w:ind w:left="476"/>
              <w:spacing w:before="53" w:line="172" w:lineRule="auto"/>
              <w:rPr/>
            </w:pPr>
            <w:r>
              <w:rPr>
                <w:color w:val="231F20"/>
                <w:spacing w:val="-13"/>
              </w:rPr>
              <w:t>Medical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3"/>
              </w:rPr>
              <w:t>Journal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13"/>
              </w:rPr>
              <w:t>of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13"/>
              </w:rPr>
              <w:t>Chinese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13"/>
              </w:rPr>
              <w:t>People's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3"/>
              </w:rPr>
              <w:t>Health</w:t>
            </w:r>
          </w:p>
        </w:tc>
        <w:tc>
          <w:tcPr>
            <w:tcW w:w="2726" w:type="dxa"/>
            <w:vAlign w:val="top"/>
          </w:tcPr>
          <w:p>
            <w:pPr>
              <w:pStyle w:val="TableText"/>
              <w:spacing w:before="53" w:line="172" w:lineRule="auto"/>
              <w:jc w:val="right"/>
              <w:rPr/>
            </w:pPr>
            <w:r>
              <w:rPr>
                <w:color w:val="231F20"/>
                <w:spacing w:val="-9"/>
              </w:rPr>
              <w:t>Vol.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9"/>
              </w:rPr>
              <w:t>35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9"/>
              </w:rPr>
              <w:t>Semimonthly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9"/>
              </w:rPr>
              <w:t>No.16</w:t>
            </w:r>
          </w:p>
        </w:tc>
      </w:tr>
    </w:tbl>
    <w:p>
      <w:pPr>
        <w:ind w:firstLine="722"/>
        <w:spacing w:before="114" w:line="37" w:lineRule="exact"/>
        <w:rPr/>
      </w:pPr>
      <w:r>
        <w:rPr/>
        <w:pict>
          <v:shape id="_x0000_s8" style="mso-position-vertical-relative:line;mso-position-horizontal-relative:char;width:481.9pt;height:1.9pt;" filled="false" strokecolor="#231F20" strokeweight="0.30pt" coordsize="9637,37" coordorigin="0,0" path="m0,3l9637,3m0,34l9637,34e">
            <v:stroke joinstyle="miter" miterlimit="4"/>
          </v:shape>
        </w:pict>
      </w:r>
    </w:p>
    <w:p>
      <w:pPr>
        <w:pStyle w:val="BodyText"/>
        <w:ind w:left="3693"/>
        <w:spacing w:before="189" w:line="189" w:lineRule="auto"/>
        <w:outlineLvl w:val="0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5"/>
        </w:rPr>
        <w:t>表</w:t>
      </w:r>
      <w:r>
        <w:rPr>
          <w:rFonts w:ascii="SimHei" w:hAnsi="SimHei" w:eastAsia="SimHei" w:cs="SimHei"/>
          <w:sz w:val="18"/>
          <w:szCs w:val="18"/>
          <w:color w:val="231F20"/>
          <w:spacing w:val="-35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5"/>
        </w:rPr>
        <w:t>3</w:t>
      </w:r>
      <w:r>
        <w:rPr>
          <w:rFonts w:ascii="SimHei" w:hAnsi="SimHei" w:eastAsia="SimHei" w:cs="SimHei"/>
          <w:sz w:val="18"/>
          <w:szCs w:val="18"/>
          <w:color w:val="231F20"/>
          <w:spacing w:val="-5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231F20"/>
          <w:spacing w:val="-5"/>
        </w:rPr>
        <w:t>两组治疗前后炎性因子水平比较（</w:t>
      </w:r>
      <w:r>
        <w:rPr>
          <w:rFonts w:ascii="SimHei" w:hAnsi="SimHei" w:eastAsia="SimHei" w:cs="SimHei"/>
          <w:sz w:val="18"/>
          <w:szCs w:val="18"/>
          <w:color w:val="231F20"/>
          <w:spacing w:val="-52"/>
        </w:rPr>
        <w:t xml:space="preserve"> </w:t>
      </w:r>
      <w:r>
        <w:rPr>
          <w:sz w:val="18"/>
          <w:szCs w:val="18"/>
          <w:i/>
          <w:iCs/>
          <w:color w:val="231F20"/>
          <w:spacing w:val="-5"/>
        </w:rPr>
        <w:t>x</w:t>
      </w:r>
      <w:r>
        <w:rPr>
          <w:rFonts w:ascii="Microsoft YaHei" w:hAnsi="Microsoft YaHei" w:eastAsia="Microsoft YaHei" w:cs="Microsoft YaHei"/>
          <w:sz w:val="8"/>
          <w:szCs w:val="8"/>
          <w:color w:val="231F20"/>
          <w:spacing w:val="-5"/>
          <w:position w:val="10"/>
        </w:rPr>
        <w:t>—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±</w:t>
      </w:r>
      <w:r>
        <w:rPr>
          <w:sz w:val="18"/>
          <w:szCs w:val="18"/>
          <w:i/>
          <w:iCs/>
          <w:color w:val="231F20"/>
          <w:spacing w:val="-5"/>
        </w:rPr>
        <w:t>s </w:t>
      </w:r>
      <w:r>
        <w:rPr>
          <w:rFonts w:ascii="SimHei" w:hAnsi="SimHei" w:eastAsia="SimHei" w:cs="SimHei"/>
          <w:sz w:val="18"/>
          <w:szCs w:val="18"/>
          <w:color w:val="231F20"/>
          <w:spacing w:val="-5"/>
        </w:rPr>
        <w:t>）</w:t>
      </w:r>
    </w:p>
    <w:tbl>
      <w:tblPr>
        <w:tblStyle w:val="TableNormal"/>
        <w:tblW w:w="9637" w:type="dxa"/>
        <w:tblInd w:w="7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92"/>
        <w:gridCol w:w="1993"/>
        <w:gridCol w:w="2063"/>
        <w:gridCol w:w="1926"/>
        <w:gridCol w:w="1863"/>
      </w:tblGrid>
      <w:tr>
        <w:trPr>
          <w:trHeight w:val="277" w:hRule="atLeast"/>
        </w:trPr>
        <w:tc>
          <w:tcPr>
            <w:tcW w:w="1792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739"/>
              <w:spacing w:before="202" w:line="179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</w:rPr>
              <w:t>组别</w:t>
            </w:r>
          </w:p>
        </w:tc>
        <w:tc>
          <w:tcPr>
            <w:tcW w:w="4056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537"/>
              <w:spacing w:before="57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</w:rPr>
              <w:t>IL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16"/>
              </w:rPr>
              <w:t>-6(μg/L）</w:t>
            </w:r>
          </w:p>
        </w:tc>
        <w:tc>
          <w:tcPr>
            <w:tcW w:w="3789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470"/>
              <w:spacing w:before="57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CRP（mg/L）</w:t>
            </w:r>
          </w:p>
        </w:tc>
      </w:tr>
      <w:tr>
        <w:trPr>
          <w:trHeight w:val="277" w:hRule="atLeast"/>
        </w:trPr>
        <w:tc>
          <w:tcPr>
            <w:tcW w:w="1792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9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762"/>
              <w:spacing w:before="61" w:line="179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2"/>
              </w:rPr>
              <w:t>治疗前</w:t>
            </w:r>
          </w:p>
        </w:tc>
        <w:tc>
          <w:tcPr>
            <w:tcW w:w="206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797"/>
              <w:spacing w:before="61" w:line="179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2"/>
              </w:rPr>
              <w:t>治疗后</w:t>
            </w:r>
          </w:p>
        </w:tc>
        <w:tc>
          <w:tcPr>
            <w:tcW w:w="192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752"/>
              <w:spacing w:before="61" w:line="179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2"/>
              </w:rPr>
              <w:t>治疗前</w:t>
            </w:r>
          </w:p>
        </w:tc>
        <w:tc>
          <w:tcPr>
            <w:tcW w:w="186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687"/>
              <w:spacing w:before="61" w:line="179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2"/>
              </w:rPr>
              <w:t>治疗后</w:t>
            </w:r>
          </w:p>
        </w:tc>
      </w:tr>
      <w:tr>
        <w:trPr>
          <w:trHeight w:val="273" w:hRule="atLeast"/>
        </w:trPr>
        <w:tc>
          <w:tcPr>
            <w:tcW w:w="1792" w:type="dxa"/>
            <w:vAlign w:val="top"/>
            <w:tcBorders>
              <w:top w:val="single" w:color="231F20" w:sz="2" w:space="0"/>
            </w:tcBorders>
          </w:tcPr>
          <w:p>
            <w:pPr>
              <w:ind w:left="334"/>
              <w:spacing w:before="60" w:line="17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7"/>
              </w:rPr>
              <w:t>研究组（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-7"/>
              </w:rPr>
              <w:t>n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7"/>
              </w:rPr>
              <w:t>=30）</w:t>
            </w:r>
          </w:p>
        </w:tc>
        <w:tc>
          <w:tcPr>
            <w:tcW w:w="1993" w:type="dxa"/>
            <w:vAlign w:val="top"/>
            <w:tcBorders>
              <w:top w:val="single" w:color="231F20" w:sz="2" w:space="0"/>
            </w:tcBorders>
          </w:tcPr>
          <w:p>
            <w:pPr>
              <w:ind w:left="527"/>
              <w:spacing w:before="60" w:line="17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7"/>
              </w:rPr>
              <w:t>327.86±28.41</w:t>
            </w:r>
          </w:p>
        </w:tc>
        <w:tc>
          <w:tcPr>
            <w:tcW w:w="2063" w:type="dxa"/>
            <w:vAlign w:val="top"/>
            <w:tcBorders>
              <w:top w:val="single" w:color="231F20" w:sz="2" w:space="0"/>
            </w:tcBorders>
          </w:tcPr>
          <w:p>
            <w:pPr>
              <w:ind w:left="550"/>
              <w:spacing w:before="58" w:line="179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9"/>
              </w:rPr>
              <w:t>119.43±10.26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231F20"/>
                <w:spacing w:val="7"/>
                <w:position w:val="7"/>
              </w:rPr>
              <w:t>*</w:t>
            </w:r>
          </w:p>
        </w:tc>
        <w:tc>
          <w:tcPr>
            <w:tcW w:w="1926" w:type="dxa"/>
            <w:vAlign w:val="top"/>
            <w:tcBorders>
              <w:top w:val="single" w:color="231F20" w:sz="2" w:space="0"/>
            </w:tcBorders>
          </w:tcPr>
          <w:p>
            <w:pPr>
              <w:ind w:left="607"/>
              <w:spacing w:before="60" w:line="17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7"/>
              </w:rPr>
              <w:t>15.53±3.21</w:t>
            </w:r>
          </w:p>
        </w:tc>
        <w:tc>
          <w:tcPr>
            <w:tcW w:w="1863" w:type="dxa"/>
            <w:vAlign w:val="top"/>
            <w:tcBorders>
              <w:top w:val="single" w:color="231F20" w:sz="2" w:space="0"/>
            </w:tcBorders>
          </w:tcPr>
          <w:p>
            <w:pPr>
              <w:ind w:left="546"/>
              <w:spacing w:before="58" w:line="179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6"/>
              </w:rPr>
              <w:t>6.21±0.73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231F20"/>
                <w:spacing w:val="9"/>
                <w:position w:val="7"/>
              </w:rPr>
              <w:t>*</w:t>
            </w:r>
          </w:p>
        </w:tc>
      </w:tr>
      <w:tr>
        <w:trPr>
          <w:trHeight w:val="283" w:hRule="atLeast"/>
        </w:trPr>
        <w:tc>
          <w:tcPr>
            <w:tcW w:w="1792" w:type="dxa"/>
            <w:vAlign w:val="top"/>
          </w:tcPr>
          <w:p>
            <w:pPr>
              <w:ind w:left="335"/>
              <w:spacing w:before="69" w:line="178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7"/>
              </w:rPr>
              <w:t>对照组（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-7"/>
              </w:rPr>
              <w:t>n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7"/>
              </w:rPr>
              <w:t>=30）</w:t>
            </w:r>
          </w:p>
        </w:tc>
        <w:tc>
          <w:tcPr>
            <w:tcW w:w="1993" w:type="dxa"/>
            <w:vAlign w:val="top"/>
          </w:tcPr>
          <w:p>
            <w:pPr>
              <w:ind w:left="527"/>
              <w:spacing w:before="69" w:line="178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7"/>
              </w:rPr>
              <w:t>327.27±30.61</w:t>
            </w:r>
          </w:p>
        </w:tc>
        <w:tc>
          <w:tcPr>
            <w:tcW w:w="2063" w:type="dxa"/>
            <w:vAlign w:val="top"/>
          </w:tcPr>
          <w:p>
            <w:pPr>
              <w:ind w:left="537"/>
              <w:spacing w:before="67" w:line="180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8"/>
              </w:rPr>
              <w:t>240.95±16.72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231F20"/>
                <w:spacing w:val="8"/>
                <w:position w:val="7"/>
              </w:rPr>
              <w:t>*</w:t>
            </w:r>
          </w:p>
        </w:tc>
        <w:tc>
          <w:tcPr>
            <w:tcW w:w="1926" w:type="dxa"/>
            <w:vAlign w:val="top"/>
          </w:tcPr>
          <w:p>
            <w:pPr>
              <w:ind w:left="607"/>
              <w:spacing w:before="69" w:line="178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7"/>
              </w:rPr>
              <w:t>15.82±3.60</w:t>
            </w:r>
          </w:p>
        </w:tc>
        <w:tc>
          <w:tcPr>
            <w:tcW w:w="1863" w:type="dxa"/>
            <w:vAlign w:val="top"/>
          </w:tcPr>
          <w:p>
            <w:pPr>
              <w:ind w:left="546"/>
              <w:spacing w:before="67" w:line="180" w:lineRule="auto"/>
              <w:rPr>
                <w:rFonts w:ascii="Microsoft YaHei" w:hAnsi="Microsoft YaHei" w:eastAsia="Microsoft YaHei" w:cs="Microsoft YaHei"/>
                <w:sz w:val="9"/>
                <w:szCs w:val="9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6"/>
              </w:rPr>
              <w:t>9.61±0.35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231F20"/>
                <w:spacing w:val="7"/>
                <w:w w:val="108"/>
                <w:position w:val="7"/>
              </w:rPr>
              <w:t>*</w:t>
            </w:r>
          </w:p>
        </w:tc>
      </w:tr>
      <w:tr>
        <w:trPr>
          <w:trHeight w:val="282" w:hRule="atLeast"/>
        </w:trPr>
        <w:tc>
          <w:tcPr>
            <w:tcW w:w="1792" w:type="dxa"/>
            <w:vAlign w:val="top"/>
          </w:tcPr>
          <w:p>
            <w:pPr>
              <w:ind w:left="780"/>
              <w:spacing w:before="72" w:line="174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-2"/>
              </w:rPr>
              <w:t>t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2"/>
              </w:rPr>
              <w:t>值</w:t>
            </w:r>
          </w:p>
        </w:tc>
        <w:tc>
          <w:tcPr>
            <w:tcW w:w="1993" w:type="dxa"/>
            <w:vAlign w:val="top"/>
          </w:tcPr>
          <w:p>
            <w:pPr>
              <w:ind w:left="822"/>
              <w:spacing w:before="69" w:line="17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0.077</w:t>
            </w:r>
          </w:p>
        </w:tc>
        <w:tc>
          <w:tcPr>
            <w:tcW w:w="2063" w:type="dxa"/>
            <w:vAlign w:val="top"/>
          </w:tcPr>
          <w:p>
            <w:pPr>
              <w:ind w:left="821"/>
              <w:spacing w:before="69" w:line="17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1"/>
              </w:rPr>
              <w:t>33.929</w:t>
            </w:r>
          </w:p>
        </w:tc>
        <w:tc>
          <w:tcPr>
            <w:tcW w:w="1926" w:type="dxa"/>
            <w:vAlign w:val="top"/>
          </w:tcPr>
          <w:p>
            <w:pPr>
              <w:ind w:left="812"/>
              <w:spacing w:before="69" w:line="17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0.329</w:t>
            </w:r>
          </w:p>
        </w:tc>
        <w:tc>
          <w:tcPr>
            <w:tcW w:w="1863" w:type="dxa"/>
            <w:vAlign w:val="top"/>
          </w:tcPr>
          <w:p>
            <w:pPr>
              <w:ind w:left="708"/>
              <w:spacing w:before="69" w:line="17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1"/>
              </w:rPr>
              <w:t>23.003</w:t>
            </w:r>
          </w:p>
        </w:tc>
      </w:tr>
      <w:tr>
        <w:trPr>
          <w:trHeight w:val="288" w:hRule="atLeast"/>
        </w:trPr>
        <w:tc>
          <w:tcPr>
            <w:tcW w:w="1792" w:type="dxa"/>
            <w:vAlign w:val="top"/>
            <w:tcBorders>
              <w:bottom w:val="single" w:color="231F20" w:sz="4" w:space="0"/>
            </w:tcBorders>
          </w:tcPr>
          <w:p>
            <w:pPr>
              <w:ind w:left="743"/>
              <w:spacing w:before="72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1"/>
              </w:rPr>
              <w:t>P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1"/>
              </w:rPr>
              <w:t>值</w:t>
            </w:r>
          </w:p>
        </w:tc>
        <w:tc>
          <w:tcPr>
            <w:tcW w:w="1993" w:type="dxa"/>
            <w:vAlign w:val="top"/>
            <w:tcBorders>
              <w:bottom w:val="single" w:color="231F20" w:sz="4" w:space="0"/>
            </w:tcBorders>
          </w:tcPr>
          <w:p>
            <w:pPr>
              <w:ind w:left="822"/>
              <w:spacing w:before="68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0.469</w:t>
            </w:r>
          </w:p>
        </w:tc>
        <w:tc>
          <w:tcPr>
            <w:tcW w:w="2063" w:type="dxa"/>
            <w:vAlign w:val="top"/>
            <w:tcBorders>
              <w:bottom w:val="single" w:color="231F20" w:sz="4" w:space="0"/>
            </w:tcBorders>
          </w:tcPr>
          <w:p>
            <w:pPr>
              <w:ind w:left="857"/>
              <w:spacing w:before="68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0.000</w:t>
            </w:r>
          </w:p>
        </w:tc>
        <w:tc>
          <w:tcPr>
            <w:tcW w:w="1926" w:type="dxa"/>
            <w:vAlign w:val="top"/>
            <w:tcBorders>
              <w:bottom w:val="single" w:color="231F20" w:sz="4" w:space="0"/>
            </w:tcBorders>
          </w:tcPr>
          <w:p>
            <w:pPr>
              <w:ind w:left="812"/>
              <w:spacing w:before="68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0.372</w:t>
            </w:r>
          </w:p>
        </w:tc>
        <w:tc>
          <w:tcPr>
            <w:tcW w:w="1863" w:type="dxa"/>
            <w:vAlign w:val="top"/>
            <w:tcBorders>
              <w:bottom w:val="single" w:color="231F20" w:sz="4" w:space="0"/>
            </w:tcBorders>
          </w:tcPr>
          <w:p>
            <w:pPr>
              <w:ind w:left="747"/>
              <w:spacing w:before="68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0.000</w:t>
            </w:r>
          </w:p>
        </w:tc>
      </w:tr>
    </w:tbl>
    <w:p>
      <w:pPr>
        <w:pStyle w:val="BodyText"/>
        <w:ind w:left="732"/>
        <w:spacing w:before="54" w:line="20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4"/>
        </w:rPr>
        <w:t>注：与治疗前比较，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4"/>
          <w:position w:val="7"/>
        </w:rPr>
        <w:t>*</w:t>
      </w:r>
      <w:r>
        <w:rPr>
          <w:i/>
          <w:iCs/>
          <w:color w:val="231F20"/>
          <w:spacing w:val="-4"/>
        </w:rPr>
        <w:t>P</w:t>
      </w:r>
      <w:r>
        <w:rPr>
          <w:rFonts w:ascii="Microsoft YaHei" w:hAnsi="Microsoft YaHei" w:eastAsia="Microsoft YaHei" w:cs="Microsoft YaHei"/>
          <w:color w:val="231F20"/>
          <w:spacing w:val="-4"/>
        </w:rPr>
        <w:t>&lt;0.05</w:t>
      </w:r>
    </w:p>
    <w:p>
      <w:pPr>
        <w:pStyle w:val="BodyText"/>
        <w:ind w:left="3931"/>
        <w:spacing w:before="159" w:line="241" w:lineRule="auto"/>
        <w:outlineLvl w:val="0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表</w:t>
      </w:r>
      <w:r>
        <w:rPr>
          <w:rFonts w:ascii="SimHei" w:hAnsi="SimHei" w:eastAsia="SimHei" w:cs="SimHei"/>
          <w:sz w:val="18"/>
          <w:szCs w:val="18"/>
          <w:color w:val="231F20"/>
          <w:spacing w:val="-34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4</w:t>
      </w: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两组不良反应发生率比较</w:t>
      </w:r>
      <w:r>
        <w:rPr>
          <w:rFonts w:ascii="SimHei" w:hAnsi="SimHei" w:eastAsia="SimHei" w:cs="SimHei"/>
          <w:sz w:val="18"/>
          <w:szCs w:val="18"/>
          <w:color w:val="231F20"/>
          <w:spacing w:val="-34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[</w:t>
      </w:r>
      <w:r>
        <w:rPr>
          <w:sz w:val="18"/>
          <w:szCs w:val="18"/>
          <w:i/>
          <w:iCs/>
          <w:color w:val="231F20"/>
          <w:spacing w:val="-2"/>
        </w:rPr>
        <w:t>n</w:t>
      </w: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（%）]</w:t>
      </w: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637" w:type="dxa"/>
        <w:tblInd w:w="7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57"/>
        <w:gridCol w:w="1922"/>
        <w:gridCol w:w="1662"/>
        <w:gridCol w:w="1873"/>
        <w:gridCol w:w="1823"/>
      </w:tblGrid>
      <w:tr>
        <w:trPr>
          <w:trHeight w:val="276" w:hRule="atLeast"/>
        </w:trPr>
        <w:tc>
          <w:tcPr>
            <w:tcW w:w="235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070"/>
              <w:spacing w:before="60" w:line="179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</w:rPr>
              <w:t>组别</w:t>
            </w:r>
          </w:p>
        </w:tc>
        <w:tc>
          <w:tcPr>
            <w:tcW w:w="192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641"/>
              <w:spacing w:before="61" w:line="17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5"/>
              </w:rPr>
              <w:t>胃肠道反应</w:t>
            </w:r>
          </w:p>
        </w:tc>
        <w:tc>
          <w:tcPr>
            <w:tcW w:w="166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695"/>
              <w:spacing w:before="62" w:line="175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2"/>
              </w:rPr>
              <w:t>头晕</w:t>
            </w:r>
          </w:p>
        </w:tc>
        <w:tc>
          <w:tcPr>
            <w:tcW w:w="187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549"/>
              <w:spacing w:before="61" w:line="178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</w:rPr>
              <w:t>药物性皮疹</w:t>
            </w:r>
          </w:p>
        </w:tc>
        <w:tc>
          <w:tcPr>
            <w:tcW w:w="182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671"/>
              <w:spacing w:before="60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"/>
              </w:rPr>
              <w:t>发生率</w:t>
            </w:r>
          </w:p>
        </w:tc>
      </w:tr>
      <w:tr>
        <w:trPr>
          <w:trHeight w:val="277" w:hRule="atLeast"/>
        </w:trPr>
        <w:tc>
          <w:tcPr>
            <w:tcW w:w="2357" w:type="dxa"/>
            <w:vAlign w:val="top"/>
            <w:tcBorders>
              <w:top w:val="single" w:color="231F20" w:sz="2" w:space="0"/>
            </w:tcBorders>
          </w:tcPr>
          <w:p>
            <w:pPr>
              <w:ind w:left="665"/>
              <w:spacing w:before="59" w:line="18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7"/>
              </w:rPr>
              <w:t>研究组（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-7"/>
              </w:rPr>
              <w:t>n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7"/>
              </w:rPr>
              <w:t>=30）</w:t>
            </w:r>
          </w:p>
        </w:tc>
        <w:tc>
          <w:tcPr>
            <w:tcW w:w="1922" w:type="dxa"/>
            <w:vAlign w:val="top"/>
            <w:tcBorders>
              <w:top w:val="single" w:color="231F20" w:sz="2" w:space="0"/>
            </w:tcBorders>
          </w:tcPr>
          <w:p>
            <w:pPr>
              <w:ind w:left="680"/>
              <w:spacing w:before="59" w:line="18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7"/>
              </w:rPr>
              <w:t>2（6.67）</w:t>
            </w:r>
          </w:p>
        </w:tc>
        <w:tc>
          <w:tcPr>
            <w:tcW w:w="1662" w:type="dxa"/>
            <w:vAlign w:val="top"/>
            <w:tcBorders>
              <w:top w:val="single" w:color="231F20" w:sz="2" w:space="0"/>
            </w:tcBorders>
          </w:tcPr>
          <w:p>
            <w:pPr>
              <w:ind w:left="516"/>
              <w:spacing w:before="59" w:line="18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8"/>
              </w:rPr>
              <w:t>2（6.67）</w:t>
            </w:r>
          </w:p>
        </w:tc>
        <w:tc>
          <w:tcPr>
            <w:tcW w:w="1873" w:type="dxa"/>
            <w:vAlign w:val="top"/>
            <w:tcBorders>
              <w:top w:val="single" w:color="231F20" w:sz="2" w:space="0"/>
            </w:tcBorders>
          </w:tcPr>
          <w:p>
            <w:pPr>
              <w:ind w:left="571"/>
              <w:spacing w:before="59" w:line="18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3"/>
              </w:rPr>
              <w:t>5（ 16.67）</w:t>
            </w:r>
          </w:p>
        </w:tc>
        <w:tc>
          <w:tcPr>
            <w:tcW w:w="1823" w:type="dxa"/>
            <w:vAlign w:val="top"/>
            <w:tcBorders>
              <w:top w:val="single" w:color="231F20" w:sz="2" w:space="0"/>
            </w:tcBorders>
          </w:tcPr>
          <w:p>
            <w:pPr>
              <w:ind w:left="533"/>
              <w:spacing w:before="59" w:line="18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9"/>
              </w:rPr>
              <w:t>9（30.00）</w:t>
            </w:r>
          </w:p>
        </w:tc>
      </w:tr>
      <w:tr>
        <w:trPr>
          <w:trHeight w:val="276" w:hRule="atLeast"/>
        </w:trPr>
        <w:tc>
          <w:tcPr>
            <w:tcW w:w="2357" w:type="dxa"/>
            <w:vAlign w:val="top"/>
          </w:tcPr>
          <w:p>
            <w:pPr>
              <w:ind w:left="666"/>
              <w:spacing w:before="64" w:line="17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7"/>
              </w:rPr>
              <w:t>对照组（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-7"/>
              </w:rPr>
              <w:t>n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7"/>
              </w:rPr>
              <w:t>=30）</w:t>
            </w:r>
          </w:p>
        </w:tc>
        <w:tc>
          <w:tcPr>
            <w:tcW w:w="1922" w:type="dxa"/>
            <w:vAlign w:val="top"/>
          </w:tcPr>
          <w:p>
            <w:pPr>
              <w:ind w:left="643"/>
              <w:spacing w:before="64" w:line="17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8"/>
              </w:rPr>
              <w:t>3（10.00）</w:t>
            </w:r>
          </w:p>
        </w:tc>
        <w:tc>
          <w:tcPr>
            <w:tcW w:w="1662" w:type="dxa"/>
            <w:vAlign w:val="top"/>
          </w:tcPr>
          <w:p>
            <w:pPr>
              <w:ind w:left="529"/>
              <w:spacing w:before="64" w:line="17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1（3.33）</w:t>
            </w:r>
          </w:p>
        </w:tc>
        <w:tc>
          <w:tcPr>
            <w:tcW w:w="1873" w:type="dxa"/>
            <w:vAlign w:val="top"/>
          </w:tcPr>
          <w:p>
            <w:pPr>
              <w:ind w:left="569"/>
              <w:spacing w:before="64" w:line="17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3"/>
              </w:rPr>
              <w:t>4（ 13.33）</w:t>
            </w:r>
          </w:p>
        </w:tc>
        <w:tc>
          <w:tcPr>
            <w:tcW w:w="1823" w:type="dxa"/>
            <w:vAlign w:val="top"/>
          </w:tcPr>
          <w:p>
            <w:pPr>
              <w:ind w:left="535"/>
              <w:spacing w:before="64" w:line="176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9"/>
              </w:rPr>
              <w:t>8（26.67）</w:t>
            </w:r>
          </w:p>
        </w:tc>
      </w:tr>
      <w:tr>
        <w:trPr>
          <w:trHeight w:val="292" w:hRule="atLeast"/>
        </w:trPr>
        <w:tc>
          <w:tcPr>
            <w:tcW w:w="2357" w:type="dxa"/>
            <w:vAlign w:val="top"/>
          </w:tcPr>
          <w:p>
            <w:pPr>
              <w:ind w:left="1053"/>
              <w:spacing w:before="53" w:line="20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2"/>
                <w:position w:val="-1"/>
              </w:rPr>
              <w:t>χ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231F20"/>
                <w:spacing w:val="2"/>
                <w:position w:val="5"/>
              </w:rPr>
              <w:t>2</w:t>
            </w:r>
            <w:r>
              <w:rPr>
                <w:rFonts w:ascii="Microsoft YaHei" w:hAnsi="Microsoft YaHei" w:eastAsia="Microsoft YaHei" w:cs="Microsoft YaHei"/>
                <w:sz w:val="9"/>
                <w:szCs w:val="9"/>
                <w:color w:val="231F20"/>
                <w:spacing w:val="16"/>
                <w:w w:val="102"/>
                <w:position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2"/>
                <w:position w:val="-1"/>
              </w:rPr>
              <w:t>值</w:t>
            </w:r>
          </w:p>
        </w:tc>
        <w:tc>
          <w:tcPr>
            <w:tcW w:w="19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23" w:type="dxa"/>
            <w:vAlign w:val="top"/>
          </w:tcPr>
          <w:p>
            <w:pPr>
              <w:ind w:left="732"/>
              <w:spacing w:before="72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0.082</w:t>
            </w:r>
          </w:p>
        </w:tc>
      </w:tr>
      <w:tr>
        <w:trPr>
          <w:trHeight w:val="281" w:hRule="atLeast"/>
        </w:trPr>
        <w:tc>
          <w:tcPr>
            <w:tcW w:w="2357" w:type="dxa"/>
            <w:vAlign w:val="top"/>
            <w:tcBorders>
              <w:bottom w:val="single" w:color="231F20" w:sz="4" w:space="0"/>
            </w:tcBorders>
          </w:tcPr>
          <w:p>
            <w:pPr>
              <w:ind w:left="1074"/>
              <w:spacing w:before="63" w:line="18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1"/>
              </w:rPr>
              <w:t>P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1"/>
              </w:rPr>
              <w:t>值</w:t>
            </w:r>
          </w:p>
        </w:tc>
        <w:tc>
          <w:tcPr>
            <w:tcW w:w="1922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62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73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23" w:type="dxa"/>
            <w:vAlign w:val="top"/>
            <w:tcBorders>
              <w:bottom w:val="single" w:color="231F20" w:sz="4" w:space="0"/>
            </w:tcBorders>
          </w:tcPr>
          <w:p>
            <w:pPr>
              <w:ind w:left="732"/>
              <w:spacing w:before="61" w:line="18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color w:val="231F20"/>
                <w:spacing w:val="-10"/>
              </w:rPr>
              <w:t>0.775</w:t>
            </w:r>
          </w:p>
        </w:tc>
      </w:tr>
    </w:tbl>
    <w:p>
      <w:pPr>
        <w:spacing w:line="142" w:lineRule="exact"/>
        <w:rPr>
          <w:rFonts w:ascii="Arial"/>
          <w:sz w:val="12"/>
        </w:rPr>
      </w:pPr>
      <w:r/>
    </w:p>
    <w:p>
      <w:pPr>
        <w:spacing w:line="142" w:lineRule="exact"/>
        <w:sectPr>
          <w:footerReference w:type="default" r:id="rId3"/>
          <w:pgSz w:w="11906" w:h="16838"/>
          <w:pgMar w:top="833" w:right="1083" w:bottom="1122" w:left="407" w:header="0" w:footer="354" w:gutter="0"/>
          <w:cols w:equalWidth="0" w:num="1">
            <w:col w:w="10415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ind w:left="729" w:right="167" w:firstLine="15"/>
        <w:spacing w:before="49" w:line="226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间、腹痛消失时间、呕吐消失时间等临床症状消失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时间均短于对照组，IL-6和CRP水平均低于对照组，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这一结果与文献报道相似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2"/>
          <w:position w:val="9"/>
        </w:rPr>
        <w:t>[14]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。分析原因为替硝唑属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于硝基咪唑类抗菌药物，可抑制细菌 DNA 合成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6"/>
          <w:position w:val="9"/>
        </w:rPr>
        <w:t>[15]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。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本研究结果同时显示，两组不良反应发生率比较，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差异无统计学意义。提示联用替硝唑片未增加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安全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风险。</w:t>
      </w:r>
    </w:p>
    <w:p>
      <w:pPr>
        <w:ind w:left="731" w:right="178" w:firstLine="422"/>
        <w:spacing w:before="5" w:line="224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综上所述，替硝唑联合阿莫西林治疗急性肠胃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炎患者可提高临床疗效，缩短临床症状消失时间，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降低炎性因子水平，其效果优于单纯阿莫西林胶囊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治疗。</w:t>
      </w:r>
    </w:p>
    <w:p>
      <w:pPr>
        <w:ind w:left="2697"/>
        <w:spacing w:before="1" w:line="241" w:lineRule="auto"/>
        <w:outlineLvl w:val="0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参考文献</w:t>
      </w:r>
    </w:p>
    <w:p>
      <w:pPr>
        <w:ind w:left="1126" w:right="247" w:hanging="393"/>
        <w:spacing w:before="91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[1]     李强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阿莫西林与替硝唑治疗急性肠胃炎的效果观察 [J].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中国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9"/>
        </w:rPr>
        <w:t>继续医学教育，2021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9"/>
        </w:rPr>
        <w:t>，13（6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8"/>
        </w:rPr>
        <w:t>）：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9"/>
        </w:rPr>
        <w:t>133-1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>36.</w:t>
      </w:r>
    </w:p>
    <w:p>
      <w:pPr>
        <w:pStyle w:val="BodyText"/>
        <w:ind w:left="1127" w:right="195" w:hanging="394"/>
        <w:spacing w:before="29" w:line="22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4"/>
        </w:rPr>
        <w:t>[2]     Pindyck</w:t>
      </w:r>
      <w:r>
        <w:rPr>
          <w:rFonts w:ascii="Microsoft YaHei" w:hAnsi="Microsoft YaHei" w:eastAsia="Microsoft YaHei" w:cs="Microsoft YaHei"/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T ，Hall</w:t>
      </w:r>
      <w:r>
        <w:rPr>
          <w:rFonts w:ascii="Microsoft YaHei" w:hAnsi="Microsoft YaHei" w:eastAsia="Microsoft YaHei" w:cs="Microsoft YaHei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AJ ，Tate</w:t>
      </w:r>
      <w:r>
        <w:rPr>
          <w:rFonts w:ascii="Microsoft YaHei" w:hAnsi="Microsoft YaHei" w:eastAsia="Microsoft YaHei" w:cs="Microsoft YaHei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JE ，</w:t>
      </w:r>
      <w:r>
        <w:rPr>
          <w:i/>
          <w:iCs/>
          <w:color w:val="231F20"/>
          <w:spacing w:val="-4"/>
        </w:rPr>
        <w:t>et</w:t>
      </w:r>
      <w:r>
        <w:rPr>
          <w:i/>
          <w:iCs/>
          <w:color w:val="231F20"/>
          <w:spacing w:val="35"/>
        </w:rPr>
        <w:t xml:space="preserve"> </w:t>
      </w:r>
      <w:r>
        <w:rPr>
          <w:i/>
          <w:iCs/>
          <w:color w:val="231F20"/>
          <w:spacing w:val="-4"/>
        </w:rPr>
        <w:t>al</w:t>
      </w:r>
      <w:r>
        <w:rPr>
          <w:rFonts w:ascii="Microsoft YaHei" w:hAnsi="Microsoft YaHei" w:eastAsia="Microsoft YaHei" w:cs="Microsoft YaHei"/>
          <w:color w:val="231F20"/>
          <w:spacing w:val="-4"/>
        </w:rPr>
        <w:t>.</w:t>
      </w:r>
      <w:r>
        <w:rPr>
          <w:rFonts w:ascii="Microsoft YaHei" w:hAnsi="Microsoft YaHei" w:eastAsia="Microsoft YaHei" w:cs="Microsoft YaHei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Validation</w:t>
      </w:r>
      <w:r>
        <w:rPr>
          <w:rFonts w:ascii="Microsoft YaHei" w:hAnsi="Microsoft YaHei" w:eastAsia="Microsoft YaHei" w:cs="Microsoft YaHei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of</w:t>
      </w:r>
      <w:r>
        <w:rPr>
          <w:rFonts w:ascii="Microsoft YaHei" w:hAnsi="Microsoft YaHei" w:eastAsia="Microsoft YaHei" w:cs="Microsoft YaHei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acute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9"/>
        </w:rPr>
        <w:t>gastroenteritis-related</w:t>
      </w:r>
      <w:r>
        <w:rPr>
          <w:rFonts w:ascii="Microsoft YaHei" w:hAnsi="Microsoft YaHei" w:eastAsia="Microsoft YaHei" w:cs="Microsoft YaHei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international</w:t>
      </w:r>
      <w:r>
        <w:rPr>
          <w:rFonts w:ascii="Microsoft YaHei" w:hAnsi="Microsoft YaHei" w:eastAsia="Microsoft YaHei" w:cs="Microsoft YaHei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c</w:t>
      </w:r>
      <w:r>
        <w:rPr>
          <w:rFonts w:ascii="Microsoft YaHei" w:hAnsi="Microsoft YaHei" w:eastAsia="Microsoft YaHei" w:cs="Microsoft YaHei"/>
          <w:color w:val="231F20"/>
          <w:spacing w:val="-10"/>
        </w:rPr>
        <w:t>lassification</w:t>
      </w:r>
      <w:r>
        <w:rPr>
          <w:rFonts w:ascii="Microsoft YaHei" w:hAnsi="Microsoft YaHei" w:eastAsia="Microsoft YaHei" w:cs="Microsoft YaHei"/>
          <w:color w:val="231F20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of</w:t>
      </w:r>
      <w:r>
        <w:rPr>
          <w:rFonts w:ascii="Microsoft YaHei" w:hAnsi="Microsoft YaHei" w:eastAsia="Microsoft YaHei" w:cs="Microsoft YaHei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diseases，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clinical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modification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codes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i</w:t>
      </w:r>
      <w:r>
        <w:rPr>
          <w:rFonts w:ascii="Microsoft YaHei" w:hAnsi="Microsoft YaHei" w:eastAsia="Microsoft YaHei" w:cs="Microsoft YaHei"/>
          <w:color w:val="231F20"/>
          <w:spacing w:val="-15"/>
        </w:rPr>
        <w:t>n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pediatric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and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adult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us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populations[J].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0"/>
        </w:rPr>
        <w:t>Clin Infect Dis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，2020，70（11</w:t>
      </w:r>
      <w:r>
        <w:rPr>
          <w:rFonts w:ascii="Microsoft YaHei" w:hAnsi="Microsoft YaHei" w:eastAsia="Microsoft YaHei" w:cs="Microsoft YaHei"/>
          <w:color w:val="231F20"/>
          <w:spacing w:val="-13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0"/>
        </w:rPr>
        <w:t>2423-2427.</w:t>
      </w:r>
    </w:p>
    <w:p>
      <w:pPr>
        <w:ind w:left="1141" w:right="247" w:hanging="408"/>
        <w:spacing w:before="30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[3]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姜立峰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阿莫西林联合替硝唑治疗急性肠胃炎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的疗效分析 [J].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9"/>
        </w:rPr>
        <w:t>中国现代药物应用，2021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9"/>
        </w:rPr>
        <w:t>，15（3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8"/>
        </w:rPr>
        <w:t>）：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9"/>
        </w:rPr>
        <w:t>161-163.</w:t>
      </w:r>
    </w:p>
    <w:p>
      <w:pPr>
        <w:ind w:left="1141" w:right="246" w:hanging="408"/>
        <w:spacing w:before="30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[4]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周陆兵 . 替硝唑联合阿莫西林治疗急性肠胃炎的临床效果 [J].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中国药物经济学，2015，10（增刊 2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>）：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118-119.</w:t>
      </w:r>
    </w:p>
    <w:p>
      <w:pPr>
        <w:ind w:left="1124" w:right="247" w:hanging="391"/>
        <w:spacing w:before="31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[5]     王鑫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替硝唑 + 阿莫西林治疗急性肠胃炎的临床应用价值研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>究 [J].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>中国医药指南，2020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>，18（ 14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8"/>
        </w:rPr>
        <w:t>）：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>10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1"/>
        </w:rPr>
        <w:t>3-104.</w:t>
      </w:r>
    </w:p>
    <w:p>
      <w:pPr>
        <w:ind w:left="733"/>
        <w:spacing w:before="30" w:line="16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[6]     中华医学会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临床诊疗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指南 [M].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北京：人民卫生出版社，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93"/>
        <w:spacing w:before="39" w:line="223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1"/>
        </w:rPr>
        <w:t>2008：64.</w:t>
      </w:r>
    </w:p>
    <w:p>
      <w:pPr>
        <w:ind w:left="390" w:right="50" w:hanging="391"/>
        <w:spacing w:before="5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"/>
        </w:rPr>
        <w:t>[7]     隋泰北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"/>
        </w:rPr>
        <w:t>替硝唑联合阿莫西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林治疗急性肠胃炎患者的临床效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>果 [J].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>中国医药指南，2022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>，20（ 11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）：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>25-28.</w:t>
      </w:r>
    </w:p>
    <w:p>
      <w:pPr>
        <w:ind w:left="405" w:right="50" w:hanging="406"/>
        <w:spacing w:before="30" w:line="22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[8]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黄有水，孔爱民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阿莫西林联合埃索美拉唑联合治疗急性肠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胃炎的效果研究 [J]. 现代诊断与治疗，2022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33（7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>）：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1002-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4"/>
        </w:rPr>
        <w:t>1004.</w:t>
      </w:r>
    </w:p>
    <w:p>
      <w:pPr>
        <w:ind w:left="390" w:right="50" w:hanging="391"/>
        <w:spacing w:before="5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[9]     贺玉洁，王天芳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阿莫西林的药理机制及临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床应用探讨 [J]. 健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康大视野，2019（20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"/>
        </w:rPr>
        <w:t>）：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35.</w:t>
      </w:r>
    </w:p>
    <w:p>
      <w:pPr>
        <w:pStyle w:val="BodyText"/>
        <w:ind w:left="392" w:right="50" w:hanging="393"/>
        <w:spacing w:before="31" w:line="21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6"/>
        </w:rPr>
        <w:t>[10]   Ferrer</w:t>
      </w:r>
      <w:r>
        <w:rPr>
          <w:rFonts w:ascii="Microsoft YaHei" w:hAnsi="Microsoft YaHei" w:eastAsia="Microsoft YaHei" w:cs="Microsoft YaHei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J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，Giménez</w:t>
      </w:r>
      <w:r>
        <w:rPr>
          <w:rFonts w:ascii="Microsoft YaHei" w:hAnsi="Microsoft YaHei" w:eastAsia="Microsoft YaHei" w:cs="Microsoft YaHei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E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，Ca</w:t>
      </w:r>
      <w:r>
        <w:rPr>
          <w:rFonts w:ascii="Microsoft YaHei" w:hAnsi="Microsoft YaHei" w:eastAsia="Microsoft YaHei" w:cs="Microsoft YaHei"/>
          <w:color w:val="231F20"/>
          <w:spacing w:val="-7"/>
        </w:rPr>
        <w:t>rretero  D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i/>
          <w:iCs/>
          <w:color w:val="231F20"/>
          <w:spacing w:val="-7"/>
        </w:rPr>
        <w:t>et  al</w:t>
      </w:r>
      <w:r>
        <w:rPr>
          <w:rFonts w:ascii="Microsoft YaHei" w:hAnsi="Microsoft YaHei" w:eastAsia="Microsoft YaHei" w:cs="Microsoft YaHei"/>
          <w:color w:val="231F20"/>
          <w:spacing w:val="-7"/>
        </w:rPr>
        <w:t>.</w:t>
      </w:r>
      <w:r>
        <w:rPr>
          <w:rFonts w:ascii="Microsoft YaHei" w:hAnsi="Microsoft YaHei" w:eastAsia="Microsoft YaHei" w:cs="Microsoft YaHei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BD</w:t>
      </w:r>
      <w:r>
        <w:rPr>
          <w:rFonts w:ascii="Microsoft YaHei" w:hAnsi="Microsoft YaHei" w:eastAsia="Microsoft YaHei" w:cs="Microsoft YaHei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max</w:t>
      </w:r>
      <w:r>
        <w:rPr>
          <w:rFonts w:ascii="Microsoft YaHei" w:hAnsi="Microsoft YaHei" w:eastAsia="Microsoft YaHei" w:cs="Microsoft YaHei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enteric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bacterial，bacterial</w:t>
      </w:r>
      <w:r>
        <w:rPr>
          <w:rFonts w:ascii="Microsoft YaHei" w:hAnsi="Microsoft YaHei" w:eastAsia="Microsoft YaHei" w:cs="Microsoft YaHei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plus，and</w:t>
      </w:r>
      <w:r>
        <w:rPr>
          <w:rFonts w:ascii="Microsoft YaHei" w:hAnsi="Microsoft YaHei" w:eastAsia="Microsoft YaHei" w:cs="Microsoft YaHei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virus</w:t>
      </w:r>
      <w:r>
        <w:rPr>
          <w:rFonts w:ascii="Microsoft YaHei" w:hAnsi="Microsoft YaHei" w:eastAsia="Microsoft YaHei" w:cs="Microsoft YaHei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panels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for</w:t>
      </w:r>
      <w:r>
        <w:rPr>
          <w:rFonts w:ascii="Microsoft YaHei" w:hAnsi="Microsoft YaHei" w:eastAsia="Microsoft YaHei" w:cs="Microsoft YaHei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diagnosis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of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acute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infectious</w:t>
      </w:r>
      <w:r>
        <w:rPr>
          <w:rFonts w:ascii="Microsoft YaHei" w:hAnsi="Microsoft YaHei" w:eastAsia="Microsoft YaHei" w:cs="Microsoft YaHei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gastroenteritis</w:t>
      </w:r>
      <w:r>
        <w:rPr>
          <w:rFonts w:ascii="Microsoft YaHei" w:hAnsi="Microsoft YaHei" w:eastAsia="Microsoft YaHei" w:cs="Microsoft YaHei"/>
          <w:color w:val="231F20"/>
          <w:spacing w:val="-10"/>
        </w:rPr>
        <w:t>：a</w:t>
      </w:r>
      <w:r>
        <w:rPr>
          <w:rFonts w:ascii="Microsoft YaHei" w:hAnsi="Microsoft YaHei" w:eastAsia="Microsoft YaHei" w:cs="Microsoft YaHei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cost-benefit</w:t>
      </w:r>
      <w:r>
        <w:rPr>
          <w:rFonts w:ascii="Microsoft YaHei" w:hAnsi="Microsoft YaHei" w:eastAsia="Microsoft YaHei" w:cs="Microsoft YaHei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analysis[J].</w:t>
      </w:r>
      <w:r>
        <w:rPr>
          <w:rFonts w:ascii="Microsoft YaHei" w:hAnsi="Microsoft YaHei" w:eastAsia="Microsoft YaHei" w:cs="Microsoft YaHei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Microbiol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Spectr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，2022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，10（5</w:t>
      </w:r>
      <w:r>
        <w:rPr>
          <w:rFonts w:ascii="Microsoft YaHei" w:hAnsi="Microsoft YaHei" w:eastAsia="Microsoft YaHei" w:cs="Microsoft YaHei"/>
          <w:color w:val="231F20"/>
          <w:spacing w:val="-4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4"/>
        </w:rPr>
        <w:t>88022.</w:t>
      </w:r>
    </w:p>
    <w:p>
      <w:pPr>
        <w:ind w:left="382" w:right="50" w:hanging="382"/>
        <w:spacing w:before="42" w:line="22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[11]   Slay  RM ，Hatch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GJ ，Hewitt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JA.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Evaluation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amoxi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cillin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amoxicillin-clavulanate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（augmentin）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for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antimicrobial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3"/>
        </w:rPr>
        <w:t>postexposure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3"/>
        </w:rPr>
        <w:t>prophylaxis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3"/>
        </w:rPr>
        <w:t>following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4"/>
        </w:rPr>
        <w:t>bacillus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4"/>
        </w:rPr>
        <w:t>anthracis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4"/>
        </w:rPr>
        <w:t>inhalational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4"/>
        </w:rPr>
        <w:t>exposure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4"/>
        </w:rPr>
        <w:t>in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4"/>
        </w:rPr>
        <w:t>cynomolgus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4"/>
        </w:rPr>
        <w:t>macaques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5"/>
        </w:rPr>
        <w:t>[J].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5"/>
        </w:rPr>
        <w:t>Clin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5"/>
        </w:rPr>
        <w:t>Infect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5"/>
        </w:rPr>
        <w:t>Dis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5"/>
        </w:rPr>
        <w:t>，2022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5"/>
        </w:rPr>
        <w:t>，75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（3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）：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402-410.</w:t>
      </w:r>
    </w:p>
    <w:p>
      <w:pPr>
        <w:ind w:left="392" w:right="50" w:hanging="392"/>
        <w:spacing w:before="31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[12]   董守森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阿莫西林联合替硝唑对急性肠胃炎作用分析 [J].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中国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卫生标准管理，2020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，11（2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"/>
        </w:rPr>
        <w:t>）：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65-68.</w:t>
      </w:r>
    </w:p>
    <w:p>
      <w:pPr>
        <w:ind w:left="390" w:right="50" w:hanging="391"/>
        <w:spacing w:before="30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[13]   刘军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阿莫西林与替硝唑联合治疗急性肠胃炎的疗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效研究 [J].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9"/>
        </w:rPr>
        <w:t>健康必读，2021，24（25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0"/>
        </w:rPr>
        <w:t>）：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9"/>
        </w:rPr>
        <w:t>72.</w:t>
      </w:r>
    </w:p>
    <w:p>
      <w:pPr>
        <w:ind w:left="392" w:hanging="392"/>
        <w:spacing w:before="32" w:line="22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3"/>
        </w:rPr>
        <w:t>[14]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3"/>
        </w:rPr>
        <w:t>Rams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3"/>
        </w:rPr>
        <w:t>TE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3"/>
        </w:rPr>
        <w:t>，Sautter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3"/>
        </w:rPr>
        <w:t>JD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3"/>
        </w:rPr>
        <w:t>，van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3"/>
        </w:rPr>
        <w:t>Winkelhoff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3"/>
        </w:rPr>
        <w:t>AJ.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3"/>
        </w:rPr>
        <w:t>Comparative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3"/>
        </w:rPr>
        <w:t>in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3"/>
        </w:rPr>
        <w:t>vitro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5"/>
        </w:rPr>
        <w:t>resistance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5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5"/>
        </w:rPr>
        <w:t>human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5"/>
        </w:rPr>
        <w:t>periodontal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5"/>
        </w:rPr>
        <w:t>bacterial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5"/>
        </w:rPr>
        <w:t>patho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6"/>
        </w:rPr>
        <w:t>gens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6"/>
        </w:rPr>
        <w:t>to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6"/>
        </w:rPr>
        <w:t>tinidazole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3"/>
        </w:rPr>
        <w:t>and four other antibiotics[J]. Antibio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4"/>
        </w:rPr>
        <w:t>tics（ Basel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1"/>
        </w:rPr>
        <w:t>），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4"/>
        </w:rPr>
        <w:t>2020，9（2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1"/>
        </w:rPr>
        <w:t>）：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9"/>
        </w:rPr>
        <w:t>68.</w:t>
      </w:r>
    </w:p>
    <w:p>
      <w:pPr>
        <w:ind w:left="390" w:right="50" w:hanging="390"/>
        <w:spacing w:before="4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[15]   党二丹 . 替硝唑联合阿莫西林治疗急性肠胃炎效果观察 [J]. 深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9"/>
        </w:rPr>
        <w:t>圳中西医结合杂志，2020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9"/>
        </w:rPr>
        <w:t>，30（6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7"/>
        </w:rPr>
        <w:t>）：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9"/>
        </w:rPr>
        <w:t>170-171.</w:t>
      </w:r>
    </w:p>
    <w:p>
      <w:pPr>
        <w:ind w:left="3569"/>
        <w:spacing w:before="35" w:line="1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编辑：原紫一</w:t>
      </w:r>
    </w:p>
    <w:sectPr>
      <w:type w:val="continuous"/>
      <w:pgSz w:w="11906" w:h="16838"/>
      <w:pgMar w:top="833" w:right="1083" w:bottom="1122" w:left="407" w:header="0" w:footer="354" w:gutter="0"/>
      <w:cols w:equalWidth="0" w:num="2">
        <w:col w:w="5623" w:space="100"/>
        <w:col w:w="469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8"/>
      </w:rPr>
      <w:t>(c)1994-2023</w:t>
    </w:r>
    <w:r>
      <w:rPr>
        <w:rFonts w:ascii="Arial" w:hAnsi="Arial" w:eastAsia="Arial" w:cs="Arial"/>
        <w:sz w:val="19"/>
        <w:szCs w:val="19"/>
        <w:color w:val="B2B2B2"/>
        <w:spacing w:val="4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5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8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1"/>
      <w:spacing w:after="68" w:line="183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color w:val="231F20"/>
        <w:spacing w:val="-1"/>
      </w:rPr>
      <w:t>42</w:t>
    </w:r>
  </w:p>
  <w:p>
    <w:pPr>
      <w:spacing w:line="281" w:lineRule="auto"/>
      <w:rPr>
        <w:rFonts w:ascii="Arial"/>
        <w:sz w:val="21"/>
      </w:rPr>
    </w:pPr>
    <w:r/>
  </w:p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8"/>
      </w:rPr>
      <w:t>(c)1994-2023</w:t>
    </w:r>
    <w:r>
      <w:rPr>
        <w:rFonts w:ascii="Arial" w:hAnsi="Arial" w:eastAsia="Arial" w:cs="Arial"/>
        <w:sz w:val="19"/>
        <w:szCs w:val="19"/>
        <w:color w:val="B2B2B2"/>
        <w:spacing w:val="4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5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8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878"/>
      <w:spacing w:after="68" w:line="184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color w:val="231F20"/>
        <w:spacing w:val="-1"/>
      </w:rPr>
      <w:t>43</w:t>
    </w:r>
  </w:p>
  <w:p>
    <w:pPr>
      <w:spacing w:line="294" w:lineRule="auto"/>
      <w:rPr>
        <w:rFonts w:ascii="Arial"/>
        <w:sz w:val="21"/>
      </w:rPr>
    </w:pPr>
    <w:r/>
  </w:p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8"/>
      </w:rPr>
      <w:t>(c)1994-2023</w:t>
    </w:r>
    <w:r>
      <w:rPr>
        <w:rFonts w:ascii="Arial" w:hAnsi="Arial" w:eastAsia="Arial" w:cs="Arial"/>
        <w:sz w:val="19"/>
        <w:szCs w:val="19"/>
        <w:color w:val="B2B2B2"/>
        <w:spacing w:val="40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5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8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2023-09-25T04:23:42Z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2025-10-28T21:31:27</vt:filetime>
  </property>
</Properties>
</file>