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firstLine="6578"/>
        <w:spacing w:before="236" w:line="480" w:lineRule="exact"/>
        <w:rPr/>
      </w:pPr>
      <w:r>
        <w:rPr>
          <w:position w:val="-9"/>
        </w:rPr>
        <w:pict>
          <v:group id="_x0000_s6" style="mso-position-vertical-relative:line;mso-position-horizontal-relative:char;width:192.1pt;height:24pt;" filled="false" stroked="false" coordsize="3842,480" coordorigin="0,0">
            <v:shape id="_x0000_s8" style="position:absolute;left:0;top:0;width:3842;height:480;" filled="false" strokecolor="#231F20" strokeweight="0.40pt" coordsize="3842,480" coordorigin="0,0" path="m14,14c29,29,29,59,14,74c0,88,0,118,14,133c29,148,29,177,14,192c0,207,0,236,14,251c29,266,29,296,14,310c0,325,0,355,14,370c29,384,29,414,14,429c0,444,23,479,38,464c53,450,82,450,97,464c112,479,142,479,156,464c171,450,201,450,216,464c230,479,260,479,275,464c290,450,319,450,334,464c349,479,378,479,393,464c408,450,438,450,452,464c467,479,497,479,512,464c526,450,556,450,571,464c586,479,615,479,630,464c645,450,674,450,689,464c704,479,734,479,748,464c763,450,793,450,807,464c822,479,852,479,867,464c881,450,911,450,926,464c941,479,970,479,985,464c1000,450,1029,450,1044,464c1059,479,1089,479,1103,464c1118,450,1148,450,1163,464c1177,479,1207,479,1222,464c1237,450,1266,450,1281,464c1296,479,1325,479,1340,464c1355,450,1385,450,1399,464c1414,479,1444,479,1459,464c1473,450,1503,450,1518,464c1533,479,1562,479,1577,464c1592,450,1621,450,1636,464c1651,479,1680,479,1695,464c1710,450,1740,450,1754,464c1769,479,1799,479,1814,464c1828,450,1858,450,1873,464c1888,479,1917,479,1932,464c1947,450,1976,450,1991,464c2006,479,2036,479,2050,464c2065,450,2095,450,2110,464c2124,479,2154,479,2169,464c2184,450,2213,450,2228,464c2243,479,2272,479,2287,464c2302,450,2332,450,2346,464c2361,479,2391,479,2406,464c2420,450,2450,450,2465,464c2479,479,2509,479,2524,464c2539,450,2568,450,2583,464c2598,479,2627,479,2642,464c2657,450,2687,450,2701,464c2716,479,2746,479,2761,464c2775,450,2805,450,2820,464c2835,479,2864,479,2879,464c2894,450,2923,450,2938,464c2953,479,2983,479,2997,464c3012,450,3042,450,3057,464c3071,479,3101,479,3116,464c3131,450,3160,450,3175,464c3190,479,3219,479,3234,464c3249,450,3278,450,3293,464c3308,479,3338,479,3352,464c3367,450,3397,450,3412,464c3426,479,3456,479,3471,464c3486,450,3515,450,3530,464c3545,479,3574,479,3589,464c3604,450,3634,450,3648,464c3663,479,3693,479,3708,464c3722,450,3752,450,3767,464c3782,479,3811,479,3826,464c3811,450,3811,420,3826,405c3841,390,3841,361,3826,346c3811,331,3811,302,3826,287c3841,272,3841,242,3826,228c3811,213,3811,183,3826,168c3841,154,3841,124,3826,109c3811,94,3811,65,3826,50c3841,35,3817,0,3802,14c3788,29,3758,29,3743,14c3728,0,3699,0,3684,14c3669,29,3640,29,3625,14c3610,0,3580,0,3566,14c3551,29,3521,29,3506,14c3492,0,3462,0,3447,14c3432,29,3403,29,3388,14c3373,0,3344,0,3329,14c3314,29,3284,29,3270,14c3255,0,3225,0,3211,14c3196,29,3166,29,3151,14c3137,0,3107,0,3092,14c3077,29,3048,29,3033,14c3018,0,2989,0,2974,14c2959,29,2929,29,2915,14c2900,0,2870,0,2855,14c2841,29,2811,29,2796,14c2781,0,2752,0,2737,14c2722,29,2693,29,2678,14c2663,0,2633,0,2619,14c2604,29,2574,29,2559,14c2545,0,2515,0,2500,14c2485,29,2456,29,2441,14c2426,0,2397,0,2382,14c2367,29,2338,29,2323,14c2308,0,2278,0,2264,14c2249,29,2219,29,2204,14c2190,0,2160,0,2145,14c2130,29,2101,29,2086,14c2071,0,2042,0,2027,14c2012,29,1982,29,1968,14c1953,0,1923,0,1908,14c1894,29,1864,29,1849,14c1834,0,1805,0,1790,14c1775,29,1746,29,1731,14c1716,0,1686,0,1672,14c1657,29,1627,29,1612,14c1598,0,1568,0,1553,14c1539,29,1509,29,1494,14c1479,0,1450,0,1435,14c1420,29,1391,29,1376,14c1361,0,1331,0,1317,14c1302,29,1272,29,1257,14c1243,0,1213,0,1198,14c1183,29,1154,29,1139,14c1124,0,1095,0,1080,14c1065,29,1035,29,1021,14c1006,0,976,0,961,14c947,29,917,29,902,14c887,0,858,0,843,14c828,29,799,29,784,14c769,0,739,0,725,14c710,29,680,29,666,14c651,0,621,0,606,14c592,29,562,29,547,14c532,0,503,0,488,14c473,29,444,29,429,14c414,0,384,0,370,14c355,29,325,29,310,14c296,0,266,0,251,14c236,29,207,29,192,14c177,0,148,0,133,14c118,29,88,29,74,14c59,0,29,0,14,14e">
              <v:stroke joinstyle="miter" miterlimit="4"/>
            </v:shape>
            <v:shape id="_x0000_s10" style="position:absolute;left:-20;top:-20;width:3882;height:5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80"/>
                      <w:spacing w:before="131" w:line="238" w:lineRule="auto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-1"/>
                        <w:position w:val="6"/>
                      </w:rPr>
                      <w:t>·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7"/>
                        <w:w w:val="102"/>
                        <w:position w:val="6"/>
                      </w:rPr>
                      <w:t xml:space="preserve">  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color w:val="231F20"/>
                        <w:spacing w:val="-1"/>
                      </w:rPr>
                      <w:t>论著：调查分析与管理实践研究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color w:val="231F20"/>
                        <w:spacing w:val="-56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231F20"/>
                        <w:spacing w:val="-1"/>
                        <w:position w:val="6"/>
                      </w:rPr>
                      <w:t>·</w:t>
                    </w:r>
                  </w:p>
                </w:txbxContent>
              </v:textbox>
            </v:shape>
          </v:group>
        </w:pict>
      </w:r>
    </w:p>
    <w:p>
      <w:pPr>
        <w:spacing w:line="294" w:lineRule="auto"/>
        <w:rPr>
          <w:rFonts w:ascii="Arial"/>
          <w:sz w:val="21"/>
        </w:rPr>
      </w:pPr>
      <w:r/>
    </w:p>
    <w:p>
      <w:pPr>
        <w:pStyle w:val="BodyText"/>
        <w:ind w:left="1781"/>
        <w:spacing w:before="117" w:line="241" w:lineRule="auto"/>
        <w:outlineLvl w:val="0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color w:val="231F20"/>
          <w:spacing w:val="-2"/>
        </w:rPr>
        <w:t>某院</w:t>
      </w:r>
      <w:r>
        <w:rPr>
          <w:rFonts w:ascii="SimHei" w:hAnsi="SimHei" w:eastAsia="SimHei" w:cs="SimHei"/>
          <w:sz w:val="36"/>
          <w:szCs w:val="36"/>
          <w:color w:val="231F20"/>
          <w:spacing w:val="-63"/>
        </w:rPr>
        <w:t xml:space="preserve"> </w:t>
      </w:r>
      <w:r>
        <w:rPr>
          <w:sz w:val="36"/>
          <w:szCs w:val="36"/>
          <w:b/>
          <w:bCs/>
          <w:color w:val="231F20"/>
          <w:spacing w:val="-2"/>
        </w:rPr>
        <w:t>2022 </w:t>
      </w:r>
      <w:r>
        <w:rPr>
          <w:rFonts w:ascii="SimHei" w:hAnsi="SimHei" w:eastAsia="SimHei" w:cs="SimHei"/>
          <w:sz w:val="36"/>
          <w:szCs w:val="36"/>
          <w:color w:val="231F20"/>
          <w:spacing w:val="-2"/>
        </w:rPr>
        <w:t>年急诊科急性胃肠炎处方用药情况分析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pStyle w:val="BodyText"/>
        <w:ind w:left="4378"/>
        <w:spacing w:before="71" w:line="242" w:lineRule="auto"/>
        <w:rPr>
          <w:sz w:val="12"/>
          <w:szCs w:val="12"/>
        </w:rPr>
      </w:pPr>
      <w:r>
        <w:rPr>
          <w:rFonts w:ascii="SimSun" w:hAnsi="SimSun" w:eastAsia="SimSun" w:cs="SimSun"/>
          <w:sz w:val="22"/>
          <w:szCs w:val="22"/>
          <w:color w:val="231F20"/>
          <w:spacing w:val="-2"/>
        </w:rPr>
        <w:t>吴维玲，陈馥磊，郑少青</w:t>
      </w:r>
      <w:r>
        <w:rPr>
          <w:rFonts w:ascii="SimSun" w:hAnsi="SimSun" w:eastAsia="SimSun" w:cs="SimSun"/>
          <w:sz w:val="22"/>
          <w:szCs w:val="22"/>
          <w:color w:val="231F20"/>
          <w:spacing w:val="-41"/>
        </w:rPr>
        <w:t xml:space="preserve"> </w:t>
      </w:r>
      <w:r>
        <w:rPr>
          <w:sz w:val="12"/>
          <w:szCs w:val="12"/>
          <w:color w:val="231F20"/>
          <w:spacing w:val="-2"/>
          <w:position w:val="10"/>
        </w:rPr>
        <w:t>*</w:t>
      </w:r>
    </w:p>
    <w:p>
      <w:pPr>
        <w:pStyle w:val="BodyText"/>
        <w:ind w:left="3822"/>
        <w:spacing w:before="267" w:line="240" w:lineRule="exact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position w:val="1"/>
        </w:rPr>
        <w:t>（邵武市立医院药剂科，福建 邵武 </w:t>
      </w:r>
      <w:r>
        <w:rPr>
          <w:color w:val="231F20"/>
          <w:position w:val="1"/>
        </w:rPr>
        <w:t>354000</w:t>
      </w:r>
      <w:r>
        <w:rPr>
          <w:color w:val="231F20"/>
          <w:spacing w:val="-16"/>
          <w:position w:val="1"/>
        </w:rPr>
        <w:t xml:space="preserve"> </w:t>
      </w:r>
      <w:r>
        <w:rPr>
          <w:rFonts w:ascii="SimSun" w:hAnsi="SimSun" w:eastAsia="SimSun" w:cs="SimSun"/>
          <w:color w:val="231F20"/>
          <w:position w:val="1"/>
        </w:rPr>
        <w:t>）</w:t>
      </w:r>
    </w:p>
    <w:p>
      <w:pPr>
        <w:spacing w:line="366" w:lineRule="auto"/>
        <w:rPr>
          <w:rFonts w:ascii="Arial"/>
          <w:sz w:val="21"/>
        </w:rPr>
      </w:pPr>
      <w:r/>
    </w:p>
    <w:p>
      <w:pPr>
        <w:pStyle w:val="BodyText"/>
        <w:ind w:left="842" w:hanging="12"/>
        <w:spacing w:before="59" w:line="308" w:lineRule="auto"/>
        <w:jc w:val="both"/>
        <w:rPr>
          <w:rFonts w:ascii="FangSong" w:hAnsi="FangSong" w:eastAsia="FangSong" w:cs="FangSong"/>
        </w:rPr>
      </w:pPr>
      <w:r>
        <w:rPr>
          <w:rFonts w:ascii="SimHei" w:hAnsi="SimHei" w:eastAsia="SimHei" w:cs="SimHei"/>
          <w:color w:val="231F20"/>
          <w:spacing w:val="2"/>
        </w:rPr>
        <w:t>【摘要】</w:t>
      </w:r>
      <w:r>
        <w:rPr>
          <w:rFonts w:ascii="SimHei" w:hAnsi="SimHei" w:eastAsia="SimHei" w:cs="SimHei"/>
          <w:color w:val="231F20"/>
          <w:spacing w:val="2"/>
        </w:rPr>
        <w:t xml:space="preserve">  </w:t>
      </w:r>
      <w:r>
        <w:rPr>
          <w:rFonts w:ascii="SimHei" w:hAnsi="SimHei" w:eastAsia="SimHei" w:cs="SimHei"/>
          <w:color w:val="231F20"/>
          <w:spacing w:val="2"/>
        </w:rPr>
        <w:t>目的：</w:t>
      </w:r>
      <w:r>
        <w:rPr>
          <w:rFonts w:ascii="FangSong" w:hAnsi="FangSong" w:eastAsia="FangSong" w:cs="FangSong"/>
          <w:color w:val="231F20"/>
          <w:spacing w:val="2"/>
        </w:rPr>
        <w:t>调查我院</w:t>
      </w:r>
      <w:r>
        <w:rPr>
          <w:rFonts w:ascii="FangSong" w:hAnsi="FangSong" w:eastAsia="FangSong" w:cs="FangSong"/>
          <w:color w:val="231F20"/>
          <w:spacing w:val="-28"/>
        </w:rPr>
        <w:t xml:space="preserve"> </w:t>
      </w:r>
      <w:r>
        <w:rPr>
          <w:color w:val="231F20"/>
          <w:spacing w:val="2"/>
        </w:rPr>
        <w:t>2022</w:t>
      </w:r>
      <w:r>
        <w:rPr>
          <w:color w:val="231F20"/>
          <w:spacing w:val="11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2"/>
        </w:rPr>
        <w:t>年急诊科急性胃肠炎处方的用药情况，为促进临床合理用药提供依据。</w:t>
      </w:r>
      <w:r>
        <w:rPr>
          <w:rFonts w:ascii="SimHei" w:hAnsi="SimHei" w:eastAsia="SimHei" w:cs="SimHei"/>
          <w:color w:val="231F20"/>
          <w:spacing w:val="2"/>
        </w:rPr>
        <w:t>方法：</w:t>
      </w:r>
      <w:r>
        <w:rPr>
          <w:rFonts w:ascii="FangSong" w:hAnsi="FangSong" w:eastAsia="FangSong" w:cs="FangSong"/>
          <w:color w:val="231F20"/>
          <w:spacing w:val="2"/>
        </w:rPr>
        <w:t>调取我院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color w:val="231F20"/>
          <w:spacing w:val="-1"/>
        </w:rPr>
        <w:t>2022 </w:t>
      </w:r>
      <w:r>
        <w:rPr>
          <w:rFonts w:ascii="FangSong" w:hAnsi="FangSong" w:eastAsia="FangSong" w:cs="FangSong"/>
          <w:color w:val="231F20"/>
          <w:spacing w:val="-1"/>
        </w:rPr>
        <w:t>年急诊科所有诊断为急性胃肠炎的处方</w:t>
      </w:r>
      <w:r>
        <w:rPr>
          <w:rFonts w:ascii="FangSong" w:hAnsi="FangSong" w:eastAsia="FangSong" w:cs="FangSong"/>
          <w:color w:val="231F20"/>
          <w:spacing w:val="-24"/>
        </w:rPr>
        <w:t xml:space="preserve"> </w:t>
      </w:r>
      <w:r>
        <w:rPr>
          <w:color w:val="231F20"/>
          <w:spacing w:val="-1"/>
        </w:rPr>
        <w:t>143</w:t>
      </w:r>
      <w:r>
        <w:rPr>
          <w:color w:val="231F20"/>
          <w:spacing w:val="11"/>
        </w:rPr>
        <w:t xml:space="preserve"> </w:t>
      </w:r>
      <w:r>
        <w:rPr>
          <w:rFonts w:ascii="FangSong" w:hAnsi="FangSong" w:eastAsia="FangSong" w:cs="FangSong"/>
          <w:color w:val="231F20"/>
          <w:spacing w:val="-1"/>
        </w:rPr>
        <w:t>份，对处方的用药进行整理分析并判断其</w:t>
      </w:r>
      <w:r>
        <w:rPr>
          <w:rFonts w:ascii="FangSong" w:hAnsi="FangSong" w:eastAsia="FangSong" w:cs="FangSong"/>
          <w:color w:val="231F20"/>
          <w:spacing w:val="-2"/>
        </w:rPr>
        <w:t>合理性。</w:t>
      </w:r>
      <w:r>
        <w:rPr>
          <w:rFonts w:ascii="SimHei" w:hAnsi="SimHei" w:eastAsia="SimHei" w:cs="SimHei"/>
          <w:color w:val="231F20"/>
          <w:spacing w:val="-2"/>
        </w:rPr>
        <w:t>结果：</w:t>
      </w:r>
      <w:r>
        <w:rPr>
          <w:rFonts w:ascii="FangSong" w:hAnsi="FangSong" w:eastAsia="FangSong" w:cs="FangSong"/>
          <w:color w:val="231F20"/>
          <w:spacing w:val="-2"/>
        </w:rPr>
        <w:t>调查的</w:t>
      </w:r>
      <w:r>
        <w:rPr>
          <w:rFonts w:ascii="FangSong" w:hAnsi="FangSong" w:eastAsia="FangSong" w:cs="FangSong"/>
          <w:color w:val="231F20"/>
          <w:spacing w:val="-24"/>
        </w:rPr>
        <w:t xml:space="preserve"> </w:t>
      </w:r>
      <w:r>
        <w:rPr>
          <w:color w:val="231F20"/>
          <w:spacing w:val="-2"/>
        </w:rPr>
        <w:t>143</w:t>
      </w:r>
      <w:r>
        <w:rPr>
          <w:color w:val="231F20"/>
          <w:spacing w:val="11"/>
          <w:w w:val="101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份处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-1"/>
        </w:rPr>
        <w:t>方中使用的药物主要有</w:t>
      </w:r>
      <w:r>
        <w:rPr>
          <w:rFonts w:ascii="FangSong" w:hAnsi="FangSong" w:eastAsia="FangSong" w:cs="FangSong"/>
          <w:color w:val="231F20"/>
          <w:spacing w:val="-43"/>
        </w:rPr>
        <w:t xml:space="preserve"> </w:t>
      </w:r>
      <w:r>
        <w:rPr>
          <w:color w:val="231F20"/>
          <w:spacing w:val="-1"/>
        </w:rPr>
        <w:t>PPI</w:t>
      </w:r>
      <w:r>
        <w:rPr>
          <w:rFonts w:ascii="FangSong" w:hAnsi="FangSong" w:eastAsia="FangSong" w:cs="FangSong"/>
          <w:color w:val="231F20"/>
          <w:spacing w:val="-1"/>
        </w:rPr>
        <w:t>、胃肠动力药、益生菌、补液等；给药方式以口服为主，占</w:t>
      </w:r>
      <w:r>
        <w:rPr>
          <w:rFonts w:ascii="FangSong" w:hAnsi="FangSong" w:eastAsia="FangSong" w:cs="FangSong"/>
          <w:color w:val="231F20"/>
          <w:spacing w:val="-39"/>
        </w:rPr>
        <w:t xml:space="preserve"> </w:t>
      </w:r>
      <w:r>
        <w:rPr>
          <w:color w:val="231F20"/>
          <w:spacing w:val="-1"/>
        </w:rPr>
        <w:t>73.43%</w:t>
      </w:r>
      <w:r>
        <w:rPr>
          <w:color w:val="231F20"/>
          <w:spacing w:val="-16"/>
        </w:rPr>
        <w:t xml:space="preserve"> </w:t>
      </w:r>
      <w:r>
        <w:rPr>
          <w:rFonts w:ascii="FangSong" w:hAnsi="FangSong" w:eastAsia="FangSong" w:cs="FangSong"/>
          <w:color w:val="231F20"/>
          <w:spacing w:val="-1"/>
        </w:rPr>
        <w:t>；使用</w:t>
      </w:r>
      <w:r>
        <w:rPr>
          <w:rFonts w:ascii="FangSong" w:hAnsi="FangSong" w:eastAsia="FangSong" w:cs="FangSong"/>
          <w:color w:val="231F20"/>
          <w:spacing w:val="-2"/>
        </w:rPr>
        <w:t>抗菌药占比</w:t>
      </w:r>
      <w:r>
        <w:rPr>
          <w:rFonts w:ascii="FangSong" w:hAnsi="FangSong" w:eastAsia="FangSong" w:cs="FangSong"/>
          <w:color w:val="231F20"/>
          <w:spacing w:val="-39"/>
        </w:rPr>
        <w:t xml:space="preserve"> </w:t>
      </w:r>
      <w:r>
        <w:rPr>
          <w:color w:val="231F20"/>
          <w:spacing w:val="-2"/>
        </w:rPr>
        <w:t>35.66%</w:t>
      </w:r>
      <w:r>
        <w:rPr>
          <w:color w:val="231F20"/>
          <w:spacing w:val="-14"/>
        </w:rPr>
        <w:t xml:space="preserve"> </w:t>
      </w:r>
      <w:r>
        <w:rPr>
          <w:rFonts w:ascii="FangSong" w:hAnsi="FangSong" w:eastAsia="FangSong" w:cs="FangSong"/>
          <w:color w:val="231F20"/>
          <w:spacing w:val="-2"/>
        </w:rPr>
        <w:t>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-4"/>
        </w:rPr>
        <w:t>以口服抗菌药为主，常用的为左氧氟沙星；</w:t>
      </w:r>
      <w:r>
        <w:rPr>
          <w:color w:val="231F20"/>
          <w:spacing w:val="-4"/>
        </w:rPr>
        <w:t>PPI </w:t>
      </w:r>
      <w:r>
        <w:rPr>
          <w:rFonts w:ascii="FangSong" w:hAnsi="FangSong" w:eastAsia="FangSong" w:cs="FangSong"/>
          <w:color w:val="231F20"/>
          <w:spacing w:val="-4"/>
        </w:rPr>
        <w:t>药物使用中以艾普拉唑肠溶片使用最</w:t>
      </w:r>
      <w:r>
        <w:rPr>
          <w:rFonts w:ascii="FangSong" w:hAnsi="FangSong" w:eastAsia="FangSong" w:cs="FangSong"/>
          <w:color w:val="231F20"/>
          <w:spacing w:val="-5"/>
        </w:rPr>
        <w:t>多，占</w:t>
      </w:r>
      <w:r>
        <w:rPr>
          <w:color w:val="231F20"/>
          <w:spacing w:val="-5"/>
        </w:rPr>
        <w:t>73.20%</w:t>
      </w:r>
      <w:r>
        <w:rPr>
          <w:rFonts w:ascii="FangSong" w:hAnsi="FangSong" w:eastAsia="FangSong" w:cs="FangSong"/>
          <w:color w:val="231F20"/>
          <w:spacing w:val="-5"/>
        </w:rPr>
        <w:t>；行实验室检查共计</w:t>
      </w:r>
      <w:r>
        <w:rPr>
          <w:color w:val="231F20"/>
          <w:spacing w:val="-5"/>
        </w:rPr>
        <w:t>47 </w:t>
      </w:r>
      <w:r>
        <w:rPr>
          <w:rFonts w:ascii="FangSong" w:hAnsi="FangSong" w:eastAsia="FangSong" w:cs="FangSong"/>
          <w:color w:val="231F20"/>
          <w:spacing w:val="-5"/>
        </w:rPr>
        <w:t>例，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-1"/>
        </w:rPr>
        <w:t>占比</w:t>
      </w:r>
      <w:r>
        <w:rPr>
          <w:rFonts w:ascii="FangSong" w:hAnsi="FangSong" w:eastAsia="FangSong" w:cs="FangSong"/>
          <w:color w:val="231F20"/>
          <w:spacing w:val="-25"/>
        </w:rPr>
        <w:t xml:space="preserve"> </w:t>
      </w:r>
      <w:r>
        <w:rPr>
          <w:color w:val="231F20"/>
          <w:spacing w:val="-1"/>
        </w:rPr>
        <w:t>32.87%</w:t>
      </w:r>
      <w:r>
        <w:rPr>
          <w:rFonts w:ascii="FangSong" w:hAnsi="FangSong" w:eastAsia="FangSong" w:cs="FangSong"/>
          <w:color w:val="231F20"/>
          <w:spacing w:val="-1"/>
        </w:rPr>
        <w:t>；不合理处方占比</w:t>
      </w:r>
      <w:r>
        <w:rPr>
          <w:rFonts w:ascii="FangSong" w:hAnsi="FangSong" w:eastAsia="FangSong" w:cs="FangSong"/>
          <w:color w:val="231F20"/>
          <w:spacing w:val="-1"/>
        </w:rPr>
        <w:t xml:space="preserve"> </w:t>
      </w:r>
      <w:r>
        <w:rPr>
          <w:color w:val="231F20"/>
          <w:spacing w:val="-1"/>
        </w:rPr>
        <w:t>13.99%</w:t>
      </w:r>
      <w:r>
        <w:rPr>
          <w:rFonts w:ascii="FangSong" w:hAnsi="FangSong" w:eastAsia="FangSong" w:cs="FangSong"/>
          <w:color w:val="231F20"/>
          <w:spacing w:val="-1"/>
        </w:rPr>
        <w:t>，主要问题为用法及遴选的药品不适宜。</w:t>
      </w:r>
      <w:r>
        <w:rPr>
          <w:rFonts w:ascii="SimHei" w:hAnsi="SimHei" w:eastAsia="SimHei" w:cs="SimHei"/>
          <w:color w:val="231F20"/>
          <w:spacing w:val="-1"/>
        </w:rPr>
        <w:t>结论：</w:t>
      </w:r>
      <w:r>
        <w:rPr>
          <w:rFonts w:ascii="FangSong" w:hAnsi="FangSong" w:eastAsia="FangSong" w:cs="FangSong"/>
          <w:color w:val="231F20"/>
          <w:spacing w:val="-1"/>
        </w:rPr>
        <w:t>我院</w:t>
      </w:r>
      <w:r>
        <w:rPr>
          <w:rFonts w:ascii="FangSong" w:hAnsi="FangSong" w:eastAsia="FangSong" w:cs="FangSong"/>
          <w:color w:val="231F20"/>
          <w:spacing w:val="-41"/>
        </w:rPr>
        <w:t xml:space="preserve"> </w:t>
      </w:r>
      <w:r>
        <w:rPr>
          <w:color w:val="231F20"/>
          <w:spacing w:val="-1"/>
        </w:rPr>
        <w:t>2022 </w:t>
      </w:r>
      <w:r>
        <w:rPr>
          <w:rFonts w:ascii="FangSong" w:hAnsi="FangSong" w:eastAsia="FangSong" w:cs="FangSong"/>
          <w:color w:val="231F20"/>
          <w:spacing w:val="-1"/>
        </w:rPr>
        <w:t>年急诊科急性胃肠炎处方</w:t>
      </w:r>
      <w:r>
        <w:rPr>
          <w:rFonts w:ascii="FangSong" w:hAnsi="FangSong" w:eastAsia="FangSong" w:cs="FangSong"/>
          <w:color w:val="231F20"/>
        </w:rPr>
        <w:t xml:space="preserve"> </w:t>
      </w:r>
      <w:r>
        <w:rPr>
          <w:rFonts w:ascii="FangSong" w:hAnsi="FangSong" w:eastAsia="FangSong" w:cs="FangSong"/>
          <w:color w:val="231F20"/>
          <w:spacing w:val="1"/>
        </w:rPr>
        <w:t>用药基本合理，但也存在部分问题：在质子</w:t>
      </w:r>
      <w:r>
        <w:rPr>
          <w:rFonts w:ascii="FangSong" w:hAnsi="FangSong" w:eastAsia="FangSong" w:cs="FangSong"/>
          <w:color w:val="231F20"/>
        </w:rPr>
        <w:t>泵抑制剂的使用上，应优先选择基本药物或带量品种；鼓励进行炎症指标等相</w:t>
      </w:r>
      <w:r>
        <w:rPr>
          <w:rFonts w:ascii="FangSong" w:hAnsi="FangSong" w:eastAsia="FangSong" w:cs="FangSong"/>
          <w:color w:val="231F20"/>
        </w:rPr>
        <w:t xml:space="preserve">  </w:t>
      </w:r>
      <w:r>
        <w:rPr>
          <w:rFonts w:ascii="FangSong" w:hAnsi="FangSong" w:eastAsia="FangSong" w:cs="FangSong"/>
          <w:color w:val="231F20"/>
          <w:spacing w:val="-1"/>
        </w:rPr>
        <w:t>关检测，确有指征方可使用抗菌药物；选用药物时应考虑到患者的年龄、用法及医保限定等因素。</w:t>
      </w:r>
    </w:p>
    <w:p>
      <w:pPr>
        <w:ind w:left="830"/>
        <w:spacing w:before="1" w:line="242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</w:rPr>
        <w:t>【关键词】</w:t>
      </w:r>
      <w:r>
        <w:rPr>
          <w:rFonts w:ascii="SimHei" w:hAnsi="SimHei" w:eastAsia="SimHei" w:cs="SimHei"/>
          <w:sz w:val="18"/>
          <w:szCs w:val="18"/>
          <w:color w:val="231F20"/>
        </w:rPr>
        <w:t xml:space="preserve">  </w:t>
      </w:r>
      <w:r>
        <w:rPr>
          <w:rFonts w:ascii="FangSong" w:hAnsi="FangSong" w:eastAsia="FangSong" w:cs="FangSong"/>
          <w:sz w:val="18"/>
          <w:szCs w:val="18"/>
          <w:color w:val="231F20"/>
        </w:rPr>
        <w:t>急诊科；急性肠胃炎；处方用药；合理性分析</w:t>
      </w:r>
    </w:p>
    <w:p>
      <w:pPr>
        <w:pStyle w:val="BodyText"/>
        <w:ind w:left="845"/>
        <w:spacing w:before="156" w:line="212" w:lineRule="auto"/>
        <w:rPr/>
      </w:pPr>
      <w:r>
        <w:rPr>
          <w:color w:val="231F20"/>
        </w:rPr>
        <w:t>doi</w:t>
      </w:r>
      <w:r>
        <w:rPr>
          <w:rFonts w:ascii="SimSun" w:hAnsi="SimSun" w:eastAsia="SimSun" w:cs="SimSun"/>
          <w:color w:val="231F20"/>
        </w:rPr>
        <w:t>：</w:t>
      </w:r>
      <w:r>
        <w:rPr>
          <w:color w:val="231F20"/>
        </w:rPr>
        <w:t>10.15900/j.cnki.zylf19</w:t>
      </w:r>
      <w:r>
        <w:rPr>
          <w:color w:val="231F20"/>
          <w:spacing w:val="-1"/>
        </w:rPr>
        <w:t>95.2023.11.010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pStyle w:val="BodyText"/>
        <w:ind w:left="1290"/>
        <w:spacing w:before="87" w:line="189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31F20"/>
        </w:rPr>
        <w:t>Analysis of</w:t>
      </w:r>
      <w:r>
        <w:rPr>
          <w:sz w:val="30"/>
          <w:szCs w:val="30"/>
          <w:b/>
          <w:bCs/>
          <w:color w:val="231F20"/>
          <w:spacing w:val="-15"/>
        </w:rPr>
        <w:t xml:space="preserve"> </w:t>
      </w:r>
      <w:r>
        <w:rPr>
          <w:sz w:val="30"/>
          <w:szCs w:val="30"/>
          <w:b/>
          <w:bCs/>
          <w:color w:val="231F20"/>
        </w:rPr>
        <w:t>Prescription Medication for</w:t>
      </w:r>
      <w:r>
        <w:rPr>
          <w:sz w:val="30"/>
          <w:szCs w:val="30"/>
          <w:b/>
          <w:bCs/>
          <w:color w:val="231F20"/>
          <w:spacing w:val="-20"/>
        </w:rPr>
        <w:t xml:space="preserve"> </w:t>
      </w:r>
      <w:r>
        <w:rPr>
          <w:sz w:val="30"/>
          <w:szCs w:val="30"/>
          <w:b/>
          <w:bCs/>
          <w:color w:val="231F20"/>
        </w:rPr>
        <w:t>Acute Gastroenteritis In the</w:t>
      </w:r>
    </w:p>
    <w:p>
      <w:pPr>
        <w:pStyle w:val="BodyText"/>
        <w:ind w:left="2215"/>
        <w:spacing w:before="128" w:line="189" w:lineRule="auto"/>
        <w:rPr>
          <w:sz w:val="30"/>
          <w:szCs w:val="30"/>
        </w:rPr>
      </w:pPr>
      <w:r>
        <w:rPr>
          <w:sz w:val="30"/>
          <w:szCs w:val="30"/>
          <w:b/>
          <w:bCs/>
          <w:color w:val="231F20"/>
        </w:rPr>
        <w:t>Emergency Department of a Certain Hospital in</w:t>
      </w:r>
      <w:r>
        <w:rPr>
          <w:sz w:val="30"/>
          <w:szCs w:val="30"/>
          <w:b/>
          <w:bCs/>
          <w:color w:val="231F20"/>
          <w:spacing w:val="-1"/>
        </w:rPr>
        <w:t xml:space="preserve"> 2022</w:t>
      </w:r>
    </w:p>
    <w:p>
      <w:pPr>
        <w:pStyle w:val="BodyText"/>
        <w:ind w:left="3754"/>
        <w:spacing w:before="296" w:line="227" w:lineRule="auto"/>
        <w:rPr>
          <w:sz w:val="11"/>
          <w:szCs w:val="11"/>
        </w:rPr>
      </w:pPr>
      <w:r>
        <w:rPr>
          <w:sz w:val="20"/>
          <w:szCs w:val="20"/>
          <w:color w:val="231F20"/>
          <w:spacing w:val="-1"/>
        </w:rPr>
        <w:t>WU Weiling, CHEN Fulei, ZHENG</w:t>
      </w:r>
      <w:r>
        <w:rPr>
          <w:sz w:val="20"/>
          <w:szCs w:val="20"/>
          <w:color w:val="231F20"/>
          <w:spacing w:val="18"/>
        </w:rPr>
        <w:t xml:space="preserve"> </w:t>
      </w:r>
      <w:r>
        <w:rPr>
          <w:sz w:val="20"/>
          <w:szCs w:val="20"/>
          <w:color w:val="231F20"/>
          <w:spacing w:val="-1"/>
        </w:rPr>
        <w:t>Shaoqing</w:t>
      </w:r>
      <w:r>
        <w:rPr>
          <w:sz w:val="11"/>
          <w:szCs w:val="11"/>
          <w:color w:val="231F20"/>
          <w:spacing w:val="-1"/>
          <w:position w:val="9"/>
        </w:rPr>
        <w:t>*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left="2320"/>
        <w:spacing w:before="59" w:line="214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</w:rPr>
        <w:t>（</w:t>
      </w:r>
      <w:r>
        <w:rPr>
          <w:color w:val="231F20"/>
        </w:rPr>
        <w:t>Pharmacy Department of Shaowu Municipal Hospital,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Shaowu  354000, Fujian, China</w:t>
      </w:r>
      <w:r>
        <w:rPr>
          <w:rFonts w:ascii="SimSun" w:hAnsi="SimSun" w:eastAsia="SimSun" w:cs="SimSun"/>
          <w:color w:val="231F20"/>
        </w:rPr>
        <w:t>）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839" w:right="54" w:firstLine="18"/>
        <w:spacing w:before="53" w:line="345" w:lineRule="auto"/>
        <w:rPr/>
      </w:pPr>
      <w:r>
        <w:rPr>
          <w:b/>
          <w:bCs/>
          <w:color w:val="231F20"/>
        </w:rPr>
        <w:t>[Abstract]</w:t>
      </w:r>
      <w:r>
        <w:rPr>
          <w:b/>
          <w:bCs/>
          <w:color w:val="231F20"/>
          <w:spacing w:val="11"/>
          <w:w w:val="102"/>
        </w:rPr>
        <w:t xml:space="preserve">  </w:t>
      </w:r>
      <w:r>
        <w:rPr>
          <w:b/>
          <w:bCs/>
          <w:color w:val="231F20"/>
        </w:rPr>
        <w:t>Objective:</w:t>
      </w:r>
      <w:r>
        <w:rPr>
          <w:b/>
          <w:bCs/>
          <w:color w:val="231F20"/>
          <w:spacing w:val="13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investigate the use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0"/>
        </w:rPr>
        <w:t xml:space="preserve"> </w:t>
      </w:r>
      <w:r>
        <w:rPr>
          <w:color w:val="231F20"/>
        </w:rPr>
        <w:t>prescriptions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acute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gastroenteritis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in the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emergency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department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of our hospital</w:t>
      </w:r>
      <w:r>
        <w:rPr>
          <w:color w:val="231F20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2022,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provide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a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basis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promoting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clinica</w:t>
      </w:r>
      <w:r>
        <w:rPr>
          <w:color w:val="231F20"/>
          <w:spacing w:val="-1"/>
        </w:rPr>
        <w:t>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rational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drug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use.</w:t>
      </w:r>
      <w:r>
        <w:rPr>
          <w:color w:val="231F20"/>
          <w:spacing w:val="16"/>
        </w:rPr>
        <w:t xml:space="preserve"> </w:t>
      </w:r>
      <w:r>
        <w:rPr>
          <w:b/>
          <w:bCs/>
          <w:color w:val="231F20"/>
          <w:spacing w:val="-1"/>
        </w:rPr>
        <w:t>Methods: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 total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143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prescriptions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  <w:spacing w:val="-1"/>
        </w:rPr>
        <w:t>diagnosed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</w:rPr>
        <w:t xml:space="preserve"> </w:t>
      </w:r>
      <w:r>
        <w:rPr>
          <w:color w:val="231F20"/>
        </w:rPr>
        <w:t>gastroenteritis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emergency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of our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hospital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2022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col</w:t>
      </w:r>
      <w:r>
        <w:rPr>
          <w:color w:val="231F20"/>
          <w:spacing w:val="-1"/>
        </w:rPr>
        <w:t>lected,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the prescription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medication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sorted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out</w:t>
      </w:r>
      <w:r>
        <w:rPr>
          <w:color w:val="231F20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analyzed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to judge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its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rationality.</w:t>
      </w:r>
      <w:r>
        <w:rPr>
          <w:color w:val="231F20"/>
          <w:spacing w:val="19"/>
        </w:rPr>
        <w:t xml:space="preserve"> </w:t>
      </w:r>
      <w:r>
        <w:rPr>
          <w:b/>
          <w:bCs/>
          <w:color w:val="231F20"/>
        </w:rPr>
        <w:t>Results:</w:t>
      </w:r>
      <w:r>
        <w:rPr>
          <w:b/>
          <w:bCs/>
          <w:color w:val="231F20"/>
          <w:spacing w:val="2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drugs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used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</w:t>
      </w:r>
      <w:r>
        <w:rPr>
          <w:color w:val="231F20"/>
          <w:spacing w:val="-1"/>
        </w:rPr>
        <w:t>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-1"/>
        </w:rPr>
        <w:t>143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1"/>
        </w:rPr>
        <w:t>prescriptions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surveyed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mainly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PPI,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-1"/>
        </w:rPr>
        <w:t>gastrointestinal</w:t>
      </w:r>
      <w:r>
        <w:rPr>
          <w:color w:val="231F20"/>
        </w:rPr>
        <w:t xml:space="preserve"> </w:t>
      </w:r>
      <w:r>
        <w:rPr>
          <w:color w:val="231F20"/>
        </w:rPr>
        <w:t>motility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drugs, probiotics, rehydration,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</w:rPr>
        <w:t>etc..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main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mode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 administration was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oral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administratio</w:t>
      </w:r>
      <w:r>
        <w:rPr>
          <w:color w:val="231F20"/>
          <w:spacing w:val="-1"/>
        </w:rPr>
        <w:t>n,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accounting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73.43%.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</w:rPr>
        <w:t xml:space="preserve"> </w:t>
      </w:r>
      <w:r>
        <w:rPr>
          <w:color w:val="231F20"/>
        </w:rPr>
        <w:t>use 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antibacterial drugs accounted for 35.66%,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mainly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oral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antibacterial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drugs,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commonly</w:t>
      </w:r>
      <w:r>
        <w:rPr>
          <w:color w:val="231F20"/>
          <w:spacing w:val="2"/>
        </w:rPr>
        <w:t xml:space="preserve"> </w:t>
      </w:r>
      <w:r>
        <w:rPr>
          <w:color w:val="231F20"/>
        </w:rPr>
        <w:t>us</w:t>
      </w:r>
      <w:r>
        <w:rPr>
          <w:color w:val="231F20"/>
          <w:spacing w:val="-1"/>
        </w:rPr>
        <w:t>ed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levoﬂoxacin;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among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PPI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-1"/>
        </w:rPr>
        <w:t>drugs,</w:t>
      </w:r>
      <w:r>
        <w:rPr>
          <w:color w:val="231F20"/>
        </w:rPr>
        <w:t xml:space="preserve"> </w:t>
      </w:r>
      <w:r>
        <w:rPr>
          <w:color w:val="231F20"/>
        </w:rPr>
        <w:t>ilaprazole</w:t>
      </w:r>
      <w:r>
        <w:rPr>
          <w:color w:val="231F20"/>
          <w:spacing w:val="30"/>
        </w:rPr>
        <w:t xml:space="preserve"> </w:t>
      </w:r>
      <w:r>
        <w:rPr>
          <w:color w:val="231F20"/>
        </w:rPr>
        <w:t>enteric-coated tablets were the most used,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accounting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73.20%. A total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47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</w:rPr>
        <w:t>of laboratory tests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performed, </w:t>
      </w:r>
      <w:r>
        <w:rPr>
          <w:color w:val="231F20"/>
        </w:rPr>
        <w:t>accounting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32.87%;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unreasonable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prescriptions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accounted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36"/>
        </w:rPr>
        <w:t xml:space="preserve"> </w:t>
      </w:r>
      <w:r>
        <w:rPr>
          <w:color w:val="231F20"/>
        </w:rPr>
        <w:t>13.99%,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main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problem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that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us</w:t>
      </w:r>
      <w:r>
        <w:rPr>
          <w:color w:val="231F20"/>
          <w:spacing w:val="-1"/>
        </w:rPr>
        <w:t>age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  <w:spacing w:val="-1"/>
        </w:rPr>
        <w:t>selected</w:t>
      </w:r>
      <w:r>
        <w:rPr>
          <w:color w:val="231F20"/>
        </w:rPr>
        <w:t xml:space="preserve"> </w:t>
      </w:r>
      <w:r>
        <w:rPr>
          <w:color w:val="231F20"/>
        </w:rPr>
        <w:t>drugs were not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</w:rPr>
        <w:t>suitable.</w:t>
      </w:r>
      <w:r>
        <w:rPr>
          <w:color w:val="231F20"/>
          <w:spacing w:val="16"/>
        </w:rPr>
        <w:t xml:space="preserve"> </w:t>
      </w:r>
      <w:r>
        <w:rPr>
          <w:b/>
          <w:bCs/>
          <w:color w:val="231F20"/>
        </w:rPr>
        <w:t>Conclusion:</w:t>
      </w:r>
      <w:r>
        <w:rPr>
          <w:b/>
          <w:bCs/>
          <w:color w:val="231F20"/>
          <w:spacing w:val="14"/>
          <w:w w:val="101"/>
        </w:rPr>
        <w:t xml:space="preserve"> </w:t>
      </w:r>
      <w:r>
        <w:rPr>
          <w:color w:val="231F20"/>
        </w:rPr>
        <w:t>The prescription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of acute</w:t>
      </w:r>
      <w:r>
        <w:rPr>
          <w:color w:val="231F20"/>
          <w:spacing w:val="14"/>
        </w:rPr>
        <w:t xml:space="preserve"> </w:t>
      </w:r>
      <w:r>
        <w:rPr>
          <w:color w:val="231F20"/>
        </w:rPr>
        <w:t>gastroenteritis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 the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emergency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department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of our hospital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in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2022</w:t>
      </w:r>
      <w:r>
        <w:rPr>
          <w:color w:val="231F20"/>
        </w:rPr>
        <w:t xml:space="preserve"> </w:t>
      </w:r>
      <w:r>
        <w:rPr>
          <w:color w:val="231F20"/>
        </w:rPr>
        <w:t>is basically reasonable, but there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are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some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problems:</w:t>
      </w:r>
      <w:r>
        <w:rPr>
          <w:color w:val="231F20"/>
          <w:spacing w:val="14"/>
          <w:w w:val="102"/>
        </w:rPr>
        <w:t xml:space="preserve"> </w:t>
      </w:r>
      <w:r>
        <w:rPr>
          <w:color w:val="231F20"/>
        </w:rPr>
        <w:t>in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use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proton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pump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inhibitors,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priority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should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be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given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select</w:t>
      </w:r>
      <w:r>
        <w:rPr>
          <w:color w:val="231F20"/>
          <w:spacing w:val="-1"/>
        </w:rPr>
        <w:t>ion</w:t>
      </w:r>
      <w:r>
        <w:rPr>
          <w:color w:val="231F20"/>
        </w:rPr>
        <w:t xml:space="preserve"> </w:t>
      </w:r>
      <w:r>
        <w:rPr>
          <w:color w:val="231F20"/>
        </w:rPr>
        <w:t>of essential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drugs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or varieties with</w:t>
      </w:r>
      <w:r>
        <w:rPr>
          <w:color w:val="231F20"/>
          <w:spacing w:val="15"/>
          <w:w w:val="102"/>
        </w:rPr>
        <w:t xml:space="preserve"> </w:t>
      </w:r>
      <w:r>
        <w:rPr>
          <w:color w:val="231F20"/>
        </w:rPr>
        <w:t>quantity;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encourage related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tests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such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inﬂammation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indicators,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use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antibiotics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only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1"/>
        </w:rPr>
        <w:t>when</w:t>
      </w:r>
      <w:r>
        <w:rPr>
          <w:color w:val="231F20"/>
        </w:rPr>
        <w:t xml:space="preserve"> </w:t>
      </w:r>
      <w:r>
        <w:rPr>
          <w:color w:val="231F20"/>
        </w:rPr>
        <w:t>there are indications; the patient’s age, usage and medical insurance restrictions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should be </w:t>
      </w:r>
      <w:r>
        <w:rPr>
          <w:color w:val="231F20"/>
          <w:spacing w:val="-1"/>
        </w:rPr>
        <w:t>taken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into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account when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selecting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drugs.</w:t>
      </w:r>
      <w:r>
        <w:rPr>
          <w:color w:val="231F20"/>
        </w:rPr>
        <w:t xml:space="preserve">    </w:t>
      </w:r>
      <w:r>
        <w:rPr>
          <w:b/>
          <w:bCs/>
          <w:color w:val="231F20"/>
        </w:rPr>
        <w:t>[Key words]  </w:t>
      </w:r>
      <w:r>
        <w:rPr>
          <w:color w:val="231F20"/>
        </w:rPr>
        <w:t>Emergency department;</w:t>
      </w:r>
      <w:r>
        <w:rPr>
          <w:color w:val="231F20"/>
          <w:spacing w:val="-9"/>
        </w:rPr>
        <w:t xml:space="preserve"> </w:t>
      </w:r>
      <w:r>
        <w:rPr>
          <w:color w:val="231F20"/>
        </w:rPr>
        <w:t>Acute gastroenteritis; Prescription medication; Rationality anal</w:t>
      </w:r>
      <w:r>
        <w:rPr>
          <w:color w:val="231F20"/>
          <w:spacing w:val="-1"/>
        </w:rPr>
        <w:t>ysis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>
        <w:pict>
          <v:shape id="_x0000_s12" style="position:absolute;margin-left:42.2458pt;margin-top:2.83179pt;mso-position-vertical-relative:text;mso-position-horizontal-relative:text;width:89.75pt;height:0.6pt;z-index:251658240;" filled="false" strokecolor="#231F20" strokeweight="0.57pt" coordsize="1795,12" coordorigin="0,0" path="m0,5l1794,5e">
            <v:stroke joinstyle="miter" miterlimit="4"/>
          </v:shape>
        </w:pict>
      </w:r>
      <w:r/>
    </w:p>
    <w:p>
      <w:pPr>
        <w:pStyle w:val="BodyText"/>
        <w:ind w:left="844"/>
        <w:spacing w:before="58" w:line="235" w:lineRule="auto"/>
        <w:rPr>
          <w:rFonts w:ascii="SimSun" w:hAnsi="SimSun" w:eastAsia="SimSun" w:cs="SimSun"/>
        </w:rPr>
      </w:pPr>
      <w:r>
        <w:rPr>
          <w:rFonts w:ascii="SimSun" w:hAnsi="SimSun" w:eastAsia="SimSun" w:cs="SimSun"/>
          <w:color w:val="231F20"/>
          <w:spacing w:val="-1"/>
        </w:rPr>
        <w:t>作者简介：吴维玲（</w:t>
      </w:r>
      <w:r>
        <w:rPr>
          <w:rFonts w:ascii="SimSun" w:hAnsi="SimSun" w:eastAsia="SimSun" w:cs="SimSun"/>
          <w:color w:val="231F20"/>
          <w:spacing w:val="-46"/>
        </w:rPr>
        <w:t xml:space="preserve"> </w:t>
      </w:r>
      <w:r>
        <w:rPr>
          <w:color w:val="231F20"/>
          <w:spacing w:val="-1"/>
        </w:rPr>
        <w:t>1983.01</w:t>
      </w:r>
      <w:r>
        <w:rPr>
          <w:rFonts w:ascii="SimSun" w:hAnsi="SimSun" w:eastAsia="SimSun" w:cs="SimSun"/>
          <w:color w:val="231F20"/>
          <w:spacing w:val="-1"/>
        </w:rPr>
        <w:t>—），女，汉族，浙江东阳人，</w:t>
      </w:r>
      <w:r>
        <w:rPr>
          <w:rFonts w:ascii="SimSun" w:hAnsi="SimSun" w:eastAsia="SimSun" w:cs="SimSun"/>
          <w:color w:val="231F20"/>
          <w:spacing w:val="-2"/>
        </w:rPr>
        <w:t>本科，副主任药师；主要研究方向：临床药学。</w:t>
      </w:r>
    </w:p>
    <w:p>
      <w:pPr>
        <w:pStyle w:val="BodyText"/>
        <w:ind w:left="846"/>
        <w:spacing w:before="36" w:line="242" w:lineRule="auto"/>
        <w:rPr>
          <w:rFonts w:ascii="SimSun" w:hAnsi="SimSun" w:eastAsia="SimSun" w:cs="SimSun"/>
        </w:rPr>
      </w:pPr>
      <w:r>
        <w:rPr>
          <w:sz w:val="10"/>
          <w:szCs w:val="10"/>
          <w:color w:val="231F20"/>
          <w:spacing w:val="-1"/>
          <w:position w:val="8"/>
        </w:rPr>
        <w:t>*  </w:t>
      </w:r>
      <w:r>
        <w:rPr>
          <w:rFonts w:ascii="SimSun" w:hAnsi="SimSun" w:eastAsia="SimSun" w:cs="SimSun"/>
          <w:color w:val="231F20"/>
          <w:spacing w:val="-1"/>
        </w:rPr>
        <w:t>通信作者：郑少清（</w:t>
      </w:r>
      <w:r>
        <w:rPr>
          <w:rFonts w:ascii="SimSun" w:hAnsi="SimSun" w:eastAsia="SimSun" w:cs="SimSun"/>
          <w:color w:val="231F20"/>
          <w:spacing w:val="-45"/>
        </w:rPr>
        <w:t xml:space="preserve"> </w:t>
      </w:r>
      <w:r>
        <w:rPr>
          <w:color w:val="231F20"/>
          <w:spacing w:val="-1"/>
        </w:rPr>
        <w:t>1965.06</w:t>
      </w:r>
      <w:r>
        <w:rPr>
          <w:rFonts w:ascii="SimSun" w:hAnsi="SimSun" w:eastAsia="SimSun" w:cs="SimSun"/>
          <w:color w:val="231F20"/>
          <w:spacing w:val="-1"/>
        </w:rPr>
        <w:t>—），男，汉族，福建南平</w:t>
      </w:r>
      <w:r>
        <w:rPr>
          <w:rFonts w:ascii="SimSun" w:hAnsi="SimSun" w:eastAsia="SimSun" w:cs="SimSun"/>
          <w:color w:val="231F20"/>
          <w:spacing w:val="-2"/>
        </w:rPr>
        <w:t>人，本科，主任医师；主要研究方向：急诊内科学。</w:t>
      </w:r>
    </w:p>
    <w:p>
      <w:pPr>
        <w:spacing w:line="242" w:lineRule="auto"/>
        <w:sectPr>
          <w:headerReference w:type="default" r:id="rId1"/>
          <w:footerReference w:type="default" r:id="rId2"/>
          <w:pgSz w:w="11793" w:h="16045"/>
          <w:pgMar w:top="1237" w:right="905" w:bottom="993" w:left="407" w:header="863" w:footer="645" w:gutter="0"/>
        </w:sectPr>
        <w:rPr>
          <w:rFonts w:ascii="SimSun" w:hAnsi="SimSun" w:eastAsia="SimSun" w:cs="SimSun"/>
        </w:rPr>
      </w:pPr>
    </w:p>
    <w:p>
      <w:pPr>
        <w:spacing w:line="200" w:lineRule="exact"/>
        <w:rPr/>
      </w:pPr>
      <w:r/>
    </w:p>
    <w:p>
      <w:pPr>
        <w:spacing w:line="200" w:lineRule="exact"/>
        <w:sectPr>
          <w:headerReference w:type="default" r:id="rId3"/>
          <w:footerReference w:type="default" r:id="rId4"/>
          <w:pgSz w:w="11793" w:h="16045"/>
          <w:pgMar w:top="1237" w:right="1170" w:bottom="993" w:left="407" w:header="876" w:footer="645" w:gutter="0"/>
          <w:cols w:equalWidth="0" w:num="1">
            <w:col w:w="10214" w:space="0"/>
          </w:cols>
        </w:sectPr>
        <w:rPr/>
      </w:pPr>
    </w:p>
    <w:p>
      <w:pPr>
        <w:pStyle w:val="BodyText"/>
        <w:ind w:left="558" w:right="168" w:firstLine="390"/>
        <w:spacing w:before="38" w:line="318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急性胃肠炎是胃肠道黏膜的急性炎症反应，临床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表现主要为恶心、呕吐、腹痛、腹泻、发热等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。本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病常见于夏秋季，其发生多由饮食不当、暴饮暴食等，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致病因子包括细菌、病毒或一些化学因素等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5"/>
          <w:position w:val="9"/>
        </w:rPr>
        <w:t>[1]</w:t>
      </w:r>
      <w:r>
        <w:rPr>
          <w:sz w:val="11"/>
          <w:szCs w:val="11"/>
          <w:color w:val="231F20"/>
          <w:spacing w:val="-5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。急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性胃肠炎的治疗原则主要为纠正脱水及对症治疗</w:t>
      </w:r>
      <w:r>
        <w:rPr>
          <w:rFonts w:ascii="SimSun" w:hAnsi="SimSun" w:eastAsia="SimSun" w:cs="SimSun"/>
          <w:sz w:val="20"/>
          <w:szCs w:val="20"/>
          <w:color w:val="231F20"/>
          <w:spacing w:val="-56"/>
        </w:rPr>
        <w:t xml:space="preserve"> </w:t>
      </w:r>
      <w:r>
        <w:rPr>
          <w:sz w:val="11"/>
          <w:szCs w:val="11"/>
          <w:color w:val="231F20"/>
          <w:spacing w:val="-1"/>
          <w:position w:val="9"/>
        </w:rPr>
        <w:t>[2-4]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为调查我院急诊科急性胃肠炎处方的用药情况，本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研究调取我院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2"/>
        </w:rPr>
        <w:t>2022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年急诊科所有诊断为急性胃肠炎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的处方，进行整理分析总结，以期为促进我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院急性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胃肠炎药物的合理使用提供依据。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pStyle w:val="BodyText"/>
        <w:ind w:left="571"/>
        <w:spacing w:before="78" w:line="24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5"/>
        </w:rPr>
        <w:t>1</w:t>
      </w:r>
      <w:r>
        <w:rPr>
          <w:sz w:val="24"/>
          <w:szCs w:val="24"/>
          <w:b/>
          <w:bCs/>
          <w:color w:val="231F20"/>
          <w:spacing w:val="3"/>
        </w:rPr>
        <w:t xml:space="preserve">    </w:t>
      </w:r>
      <w:r>
        <w:rPr>
          <w:rFonts w:ascii="SimHei" w:hAnsi="SimHei" w:eastAsia="SimHei" w:cs="SimHei"/>
          <w:sz w:val="24"/>
          <w:szCs w:val="24"/>
          <w:color w:val="231F20"/>
          <w:spacing w:val="-5"/>
        </w:rPr>
        <w:t>资料与方法</w:t>
      </w:r>
    </w:p>
    <w:p>
      <w:pPr>
        <w:pStyle w:val="BodyText"/>
        <w:ind w:left="568"/>
        <w:spacing w:before="33" w:line="24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4"/>
        </w:rPr>
        <w:t>1.1</w:t>
      </w:r>
      <w:r>
        <w:rPr>
          <w:sz w:val="20"/>
          <w:szCs w:val="20"/>
          <w:b/>
          <w:bCs/>
          <w:color w:val="231F20"/>
          <w:spacing w:val="4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资料来源</w:t>
      </w:r>
    </w:p>
    <w:p>
      <w:pPr>
        <w:pStyle w:val="BodyText"/>
        <w:ind w:left="558" w:right="179" w:firstLine="387"/>
        <w:spacing w:before="94" w:line="317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用杭州逸曜合理用药软件（</w:t>
      </w:r>
      <w:r>
        <w:rPr>
          <w:sz w:val="20"/>
          <w:szCs w:val="20"/>
          <w:color w:val="231F20"/>
          <w:spacing w:val="9"/>
        </w:rPr>
        <w:t>3.3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版）抽取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9"/>
        </w:rPr>
        <w:t>20</w:t>
      </w:r>
      <w:r>
        <w:rPr>
          <w:sz w:val="20"/>
          <w:szCs w:val="20"/>
          <w:color w:val="231F20"/>
          <w:spacing w:val="8"/>
        </w:rPr>
        <w:t>22</w:t>
      </w:r>
      <w:r>
        <w:rPr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年急诊科所有诊断为急性胃肠炎的处方共计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</w:rPr>
        <w:t>143 </w:t>
      </w:r>
      <w:r>
        <w:rPr>
          <w:rFonts w:ascii="SimSun" w:hAnsi="SimSun" w:eastAsia="SimSun" w:cs="SimSun"/>
          <w:sz w:val="20"/>
          <w:szCs w:val="20"/>
          <w:color w:val="231F20"/>
        </w:rPr>
        <w:t>份，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所有处方临床诊断都包含急性胃肠炎，排除退药的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处方。其中男性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2"/>
        </w:rPr>
        <w:t>51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例，女性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2"/>
        </w:rPr>
        <w:t>92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；年龄</w:t>
      </w:r>
      <w:r>
        <w:rPr>
          <w:rFonts w:ascii="SimSun" w:hAnsi="SimSun" w:eastAsia="SimSun" w:cs="SimSun"/>
          <w:sz w:val="20"/>
          <w:szCs w:val="20"/>
          <w:color w:val="231F20"/>
          <w:spacing w:val="-25"/>
        </w:rPr>
        <w:t xml:space="preserve"> </w:t>
      </w:r>
      <w:r>
        <w:rPr>
          <w:sz w:val="20"/>
          <w:szCs w:val="20"/>
          <w:color w:val="231F20"/>
          <w:spacing w:val="-2"/>
        </w:rPr>
        <w:t>14~88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岁，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年龄中位数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-3"/>
        </w:rPr>
        <w:t>38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岁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；青少年（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-3"/>
        </w:rPr>
        <w:t>14~17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岁）</w:t>
      </w:r>
      <w:r>
        <w:rPr>
          <w:sz w:val="20"/>
          <w:szCs w:val="20"/>
          <w:color w:val="231F20"/>
          <w:spacing w:val="-3"/>
        </w:rPr>
        <w:t>16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例，青年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人（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2"/>
        </w:rPr>
        <w:t>18~44</w:t>
      </w:r>
      <w:r>
        <w:rPr>
          <w:sz w:val="20"/>
          <w:szCs w:val="20"/>
          <w:color w:val="231F20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岁）</w:t>
      </w:r>
      <w:r>
        <w:rPr>
          <w:rFonts w:ascii="SimSun" w:hAnsi="SimSun" w:eastAsia="SimSun" w:cs="SimSun"/>
          <w:sz w:val="20"/>
          <w:szCs w:val="20"/>
          <w:color w:val="231F20"/>
          <w:spacing w:val="-57"/>
        </w:rPr>
        <w:t xml:space="preserve"> </w:t>
      </w:r>
      <w:r>
        <w:rPr>
          <w:sz w:val="20"/>
          <w:szCs w:val="20"/>
          <w:color w:val="231F20"/>
          <w:spacing w:val="2"/>
        </w:rPr>
        <w:t>63</w:t>
      </w:r>
      <w:r>
        <w:rPr>
          <w:sz w:val="20"/>
          <w:szCs w:val="20"/>
          <w:color w:val="231F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例，中年人（</w:t>
      </w:r>
      <w:r>
        <w:rPr>
          <w:sz w:val="20"/>
          <w:szCs w:val="20"/>
          <w:color w:val="231F20"/>
          <w:spacing w:val="2"/>
        </w:rPr>
        <w:t>45~59</w:t>
      </w:r>
      <w:r>
        <w:rPr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岁）</w:t>
      </w:r>
      <w:r>
        <w:rPr>
          <w:sz w:val="20"/>
          <w:szCs w:val="20"/>
          <w:color w:val="231F20"/>
          <w:spacing w:val="1"/>
        </w:rPr>
        <w:t>46</w:t>
      </w:r>
      <w:r>
        <w:rPr>
          <w:sz w:val="20"/>
          <w:szCs w:val="20"/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例，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老年人(</w:t>
      </w:r>
      <w:r>
        <w:rPr>
          <w:rFonts w:ascii="SimSun" w:hAnsi="SimSun" w:eastAsia="SimSun" w:cs="SimSun"/>
          <w:sz w:val="20"/>
          <w:szCs w:val="20"/>
          <w:color w:val="231F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≥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60 </w:t>
      </w:r>
      <w:r>
        <w:rPr>
          <w:rFonts w:ascii="SimSun" w:hAnsi="SimSun" w:eastAsia="SimSun" w:cs="SimSun"/>
          <w:sz w:val="20"/>
          <w:szCs w:val="20"/>
          <w:color w:val="231F20"/>
        </w:rPr>
        <w:t>岁）</w:t>
      </w:r>
      <w:r>
        <w:rPr>
          <w:sz w:val="20"/>
          <w:szCs w:val="20"/>
          <w:color w:val="231F20"/>
        </w:rPr>
        <w:t>18 </w:t>
      </w:r>
      <w:r>
        <w:rPr>
          <w:rFonts w:ascii="SimSun" w:hAnsi="SimSun" w:eastAsia="SimSun" w:cs="SimSun"/>
          <w:sz w:val="20"/>
          <w:szCs w:val="20"/>
          <w:color w:val="231F20"/>
        </w:rPr>
        <w:t>例，平均年龄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</w:rPr>
        <w:t>4</w:t>
      </w:r>
      <w:r>
        <w:rPr>
          <w:sz w:val="20"/>
          <w:szCs w:val="20"/>
          <w:color w:val="231F20"/>
          <w:spacing w:val="-1"/>
        </w:rPr>
        <w:t>0.45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岁。</w:t>
      </w:r>
    </w:p>
    <w:p>
      <w:pPr>
        <w:pStyle w:val="BodyText"/>
        <w:ind w:left="569"/>
        <w:spacing w:line="24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4"/>
        </w:rPr>
        <w:t>1.2</w:t>
      </w:r>
      <w:r>
        <w:rPr>
          <w:sz w:val="20"/>
          <w:szCs w:val="20"/>
          <w:b/>
          <w:bCs/>
          <w:color w:val="231F20"/>
          <w:spacing w:val="2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4"/>
        </w:rPr>
        <w:t>方法</w:t>
      </w:r>
    </w:p>
    <w:p>
      <w:pPr>
        <w:pStyle w:val="BodyText"/>
        <w:ind w:left="439" w:right="128" w:firstLine="507"/>
        <w:spacing w:before="96" w:line="317" w:lineRule="auto"/>
        <w:tabs>
          <w:tab w:val="left" w:pos="5235"/>
        </w:tabs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用电子表格记录患者的性别、年龄、所使用的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3"/>
        </w:rPr>
        <w:t>药品、规格、数量、用法用量、处方金额等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信息 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用智业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</w:rPr>
        <w:t>his</w:t>
      </w:r>
      <w:r>
        <w:rPr>
          <w:sz w:val="20"/>
          <w:szCs w:val="20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系统查询并记录患者的门诊病历资料，包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括主诉、</w:t>
      </w:r>
      <w:r>
        <w:rPr>
          <w:sz w:val="20"/>
          <w:szCs w:val="20"/>
          <w:color w:val="231F20"/>
          <w:spacing w:val="-4"/>
        </w:rPr>
        <w:t>CRP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、血常规、粪常规、电解质等。根据《中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国药典临床用药须知（</w:t>
      </w:r>
      <w:r>
        <w:rPr>
          <w:sz w:val="20"/>
          <w:szCs w:val="20"/>
          <w:color w:val="231F20"/>
          <w:spacing w:val="-2"/>
        </w:rPr>
        <w:t>2010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版）》</w:t>
      </w:r>
      <w:r>
        <w:rPr>
          <w:sz w:val="11"/>
          <w:szCs w:val="11"/>
          <w:color w:val="231F20"/>
          <w:spacing w:val="-2"/>
          <w:position w:val="9"/>
        </w:rPr>
        <w:t>[</w:t>
      </w:r>
      <w:r>
        <w:rPr>
          <w:sz w:val="11"/>
          <w:szCs w:val="11"/>
          <w:color w:val="231F20"/>
          <w:spacing w:val="-3"/>
          <w:position w:val="9"/>
        </w:rPr>
        <w:t>5] 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对药物进行分类、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整理和统计。以《抗菌药物临床应用指导原则》、《医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疗机构处方审核规范》（国卫办医发〔</w:t>
      </w:r>
      <w:r>
        <w:rPr>
          <w:sz w:val="20"/>
          <w:szCs w:val="20"/>
          <w:color w:val="231F20"/>
          <w:spacing w:val="-3"/>
        </w:rPr>
        <w:t>2018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〕</w:t>
      </w:r>
      <w:r>
        <w:rPr>
          <w:sz w:val="20"/>
          <w:szCs w:val="20"/>
          <w:color w:val="231F20"/>
          <w:spacing w:val="-3"/>
        </w:rPr>
        <w:t>14</w:t>
      </w:r>
      <w:r>
        <w:rPr>
          <w:sz w:val="20"/>
          <w:szCs w:val="20"/>
          <w:color w:val="231F20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号）、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8"/>
        </w:rPr>
        <w:t>《处方管理办法》、《医院处方点评管理规范</w:t>
      </w:r>
      <w:r>
        <w:rPr>
          <w:rFonts w:ascii="SimSun" w:hAnsi="SimSun" w:eastAsia="SimSun" w:cs="SimSun"/>
          <w:sz w:val="20"/>
          <w:szCs w:val="20"/>
          <w:color w:val="231F20"/>
          <w:spacing w:val="-9"/>
        </w:rPr>
        <w:t>（试行）》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（卫医管发〔</w:t>
      </w:r>
      <w:r>
        <w:rPr>
          <w:sz w:val="20"/>
          <w:szCs w:val="20"/>
          <w:color w:val="231F20"/>
          <w:spacing w:val="1"/>
        </w:rPr>
        <w:t>2010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〕</w:t>
      </w:r>
      <w:r>
        <w:rPr>
          <w:sz w:val="20"/>
          <w:szCs w:val="20"/>
          <w:color w:val="231F20"/>
          <w:spacing w:val="1"/>
        </w:rPr>
        <w:t>28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号）</w:t>
      </w:r>
      <w:r>
        <w:rPr>
          <w:sz w:val="11"/>
          <w:szCs w:val="11"/>
          <w:color w:val="231F20"/>
          <w:spacing w:val="1"/>
          <w:position w:val="9"/>
        </w:rPr>
        <w:t>[6]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等规范</w:t>
      </w:r>
      <w:r>
        <w:rPr>
          <w:rFonts w:ascii="SimSun" w:hAnsi="SimSun" w:eastAsia="SimSun" w:cs="SimSun"/>
          <w:sz w:val="20"/>
          <w:szCs w:val="20"/>
          <w:color w:val="231F20"/>
        </w:rPr>
        <w:t>化文件及相关药</w:t>
      </w:r>
      <w:r>
        <w:rPr>
          <w:rFonts w:ascii="SimSun" w:hAnsi="SimSun" w:eastAsia="SimSun" w:cs="SimSun"/>
          <w:sz w:val="20"/>
          <w:szCs w:val="20"/>
        </w:rPr>
        <w:tab/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品说明书、急性胃肠炎有关文献等为依据，判断处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方的合理性。点评结果分为合理处方和不合理处方，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不合理处方又分为不规范处方、不适宜处方及超常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1"/>
        </w:rPr>
        <w:t>处方。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pStyle w:val="BodyText"/>
        <w:ind w:left="561"/>
        <w:spacing w:before="79" w:line="320" w:lineRule="exact"/>
        <w:outlineLvl w:val="0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5"/>
          <w:position w:val="1"/>
        </w:rPr>
        <w:t>2</w:t>
      </w:r>
      <w:r>
        <w:rPr>
          <w:sz w:val="24"/>
          <w:szCs w:val="24"/>
          <w:b/>
          <w:bCs/>
          <w:color w:val="231F20"/>
          <w:spacing w:val="3"/>
          <w:position w:val="1"/>
        </w:rPr>
        <w:t xml:space="preserve">    </w:t>
      </w:r>
      <w:r>
        <w:rPr>
          <w:rFonts w:ascii="SimHei" w:hAnsi="SimHei" w:eastAsia="SimHei" w:cs="SimHei"/>
          <w:sz w:val="24"/>
          <w:szCs w:val="24"/>
          <w:color w:val="231F20"/>
          <w:spacing w:val="-5"/>
          <w:position w:val="1"/>
        </w:rPr>
        <w:t>结果</w:t>
      </w:r>
    </w:p>
    <w:p>
      <w:pPr>
        <w:pStyle w:val="BodyText"/>
        <w:ind w:left="560"/>
        <w:spacing w:before="26" w:line="24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2.1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急性胃肠炎所使用药物的分类</w:t>
      </w:r>
    </w:p>
    <w:p>
      <w:pPr>
        <w:pStyle w:val="BodyText"/>
        <w:ind w:left="560" w:right="244" w:firstLine="404"/>
        <w:spacing w:before="95" w:line="272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-1"/>
        </w:rPr>
        <w:t>143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份急性胃肠炎处方中共使用了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"/>
        </w:rPr>
        <w:t>9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类药物，以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质子泵抑制剂使用占比最高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；胃肠动力药及益生菌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分别位列第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2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、第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2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。而抗菌药排名第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2"/>
        </w:rPr>
        <w:t>5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，止吐药使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3"/>
        <w:spacing w:before="38" w:line="21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用最少，仅占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-3"/>
        </w:rPr>
        <w:t>4.2%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，见表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-3"/>
        </w:rPr>
        <w:t>1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</w:t>
      </w:r>
    </w:p>
    <w:p>
      <w:pPr>
        <w:pStyle w:val="BodyText"/>
        <w:ind w:left="1057"/>
        <w:spacing w:before="257" w:line="241" w:lineRule="auto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1   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急性胃肠炎所使用药物的分类</w:t>
      </w:r>
    </w:p>
    <w:p>
      <w:pPr>
        <w:spacing w:line="11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63" w:type="dxa"/>
        <w:tblInd w:w="1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203"/>
        <w:gridCol w:w="1087"/>
        <w:gridCol w:w="1273"/>
      </w:tblGrid>
      <w:tr>
        <w:trPr>
          <w:trHeight w:val="307" w:hRule="atLeast"/>
        </w:trPr>
        <w:tc>
          <w:tcPr>
            <w:tcW w:w="220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36"/>
              <w:spacing w:before="71" w:line="220" w:lineRule="auto"/>
              <w:rPr/>
            </w:pPr>
            <w:r>
              <w:rPr>
                <w:color w:val="231F20"/>
                <w:spacing w:val="-2"/>
              </w:rPr>
              <w:t>药物分类</w:t>
            </w:r>
          </w:p>
        </w:tc>
        <w:tc>
          <w:tcPr>
            <w:tcW w:w="108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623"/>
              <w:spacing w:before="133" w:line="10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127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52"/>
              <w:spacing w:before="71" w:line="222" w:lineRule="auto"/>
              <w:rPr/>
            </w:pPr>
            <w:r>
              <w:rPr>
                <w:color w:val="231F20"/>
                <w:spacing w:val="-7"/>
              </w:rPr>
              <w:t>占比（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%</w:t>
            </w:r>
            <w:r>
              <w:rPr>
                <w:color w:val="231F20"/>
                <w:spacing w:val="-7"/>
              </w:rPr>
              <w:t>）</w:t>
            </w:r>
          </w:p>
        </w:tc>
      </w:tr>
      <w:tr>
        <w:trPr>
          <w:trHeight w:val="306" w:hRule="atLeast"/>
        </w:trPr>
        <w:tc>
          <w:tcPr>
            <w:tcW w:w="220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74"/>
              <w:spacing w:before="72" w:line="220" w:lineRule="auto"/>
              <w:rPr/>
            </w:pPr>
            <w:r>
              <w:rPr>
                <w:color w:val="231F20"/>
                <w:spacing w:val="-1"/>
              </w:rPr>
              <w:t>质子泵抑制剂</w:t>
            </w:r>
          </w:p>
        </w:tc>
        <w:tc>
          <w:tcPr>
            <w:tcW w:w="1087" w:type="dxa"/>
            <w:vAlign w:val="top"/>
            <w:tcBorders>
              <w:top w:val="single" w:color="231F20" w:sz="2" w:space="0"/>
            </w:tcBorders>
          </w:tcPr>
          <w:p>
            <w:pPr>
              <w:ind w:left="586"/>
              <w:spacing w:before="10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97</w:t>
            </w:r>
          </w:p>
        </w:tc>
        <w:tc>
          <w:tcPr>
            <w:tcW w:w="1273" w:type="dxa"/>
            <w:vAlign w:val="top"/>
            <w:tcBorders>
              <w:top w:val="single" w:color="231F20" w:sz="2" w:space="0"/>
            </w:tcBorders>
          </w:tcPr>
          <w:p>
            <w:pPr>
              <w:ind w:left="533"/>
              <w:spacing w:before="10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67.83</w:t>
            </w:r>
          </w:p>
        </w:tc>
      </w:tr>
      <w:tr>
        <w:trPr>
          <w:trHeight w:val="312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778"/>
              <w:spacing w:before="79" w:line="220" w:lineRule="auto"/>
              <w:rPr/>
            </w:pPr>
            <w:r>
              <w:rPr>
                <w:color w:val="231F20"/>
                <w:spacing w:val="-5"/>
              </w:rPr>
              <w:t>胃肠动力药</w:t>
            </w:r>
          </w:p>
        </w:tc>
        <w:tc>
          <w:tcPr>
            <w:tcW w:w="1087" w:type="dxa"/>
            <w:vAlign w:val="top"/>
          </w:tcPr>
          <w:p>
            <w:pPr>
              <w:ind w:left="586"/>
              <w:spacing w:before="109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70</w:t>
            </w:r>
          </w:p>
        </w:tc>
        <w:tc>
          <w:tcPr>
            <w:tcW w:w="1273" w:type="dxa"/>
            <w:vAlign w:val="top"/>
          </w:tcPr>
          <w:p>
            <w:pPr>
              <w:ind w:left="529"/>
              <w:spacing w:before="109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48.95</w:t>
            </w:r>
          </w:p>
        </w:tc>
      </w:tr>
      <w:tr>
        <w:trPr>
          <w:trHeight w:val="312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915"/>
              <w:spacing w:before="81" w:line="220" w:lineRule="auto"/>
              <w:rPr/>
            </w:pPr>
            <w:r>
              <w:rPr>
                <w:color w:val="231F20"/>
                <w:spacing w:val="-2"/>
              </w:rPr>
              <w:t>益生菌</w:t>
            </w:r>
          </w:p>
        </w:tc>
        <w:tc>
          <w:tcPr>
            <w:tcW w:w="1087" w:type="dxa"/>
            <w:vAlign w:val="top"/>
          </w:tcPr>
          <w:p>
            <w:pPr>
              <w:ind w:left="587"/>
              <w:spacing w:before="110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68</w:t>
            </w:r>
          </w:p>
        </w:tc>
        <w:tc>
          <w:tcPr>
            <w:tcW w:w="1273" w:type="dxa"/>
            <w:vAlign w:val="top"/>
          </w:tcPr>
          <w:p>
            <w:pPr>
              <w:ind w:left="529"/>
              <w:spacing w:before="110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47.55</w:t>
            </w:r>
          </w:p>
        </w:tc>
      </w:tr>
      <w:tr>
        <w:trPr>
          <w:trHeight w:val="312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994"/>
              <w:spacing w:before="82" w:line="221" w:lineRule="auto"/>
              <w:rPr/>
            </w:pPr>
            <w:r>
              <w:rPr>
                <w:color w:val="231F20"/>
                <w:spacing w:val="-2"/>
              </w:rPr>
              <w:t>补液</w:t>
            </w:r>
          </w:p>
        </w:tc>
        <w:tc>
          <w:tcPr>
            <w:tcW w:w="1087" w:type="dxa"/>
            <w:vAlign w:val="top"/>
          </w:tcPr>
          <w:p>
            <w:pPr>
              <w:ind w:left="588"/>
              <w:spacing w:before="113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55</w:t>
            </w:r>
          </w:p>
        </w:tc>
        <w:tc>
          <w:tcPr>
            <w:tcW w:w="1273" w:type="dxa"/>
            <w:vAlign w:val="top"/>
          </w:tcPr>
          <w:p>
            <w:pPr>
              <w:ind w:left="534"/>
              <w:spacing w:before="11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38.46</w:t>
            </w:r>
          </w:p>
        </w:tc>
      </w:tr>
      <w:tr>
        <w:trPr>
          <w:trHeight w:val="313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914"/>
              <w:spacing w:before="83" w:line="220" w:lineRule="auto"/>
              <w:rPr/>
            </w:pPr>
            <w:r>
              <w:rPr>
                <w:color w:val="231F20"/>
                <w:spacing w:val="-2"/>
              </w:rPr>
              <w:t>抗菌药</w:t>
            </w:r>
          </w:p>
        </w:tc>
        <w:tc>
          <w:tcPr>
            <w:tcW w:w="1087" w:type="dxa"/>
            <w:vAlign w:val="top"/>
          </w:tcPr>
          <w:p>
            <w:pPr>
              <w:ind w:left="588"/>
              <w:spacing w:before="11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51</w:t>
            </w:r>
          </w:p>
        </w:tc>
        <w:tc>
          <w:tcPr>
            <w:tcW w:w="1273" w:type="dxa"/>
            <w:vAlign w:val="top"/>
          </w:tcPr>
          <w:p>
            <w:pPr>
              <w:ind w:left="534"/>
              <w:spacing w:before="11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35.66</w:t>
            </w:r>
          </w:p>
        </w:tc>
      </w:tr>
      <w:tr>
        <w:trPr>
          <w:trHeight w:val="311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915"/>
              <w:spacing w:before="83" w:line="221" w:lineRule="auto"/>
              <w:rPr/>
            </w:pPr>
            <w:r>
              <w:rPr>
                <w:color w:val="231F20"/>
                <w:spacing w:val="-2"/>
              </w:rPr>
              <w:t>止泻药</w:t>
            </w:r>
          </w:p>
        </w:tc>
        <w:tc>
          <w:tcPr>
            <w:tcW w:w="1087" w:type="dxa"/>
            <w:vAlign w:val="top"/>
          </w:tcPr>
          <w:p>
            <w:pPr>
              <w:ind w:left="583"/>
              <w:spacing w:before="11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47</w:t>
            </w:r>
          </w:p>
        </w:tc>
        <w:tc>
          <w:tcPr>
            <w:tcW w:w="1273" w:type="dxa"/>
            <w:vAlign w:val="top"/>
          </w:tcPr>
          <w:p>
            <w:pPr>
              <w:ind w:left="534"/>
              <w:spacing w:before="11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32.87</w:t>
            </w:r>
          </w:p>
        </w:tc>
      </w:tr>
      <w:tr>
        <w:trPr>
          <w:trHeight w:val="312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915"/>
              <w:spacing w:before="85" w:line="221" w:lineRule="auto"/>
              <w:rPr/>
            </w:pPr>
            <w:r>
              <w:rPr>
                <w:color w:val="231F20"/>
                <w:spacing w:val="-2"/>
              </w:rPr>
              <w:t>止痛药</w:t>
            </w:r>
          </w:p>
        </w:tc>
        <w:tc>
          <w:tcPr>
            <w:tcW w:w="1087" w:type="dxa"/>
            <w:vAlign w:val="top"/>
          </w:tcPr>
          <w:p>
            <w:pPr>
              <w:ind w:left="583"/>
              <w:spacing w:before="11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41</w:t>
            </w:r>
          </w:p>
        </w:tc>
        <w:tc>
          <w:tcPr>
            <w:tcW w:w="1273" w:type="dxa"/>
            <w:vAlign w:val="top"/>
          </w:tcPr>
          <w:p>
            <w:pPr>
              <w:ind w:left="531"/>
              <w:spacing w:before="11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28.67</w:t>
            </w:r>
          </w:p>
        </w:tc>
      </w:tr>
      <w:tr>
        <w:trPr>
          <w:trHeight w:val="313" w:hRule="atLeast"/>
        </w:trPr>
        <w:tc>
          <w:tcPr>
            <w:tcW w:w="2203" w:type="dxa"/>
            <w:vAlign w:val="top"/>
          </w:tcPr>
          <w:p>
            <w:pPr>
              <w:pStyle w:val="TableText"/>
              <w:ind w:left="699"/>
              <w:spacing w:before="86" w:line="220" w:lineRule="auto"/>
              <w:rPr/>
            </w:pPr>
            <w:r>
              <w:rPr>
                <w:color w:val="231F20"/>
                <w:spacing w:val="-5"/>
              </w:rPr>
              <w:t>胃黏膜保护剂</w:t>
            </w:r>
          </w:p>
        </w:tc>
        <w:tc>
          <w:tcPr>
            <w:tcW w:w="1087" w:type="dxa"/>
            <w:vAlign w:val="top"/>
          </w:tcPr>
          <w:p>
            <w:pPr>
              <w:ind w:left="584"/>
              <w:spacing w:before="11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26</w:t>
            </w:r>
          </w:p>
        </w:tc>
        <w:tc>
          <w:tcPr>
            <w:tcW w:w="1273" w:type="dxa"/>
            <w:vAlign w:val="top"/>
          </w:tcPr>
          <w:p>
            <w:pPr>
              <w:ind w:left="546"/>
              <w:spacing w:before="11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3"/>
              </w:rPr>
              <w:t>18.18</w:t>
            </w:r>
          </w:p>
        </w:tc>
      </w:tr>
      <w:tr>
        <w:trPr>
          <w:trHeight w:val="317" w:hRule="atLeast"/>
        </w:trPr>
        <w:tc>
          <w:tcPr>
            <w:tcW w:w="220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916"/>
              <w:spacing w:before="86" w:line="221" w:lineRule="auto"/>
              <w:rPr/>
            </w:pPr>
            <w:r>
              <w:rPr>
                <w:color w:val="231F20"/>
                <w:spacing w:val="-2"/>
              </w:rPr>
              <w:t>止吐药</w:t>
            </w:r>
          </w:p>
        </w:tc>
        <w:tc>
          <w:tcPr>
            <w:tcW w:w="1087" w:type="dxa"/>
            <w:vAlign w:val="top"/>
            <w:tcBorders>
              <w:bottom w:val="single" w:color="231F20" w:sz="4" w:space="0"/>
            </w:tcBorders>
          </w:tcPr>
          <w:p>
            <w:pPr>
              <w:ind w:left="628"/>
              <w:spacing w:before="116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6</w:t>
            </w:r>
          </w:p>
        </w:tc>
        <w:tc>
          <w:tcPr>
            <w:tcW w:w="1273" w:type="dxa"/>
            <w:vAlign w:val="top"/>
            <w:tcBorders>
              <w:bottom w:val="single" w:color="231F20" w:sz="4" w:space="0"/>
            </w:tcBorders>
          </w:tcPr>
          <w:p>
            <w:pPr>
              <w:ind w:left="570"/>
              <w:spacing w:before="116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4.20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13"/>
        <w:spacing w:before="65" w:line="24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2.2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急性胃肠炎质子泵抑制剂的给药方式</w:t>
      </w:r>
    </w:p>
    <w:p>
      <w:pPr>
        <w:pStyle w:val="BodyText"/>
        <w:ind w:right="76" w:firstLine="505"/>
        <w:spacing w:before="91" w:line="308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2"/>
        </w:rPr>
        <w:t>给药方式上以口服给药为主，占比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22"/>
        </w:rPr>
        <w:t>73.43%</w:t>
      </w:r>
      <w:r>
        <w:rPr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（</w:t>
      </w:r>
      <w:r>
        <w:rPr>
          <w:rFonts w:ascii="SimSun" w:hAnsi="SimSun" w:eastAsia="SimSun" w:cs="SimSun"/>
          <w:sz w:val="20"/>
          <w:szCs w:val="20"/>
          <w:color w:val="231F20"/>
          <w:spacing w:val="-51"/>
        </w:rPr>
        <w:t xml:space="preserve"> </w:t>
      </w:r>
      <w:r>
        <w:rPr>
          <w:sz w:val="20"/>
          <w:szCs w:val="20"/>
          <w:color w:val="231F20"/>
          <w:spacing w:val="-2"/>
        </w:rPr>
        <w:t>105/143</w:t>
      </w:r>
      <w:r>
        <w:rPr>
          <w:sz w:val="20"/>
          <w:szCs w:val="20"/>
          <w:color w:val="231F20"/>
          <w:spacing w:val="-2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1"/>
          <w:w w:val="95"/>
        </w:rPr>
        <w:t>）；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静脉给药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2"/>
        </w:rPr>
        <w:t>38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例，占比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-2"/>
        </w:rPr>
        <w:t>2</w:t>
      </w:r>
      <w:r>
        <w:rPr>
          <w:sz w:val="20"/>
          <w:szCs w:val="20"/>
          <w:color w:val="231F20"/>
          <w:spacing w:val="-3"/>
        </w:rPr>
        <w:t>6.57%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</w:t>
      </w:r>
    </w:p>
    <w:p>
      <w:pPr>
        <w:pStyle w:val="BodyText"/>
        <w:ind w:left="113"/>
        <w:spacing w:line="24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2.3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急性胃肠炎质子泵抑制剂的使用情况</w:t>
      </w:r>
    </w:p>
    <w:p>
      <w:pPr>
        <w:pStyle w:val="BodyText"/>
        <w:ind w:left="113" w:right="76" w:firstLine="389"/>
        <w:spacing w:before="77" w:line="284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3"/>
        </w:rPr>
        <w:t>97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例使用质子泵抑制剂的处方中，排名前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 xml:space="preserve"> </w:t>
      </w:r>
      <w:r>
        <w:rPr>
          <w:sz w:val="20"/>
          <w:szCs w:val="20"/>
          <w:color w:val="231F20"/>
          <w:spacing w:val="3"/>
        </w:rPr>
        <w:t>3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分别为艾普拉唑肠溶片、奥美拉唑肠溶胶囊、注射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用奥美拉唑钠，见表</w:t>
      </w:r>
      <w:r>
        <w:rPr>
          <w:rFonts w:ascii="SimSun" w:hAnsi="SimSun" w:eastAsia="SimSun" w:cs="SimSun"/>
          <w:sz w:val="20"/>
          <w:szCs w:val="20"/>
          <w:color w:val="231F20"/>
          <w:spacing w:val="-45"/>
        </w:rPr>
        <w:t xml:space="preserve"> </w:t>
      </w:r>
      <w:r>
        <w:rPr>
          <w:sz w:val="20"/>
          <w:szCs w:val="20"/>
          <w:color w:val="231F20"/>
          <w:spacing w:val="-1"/>
        </w:rPr>
        <w:t>2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</w:p>
    <w:p>
      <w:pPr>
        <w:pStyle w:val="BodyText"/>
        <w:ind w:left="802"/>
        <w:spacing w:before="258" w:line="241" w:lineRule="auto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2   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急性胃肠炎质子泵抑制剂的使用情况</w:t>
      </w:r>
    </w:p>
    <w:p>
      <w:pPr>
        <w:spacing w:line="118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63" w:type="dxa"/>
        <w:tblInd w:w="10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923"/>
        <w:gridCol w:w="359"/>
        <w:gridCol w:w="551"/>
        <w:gridCol w:w="636"/>
        <w:gridCol w:w="523"/>
        <w:gridCol w:w="571"/>
      </w:tblGrid>
      <w:tr>
        <w:trPr>
          <w:trHeight w:val="546" w:hRule="atLeast"/>
        </w:trPr>
        <w:tc>
          <w:tcPr>
            <w:tcW w:w="192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316"/>
              <w:spacing w:before="191" w:line="220" w:lineRule="auto"/>
              <w:rPr/>
            </w:pPr>
            <w:r>
              <w:rPr>
                <w:color w:val="231F20"/>
                <w:spacing w:val="-1"/>
              </w:rPr>
              <w:t>质子泵抑制剂分类</w:t>
            </w:r>
          </w:p>
        </w:tc>
        <w:tc>
          <w:tcPr>
            <w:tcW w:w="359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37"/>
              <w:spacing w:before="253" w:line="106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55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0"/>
              <w:spacing w:before="71" w:line="222" w:lineRule="auto"/>
              <w:rPr/>
            </w:pPr>
            <w:r>
              <w:rPr>
                <w:color w:val="231F20"/>
                <w:spacing w:val="-9"/>
              </w:rPr>
              <w:t>占比</w:t>
            </w:r>
          </w:p>
          <w:p>
            <w:pPr>
              <w:pStyle w:val="TableText"/>
              <w:ind w:left="81"/>
              <w:spacing w:before="47" w:line="233" w:lineRule="auto"/>
              <w:rPr/>
            </w:pPr>
            <w:r>
              <w:rPr>
                <w:color w:val="231F20"/>
                <w:spacing w:val="-4"/>
              </w:rPr>
              <w:t>（</w:t>
            </w:r>
            <w:r>
              <w:rPr>
                <w:rFonts w:ascii="Times New Roman" w:hAnsi="Times New Roman" w:eastAsia="Times New Roman" w:cs="Times New Roman"/>
                <w:color w:val="231F20"/>
                <w:spacing w:val="-4"/>
              </w:rPr>
              <w:t>%</w:t>
            </w:r>
            <w:r>
              <w:rPr>
                <w:color w:val="231F20"/>
                <w:spacing w:val="-4"/>
              </w:rPr>
              <w:t>）</w:t>
            </w:r>
          </w:p>
        </w:tc>
        <w:tc>
          <w:tcPr>
            <w:tcW w:w="636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82"/>
              <w:spacing w:before="71" w:line="220" w:lineRule="auto"/>
              <w:rPr/>
            </w:pPr>
            <w:r>
              <w:rPr>
                <w:color w:val="231F20"/>
                <w:spacing w:val="-2"/>
              </w:rPr>
              <w:t>是否带</w:t>
            </w:r>
          </w:p>
          <w:p>
            <w:pPr>
              <w:pStyle w:val="TableText"/>
              <w:ind w:left="79"/>
              <w:spacing w:before="49" w:line="221" w:lineRule="auto"/>
              <w:rPr/>
            </w:pPr>
            <w:r>
              <w:rPr>
                <w:color w:val="231F20"/>
                <w:spacing w:val="-2"/>
              </w:rPr>
              <w:t>量品种</w:t>
            </w:r>
          </w:p>
        </w:tc>
        <w:tc>
          <w:tcPr>
            <w:tcW w:w="52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93"/>
              <w:spacing w:before="71" w:line="221" w:lineRule="auto"/>
              <w:rPr/>
            </w:pPr>
            <w:r>
              <w:rPr>
                <w:color w:val="231F20"/>
                <w:spacing w:val="-3"/>
              </w:rPr>
              <w:t>是否</w:t>
            </w:r>
          </w:p>
          <w:p>
            <w:pPr>
              <w:pStyle w:val="TableText"/>
              <w:ind w:left="90"/>
              <w:spacing w:before="48" w:line="221" w:lineRule="auto"/>
              <w:rPr/>
            </w:pPr>
            <w:r>
              <w:rPr>
                <w:color w:val="231F20"/>
                <w:spacing w:val="-2"/>
              </w:rPr>
              <w:t>基药</w:t>
            </w:r>
          </w:p>
        </w:tc>
        <w:tc>
          <w:tcPr>
            <w:tcW w:w="57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5"/>
              <w:spacing w:before="71" w:line="219" w:lineRule="auto"/>
              <w:rPr/>
            </w:pPr>
            <w:r>
              <w:rPr>
                <w:color w:val="231F20"/>
                <w:spacing w:val="-2"/>
              </w:rPr>
              <w:t>单价</w:t>
            </w:r>
          </w:p>
          <w:p>
            <w:pPr>
              <w:pStyle w:val="TableText"/>
              <w:ind w:left="58"/>
              <w:spacing w:before="50" w:line="221" w:lineRule="auto"/>
              <w:rPr/>
            </w:pPr>
            <w:r>
              <w:rPr>
                <w:color w:val="231F20"/>
                <w:spacing w:val="-5"/>
              </w:rPr>
              <w:t>（元）</w:t>
            </w:r>
          </w:p>
        </w:tc>
      </w:tr>
      <w:tr>
        <w:trPr>
          <w:trHeight w:val="305" w:hRule="atLeast"/>
        </w:trPr>
        <w:tc>
          <w:tcPr>
            <w:tcW w:w="19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97"/>
              <w:spacing w:before="73" w:line="220" w:lineRule="auto"/>
              <w:rPr/>
            </w:pPr>
            <w:r>
              <w:rPr>
                <w:color w:val="231F20"/>
                <w:spacing w:val="-1"/>
              </w:rPr>
              <w:t>艾普拉唑肠溶片</w:t>
            </w:r>
          </w:p>
        </w:tc>
        <w:tc>
          <w:tcPr>
            <w:tcW w:w="359" w:type="dxa"/>
            <w:vAlign w:val="top"/>
            <w:tcBorders>
              <w:top w:val="single" w:color="231F20" w:sz="2" w:space="0"/>
            </w:tcBorders>
          </w:tcPr>
          <w:p>
            <w:pPr>
              <w:ind w:left="100"/>
              <w:spacing w:before="10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71</w:t>
            </w:r>
          </w:p>
        </w:tc>
        <w:tc>
          <w:tcPr>
            <w:tcW w:w="551" w:type="dxa"/>
            <w:vAlign w:val="top"/>
            <w:tcBorders>
              <w:top w:val="single" w:color="231F20" w:sz="2" w:space="0"/>
            </w:tcBorders>
          </w:tcPr>
          <w:p>
            <w:pPr>
              <w:ind w:left="123"/>
              <w:spacing w:before="10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73.20</w:t>
            </w:r>
          </w:p>
        </w:tc>
        <w:tc>
          <w:tcPr>
            <w:tcW w:w="636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4"/>
              <w:spacing w:before="73" w:line="221" w:lineRule="auto"/>
              <w:rPr/>
            </w:pPr>
            <w:r>
              <w:rPr>
                <w:color w:val="231F20"/>
              </w:rPr>
              <w:t>否</w:t>
            </w:r>
          </w:p>
        </w:tc>
        <w:tc>
          <w:tcPr>
            <w:tcW w:w="52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5"/>
              <w:spacing w:before="73" w:line="221" w:lineRule="auto"/>
              <w:rPr/>
            </w:pPr>
            <w:r>
              <w:rPr>
                <w:color w:val="231F20"/>
              </w:rPr>
              <w:t>否</w:t>
            </w:r>
          </w:p>
        </w:tc>
        <w:tc>
          <w:tcPr>
            <w:tcW w:w="571" w:type="dxa"/>
            <w:vAlign w:val="top"/>
            <w:tcBorders>
              <w:top w:val="single" w:color="231F20" w:sz="2" w:space="0"/>
            </w:tcBorders>
          </w:tcPr>
          <w:p>
            <w:pPr>
              <w:ind w:left="126"/>
              <w:spacing w:before="10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3"/>
              </w:rPr>
              <w:t>13.06</w:t>
            </w:r>
          </w:p>
        </w:tc>
      </w:tr>
      <w:tr>
        <w:trPr>
          <w:trHeight w:val="312" w:hRule="atLeast"/>
        </w:trPr>
        <w:tc>
          <w:tcPr>
            <w:tcW w:w="1923" w:type="dxa"/>
            <w:vAlign w:val="top"/>
          </w:tcPr>
          <w:p>
            <w:pPr>
              <w:pStyle w:val="TableText"/>
              <w:ind w:left="320"/>
              <w:spacing w:before="81" w:line="219" w:lineRule="auto"/>
              <w:rPr/>
            </w:pPr>
            <w:r>
              <w:rPr>
                <w:color w:val="231F20"/>
                <w:spacing w:val="-2"/>
              </w:rPr>
              <w:t>奥美拉唑肠溶胶囊</w:t>
            </w:r>
          </w:p>
        </w:tc>
        <w:tc>
          <w:tcPr>
            <w:tcW w:w="359" w:type="dxa"/>
            <w:vAlign w:val="top"/>
          </w:tcPr>
          <w:p>
            <w:pPr>
              <w:ind w:left="116"/>
              <w:spacing w:before="11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11</w:t>
            </w:r>
          </w:p>
        </w:tc>
        <w:tc>
          <w:tcPr>
            <w:tcW w:w="551" w:type="dxa"/>
            <w:vAlign w:val="top"/>
          </w:tcPr>
          <w:p>
            <w:pPr>
              <w:ind w:left="138"/>
              <w:spacing w:before="11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5"/>
              </w:rPr>
              <w:t>11.34</w:t>
            </w:r>
          </w:p>
        </w:tc>
        <w:tc>
          <w:tcPr>
            <w:tcW w:w="636" w:type="dxa"/>
            <w:vAlign w:val="top"/>
          </w:tcPr>
          <w:p>
            <w:pPr>
              <w:pStyle w:val="TableText"/>
              <w:ind w:left="242"/>
              <w:spacing w:before="81" w:line="224" w:lineRule="auto"/>
              <w:rPr/>
            </w:pPr>
            <w:r>
              <w:rPr>
                <w:color w:val="231F20"/>
              </w:rPr>
              <w:t>是</w:t>
            </w:r>
          </w:p>
        </w:tc>
        <w:tc>
          <w:tcPr>
            <w:tcW w:w="523" w:type="dxa"/>
            <w:vAlign w:val="top"/>
          </w:tcPr>
          <w:p>
            <w:pPr>
              <w:pStyle w:val="TableText"/>
              <w:ind w:left="172"/>
              <w:spacing w:before="81" w:line="224" w:lineRule="auto"/>
              <w:rPr/>
            </w:pPr>
            <w:r>
              <w:rPr>
                <w:color w:val="231F20"/>
              </w:rPr>
              <w:t>是</w:t>
            </w:r>
          </w:p>
        </w:tc>
        <w:tc>
          <w:tcPr>
            <w:tcW w:w="571" w:type="dxa"/>
            <w:vAlign w:val="top"/>
          </w:tcPr>
          <w:p>
            <w:pPr>
              <w:ind w:left="153"/>
              <w:spacing w:before="11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0.21</w:t>
            </w:r>
          </w:p>
        </w:tc>
      </w:tr>
      <w:tr>
        <w:trPr>
          <w:trHeight w:val="312" w:hRule="atLeast"/>
        </w:trPr>
        <w:tc>
          <w:tcPr>
            <w:tcW w:w="1923" w:type="dxa"/>
            <w:vAlign w:val="top"/>
          </w:tcPr>
          <w:p>
            <w:pPr>
              <w:pStyle w:val="TableText"/>
              <w:ind w:left="315"/>
              <w:spacing w:before="82" w:line="219" w:lineRule="auto"/>
              <w:rPr/>
            </w:pPr>
            <w:r>
              <w:rPr>
                <w:color w:val="231F20"/>
                <w:spacing w:val="-1"/>
              </w:rPr>
              <w:t>注射用奥美拉唑钠</w:t>
            </w:r>
          </w:p>
        </w:tc>
        <w:tc>
          <w:tcPr>
            <w:tcW w:w="359" w:type="dxa"/>
            <w:vAlign w:val="top"/>
          </w:tcPr>
          <w:p>
            <w:pPr>
              <w:ind w:left="116"/>
              <w:spacing w:before="11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11</w:t>
            </w:r>
          </w:p>
        </w:tc>
        <w:tc>
          <w:tcPr>
            <w:tcW w:w="551" w:type="dxa"/>
            <w:vAlign w:val="top"/>
          </w:tcPr>
          <w:p>
            <w:pPr>
              <w:ind w:left="138"/>
              <w:spacing w:before="11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5"/>
              </w:rPr>
              <w:t>11.34</w:t>
            </w:r>
          </w:p>
        </w:tc>
        <w:tc>
          <w:tcPr>
            <w:tcW w:w="636" w:type="dxa"/>
            <w:vAlign w:val="top"/>
          </w:tcPr>
          <w:p>
            <w:pPr>
              <w:pStyle w:val="TableText"/>
              <w:ind w:left="242"/>
              <w:spacing w:before="82" w:line="224" w:lineRule="auto"/>
              <w:rPr/>
            </w:pPr>
            <w:r>
              <w:rPr>
                <w:color w:val="231F20"/>
              </w:rPr>
              <w:t>是</w:t>
            </w:r>
          </w:p>
        </w:tc>
        <w:tc>
          <w:tcPr>
            <w:tcW w:w="523" w:type="dxa"/>
            <w:vAlign w:val="top"/>
          </w:tcPr>
          <w:p>
            <w:pPr>
              <w:pStyle w:val="TableText"/>
              <w:ind w:left="172"/>
              <w:spacing w:before="82" w:line="224" w:lineRule="auto"/>
              <w:rPr/>
            </w:pPr>
            <w:r>
              <w:rPr>
                <w:color w:val="231F20"/>
              </w:rPr>
              <w:t>是</w:t>
            </w:r>
          </w:p>
        </w:tc>
        <w:tc>
          <w:tcPr>
            <w:tcW w:w="571" w:type="dxa"/>
            <w:vAlign w:val="top"/>
          </w:tcPr>
          <w:p>
            <w:pPr>
              <w:ind w:left="169"/>
              <w:spacing w:before="112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5"/>
              </w:rPr>
              <w:t>1.11</w:t>
            </w:r>
          </w:p>
        </w:tc>
      </w:tr>
      <w:tr>
        <w:trPr>
          <w:trHeight w:val="311" w:hRule="atLeast"/>
        </w:trPr>
        <w:tc>
          <w:tcPr>
            <w:tcW w:w="1923" w:type="dxa"/>
            <w:vAlign w:val="top"/>
          </w:tcPr>
          <w:p>
            <w:pPr>
              <w:pStyle w:val="TableText"/>
              <w:ind w:left="316"/>
              <w:spacing w:before="84" w:line="221" w:lineRule="auto"/>
              <w:rPr/>
            </w:pPr>
            <w:r>
              <w:rPr>
                <w:color w:val="231F20"/>
                <w:spacing w:val="-1"/>
              </w:rPr>
              <w:t>泮托拉唑钠肠溶片</w:t>
            </w:r>
          </w:p>
        </w:tc>
        <w:tc>
          <w:tcPr>
            <w:tcW w:w="359" w:type="dxa"/>
            <w:vAlign w:val="top"/>
          </w:tcPr>
          <w:p>
            <w:pPr>
              <w:ind w:left="137"/>
              <w:spacing w:before="11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2</w:t>
            </w:r>
          </w:p>
        </w:tc>
        <w:tc>
          <w:tcPr>
            <w:tcW w:w="551" w:type="dxa"/>
            <w:vAlign w:val="top"/>
          </w:tcPr>
          <w:p>
            <w:pPr>
              <w:ind w:left="160"/>
              <w:spacing w:before="11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2.06</w:t>
            </w:r>
          </w:p>
        </w:tc>
        <w:tc>
          <w:tcPr>
            <w:tcW w:w="636" w:type="dxa"/>
            <w:vAlign w:val="top"/>
          </w:tcPr>
          <w:p>
            <w:pPr>
              <w:pStyle w:val="TableText"/>
              <w:ind w:left="242"/>
              <w:spacing w:before="83" w:line="224" w:lineRule="auto"/>
              <w:rPr/>
            </w:pPr>
            <w:r>
              <w:rPr>
                <w:color w:val="231F20"/>
              </w:rPr>
              <w:t>是</w:t>
            </w:r>
          </w:p>
        </w:tc>
        <w:tc>
          <w:tcPr>
            <w:tcW w:w="523" w:type="dxa"/>
            <w:vAlign w:val="top"/>
          </w:tcPr>
          <w:p>
            <w:pPr>
              <w:pStyle w:val="TableText"/>
              <w:ind w:left="175"/>
              <w:spacing w:before="84" w:line="221" w:lineRule="auto"/>
              <w:rPr/>
            </w:pPr>
            <w:r>
              <w:rPr>
                <w:color w:val="231F20"/>
              </w:rPr>
              <w:t>否</w:t>
            </w:r>
          </w:p>
        </w:tc>
        <w:tc>
          <w:tcPr>
            <w:tcW w:w="571" w:type="dxa"/>
            <w:vAlign w:val="top"/>
          </w:tcPr>
          <w:p>
            <w:pPr>
              <w:ind w:left="166"/>
              <w:spacing w:before="11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4"/>
              </w:rPr>
              <w:t>1.13</w:t>
            </w:r>
          </w:p>
        </w:tc>
      </w:tr>
      <w:tr>
        <w:trPr>
          <w:trHeight w:val="313" w:hRule="atLeast"/>
        </w:trPr>
        <w:tc>
          <w:tcPr>
            <w:tcW w:w="1923" w:type="dxa"/>
            <w:vAlign w:val="top"/>
          </w:tcPr>
          <w:p>
            <w:pPr>
              <w:pStyle w:val="TableText"/>
              <w:ind w:left="77"/>
              <w:spacing w:before="86" w:line="219" w:lineRule="auto"/>
              <w:rPr/>
            </w:pPr>
            <w:r>
              <w:rPr>
                <w:color w:val="231F20"/>
                <w:spacing w:val="-1"/>
              </w:rPr>
              <w:t>艾司奥美拉唑镁肠溶胶囊</w:t>
            </w:r>
          </w:p>
        </w:tc>
        <w:tc>
          <w:tcPr>
            <w:tcW w:w="359" w:type="dxa"/>
            <w:vAlign w:val="top"/>
          </w:tcPr>
          <w:p>
            <w:pPr>
              <w:ind w:left="153"/>
              <w:spacing w:before="11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1</w:t>
            </w:r>
          </w:p>
        </w:tc>
        <w:tc>
          <w:tcPr>
            <w:tcW w:w="551" w:type="dxa"/>
            <w:vAlign w:val="top"/>
          </w:tcPr>
          <w:p>
            <w:pPr>
              <w:ind w:left="175"/>
              <w:spacing w:before="11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4"/>
              </w:rPr>
              <w:t>1.03</w:t>
            </w:r>
          </w:p>
        </w:tc>
        <w:tc>
          <w:tcPr>
            <w:tcW w:w="636" w:type="dxa"/>
            <w:vAlign w:val="top"/>
          </w:tcPr>
          <w:p>
            <w:pPr>
              <w:pStyle w:val="TableText"/>
              <w:ind w:left="241"/>
              <w:spacing w:before="86" w:line="224" w:lineRule="auto"/>
              <w:rPr/>
            </w:pPr>
            <w:r>
              <w:rPr>
                <w:color w:val="231F20"/>
              </w:rPr>
              <w:t>是</w:t>
            </w:r>
          </w:p>
        </w:tc>
        <w:tc>
          <w:tcPr>
            <w:tcW w:w="523" w:type="dxa"/>
            <w:vAlign w:val="top"/>
          </w:tcPr>
          <w:p>
            <w:pPr>
              <w:pStyle w:val="TableText"/>
              <w:ind w:left="175"/>
              <w:spacing w:before="86" w:line="221" w:lineRule="auto"/>
              <w:rPr/>
            </w:pPr>
            <w:r>
              <w:rPr>
                <w:color w:val="231F20"/>
              </w:rPr>
              <w:t>否</w:t>
            </w:r>
          </w:p>
        </w:tc>
        <w:tc>
          <w:tcPr>
            <w:tcW w:w="571" w:type="dxa"/>
            <w:vAlign w:val="top"/>
          </w:tcPr>
          <w:p>
            <w:pPr>
              <w:ind w:left="191"/>
              <w:spacing w:before="11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2.6</w:t>
            </w:r>
          </w:p>
        </w:tc>
      </w:tr>
      <w:tr>
        <w:trPr>
          <w:trHeight w:val="317" w:hRule="atLeast"/>
        </w:trPr>
        <w:tc>
          <w:tcPr>
            <w:tcW w:w="19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18"/>
              <w:spacing w:before="86" w:line="221" w:lineRule="auto"/>
              <w:rPr/>
            </w:pPr>
            <w:r>
              <w:rPr>
                <w:color w:val="231F20"/>
                <w:spacing w:val="-2"/>
              </w:rPr>
              <w:t>雷贝拉唑钠肠溶片</w:t>
            </w:r>
          </w:p>
        </w:tc>
        <w:tc>
          <w:tcPr>
            <w:tcW w:w="359" w:type="dxa"/>
            <w:vAlign w:val="top"/>
            <w:tcBorders>
              <w:bottom w:val="single" w:color="231F20" w:sz="4" w:space="0"/>
            </w:tcBorders>
          </w:tcPr>
          <w:p>
            <w:pPr>
              <w:ind w:left="152"/>
              <w:spacing w:before="11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1</w:t>
            </w:r>
          </w:p>
        </w:tc>
        <w:tc>
          <w:tcPr>
            <w:tcW w:w="551" w:type="dxa"/>
            <w:vAlign w:val="top"/>
            <w:tcBorders>
              <w:bottom w:val="single" w:color="231F20" w:sz="4" w:space="0"/>
            </w:tcBorders>
          </w:tcPr>
          <w:p>
            <w:pPr>
              <w:ind w:left="175"/>
              <w:spacing w:before="11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4"/>
              </w:rPr>
              <w:t>1.03</w:t>
            </w:r>
          </w:p>
        </w:tc>
        <w:tc>
          <w:tcPr>
            <w:tcW w:w="636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241"/>
              <w:spacing w:before="86" w:line="224" w:lineRule="auto"/>
              <w:rPr/>
            </w:pPr>
            <w:r>
              <w:rPr>
                <w:color w:val="231F20"/>
              </w:rPr>
              <w:t>是</w:t>
            </w:r>
          </w:p>
        </w:tc>
        <w:tc>
          <w:tcPr>
            <w:tcW w:w="52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75"/>
              <w:spacing w:before="86" w:line="221" w:lineRule="auto"/>
              <w:rPr/>
            </w:pPr>
            <w:r>
              <w:rPr>
                <w:color w:val="231F20"/>
              </w:rPr>
              <w:t>否</w:t>
            </w:r>
          </w:p>
        </w:tc>
        <w:tc>
          <w:tcPr>
            <w:tcW w:w="571" w:type="dxa"/>
            <w:vAlign w:val="top"/>
            <w:tcBorders>
              <w:bottom w:val="single" w:color="231F20" w:sz="4" w:space="0"/>
            </w:tcBorders>
          </w:tcPr>
          <w:p>
            <w:pPr>
              <w:ind w:left="153"/>
              <w:spacing w:before="11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0.38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13"/>
        <w:spacing w:before="65" w:line="24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2.4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急性胃肠炎抗菌药物的使用情况</w:t>
      </w:r>
    </w:p>
    <w:p>
      <w:pPr>
        <w:pStyle w:val="BodyText"/>
        <w:ind w:left="113" w:right="76" w:firstLine="404"/>
        <w:spacing w:before="89" w:line="294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143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份急性胃肠炎处方中使用抗菌药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4"/>
        </w:rPr>
        <w:t>51</w:t>
      </w:r>
      <w:r>
        <w:rPr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例，其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中口服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3"/>
        </w:rPr>
        <w:t>32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例，占使用抗菌药处方的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3"/>
        </w:rPr>
        <w:t>62.75%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；静脉给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药</w:t>
      </w:r>
      <w:r>
        <w:rPr>
          <w:rFonts w:ascii="SimSun" w:hAnsi="SimSun" w:eastAsia="SimSun" w:cs="SimSun"/>
          <w:sz w:val="20"/>
          <w:szCs w:val="20"/>
          <w:color w:val="231F20"/>
          <w:spacing w:val="-13"/>
        </w:rPr>
        <w:t xml:space="preserve"> </w:t>
      </w:r>
      <w:r>
        <w:rPr>
          <w:sz w:val="20"/>
          <w:szCs w:val="20"/>
          <w:color w:val="231F20"/>
          <w:spacing w:val="-2"/>
        </w:rPr>
        <w:t>19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例，占比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2"/>
        </w:rPr>
        <w:t>37.25%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。在口服抗菌药中，使用最多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的是左氧氟沙星片，静脉给药中使用最多的是注射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用头孢唑林钠，见表</w:t>
      </w:r>
      <w:r>
        <w:rPr>
          <w:rFonts w:ascii="SimSun" w:hAnsi="SimSun" w:eastAsia="SimSun" w:cs="SimSun"/>
          <w:sz w:val="20"/>
          <w:szCs w:val="20"/>
          <w:color w:val="231F20"/>
          <w:spacing w:val="-34"/>
        </w:rPr>
        <w:t xml:space="preserve"> </w:t>
      </w:r>
      <w:r>
        <w:rPr>
          <w:sz w:val="20"/>
          <w:szCs w:val="20"/>
          <w:color w:val="231F20"/>
          <w:spacing w:val="-2"/>
        </w:rPr>
        <w:t>3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</w:t>
      </w:r>
    </w:p>
    <w:p>
      <w:pPr>
        <w:pStyle w:val="BodyText"/>
        <w:ind w:left="113"/>
        <w:spacing w:before="97" w:line="24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2.5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急性胃肠炎实验室检查情况</w:t>
      </w:r>
    </w:p>
    <w:p>
      <w:pPr>
        <w:pStyle w:val="BodyText"/>
        <w:ind w:left="111" w:firstLine="405"/>
        <w:spacing w:before="90" w:line="281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-2"/>
        </w:rPr>
        <w:t>143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份急性胃肠炎处方中有做实验室检查共计</w:t>
      </w:r>
      <w:r>
        <w:rPr>
          <w:rFonts w:ascii="SimSun" w:hAnsi="SimSun" w:eastAsia="SimSun" w:cs="SimSun"/>
          <w:sz w:val="20"/>
          <w:szCs w:val="20"/>
          <w:color w:val="231F20"/>
          <w:spacing w:val="-49"/>
        </w:rPr>
        <w:t xml:space="preserve"> </w:t>
      </w:r>
      <w:r>
        <w:rPr>
          <w:sz w:val="20"/>
          <w:szCs w:val="20"/>
          <w:color w:val="231F20"/>
          <w:spacing w:val="-2"/>
        </w:rPr>
        <w:t>47</w:t>
      </w:r>
      <w:r>
        <w:rPr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例，占比</w:t>
      </w:r>
      <w:r>
        <w:rPr>
          <w:rFonts w:ascii="SimSun" w:hAnsi="SimSun" w:eastAsia="SimSun" w:cs="SimSun"/>
          <w:sz w:val="20"/>
          <w:szCs w:val="20"/>
          <w:color w:val="231F20"/>
          <w:spacing w:val="-18"/>
        </w:rPr>
        <w:t xml:space="preserve"> </w:t>
      </w:r>
      <w:r>
        <w:rPr>
          <w:sz w:val="20"/>
          <w:szCs w:val="20"/>
          <w:color w:val="231F20"/>
          <w:spacing w:val="-4"/>
        </w:rPr>
        <w:t>32.87%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；结果异常的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-4"/>
        </w:rPr>
        <w:t>17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例，占比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4"/>
        </w:rPr>
        <w:t>36.17%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其中检测血常规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</w:rPr>
        <w:t>21 </w:t>
      </w:r>
      <w:r>
        <w:rPr>
          <w:rFonts w:ascii="SimSun" w:hAnsi="SimSun" w:eastAsia="SimSun" w:cs="SimSun"/>
          <w:sz w:val="20"/>
          <w:szCs w:val="20"/>
          <w:color w:val="231F20"/>
        </w:rPr>
        <w:t>例，其次为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C </w:t>
      </w:r>
      <w:r>
        <w:rPr>
          <w:rFonts w:ascii="SimSun" w:hAnsi="SimSun" w:eastAsia="SimSun" w:cs="SimSun"/>
          <w:sz w:val="20"/>
          <w:szCs w:val="20"/>
          <w:color w:val="231F20"/>
        </w:rPr>
        <w:t>反应蛋白和电解质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检查，见表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1"/>
        </w:rPr>
        <w:t>4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。</w:t>
      </w:r>
    </w:p>
    <w:p>
      <w:pPr>
        <w:spacing w:line="281" w:lineRule="auto"/>
        <w:sectPr>
          <w:type w:val="continuous"/>
          <w:pgSz w:w="11793" w:h="16045"/>
          <w:pgMar w:top="1237" w:right="1170" w:bottom="993" w:left="407" w:header="876" w:footer="645" w:gutter="0"/>
          <w:cols w:equalWidth="0" w:num="2">
            <w:col w:w="5365" w:space="100"/>
            <w:col w:w="475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90" w:lineRule="exact"/>
        <w:rPr/>
      </w:pPr>
      <w:r/>
    </w:p>
    <w:p>
      <w:pPr>
        <w:spacing w:line="190" w:lineRule="exact"/>
        <w:sectPr>
          <w:headerReference w:type="default" r:id="rId5"/>
          <w:footerReference w:type="default" r:id="rId6"/>
          <w:pgSz w:w="11793" w:h="16045"/>
          <w:pgMar w:top="1237" w:right="855" w:bottom="993" w:left="407" w:header="863" w:footer="645" w:gutter="0"/>
          <w:cols w:equalWidth="0" w:num="1">
            <w:col w:w="10529" w:space="0"/>
          </w:cols>
        </w:sectPr>
        <w:rPr/>
      </w:pPr>
    </w:p>
    <w:p>
      <w:pPr>
        <w:pStyle w:val="BodyText"/>
        <w:ind w:left="1788"/>
        <w:spacing w:before="39" w:line="241" w:lineRule="auto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3   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急性胃肠炎抗菌药的使用情况</w:t>
      </w:r>
    </w:p>
    <w:p>
      <w:pPr>
        <w:spacing w:line="11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63" w:type="dxa"/>
        <w:tblInd w:w="8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94"/>
        <w:gridCol w:w="2341"/>
        <w:gridCol w:w="423"/>
        <w:gridCol w:w="905"/>
      </w:tblGrid>
      <w:tr>
        <w:trPr>
          <w:trHeight w:val="279" w:hRule="atLeast"/>
        </w:trPr>
        <w:tc>
          <w:tcPr>
            <w:tcW w:w="8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40"/>
              <w:spacing w:before="57" w:line="220" w:lineRule="auto"/>
              <w:rPr/>
            </w:pPr>
            <w:r>
              <w:rPr>
                <w:color w:val="231F20"/>
                <w:spacing w:val="-2"/>
              </w:rPr>
              <w:t>给药途径</w:t>
            </w:r>
          </w:p>
        </w:tc>
        <w:tc>
          <w:tcPr>
            <w:tcW w:w="2341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009"/>
              <w:spacing w:before="57" w:line="221" w:lineRule="auto"/>
              <w:rPr/>
            </w:pPr>
            <w:r>
              <w:rPr>
                <w:color w:val="231F20"/>
                <w:spacing w:val="-3"/>
              </w:rPr>
              <w:t>药品</w:t>
            </w:r>
          </w:p>
        </w:tc>
        <w:tc>
          <w:tcPr>
            <w:tcW w:w="42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186"/>
              <w:spacing w:before="119" w:line="105" w:lineRule="exact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i/>
                <w:iCs/>
                <w:color w:val="231F20"/>
                <w:position w:val="-2"/>
              </w:rPr>
              <w:t>n</w:t>
            </w:r>
          </w:p>
        </w:tc>
        <w:tc>
          <w:tcPr>
            <w:tcW w:w="90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26"/>
              <w:spacing w:before="57" w:line="222" w:lineRule="auto"/>
              <w:rPr/>
            </w:pPr>
            <w:r>
              <w:rPr>
                <w:color w:val="231F20"/>
                <w:spacing w:val="-7"/>
              </w:rPr>
              <w:t>占比（</w:t>
            </w:r>
            <w:r>
              <w:rPr>
                <w:rFonts w:ascii="Times New Roman" w:hAnsi="Times New Roman" w:eastAsia="Times New Roman" w:cs="Times New Roman"/>
                <w:color w:val="231F20"/>
                <w:spacing w:val="-7"/>
              </w:rPr>
              <w:t>%</w:t>
            </w:r>
            <w:r>
              <w:rPr>
                <w:color w:val="231F20"/>
                <w:spacing w:val="-7"/>
              </w:rPr>
              <w:t>）</w:t>
            </w:r>
          </w:p>
        </w:tc>
      </w:tr>
      <w:tr>
        <w:trPr>
          <w:trHeight w:val="279" w:hRule="atLeast"/>
        </w:trPr>
        <w:tc>
          <w:tcPr>
            <w:tcW w:w="894" w:type="dxa"/>
            <w:vAlign w:val="top"/>
            <w:vMerge w:val="restart"/>
            <w:tcBorders>
              <w:top w:val="single" w:color="231F20" w:sz="2" w:space="0"/>
              <w:bottom w:val="nil"/>
            </w:tcBorders>
          </w:tcPr>
          <w:p>
            <w:pPr>
              <w:spacing w:line="28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24"/>
              <w:spacing w:before="52" w:line="222" w:lineRule="auto"/>
              <w:rPr/>
            </w:pPr>
            <w:r>
              <w:rPr>
                <w:color w:val="231F20"/>
                <w:spacing w:val="-8"/>
              </w:rPr>
              <w:t>口服</w:t>
            </w:r>
          </w:p>
        </w:tc>
        <w:tc>
          <w:tcPr>
            <w:tcW w:w="23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688"/>
              <w:spacing w:before="57" w:line="220" w:lineRule="auto"/>
              <w:rPr/>
            </w:pPr>
            <w:r>
              <w:rPr>
                <w:color w:val="231F20"/>
                <w:spacing w:val="-2"/>
              </w:rPr>
              <w:t>左氧氟沙星片</w:t>
            </w:r>
          </w:p>
        </w:tc>
        <w:tc>
          <w:tcPr>
            <w:tcW w:w="423" w:type="dxa"/>
            <w:vAlign w:val="top"/>
            <w:tcBorders>
              <w:top w:val="single" w:color="231F20" w:sz="2" w:space="0"/>
            </w:tcBorders>
          </w:tcPr>
          <w:p>
            <w:pPr>
              <w:ind w:left="146"/>
              <w:spacing w:before="87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23</w:t>
            </w:r>
          </w:p>
        </w:tc>
        <w:tc>
          <w:tcPr>
            <w:tcW w:w="905" w:type="dxa"/>
            <w:vAlign w:val="top"/>
            <w:tcBorders>
              <w:top w:val="single" w:color="231F20" w:sz="2" w:space="0"/>
            </w:tcBorders>
          </w:tcPr>
          <w:p>
            <w:pPr>
              <w:ind w:left="303"/>
              <w:spacing w:before="87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45.10</w:t>
            </w:r>
          </w:p>
        </w:tc>
      </w:tr>
      <w:tr>
        <w:trPr>
          <w:trHeight w:val="283" w:hRule="atLeast"/>
        </w:trPr>
        <w:tc>
          <w:tcPr>
            <w:tcW w:w="8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41" w:type="dxa"/>
            <w:vAlign w:val="top"/>
          </w:tcPr>
          <w:p>
            <w:pPr>
              <w:pStyle w:val="TableText"/>
              <w:ind w:left="852"/>
              <w:spacing w:before="63" w:line="219" w:lineRule="auto"/>
              <w:rPr/>
            </w:pPr>
            <w:r>
              <w:rPr>
                <w:color w:val="231F20"/>
                <w:spacing w:val="-3"/>
              </w:rPr>
              <w:t>奥硝唑片</w:t>
            </w:r>
          </w:p>
        </w:tc>
        <w:tc>
          <w:tcPr>
            <w:tcW w:w="423" w:type="dxa"/>
            <w:vAlign w:val="top"/>
          </w:tcPr>
          <w:p>
            <w:pPr>
              <w:ind w:left="193"/>
              <w:spacing w:before="9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8</w:t>
            </w:r>
          </w:p>
        </w:tc>
        <w:tc>
          <w:tcPr>
            <w:tcW w:w="905" w:type="dxa"/>
            <w:vAlign w:val="top"/>
          </w:tcPr>
          <w:p>
            <w:pPr>
              <w:ind w:left="319"/>
              <w:spacing w:before="93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3"/>
              </w:rPr>
              <w:t>15.69</w:t>
            </w:r>
          </w:p>
        </w:tc>
      </w:tr>
      <w:tr>
        <w:trPr>
          <w:trHeight w:val="285" w:hRule="atLeast"/>
        </w:trPr>
        <w:tc>
          <w:tcPr>
            <w:tcW w:w="89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41" w:type="dxa"/>
            <w:vAlign w:val="top"/>
          </w:tcPr>
          <w:p>
            <w:pPr>
              <w:pStyle w:val="TableText"/>
              <w:ind w:left="449"/>
              <w:spacing w:before="65" w:line="220" w:lineRule="auto"/>
              <w:rPr/>
            </w:pPr>
            <w:r>
              <w:rPr>
                <w:color w:val="231F20"/>
                <w:spacing w:val="-1"/>
              </w:rPr>
              <w:t>头孢泊肟酯干混悬剂</w:t>
            </w:r>
          </w:p>
        </w:tc>
        <w:tc>
          <w:tcPr>
            <w:tcW w:w="423" w:type="dxa"/>
            <w:vAlign w:val="top"/>
          </w:tcPr>
          <w:p>
            <w:pPr>
              <w:ind w:left="202"/>
              <w:spacing w:before="9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1</w:t>
            </w:r>
          </w:p>
        </w:tc>
        <w:tc>
          <w:tcPr>
            <w:tcW w:w="905" w:type="dxa"/>
            <w:vAlign w:val="top"/>
          </w:tcPr>
          <w:p>
            <w:pPr>
              <w:ind w:left="359"/>
              <w:spacing w:before="9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4"/>
              </w:rPr>
              <w:t>1.96</w:t>
            </w:r>
          </w:p>
        </w:tc>
      </w:tr>
      <w:tr>
        <w:trPr>
          <w:trHeight w:val="281" w:hRule="atLeast"/>
        </w:trPr>
        <w:tc>
          <w:tcPr>
            <w:tcW w:w="89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41" w:type="dxa"/>
            <w:vAlign w:val="top"/>
          </w:tcPr>
          <w:p>
            <w:pPr>
              <w:pStyle w:val="TableText"/>
              <w:ind w:left="1008"/>
              <w:spacing w:before="65" w:line="222" w:lineRule="auto"/>
              <w:rPr/>
            </w:pPr>
            <w:r>
              <w:rPr>
                <w:color w:val="231F20"/>
                <w:spacing w:val="-2"/>
              </w:rPr>
              <w:t>合计</w:t>
            </w:r>
          </w:p>
        </w:tc>
        <w:tc>
          <w:tcPr>
            <w:tcW w:w="423" w:type="dxa"/>
            <w:vAlign w:val="top"/>
          </w:tcPr>
          <w:p>
            <w:pPr>
              <w:ind w:left="149"/>
              <w:spacing w:before="9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32</w:t>
            </w:r>
          </w:p>
        </w:tc>
        <w:tc>
          <w:tcPr>
            <w:tcW w:w="905" w:type="dxa"/>
            <w:vAlign w:val="top"/>
          </w:tcPr>
          <w:p>
            <w:pPr>
              <w:ind w:left="307"/>
              <w:spacing w:before="9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62.75</w:t>
            </w:r>
          </w:p>
        </w:tc>
      </w:tr>
      <w:tr>
        <w:trPr>
          <w:trHeight w:val="285" w:hRule="atLeast"/>
        </w:trPr>
        <w:tc>
          <w:tcPr>
            <w:tcW w:w="894" w:type="dxa"/>
            <w:vAlign w:val="top"/>
            <w:vMerge w:val="restart"/>
            <w:tcBorders>
              <w:bottom w:val="nil"/>
            </w:tcBorders>
          </w:tcPr>
          <w:p>
            <w:pPr>
              <w:spacing w:line="4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0"/>
              <w:spacing w:before="52" w:line="220" w:lineRule="auto"/>
              <w:rPr/>
            </w:pPr>
            <w:r>
              <w:rPr>
                <w:color w:val="231F20"/>
                <w:spacing w:val="-2"/>
              </w:rPr>
              <w:t>静脉</w:t>
            </w:r>
          </w:p>
        </w:tc>
        <w:tc>
          <w:tcPr>
            <w:tcW w:w="2341" w:type="dxa"/>
            <w:vAlign w:val="top"/>
          </w:tcPr>
          <w:p>
            <w:pPr>
              <w:pStyle w:val="TableText"/>
              <w:ind w:left="527"/>
              <w:spacing w:before="69" w:line="220" w:lineRule="auto"/>
              <w:rPr/>
            </w:pPr>
            <w:r>
              <w:rPr>
                <w:color w:val="231F20"/>
                <w:spacing w:val="-1"/>
              </w:rPr>
              <w:t>注射用头孢唑林钠</w:t>
            </w:r>
          </w:p>
        </w:tc>
        <w:tc>
          <w:tcPr>
            <w:tcW w:w="423" w:type="dxa"/>
            <w:vAlign w:val="top"/>
          </w:tcPr>
          <w:p>
            <w:pPr>
              <w:ind w:left="193"/>
              <w:spacing w:before="98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8</w:t>
            </w:r>
          </w:p>
        </w:tc>
        <w:tc>
          <w:tcPr>
            <w:tcW w:w="905" w:type="dxa"/>
            <w:vAlign w:val="top"/>
          </w:tcPr>
          <w:p>
            <w:pPr>
              <w:ind w:left="319"/>
              <w:spacing w:before="98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3"/>
              </w:rPr>
              <w:t>15.69</w:t>
            </w:r>
          </w:p>
        </w:tc>
      </w:tr>
      <w:tr>
        <w:trPr>
          <w:trHeight w:val="284" w:hRule="atLeast"/>
        </w:trPr>
        <w:tc>
          <w:tcPr>
            <w:tcW w:w="89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41" w:type="dxa"/>
            <w:vAlign w:val="top"/>
          </w:tcPr>
          <w:p>
            <w:pPr>
              <w:pStyle w:val="TableText"/>
              <w:ind w:left="128"/>
              <w:spacing w:before="68" w:line="220" w:lineRule="auto"/>
              <w:rPr/>
            </w:pPr>
            <w:r>
              <w:rPr>
                <w:color w:val="231F20"/>
                <w:spacing w:val="-1"/>
              </w:rPr>
              <w:t>乳酸左氧氟沙星氯化钠注射液</w:t>
            </w:r>
          </w:p>
        </w:tc>
        <w:tc>
          <w:tcPr>
            <w:tcW w:w="423" w:type="dxa"/>
            <w:vAlign w:val="top"/>
          </w:tcPr>
          <w:p>
            <w:pPr>
              <w:ind w:left="190"/>
              <w:spacing w:before="98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6</w:t>
            </w:r>
          </w:p>
        </w:tc>
        <w:tc>
          <w:tcPr>
            <w:tcW w:w="905" w:type="dxa"/>
            <w:vAlign w:val="top"/>
          </w:tcPr>
          <w:p>
            <w:pPr>
              <w:ind w:left="322"/>
              <w:spacing w:before="98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5"/>
              </w:rPr>
              <w:t>11.76</w:t>
            </w:r>
          </w:p>
        </w:tc>
      </w:tr>
      <w:tr>
        <w:trPr>
          <w:trHeight w:val="283" w:hRule="atLeast"/>
        </w:trPr>
        <w:tc>
          <w:tcPr>
            <w:tcW w:w="89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41" w:type="dxa"/>
            <w:vAlign w:val="top"/>
          </w:tcPr>
          <w:p>
            <w:pPr>
              <w:pStyle w:val="TableText"/>
              <w:ind w:left="527"/>
              <w:spacing w:before="70" w:line="220" w:lineRule="auto"/>
              <w:rPr/>
            </w:pPr>
            <w:r>
              <w:rPr>
                <w:color w:val="231F20"/>
                <w:spacing w:val="-1"/>
              </w:rPr>
              <w:t>注射用头孢曲松钠</w:t>
            </w:r>
          </w:p>
        </w:tc>
        <w:tc>
          <w:tcPr>
            <w:tcW w:w="423" w:type="dxa"/>
            <w:vAlign w:val="top"/>
          </w:tcPr>
          <w:p>
            <w:pPr>
              <w:ind w:left="186"/>
              <w:spacing w:before="99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4</w:t>
            </w:r>
          </w:p>
        </w:tc>
        <w:tc>
          <w:tcPr>
            <w:tcW w:w="905" w:type="dxa"/>
            <w:vAlign w:val="top"/>
          </w:tcPr>
          <w:p>
            <w:pPr>
              <w:ind w:left="346"/>
              <w:spacing w:before="99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7.84</w:t>
            </w:r>
          </w:p>
        </w:tc>
      </w:tr>
      <w:tr>
        <w:trPr>
          <w:trHeight w:val="284" w:hRule="atLeast"/>
        </w:trPr>
        <w:tc>
          <w:tcPr>
            <w:tcW w:w="894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41" w:type="dxa"/>
            <w:vAlign w:val="top"/>
          </w:tcPr>
          <w:p>
            <w:pPr>
              <w:pStyle w:val="TableText"/>
              <w:ind w:left="468"/>
              <w:spacing w:before="71" w:line="221" w:lineRule="auto"/>
              <w:rPr/>
            </w:pPr>
            <w:r>
              <w:rPr>
                <w:color w:val="231F20"/>
                <w:spacing w:val="-3"/>
              </w:rPr>
              <w:t>甲硝唑氯化钠注射液</w:t>
            </w:r>
          </w:p>
        </w:tc>
        <w:tc>
          <w:tcPr>
            <w:tcW w:w="423" w:type="dxa"/>
            <w:vAlign w:val="top"/>
          </w:tcPr>
          <w:p>
            <w:pPr>
              <w:ind w:left="202"/>
              <w:spacing w:before="10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1</w:t>
            </w:r>
          </w:p>
        </w:tc>
        <w:tc>
          <w:tcPr>
            <w:tcW w:w="905" w:type="dxa"/>
            <w:vAlign w:val="top"/>
          </w:tcPr>
          <w:p>
            <w:pPr>
              <w:ind w:left="359"/>
              <w:spacing w:before="10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4"/>
              </w:rPr>
              <w:t>1.96</w:t>
            </w:r>
          </w:p>
        </w:tc>
      </w:tr>
      <w:tr>
        <w:trPr>
          <w:trHeight w:val="289" w:hRule="atLeast"/>
        </w:trPr>
        <w:tc>
          <w:tcPr>
            <w:tcW w:w="894" w:type="dxa"/>
            <w:vAlign w:val="top"/>
            <w:vMerge w:val="continue"/>
            <w:tcBorders>
              <w:bottom w:val="single" w:color="231F20" w:sz="4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41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1008"/>
              <w:spacing w:before="72" w:line="222" w:lineRule="auto"/>
              <w:rPr/>
            </w:pPr>
            <w:r>
              <w:rPr>
                <w:color w:val="231F20"/>
                <w:spacing w:val="-2"/>
              </w:rPr>
              <w:t>合计</w:t>
            </w:r>
          </w:p>
        </w:tc>
        <w:tc>
          <w:tcPr>
            <w:tcW w:w="423" w:type="dxa"/>
            <w:vAlign w:val="top"/>
            <w:tcBorders>
              <w:bottom w:val="single" w:color="231F20" w:sz="4" w:space="0"/>
            </w:tcBorders>
          </w:tcPr>
          <w:p>
            <w:pPr>
              <w:ind w:left="162"/>
              <w:spacing w:before="10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5"/>
              </w:rPr>
              <w:t>19</w:t>
            </w:r>
          </w:p>
        </w:tc>
        <w:tc>
          <w:tcPr>
            <w:tcW w:w="905" w:type="dxa"/>
            <w:vAlign w:val="top"/>
            <w:tcBorders>
              <w:bottom w:val="single" w:color="231F20" w:sz="4" w:space="0"/>
            </w:tcBorders>
          </w:tcPr>
          <w:p>
            <w:pPr>
              <w:ind w:left="307"/>
              <w:spacing w:before="101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37.25</w:t>
            </w:r>
          </w:p>
        </w:tc>
      </w:tr>
    </w:tbl>
    <w:p>
      <w:pPr>
        <w:pStyle w:val="BodyText"/>
        <w:ind w:left="1873"/>
        <w:spacing w:before="209" w:line="241" w:lineRule="auto"/>
        <w:outlineLvl w:val="2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表</w:t>
      </w:r>
      <w:r>
        <w:rPr>
          <w:rFonts w:ascii="SimHei" w:hAnsi="SimHei" w:eastAsia="SimHei" w:cs="SimHei"/>
          <w:sz w:val="17"/>
          <w:szCs w:val="17"/>
          <w:color w:val="231F20"/>
          <w:spacing w:val="-31"/>
        </w:rPr>
        <w:t xml:space="preserve"> </w:t>
      </w:r>
      <w:r>
        <w:rPr>
          <w:sz w:val="17"/>
          <w:szCs w:val="17"/>
          <w:b/>
          <w:bCs/>
          <w:color w:val="231F20"/>
          <w:spacing w:val="-1"/>
        </w:rPr>
        <w:t>4    </w:t>
      </w:r>
      <w:r>
        <w:rPr>
          <w:rFonts w:ascii="SimHei" w:hAnsi="SimHei" w:eastAsia="SimHei" w:cs="SimHei"/>
          <w:sz w:val="17"/>
          <w:szCs w:val="17"/>
          <w:color w:val="231F20"/>
          <w:spacing w:val="-1"/>
        </w:rPr>
        <w:t>急性胃肠炎实验室检查情况</w:t>
      </w:r>
    </w:p>
    <w:p>
      <w:pPr>
        <w:spacing w:line="11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563" w:type="dxa"/>
        <w:tblInd w:w="83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94"/>
        <w:gridCol w:w="992"/>
        <w:gridCol w:w="930"/>
        <w:gridCol w:w="1647"/>
      </w:tblGrid>
      <w:tr>
        <w:trPr>
          <w:trHeight w:val="289" w:hRule="atLeast"/>
        </w:trPr>
        <w:tc>
          <w:tcPr>
            <w:tcW w:w="99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6"/>
              <w:spacing w:before="63" w:line="220" w:lineRule="auto"/>
              <w:rPr/>
            </w:pPr>
            <w:r>
              <w:rPr>
                <w:color w:val="231F20"/>
                <w:spacing w:val="-2"/>
              </w:rPr>
              <w:t>检测项目</w:t>
            </w:r>
          </w:p>
        </w:tc>
        <w:tc>
          <w:tcPr>
            <w:tcW w:w="992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94"/>
              <w:spacing w:before="63" w:line="220" w:lineRule="auto"/>
              <w:rPr/>
            </w:pPr>
            <w:r>
              <w:rPr>
                <w:color w:val="231F20"/>
                <w:spacing w:val="-2"/>
              </w:rPr>
              <w:t>检查人数</w:t>
            </w:r>
          </w:p>
        </w:tc>
        <w:tc>
          <w:tcPr>
            <w:tcW w:w="930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70"/>
              <w:spacing w:before="63" w:line="220" w:lineRule="auto"/>
              <w:rPr/>
            </w:pPr>
            <w:r>
              <w:rPr>
                <w:color w:val="231F20"/>
                <w:spacing w:val="-2"/>
              </w:rPr>
              <w:t>结果异常</w:t>
            </w:r>
          </w:p>
        </w:tc>
        <w:tc>
          <w:tcPr>
            <w:tcW w:w="164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139"/>
              <w:spacing w:before="63" w:line="220" w:lineRule="auto"/>
              <w:rPr/>
            </w:pPr>
            <w:r>
              <w:rPr>
                <w:color w:val="231F20"/>
                <w:spacing w:val="-1"/>
              </w:rPr>
              <w:t>检查人数占比（</w:t>
            </w:r>
            <w:r>
              <w:rPr>
                <w:rFonts w:ascii="Times New Roman" w:hAnsi="Times New Roman" w:eastAsia="Times New Roman" w:cs="Times New Roman"/>
                <w:color w:val="231F20"/>
                <w:spacing w:val="-1"/>
              </w:rPr>
              <w:t>%</w:t>
            </w:r>
            <w:r>
              <w:rPr>
                <w:color w:val="231F20"/>
                <w:spacing w:val="-1"/>
              </w:rPr>
              <w:t>）</w:t>
            </w:r>
          </w:p>
        </w:tc>
      </w:tr>
      <w:tr>
        <w:trPr>
          <w:trHeight w:val="300" w:hRule="atLeast"/>
        </w:trPr>
        <w:tc>
          <w:tcPr>
            <w:tcW w:w="99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77"/>
              <w:spacing w:before="65" w:line="221" w:lineRule="auto"/>
              <w:rPr/>
            </w:pPr>
            <w:r>
              <w:rPr>
                <w:color w:val="231F20"/>
                <w:spacing w:val="-2"/>
              </w:rPr>
              <w:t>血常规</w:t>
            </w:r>
          </w:p>
        </w:tc>
        <w:tc>
          <w:tcPr>
            <w:tcW w:w="992" w:type="dxa"/>
            <w:vAlign w:val="top"/>
            <w:tcBorders>
              <w:top w:val="single" w:color="231F20" w:sz="2" w:space="0"/>
            </w:tcBorders>
          </w:tcPr>
          <w:p>
            <w:pPr>
              <w:ind w:left="431"/>
              <w:spacing w:before="9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21</w:t>
            </w:r>
          </w:p>
        </w:tc>
        <w:tc>
          <w:tcPr>
            <w:tcW w:w="930" w:type="dxa"/>
            <w:vAlign w:val="top"/>
            <w:tcBorders>
              <w:top w:val="single" w:color="231F20" w:sz="2" w:space="0"/>
            </w:tcBorders>
          </w:tcPr>
          <w:p>
            <w:pPr>
              <w:ind w:left="448"/>
              <w:spacing w:before="96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5</w:t>
            </w:r>
          </w:p>
        </w:tc>
        <w:tc>
          <w:tcPr>
            <w:tcW w:w="1647" w:type="dxa"/>
            <w:vAlign w:val="top"/>
            <w:tcBorders>
              <w:top w:val="single" w:color="231F20" w:sz="2" w:space="0"/>
            </w:tcBorders>
          </w:tcPr>
          <w:p>
            <w:pPr>
              <w:ind w:left="663"/>
              <w:spacing w:before="94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23.81</w:t>
            </w:r>
          </w:p>
        </w:tc>
      </w:tr>
      <w:tr>
        <w:trPr>
          <w:trHeight w:val="277" w:hRule="atLeast"/>
        </w:trPr>
        <w:tc>
          <w:tcPr>
            <w:tcW w:w="994" w:type="dxa"/>
            <w:vAlign w:val="top"/>
          </w:tcPr>
          <w:p>
            <w:pPr>
              <w:ind w:left="367"/>
              <w:spacing w:before="88" w:line="188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CRP</w:t>
            </w:r>
          </w:p>
        </w:tc>
        <w:tc>
          <w:tcPr>
            <w:tcW w:w="992" w:type="dxa"/>
            <w:vAlign w:val="top"/>
          </w:tcPr>
          <w:p>
            <w:pPr>
              <w:ind w:left="450"/>
              <w:spacing w:before="90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11</w:t>
            </w:r>
          </w:p>
        </w:tc>
        <w:tc>
          <w:tcPr>
            <w:tcW w:w="930" w:type="dxa"/>
            <w:vAlign w:val="top"/>
          </w:tcPr>
          <w:p>
            <w:pPr>
              <w:ind w:left="446"/>
              <w:spacing w:before="92" w:line="183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7</w:t>
            </w:r>
          </w:p>
        </w:tc>
        <w:tc>
          <w:tcPr>
            <w:tcW w:w="1647" w:type="dxa"/>
            <w:vAlign w:val="top"/>
          </w:tcPr>
          <w:p>
            <w:pPr>
              <w:ind w:left="667"/>
              <w:spacing w:before="90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63.64</w:t>
            </w:r>
          </w:p>
        </w:tc>
      </w:tr>
      <w:tr>
        <w:trPr>
          <w:trHeight w:val="300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295"/>
              <w:spacing w:before="80" w:line="221" w:lineRule="auto"/>
              <w:rPr/>
            </w:pPr>
            <w:r>
              <w:rPr>
                <w:color w:val="231F20"/>
                <w:spacing w:val="-6"/>
              </w:rPr>
              <w:t>电解质</w:t>
            </w:r>
          </w:p>
        </w:tc>
        <w:tc>
          <w:tcPr>
            <w:tcW w:w="992" w:type="dxa"/>
            <w:vAlign w:val="top"/>
          </w:tcPr>
          <w:p>
            <w:pPr>
              <w:ind w:left="450"/>
              <w:spacing w:before="109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7"/>
              </w:rPr>
              <w:t>11</w:t>
            </w:r>
          </w:p>
        </w:tc>
        <w:tc>
          <w:tcPr>
            <w:tcW w:w="930" w:type="dxa"/>
            <w:vAlign w:val="top"/>
          </w:tcPr>
          <w:p>
            <w:pPr>
              <w:ind w:left="446"/>
              <w:spacing w:before="109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3</w:t>
            </w:r>
          </w:p>
        </w:tc>
        <w:tc>
          <w:tcPr>
            <w:tcW w:w="1647" w:type="dxa"/>
            <w:vAlign w:val="top"/>
          </w:tcPr>
          <w:p>
            <w:pPr>
              <w:ind w:left="663"/>
              <w:spacing w:before="109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27.27</w:t>
            </w:r>
          </w:p>
        </w:tc>
      </w:tr>
      <w:tr>
        <w:trPr>
          <w:trHeight w:val="295" w:hRule="atLeast"/>
        </w:trPr>
        <w:tc>
          <w:tcPr>
            <w:tcW w:w="994" w:type="dxa"/>
            <w:vAlign w:val="top"/>
          </w:tcPr>
          <w:p>
            <w:pPr>
              <w:pStyle w:val="TableText"/>
              <w:ind w:left="278"/>
              <w:spacing w:before="76" w:line="220" w:lineRule="auto"/>
              <w:rPr/>
            </w:pPr>
            <w:r>
              <w:rPr>
                <w:color w:val="231F20"/>
                <w:spacing w:val="-2"/>
              </w:rPr>
              <w:t>粪常规</w:t>
            </w:r>
          </w:p>
        </w:tc>
        <w:tc>
          <w:tcPr>
            <w:tcW w:w="992" w:type="dxa"/>
            <w:vAlign w:val="top"/>
          </w:tcPr>
          <w:p>
            <w:pPr>
              <w:ind w:left="471"/>
              <w:spacing w:before="10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4</w:t>
            </w:r>
          </w:p>
        </w:tc>
        <w:tc>
          <w:tcPr>
            <w:tcW w:w="930" w:type="dxa"/>
            <w:vAlign w:val="top"/>
          </w:tcPr>
          <w:p>
            <w:pPr>
              <w:ind w:left="443"/>
              <w:spacing w:before="10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</w:rPr>
              <w:t>2</w:t>
            </w:r>
          </w:p>
        </w:tc>
        <w:tc>
          <w:tcPr>
            <w:tcW w:w="1647" w:type="dxa"/>
            <w:vAlign w:val="top"/>
          </w:tcPr>
          <w:p>
            <w:pPr>
              <w:ind w:left="667"/>
              <w:spacing w:before="105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50.00</w:t>
            </w:r>
          </w:p>
        </w:tc>
      </w:tr>
      <w:tr>
        <w:trPr>
          <w:trHeight w:val="300" w:hRule="atLeast"/>
        </w:trPr>
        <w:tc>
          <w:tcPr>
            <w:tcW w:w="99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57"/>
              <w:spacing w:before="76" w:line="222" w:lineRule="auto"/>
              <w:rPr/>
            </w:pPr>
            <w:r>
              <w:rPr>
                <w:color w:val="231F20"/>
                <w:spacing w:val="-2"/>
              </w:rPr>
              <w:t>合计</w:t>
            </w:r>
          </w:p>
        </w:tc>
        <w:tc>
          <w:tcPr>
            <w:tcW w:w="992" w:type="dxa"/>
            <w:vAlign w:val="top"/>
            <w:tcBorders>
              <w:bottom w:val="single" w:color="231F20" w:sz="4" w:space="0"/>
            </w:tcBorders>
          </w:tcPr>
          <w:p>
            <w:pPr>
              <w:ind w:left="431"/>
              <w:spacing w:before="106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1"/>
              </w:rPr>
              <w:t>47</w:t>
            </w:r>
          </w:p>
        </w:tc>
        <w:tc>
          <w:tcPr>
            <w:tcW w:w="930" w:type="dxa"/>
            <w:vAlign w:val="top"/>
            <w:tcBorders>
              <w:bottom w:val="single" w:color="231F20" w:sz="4" w:space="0"/>
            </w:tcBorders>
          </w:tcPr>
          <w:p>
            <w:pPr>
              <w:ind w:left="419"/>
              <w:spacing w:before="106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5"/>
              </w:rPr>
              <w:t>17</w:t>
            </w:r>
          </w:p>
        </w:tc>
        <w:tc>
          <w:tcPr>
            <w:tcW w:w="1647" w:type="dxa"/>
            <w:vAlign w:val="top"/>
            <w:tcBorders>
              <w:bottom w:val="single" w:color="231F20" w:sz="4" w:space="0"/>
            </w:tcBorders>
          </w:tcPr>
          <w:p>
            <w:pPr>
              <w:ind w:left="667"/>
              <w:spacing w:before="106" w:line="186" w:lineRule="auto"/>
              <w:rPr>
                <w:rFonts w:ascii="Times New Roman" w:hAnsi="Times New Roman" w:eastAsia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231F20"/>
                <w:spacing w:val="-2"/>
              </w:rPr>
              <w:t>36.17</w:t>
            </w:r>
          </w:p>
        </w:tc>
      </w:tr>
    </w:tbl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844"/>
        <w:spacing w:before="65" w:line="24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2.6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急性胃肠炎不合理处方情况</w:t>
      </w:r>
    </w:p>
    <w:p>
      <w:pPr>
        <w:pStyle w:val="BodyText"/>
        <w:ind w:left="843" w:right="355" w:firstLine="404"/>
        <w:spacing w:before="91" w:line="293" w:lineRule="auto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4"/>
        </w:rPr>
        <w:t>143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份急性胃肠炎处方中不合理处方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4"/>
        </w:rPr>
        <w:t>20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份，合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格率为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2"/>
        </w:rPr>
        <w:t>86.01%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。其中用法不适宜</w:t>
      </w:r>
      <w:r>
        <w:rPr>
          <w:rFonts w:ascii="SimSun" w:hAnsi="SimSun" w:eastAsia="SimSun" w:cs="SimSun"/>
          <w:sz w:val="20"/>
          <w:szCs w:val="20"/>
          <w:color w:val="231F20"/>
          <w:spacing w:val="-27"/>
        </w:rPr>
        <w:t xml:space="preserve"> </w:t>
      </w:r>
      <w:r>
        <w:rPr>
          <w:sz w:val="20"/>
          <w:szCs w:val="20"/>
          <w:color w:val="231F20"/>
          <w:spacing w:val="-2"/>
        </w:rPr>
        <w:t>11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份，占不合理处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方数的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55.00% </w:t>
      </w:r>
      <w:r>
        <w:rPr>
          <w:rFonts w:ascii="SimSun" w:hAnsi="SimSun" w:eastAsia="SimSun" w:cs="SimSun"/>
          <w:sz w:val="20"/>
          <w:szCs w:val="20"/>
          <w:color w:val="231F20"/>
        </w:rPr>
        <w:t>；遴选的药品不适宜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</w:rPr>
        <w:t>7 </w:t>
      </w:r>
      <w:r>
        <w:rPr>
          <w:rFonts w:ascii="SimSun" w:hAnsi="SimSun" w:eastAsia="SimSun" w:cs="SimSun"/>
          <w:sz w:val="20"/>
          <w:szCs w:val="20"/>
          <w:color w:val="231F20"/>
        </w:rPr>
        <w:t>份，占不合理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处方数的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sz w:val="20"/>
          <w:szCs w:val="20"/>
          <w:color w:val="231F20"/>
          <w:spacing w:val="1"/>
        </w:rPr>
        <w:t>35.00%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；超医保范围用药</w:t>
      </w:r>
      <w:r>
        <w:rPr>
          <w:rFonts w:ascii="SimSun" w:hAnsi="SimSun" w:eastAsia="SimSun" w:cs="SimSun"/>
          <w:sz w:val="20"/>
          <w:szCs w:val="20"/>
          <w:color w:val="231F20"/>
          <w:spacing w:val="-44"/>
        </w:rPr>
        <w:t xml:space="preserve"> </w:t>
      </w:r>
      <w:r>
        <w:rPr>
          <w:sz w:val="20"/>
          <w:szCs w:val="20"/>
          <w:color w:val="231F20"/>
          <w:spacing w:val="1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份</w:t>
      </w:r>
      <w:r>
        <w:rPr>
          <w:rFonts w:ascii="SimSun" w:hAnsi="SimSun" w:eastAsia="SimSun" w:cs="SimSun"/>
          <w:sz w:val="20"/>
          <w:szCs w:val="20"/>
          <w:color w:val="231F20"/>
        </w:rPr>
        <w:t>，占不合理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处方数的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-3"/>
        </w:rPr>
        <w:t>10.00%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。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pStyle w:val="BodyText"/>
        <w:ind w:left="843"/>
        <w:spacing w:before="78" w:line="317" w:lineRule="exact"/>
        <w:outlineLvl w:val="0"/>
        <w:rPr>
          <w:rFonts w:ascii="SimHei" w:hAnsi="SimHei" w:eastAsia="SimHei" w:cs="SimHei"/>
          <w:sz w:val="24"/>
          <w:szCs w:val="24"/>
        </w:rPr>
      </w:pPr>
      <w:r>
        <w:rPr>
          <w:sz w:val="24"/>
          <w:szCs w:val="24"/>
          <w:b/>
          <w:bCs/>
          <w:color w:val="231F20"/>
          <w:spacing w:val="-3"/>
          <w:position w:val="1"/>
        </w:rPr>
        <w:t>3</w:t>
      </w:r>
      <w:r>
        <w:rPr>
          <w:sz w:val="24"/>
          <w:szCs w:val="24"/>
          <w:b/>
          <w:bCs/>
          <w:color w:val="231F20"/>
          <w:spacing w:val="1"/>
          <w:position w:val="1"/>
        </w:rPr>
        <w:t xml:space="preserve">    </w:t>
      </w:r>
      <w:r>
        <w:rPr>
          <w:rFonts w:ascii="SimHei" w:hAnsi="SimHei" w:eastAsia="SimHei" w:cs="SimHei"/>
          <w:sz w:val="24"/>
          <w:szCs w:val="24"/>
          <w:color w:val="231F20"/>
          <w:spacing w:val="-3"/>
          <w:position w:val="1"/>
        </w:rPr>
        <w:t>讨论</w:t>
      </w:r>
    </w:p>
    <w:p>
      <w:pPr>
        <w:pStyle w:val="BodyText"/>
        <w:ind w:left="842"/>
        <w:spacing w:before="24" w:line="24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</w:rPr>
        <w:t>3.1    </w:t>
      </w:r>
      <w:r>
        <w:rPr>
          <w:rFonts w:ascii="SimHei" w:hAnsi="SimHei" w:eastAsia="SimHei" w:cs="SimHei"/>
          <w:sz w:val="20"/>
          <w:szCs w:val="20"/>
          <w:color w:val="231F20"/>
        </w:rPr>
        <w:t>急性胃肠炎常用药物联合使用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注意事项</w:t>
      </w:r>
    </w:p>
    <w:p>
      <w:pPr>
        <w:pStyle w:val="BodyText"/>
        <w:ind w:left="842" w:right="275" w:firstLine="385"/>
        <w:spacing w:before="86" w:line="31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本研究结果显示，急性胃肠炎使用药物有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</w:rPr>
        <w:t>PPI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益生菌、抗菌药、止泻药等，其中抗菌药物、益生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菌类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[7]</w:t>
      </w:r>
      <w:r>
        <w:rPr>
          <w:rFonts w:ascii="SimSun" w:hAnsi="SimSun" w:eastAsia="SimSun" w:cs="SimSun"/>
          <w:sz w:val="20"/>
          <w:szCs w:val="20"/>
          <w:color w:val="231F20"/>
          <w:spacing w:val="-20"/>
        </w:rPr>
        <w:t>、蒙脱石散</w:t>
      </w:r>
      <w:r>
        <w:rPr>
          <w:rFonts w:ascii="SimSun" w:hAnsi="SimSun" w:eastAsia="SimSun" w:cs="SimSun"/>
          <w:sz w:val="20"/>
          <w:szCs w:val="20"/>
          <w:color w:val="231F20"/>
          <w:spacing w:val="-60"/>
        </w:rPr>
        <w:t xml:space="preserve"> </w:t>
      </w:r>
      <w:r>
        <w:rPr>
          <w:sz w:val="11"/>
          <w:szCs w:val="11"/>
          <w:color w:val="231F20"/>
          <w:spacing w:val="-2"/>
          <w:position w:val="8"/>
        </w:rPr>
        <w:t>[8]</w:t>
      </w:r>
      <w:r>
        <w:rPr>
          <w:sz w:val="11"/>
          <w:szCs w:val="11"/>
          <w:color w:val="231F20"/>
          <w:spacing w:val="8"/>
          <w:w w:val="103"/>
          <w:position w:val="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在急性胃肠炎中发挥着重要作用，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临床上常见三类药物联合使用，但蒙脱石散具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有吸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附性，会与其他药物产生相互作用，而抗菌药会减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弱益生菌的疗效，故遇到三类药同时使用时，应交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代患者先服用抗菌药，再服蒙脱石散，最后服用益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生菌制剂，并且每两种药物服用时间至少间隔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</w:rPr>
        <w:t>2 h</w:t>
      </w:r>
      <w:r>
        <w:rPr>
          <w:sz w:val="11"/>
          <w:szCs w:val="11"/>
          <w:color w:val="231F20"/>
          <w:position w:val="9"/>
        </w:rPr>
        <w:t>[9]</w:t>
      </w:r>
      <w:r>
        <w:rPr>
          <w:rFonts w:ascii="SimSun" w:hAnsi="SimSun" w:eastAsia="SimSun" w:cs="SimSun"/>
          <w:sz w:val="20"/>
          <w:szCs w:val="20"/>
          <w:color w:val="231F20"/>
        </w:rPr>
        <w:t>。</w:t>
      </w:r>
    </w:p>
    <w:p>
      <w:pPr>
        <w:pStyle w:val="BodyText"/>
        <w:ind w:left="842"/>
        <w:spacing w:line="241" w:lineRule="auto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3.2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给药方式分析</w:t>
      </w:r>
    </w:p>
    <w:p>
      <w:pPr>
        <w:pStyle w:val="BodyText"/>
        <w:ind w:left="843" w:right="355" w:firstLine="384"/>
        <w:spacing w:before="94" w:line="29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本研究中急性胃肠炎的给药方式主要以口服为</w:t>
      </w:r>
      <w:r>
        <w:rPr>
          <w:rFonts w:ascii="SimSun" w:hAnsi="SimSun" w:eastAsia="SimSun" w:cs="SimSun"/>
          <w:sz w:val="20"/>
          <w:szCs w:val="20"/>
          <w:color w:val="231F20"/>
          <w:spacing w:val="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主，占比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 xml:space="preserve"> </w:t>
      </w:r>
      <w:r>
        <w:rPr>
          <w:sz w:val="20"/>
          <w:szCs w:val="20"/>
          <w:color w:val="231F20"/>
          <w:spacing w:val="2"/>
        </w:rPr>
        <w:t>73.43%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，符合能口服就不肌注，能肌注就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不静脉给药的原则。静脉给药虽然起效迅速，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但由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于其对患者造成痛苦、不良反应发生率高</w:t>
      </w:r>
      <w:r>
        <w:rPr>
          <w:rFonts w:ascii="SimSun" w:hAnsi="SimSun" w:eastAsia="SimSun" w:cs="SimSun"/>
          <w:sz w:val="20"/>
          <w:szCs w:val="20"/>
          <w:color w:val="231F20"/>
          <w:spacing w:val="-15"/>
        </w:rPr>
        <w:t xml:space="preserve"> </w:t>
      </w:r>
      <w:r>
        <w:rPr>
          <w:sz w:val="11"/>
          <w:szCs w:val="11"/>
          <w:color w:val="231F20"/>
          <w:spacing w:val="9"/>
          <w:position w:val="9"/>
        </w:rPr>
        <w:t>[10]  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>等缺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点，所以应严格掌握静脉给药的适应证。急性胃肠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6" w:firstLine="2"/>
        <w:spacing w:before="50" w:line="312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炎因呕吐、腹泻症状明显，易发生脱水、酸碱失衡、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电解质紊乱等，严重者可致休克或死亡，因此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补液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治疗尤为重要。应根据患者皮肤的干燥程度和弹性、</w:t>
      </w:r>
      <w:r>
        <w:rPr>
          <w:rFonts w:ascii="SimSun" w:hAnsi="SimSun" w:eastAsia="SimSun" w:cs="SimSun"/>
          <w:sz w:val="20"/>
          <w:szCs w:val="20"/>
          <w:color w:val="231F20"/>
          <w:spacing w:val="1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是否有眼泪、眼球是否凹陷、脉搏、血压等情况进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行评估</w:t>
      </w:r>
      <w:r>
        <w:rPr>
          <w:rFonts w:ascii="SimSun" w:hAnsi="SimSun" w:eastAsia="SimSun" w:cs="SimSun"/>
          <w:sz w:val="20"/>
          <w:szCs w:val="20"/>
          <w:color w:val="231F20"/>
          <w:spacing w:val="-38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[11]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，选择合适的给药方式。对于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预防脱水的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轻度患者，可选用口服给药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；静脉补液推荐用于中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重度腹泻者。</w:t>
      </w:r>
    </w:p>
    <w:p>
      <w:pPr>
        <w:pStyle w:val="BodyText"/>
        <w:spacing w:line="24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3.3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使用药物分析</w:t>
      </w:r>
    </w:p>
    <w:p>
      <w:pPr>
        <w:pStyle w:val="BodyText"/>
        <w:ind w:firstLine="386"/>
        <w:spacing w:before="95" w:line="31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</w:rPr>
        <w:t>PPI</w:t>
      </w:r>
      <w:r>
        <w:rPr>
          <w:sz w:val="20"/>
          <w:szCs w:val="20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能减少胃酸的分泌，从而减轻黏膜的炎症，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但未见急性胃肠炎相关指南及规范中推荐使用质子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泵抑制剂，故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-2"/>
        </w:rPr>
        <w:t>PPI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在急性胃肠炎中使用的必要性有待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商榷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[3</w:t>
      </w:r>
      <w:r>
        <w:rPr>
          <w:sz w:val="11"/>
          <w:szCs w:val="11"/>
          <w:color w:val="231F20"/>
          <w:spacing w:val="-8"/>
          <w:position w:val="9"/>
        </w:rPr>
        <w:t xml:space="preserve"> </w:t>
      </w:r>
      <w:r>
        <w:rPr>
          <w:rFonts w:ascii="SimSun" w:hAnsi="SimSun" w:eastAsia="SimSun" w:cs="SimSun"/>
          <w:sz w:val="11"/>
          <w:szCs w:val="11"/>
          <w:color w:val="231F20"/>
          <w:spacing w:val="-2"/>
          <w:position w:val="9"/>
        </w:rPr>
        <w:t>，</w:t>
      </w:r>
      <w:r>
        <w:rPr>
          <w:sz w:val="11"/>
          <w:szCs w:val="11"/>
          <w:color w:val="231F20"/>
          <w:spacing w:val="-2"/>
          <w:position w:val="9"/>
        </w:rPr>
        <w:t>4]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。本研究中有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sz w:val="20"/>
          <w:szCs w:val="20"/>
          <w:color w:val="231F20"/>
          <w:spacing w:val="-2"/>
        </w:rPr>
        <w:t>97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例使用</w:t>
      </w:r>
      <w:r>
        <w:rPr>
          <w:rFonts w:ascii="SimSun" w:hAnsi="SimSun" w:eastAsia="SimSun" w:cs="SimSun"/>
          <w:sz w:val="20"/>
          <w:szCs w:val="20"/>
          <w:color w:val="231F20"/>
          <w:spacing w:val="-47"/>
        </w:rPr>
        <w:t xml:space="preserve"> </w:t>
      </w:r>
      <w:r>
        <w:rPr>
          <w:sz w:val="20"/>
          <w:szCs w:val="20"/>
          <w:color w:val="231F20"/>
          <w:spacing w:val="-2"/>
        </w:rPr>
        <w:t>PPI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，占比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-2"/>
        </w:rPr>
        <w:t>67.83%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其中使用最多的艾普拉唑肠溶片，使用</w:t>
      </w:r>
      <w:r>
        <w:rPr>
          <w:rFonts w:ascii="SimSun" w:hAnsi="SimSun" w:eastAsia="SimSun" w:cs="SimSun"/>
          <w:sz w:val="20"/>
          <w:szCs w:val="20"/>
          <w:color w:val="231F20"/>
          <w:spacing w:val="-19"/>
        </w:rPr>
        <w:t xml:space="preserve"> </w:t>
      </w:r>
      <w:r>
        <w:rPr>
          <w:sz w:val="20"/>
          <w:szCs w:val="20"/>
          <w:color w:val="231F20"/>
          <w:spacing w:val="1"/>
        </w:rPr>
        <w:t>71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例，占使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用质子泵抑制剂的</w:t>
      </w:r>
      <w:r>
        <w:rPr>
          <w:rFonts w:ascii="SimSun" w:hAnsi="SimSun" w:eastAsia="SimSun" w:cs="SimSun"/>
          <w:sz w:val="20"/>
          <w:szCs w:val="20"/>
          <w:color w:val="231F20"/>
          <w:spacing w:val="-43"/>
        </w:rPr>
        <w:t xml:space="preserve"> </w:t>
      </w:r>
      <w:r>
        <w:rPr>
          <w:sz w:val="20"/>
          <w:szCs w:val="20"/>
          <w:color w:val="231F20"/>
          <w:spacing w:val="-4"/>
        </w:rPr>
        <w:t>73.2%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。艾普拉唑肠溶片（壹丽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安）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为非国家基本药物、非国家带量或省带量品种，且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价格较高，是奥美拉唑肠溶胶囊的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  <w:spacing w:val="1"/>
        </w:rPr>
        <w:t>62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倍，是泮托拉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唑钠肠溶片的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20"/>
          <w:szCs w:val="20"/>
          <w:color w:val="231F20"/>
          <w:spacing w:val="-5"/>
        </w:rPr>
        <w:t>11.56</w:t>
      </w:r>
      <w:r>
        <w:rPr>
          <w:sz w:val="20"/>
          <w:szCs w:val="20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倍。我院质子泵抑制剂品种齐全，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口服的有</w:t>
      </w:r>
      <w:r>
        <w:rPr>
          <w:rFonts w:ascii="SimSun" w:hAnsi="SimSun" w:eastAsia="SimSun" w:cs="SimSun"/>
          <w:sz w:val="20"/>
          <w:szCs w:val="20"/>
          <w:color w:val="231F20"/>
          <w:spacing w:val="-28"/>
        </w:rPr>
        <w:t xml:space="preserve"> </w:t>
      </w:r>
      <w:r>
        <w:rPr>
          <w:sz w:val="20"/>
          <w:szCs w:val="20"/>
          <w:color w:val="231F20"/>
          <w:spacing w:val="3"/>
        </w:rPr>
        <w:t>5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种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：艾普拉唑肠溶片、奥美拉唑肠溶胶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囊、泮托拉唑钠肠溶片、艾司奥美拉唑镁肠溶胶囊、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雷贝拉唑钠肠溶片，其中奥美拉唑肠溶胶囊既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是带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量品种，又是国家基本药物，而泮托拉唑钠肠溶片、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艾司奥美拉唑镁肠溶胶囊、雷贝拉唑钠肠溶片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为带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量品种。从国家政策上，带量品种必须按时完成任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务量，另外，公立医院考核对基本药物的品种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数及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使用金额占比等都有具体的规定。无论从国家政策，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还是减轻患者的经济负担，均建议优先选择国家基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本药物或带量品种的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sz w:val="20"/>
          <w:szCs w:val="20"/>
          <w:color w:val="231F20"/>
          <w:spacing w:val="-2"/>
        </w:rPr>
        <w:t>PPI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制剂。</w:t>
      </w:r>
    </w:p>
    <w:p>
      <w:pPr>
        <w:pStyle w:val="BodyText"/>
        <w:spacing w:before="1" w:line="24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2"/>
        </w:rPr>
        <w:t>3.4</w:t>
      </w:r>
      <w:r>
        <w:rPr>
          <w:sz w:val="20"/>
          <w:szCs w:val="20"/>
          <w:b/>
          <w:bCs/>
          <w:color w:val="231F20"/>
          <w:spacing w:val="4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实验室检查分析</w:t>
      </w:r>
    </w:p>
    <w:p>
      <w:pPr>
        <w:pStyle w:val="BodyText"/>
        <w:ind w:right="1" w:firstLine="386"/>
        <w:spacing w:before="85" w:line="31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本研究结果显示，急性胃肠炎抗菌药的使用率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为</w:t>
      </w:r>
      <w:r>
        <w:rPr>
          <w:rFonts w:ascii="SimSun" w:hAnsi="SimSun" w:eastAsia="SimSun" w:cs="SimSun"/>
          <w:sz w:val="20"/>
          <w:szCs w:val="20"/>
          <w:color w:val="231F20"/>
          <w:spacing w:val="-39"/>
        </w:rPr>
        <w:t xml:space="preserve"> </w:t>
      </w:r>
      <w:r>
        <w:rPr>
          <w:sz w:val="20"/>
          <w:szCs w:val="20"/>
          <w:color w:val="231F20"/>
          <w:spacing w:val="3"/>
        </w:rPr>
        <w:t>35.66%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，低于湖北省社区调查的急性胃肠炎抗菌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药的使用率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20"/>
          <w:szCs w:val="20"/>
          <w:color w:val="231F20"/>
          <w:spacing w:val="5"/>
        </w:rPr>
        <w:t>50%</w:t>
      </w:r>
      <w:r>
        <w:rPr>
          <w:rFonts w:ascii="SimSun" w:hAnsi="SimSun" w:eastAsia="SimSun" w:cs="SimSun"/>
          <w:sz w:val="20"/>
          <w:szCs w:val="20"/>
          <w:color w:val="231F20"/>
          <w:spacing w:val="5"/>
        </w:rPr>
        <w:t>，但明显高于美国的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sz w:val="20"/>
          <w:szCs w:val="20"/>
          <w:color w:val="231F20"/>
          <w:spacing w:val="5"/>
        </w:rPr>
        <w:t>10%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左右</w:t>
      </w:r>
      <w:r>
        <w:rPr>
          <w:rFonts w:ascii="SimSun" w:hAnsi="SimSun" w:eastAsia="SimSun" w:cs="SimSun"/>
          <w:sz w:val="20"/>
          <w:szCs w:val="20"/>
          <w:color w:val="231F20"/>
          <w:spacing w:val="-37"/>
        </w:rPr>
        <w:t xml:space="preserve"> </w:t>
      </w:r>
      <w:r>
        <w:rPr>
          <w:sz w:val="11"/>
          <w:szCs w:val="11"/>
          <w:color w:val="231F20"/>
          <w:spacing w:val="4"/>
          <w:position w:val="9"/>
        </w:rPr>
        <w:t>[2]</w:t>
      </w:r>
      <w:r>
        <w:rPr>
          <w:sz w:val="11"/>
          <w:szCs w:val="11"/>
          <w:color w:val="231F20"/>
          <w:spacing w:val="-5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。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急性胃肠炎一般不常规使用抗菌药，只有当患者病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情严重（如出现高热、心率加快、白细胞升高腹部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>压痛或剧烈腹痛、大量腹泻伴有低血容量、血便）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>并怀疑细菌感染时，才可经验性给予抗菌药治疗。</w:t>
      </w:r>
      <w:r>
        <w:rPr>
          <w:rFonts w:ascii="SimSun" w:hAnsi="SimSun" w:eastAsia="SimSun" w:cs="SimSun"/>
          <w:sz w:val="20"/>
          <w:szCs w:val="20"/>
          <w:color w:val="231F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本次急性胃肠炎处方调查中，仅有</w:t>
      </w:r>
      <w:r>
        <w:rPr>
          <w:rFonts w:ascii="SimSun" w:hAnsi="SimSun" w:eastAsia="SimSun" w:cs="SimSun"/>
          <w:sz w:val="20"/>
          <w:szCs w:val="20"/>
          <w:color w:val="231F20"/>
          <w:spacing w:val="-35"/>
        </w:rPr>
        <w:t xml:space="preserve"> </w:t>
      </w:r>
      <w:r>
        <w:rPr>
          <w:sz w:val="20"/>
          <w:szCs w:val="20"/>
          <w:color w:val="231F20"/>
          <w:spacing w:val="-3"/>
        </w:rPr>
        <w:t>43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例进行血常规、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  <w:spacing w:val="7"/>
        </w:rPr>
        <w:t>C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反应蛋白、粪常规等相关检查，其中结果异常的</w:t>
      </w:r>
    </w:p>
    <w:p>
      <w:pPr>
        <w:pStyle w:val="BodyText"/>
        <w:ind w:left="1" w:right="43" w:firstLine="19"/>
        <w:spacing w:before="3" w:line="28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sz w:val="20"/>
          <w:szCs w:val="20"/>
          <w:color w:val="231F20"/>
          <w:spacing w:val="-4"/>
        </w:rPr>
        <w:t>17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例，占比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4"/>
        </w:rPr>
        <w:t>36.17%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。建议临床医</w:t>
      </w:r>
      <w:r>
        <w:rPr>
          <w:rFonts w:ascii="SimSun" w:hAnsi="SimSun" w:eastAsia="SimSun" w:cs="SimSun"/>
          <w:sz w:val="20"/>
          <w:szCs w:val="20"/>
          <w:color w:val="231F20"/>
          <w:spacing w:val="-5"/>
        </w:rPr>
        <w:t>生在使用抗菌药前，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先进行相关指标检查，确有指征方可使用。抗菌药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的不合理使用，不仅不能减轻疾病，还可能导致耐</w:t>
      </w:r>
    </w:p>
    <w:p>
      <w:pPr>
        <w:spacing w:line="283" w:lineRule="auto"/>
        <w:sectPr>
          <w:type w:val="continuous"/>
          <w:pgSz w:w="11793" w:h="16045"/>
          <w:pgMar w:top="1237" w:right="855" w:bottom="993" w:left="407" w:header="863" w:footer="645" w:gutter="0"/>
          <w:cols w:equalWidth="0" w:num="2">
            <w:col w:w="5759" w:space="100"/>
            <w:col w:w="4670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spacing w:line="199" w:lineRule="exact"/>
        <w:rPr/>
      </w:pPr>
      <w:r/>
    </w:p>
    <w:p>
      <w:pPr>
        <w:spacing w:line="199" w:lineRule="exact"/>
        <w:sectPr>
          <w:headerReference w:type="default" r:id="rId7"/>
          <w:footerReference w:type="default" r:id="rId8"/>
          <w:pgSz w:w="11793" w:h="16045"/>
          <w:pgMar w:top="1237" w:right="1156" w:bottom="993" w:left="407" w:header="876" w:footer="645" w:gutter="0"/>
          <w:cols w:equalWidth="0" w:num="1">
            <w:col w:w="10229" w:space="0"/>
          </w:cols>
        </w:sectPr>
        <w:rPr/>
      </w:pPr>
    </w:p>
    <w:p>
      <w:pPr>
        <w:ind w:left="560"/>
        <w:spacing w:before="41" w:line="21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药菌的增加，引发潜在的并发症。</w:t>
      </w:r>
    </w:p>
    <w:p>
      <w:pPr>
        <w:pStyle w:val="BodyText"/>
        <w:ind w:left="558"/>
        <w:spacing w:before="97" w:line="241" w:lineRule="auto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</w:rPr>
        <w:t>3.5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</w:rPr>
        <w:t>不合理处方分析</w:t>
      </w:r>
    </w:p>
    <w:p>
      <w:pPr>
        <w:pStyle w:val="BodyText"/>
        <w:ind w:left="558"/>
        <w:spacing w:before="78" w:line="264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  <w:position w:val="1"/>
        </w:rPr>
        <w:t>3.5.1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遴选的药品不适宜</w:t>
      </w:r>
    </w:p>
    <w:p>
      <w:pPr>
        <w:pStyle w:val="BodyText"/>
        <w:ind w:left="557" w:right="280" w:firstLine="386"/>
        <w:spacing w:before="89" w:line="31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本研究中</w:t>
      </w:r>
      <w:r>
        <w:rPr>
          <w:rFonts w:ascii="SimSun" w:hAnsi="SimSun" w:eastAsia="SimSun" w:cs="SimSun"/>
          <w:sz w:val="20"/>
          <w:szCs w:val="20"/>
          <w:color w:val="231F20"/>
          <w:spacing w:val="-24"/>
        </w:rPr>
        <w:t xml:space="preserve"> </w:t>
      </w:r>
      <w:r>
        <w:rPr>
          <w:sz w:val="20"/>
          <w:szCs w:val="20"/>
          <w:color w:val="231F20"/>
          <w:spacing w:val="1"/>
        </w:rPr>
        <w:t>7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份遴选药品不适宜均为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1"/>
        </w:rPr>
        <w:t>18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岁以下未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成年人使用左氧氟沙星，其中</w:t>
      </w:r>
      <w:r>
        <w:rPr>
          <w:rFonts w:ascii="SimSun" w:hAnsi="SimSun" w:eastAsia="SimSun" w:cs="SimSun"/>
          <w:sz w:val="20"/>
          <w:szCs w:val="20"/>
          <w:color w:val="231F20"/>
          <w:spacing w:val="-55"/>
        </w:rPr>
        <w:t xml:space="preserve"> </w:t>
      </w:r>
      <w:r>
        <w:rPr>
          <w:sz w:val="20"/>
          <w:szCs w:val="20"/>
          <w:color w:val="231F20"/>
          <w:spacing w:val="-6"/>
        </w:rPr>
        <w:t>6</w:t>
      </w:r>
      <w:r>
        <w:rPr>
          <w:sz w:val="20"/>
          <w:szCs w:val="20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6"/>
        </w:rPr>
        <w:t>份口服左氧氟沙星片，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sz w:val="20"/>
          <w:szCs w:val="20"/>
          <w:color w:val="231F20"/>
        </w:rPr>
        <w:t>1 </w:t>
      </w:r>
      <w:r>
        <w:rPr>
          <w:rFonts w:ascii="SimSun" w:hAnsi="SimSun" w:eastAsia="SimSun" w:cs="SimSun"/>
          <w:sz w:val="20"/>
          <w:szCs w:val="20"/>
          <w:color w:val="231F20"/>
        </w:rPr>
        <w:t>份使用左氧氟沙星注射液。左氧氟沙星为喹诺酮类 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抗菌药，会与软骨组织中的</w:t>
      </w:r>
      <w:r>
        <w:rPr>
          <w:rFonts w:ascii="SimSun" w:hAnsi="SimSun" w:eastAsia="SimSun" w:cs="SimSun"/>
          <w:sz w:val="20"/>
          <w:szCs w:val="20"/>
          <w:color w:val="231F20"/>
          <w:spacing w:val="-16"/>
        </w:rPr>
        <w:t xml:space="preserve"> </w:t>
      </w:r>
      <w:r>
        <w:rPr>
          <w:sz w:val="20"/>
          <w:szCs w:val="20"/>
          <w:color w:val="231F20"/>
        </w:rPr>
        <w:t>Mg</w:t>
      </w:r>
      <w:r>
        <w:rPr>
          <w:sz w:val="11"/>
          <w:szCs w:val="11"/>
          <w:color w:val="231F20"/>
          <w:spacing w:val="1"/>
          <w:position w:val="9"/>
        </w:rPr>
        <w:t>2+</w:t>
      </w:r>
      <w:r>
        <w:rPr>
          <w:sz w:val="11"/>
          <w:szCs w:val="11"/>
          <w:color w:val="231F20"/>
          <w:spacing w:val="27"/>
          <w:w w:val="101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形成络合物，并沉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积于关节软骨，对软骨造成损害</w:t>
      </w:r>
      <w:r>
        <w:rPr>
          <w:rFonts w:ascii="SimSun" w:hAnsi="SimSun" w:eastAsia="SimSun" w:cs="SimSun"/>
          <w:sz w:val="20"/>
          <w:szCs w:val="20"/>
          <w:color w:val="231F20"/>
          <w:spacing w:val="-17"/>
        </w:rPr>
        <w:t xml:space="preserve"> </w:t>
      </w:r>
      <w:r>
        <w:rPr>
          <w:sz w:val="11"/>
          <w:szCs w:val="11"/>
          <w:color w:val="231F20"/>
          <w:spacing w:val="-2"/>
          <w:position w:val="9"/>
        </w:rPr>
        <w:t>[12]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，故 </w:t>
      </w:r>
      <w:r>
        <w:rPr>
          <w:sz w:val="20"/>
          <w:szCs w:val="20"/>
          <w:color w:val="231F20"/>
          <w:spacing w:val="-2"/>
        </w:rPr>
        <w:t>18 </w:t>
      </w:r>
      <w:r>
        <w:rPr>
          <w:rFonts w:ascii="SimSun" w:hAnsi="SimSun" w:eastAsia="SimSun" w:cs="SimSun"/>
          <w:sz w:val="20"/>
          <w:szCs w:val="20"/>
          <w:color w:val="231F20"/>
          <w:spacing w:val="-2"/>
        </w:rPr>
        <w:t>岁以下的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未成年人避免使用</w:t>
      </w:r>
      <w:r>
        <w:rPr>
          <w:rFonts w:ascii="SimSun" w:hAnsi="SimSun" w:eastAsia="SimSun" w:cs="SimSun"/>
          <w:sz w:val="20"/>
          <w:szCs w:val="20"/>
          <w:color w:val="231F20"/>
          <w:spacing w:val="-23"/>
        </w:rPr>
        <w:t xml:space="preserve"> </w:t>
      </w:r>
      <w:r>
        <w:rPr>
          <w:sz w:val="11"/>
          <w:szCs w:val="11"/>
          <w:color w:val="231F20"/>
          <w:spacing w:val="2"/>
          <w:position w:val="9"/>
        </w:rPr>
        <w:t>[13]</w:t>
      </w:r>
      <w:r>
        <w:rPr>
          <w:sz w:val="11"/>
          <w:szCs w:val="11"/>
          <w:color w:val="231F20"/>
          <w:spacing w:val="-5"/>
          <w:position w:val="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。造成此类错误的原因主要由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于临床医生的用药惯性使然。我院规定 </w:t>
      </w:r>
      <w:r>
        <w:rPr>
          <w:sz w:val="20"/>
          <w:szCs w:val="20"/>
          <w:color w:val="231F20"/>
        </w:rPr>
        <w:t>14 </w:t>
      </w:r>
      <w:r>
        <w:rPr>
          <w:rFonts w:ascii="SimSun" w:hAnsi="SimSun" w:eastAsia="SimSun" w:cs="SimSun"/>
          <w:sz w:val="20"/>
          <w:szCs w:val="20"/>
          <w:color w:val="231F20"/>
        </w:rPr>
        <w:t>岁以下儿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童须在儿科就诊，故急诊科主要为成年人。在抗菌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药的使用上，急性胃肠炎多选用左氧氟沙星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，而在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</w:rPr>
        <w:t>给</w:t>
      </w:r>
      <w:r>
        <w:rPr>
          <w:rFonts w:ascii="SimSun" w:hAnsi="SimSun" w:eastAsia="SimSun" w:cs="SimSun"/>
          <w:sz w:val="20"/>
          <w:szCs w:val="20"/>
          <w:color w:val="231F20"/>
          <w:spacing w:val="-21"/>
        </w:rPr>
        <w:t xml:space="preserve"> </w:t>
      </w:r>
      <w:r>
        <w:rPr>
          <w:sz w:val="20"/>
          <w:szCs w:val="20"/>
          <w:color w:val="231F20"/>
        </w:rPr>
        <w:t>14~17 </w:t>
      </w:r>
      <w:r>
        <w:rPr>
          <w:rFonts w:ascii="SimSun" w:hAnsi="SimSun" w:eastAsia="SimSun" w:cs="SimSun"/>
          <w:sz w:val="20"/>
          <w:szCs w:val="20"/>
          <w:color w:val="231F20"/>
        </w:rPr>
        <w:t>岁青少年用药时，习惯性使用左氧氟沙星。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临床医生在选择抗菌药时，应尤其注意患者的年龄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；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另外，药学部可以在合理用药等软件上设置</w:t>
      </w:r>
      <w:r>
        <w:rPr>
          <w:rFonts w:ascii="SimSun" w:hAnsi="SimSun" w:eastAsia="SimSun" w:cs="SimSun"/>
          <w:sz w:val="20"/>
          <w:szCs w:val="20"/>
          <w:color w:val="231F20"/>
          <w:spacing w:val="-14"/>
        </w:rPr>
        <w:t xml:space="preserve"> </w:t>
      </w:r>
      <w:r>
        <w:rPr>
          <w:sz w:val="20"/>
          <w:szCs w:val="20"/>
          <w:color w:val="231F20"/>
          <w:spacing w:val="1"/>
        </w:rPr>
        <w:t>18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岁以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下未成年人禁止使用喹诺酮类药物，从根本上杜绝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类似的错误发生。</w:t>
      </w:r>
    </w:p>
    <w:p>
      <w:pPr>
        <w:pStyle w:val="BodyText"/>
        <w:ind w:left="558"/>
        <w:spacing w:line="263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  <w:position w:val="1"/>
        </w:rPr>
        <w:t>3.5.2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用法不适宜</w:t>
      </w:r>
    </w:p>
    <w:p>
      <w:pPr>
        <w:pStyle w:val="BodyText"/>
        <w:ind w:left="555" w:right="293" w:firstLine="389"/>
        <w:spacing w:before="84" w:line="31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本研究中</w:t>
      </w:r>
      <w:r>
        <w:rPr>
          <w:rFonts w:ascii="SimSun" w:hAnsi="SimSun" w:eastAsia="SimSun" w:cs="SimSun"/>
          <w:sz w:val="20"/>
          <w:szCs w:val="20"/>
          <w:color w:val="231F20"/>
          <w:spacing w:val="-26"/>
        </w:rPr>
        <w:t xml:space="preserve"> </w:t>
      </w:r>
      <w:r>
        <w:rPr>
          <w:sz w:val="20"/>
          <w:szCs w:val="20"/>
          <w:color w:val="231F20"/>
          <w:spacing w:val="2"/>
        </w:rPr>
        <w:t>11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份用法不适宜，其中</w:t>
      </w:r>
      <w:r>
        <w:rPr>
          <w:rFonts w:ascii="SimSun" w:hAnsi="SimSun" w:eastAsia="SimSun" w:cs="SimSun"/>
          <w:sz w:val="20"/>
          <w:szCs w:val="20"/>
          <w:color w:val="231F20"/>
          <w:spacing w:val="-46"/>
        </w:rPr>
        <w:t xml:space="preserve"> </w:t>
      </w:r>
      <w:r>
        <w:rPr>
          <w:sz w:val="20"/>
          <w:szCs w:val="20"/>
          <w:color w:val="231F20"/>
          <w:spacing w:val="2"/>
        </w:rPr>
        <w:t>4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份乳酸左氧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2"/>
        </w:rPr>
        <w:t>氟沙星氯化钠注射液（奇力）：给药方式</w:t>
      </w:r>
      <w:r>
        <w:rPr>
          <w:rFonts w:ascii="SimSun" w:hAnsi="SimSun" w:eastAsia="SimSun" w:cs="SimSun"/>
          <w:sz w:val="20"/>
          <w:szCs w:val="20"/>
          <w:color w:val="231F20"/>
          <w:spacing w:val="-41"/>
        </w:rPr>
        <w:t xml:space="preserve"> </w:t>
      </w:r>
      <w:r>
        <w:rPr>
          <w:sz w:val="20"/>
          <w:szCs w:val="20"/>
          <w:color w:val="231F20"/>
          <w:spacing w:val="2"/>
        </w:rPr>
        <w:t>0.2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</w:rPr>
        <w:t>g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</w:rPr>
        <w:t>ivgtt  </w:t>
      </w:r>
      <w:r>
        <w:rPr>
          <w:sz w:val="20"/>
          <w:szCs w:val="20"/>
          <w:color w:val="231F20"/>
        </w:rPr>
        <w:t>bid</w:t>
      </w:r>
      <w:r>
        <w:rPr>
          <w:sz w:val="20"/>
          <w:szCs w:val="20"/>
          <w:color w:val="231F20"/>
          <w:spacing w:val="-1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，</w:t>
      </w:r>
      <w:r>
        <w:rPr>
          <w:sz w:val="20"/>
          <w:szCs w:val="20"/>
          <w:color w:val="231F20"/>
        </w:rPr>
        <w:t>7 </w:t>
      </w:r>
      <w:r>
        <w:rPr>
          <w:rFonts w:ascii="SimSun" w:hAnsi="SimSun" w:eastAsia="SimSun" w:cs="SimSun"/>
          <w:sz w:val="20"/>
          <w:szCs w:val="20"/>
          <w:color w:val="231F20"/>
        </w:rPr>
        <w:t>例注射用头孢唑林钠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</w:rPr>
        <w:t>2</w:t>
      </w:r>
      <w:r>
        <w:rPr>
          <w:sz w:val="20"/>
          <w:szCs w:val="20"/>
          <w:color w:val="231F20"/>
          <w:spacing w:val="22"/>
          <w:w w:val="101"/>
        </w:rPr>
        <w:t xml:space="preserve"> </w:t>
      </w:r>
      <w:r>
        <w:rPr>
          <w:sz w:val="20"/>
          <w:szCs w:val="20"/>
          <w:color w:val="231F20"/>
        </w:rPr>
        <w:t>g</w:t>
      </w:r>
      <w:r>
        <w:rPr>
          <w:sz w:val="20"/>
          <w:szCs w:val="20"/>
          <w:color w:val="231F20"/>
          <w:spacing w:val="23"/>
        </w:rPr>
        <w:t xml:space="preserve"> </w:t>
      </w:r>
      <w:r>
        <w:rPr>
          <w:sz w:val="20"/>
          <w:szCs w:val="20"/>
          <w:color w:val="231F20"/>
        </w:rPr>
        <w:t>qd</w:t>
      </w:r>
      <w:r>
        <w:rPr>
          <w:sz w:val="20"/>
          <w:szCs w:val="20"/>
          <w:color w:val="231F20"/>
          <w:spacing w:val="22"/>
        </w:rPr>
        <w:t xml:space="preserve"> </w:t>
      </w:r>
      <w:r>
        <w:rPr>
          <w:sz w:val="20"/>
          <w:szCs w:val="20"/>
          <w:color w:val="231F20"/>
        </w:rPr>
        <w:t>ivgtt</w:t>
      </w:r>
      <w:r>
        <w:rPr>
          <w:sz w:val="20"/>
          <w:szCs w:val="20"/>
          <w:color w:val="231F20"/>
          <w:spacing w:val="-2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</w:rPr>
        <w:t>。</w:t>
      </w:r>
      <w:r>
        <w:rPr>
          <w:sz w:val="20"/>
          <w:szCs w:val="20"/>
          <w:color w:val="231F20"/>
        </w:rPr>
        <w:t>201</w:t>
      </w:r>
      <w:r>
        <w:rPr>
          <w:sz w:val="20"/>
          <w:szCs w:val="20"/>
          <w:color w:val="231F20"/>
          <w:spacing w:val="-1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年国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>家食品药品监督管理局就修改了左氧氟沙星说明书，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无论是口服还是静脉，均是一天一次给药。头孢唑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林属于时间依赖性抗菌药，其疗效主要取决于血药</w:t>
      </w:r>
      <w:r>
        <w:rPr>
          <w:rFonts w:ascii="SimSun" w:hAnsi="SimSun" w:eastAsia="SimSun" w:cs="SimSun"/>
          <w:sz w:val="20"/>
          <w:szCs w:val="20"/>
          <w:color w:val="231F20"/>
          <w:spacing w:val="1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浓度高于细菌最低抑菌浓度（</w:t>
      </w:r>
      <w:r>
        <w:rPr>
          <w:sz w:val="20"/>
          <w:szCs w:val="20"/>
          <w:color w:val="231F20"/>
        </w:rPr>
        <w:t>MIC</w:t>
      </w: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）的时间，即细</w:t>
      </w:r>
      <w:r>
        <w:rPr>
          <w:rFonts w:ascii="SimSun" w:hAnsi="SimSun" w:eastAsia="SimSun" w:cs="SimSun"/>
          <w:sz w:val="20"/>
          <w:szCs w:val="20"/>
          <w:color w:val="231F20"/>
          <w:spacing w:val="12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菌的暴露时间，而与峰值浓度关系不大</w:t>
      </w:r>
      <w:r>
        <w:rPr>
          <w:rFonts w:ascii="SimSun" w:hAnsi="SimSun" w:eastAsia="SimSun" w:cs="SimSun"/>
          <w:sz w:val="20"/>
          <w:szCs w:val="20"/>
          <w:color w:val="231F20"/>
          <w:spacing w:val="-33"/>
        </w:rPr>
        <w:t xml:space="preserve"> </w:t>
      </w:r>
      <w:r>
        <w:rPr>
          <w:sz w:val="11"/>
          <w:szCs w:val="11"/>
          <w:color w:val="231F20"/>
          <w:spacing w:val="3"/>
          <w:position w:val="9"/>
        </w:rPr>
        <w:t>[14]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，且头孢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唑林半衰期较短，故应将一日剂量分成</w:t>
      </w:r>
      <w:r>
        <w:rPr>
          <w:rFonts w:ascii="SimSun" w:hAnsi="SimSun" w:eastAsia="SimSun" w:cs="SimSun"/>
          <w:sz w:val="20"/>
          <w:szCs w:val="20"/>
          <w:color w:val="231F20"/>
          <w:spacing w:val="-42"/>
        </w:rPr>
        <w:t xml:space="preserve"> </w:t>
      </w:r>
      <w:r>
        <w:rPr>
          <w:sz w:val="20"/>
          <w:szCs w:val="20"/>
          <w:color w:val="231F20"/>
          <w:spacing w:val="-1"/>
        </w:rPr>
        <w:t>2~4 </w:t>
      </w:r>
      <w:r>
        <w:rPr>
          <w:rFonts w:ascii="SimSun" w:hAnsi="SimSun" w:eastAsia="SimSun" w:cs="SimSun"/>
          <w:sz w:val="20"/>
          <w:szCs w:val="20"/>
          <w:color w:val="231F20"/>
          <w:spacing w:val="-1"/>
        </w:rPr>
        <w:t>次给药。</w:t>
      </w:r>
    </w:p>
    <w:p>
      <w:pPr>
        <w:pStyle w:val="BodyText"/>
        <w:ind w:left="558"/>
        <w:spacing w:line="264" w:lineRule="exact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1"/>
          <w:position w:val="1"/>
        </w:rPr>
        <w:t>3.5.3    </w:t>
      </w:r>
      <w:r>
        <w:rPr>
          <w:rFonts w:ascii="SimHei" w:hAnsi="SimHei" w:eastAsia="SimHei" w:cs="SimHei"/>
          <w:sz w:val="20"/>
          <w:szCs w:val="20"/>
          <w:color w:val="231F20"/>
          <w:spacing w:val="-1"/>
          <w:position w:val="1"/>
        </w:rPr>
        <w:t>超医保范围用药</w:t>
      </w:r>
    </w:p>
    <w:p>
      <w:pPr>
        <w:pStyle w:val="BodyText"/>
        <w:ind w:left="559" w:right="277" w:firstLine="385"/>
        <w:spacing w:before="83" w:line="31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本研究中超医保范围用药共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sz w:val="20"/>
          <w:szCs w:val="20"/>
          <w:color w:val="231F20"/>
          <w:spacing w:val="7"/>
        </w:rPr>
        <w:t>2 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>例，均为成人使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用右旋布洛芬口服混悬液，违反了医保药品使用的 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规定（</w:t>
      </w:r>
      <w:r>
        <w:rPr>
          <w:sz w:val="20"/>
          <w:szCs w:val="20"/>
          <w:color w:val="231F20"/>
          <w:spacing w:val="-3"/>
        </w:rPr>
        <w:t>2020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版</w:t>
      </w:r>
      <w:r>
        <w:rPr>
          <w:rFonts w:ascii="SimSun" w:hAnsi="SimSun" w:eastAsia="SimSun" w:cs="SimSun"/>
          <w:sz w:val="20"/>
          <w:szCs w:val="20"/>
          <w:color w:val="231F20"/>
          <w:spacing w:val="-12"/>
        </w:rPr>
        <w:t>）：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医保限儿童使用。临床医生在开具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7"/>
        </w:rPr>
        <w:t>药品时，还应考虑到医保的适应证范围，包括适应证、</w:t>
      </w:r>
      <w:r>
        <w:rPr>
          <w:rFonts w:ascii="SimSun" w:hAnsi="SimSun" w:eastAsia="SimSun" w:cs="SimSun"/>
          <w:sz w:val="20"/>
          <w:szCs w:val="20"/>
          <w:color w:val="231F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适应人群、是否二线用药等情况。我院信息科可将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相关医保的限制维护进合理用药系统中，从程序上</w:t>
      </w:r>
      <w:r>
        <w:rPr>
          <w:rFonts w:ascii="SimSun" w:hAnsi="SimSun" w:eastAsia="SimSun" w:cs="SimSun"/>
          <w:sz w:val="20"/>
          <w:szCs w:val="20"/>
          <w:color w:val="231F20"/>
          <w:spacing w:val="9"/>
        </w:rPr>
        <w:t xml:space="preserve">  </w:t>
      </w:r>
      <w:r>
        <w:rPr>
          <w:rFonts w:ascii="SimSun" w:hAnsi="SimSun" w:eastAsia="SimSun" w:cs="SimSun"/>
          <w:sz w:val="20"/>
          <w:szCs w:val="20"/>
          <w:color w:val="231F20"/>
          <w:spacing w:val="-3"/>
        </w:rPr>
        <w:t>杜绝此类错误的发生。</w:t>
      </w:r>
    </w:p>
    <w:p>
      <w:pPr>
        <w:pStyle w:val="BodyText"/>
        <w:ind w:left="559"/>
        <w:spacing w:line="267" w:lineRule="exact"/>
        <w:outlineLvl w:val="1"/>
        <w:rPr>
          <w:rFonts w:ascii="SimHei" w:hAnsi="SimHei" w:eastAsia="SimHei" w:cs="SimHei"/>
          <w:sz w:val="20"/>
          <w:szCs w:val="20"/>
        </w:rPr>
      </w:pPr>
      <w:r>
        <w:rPr>
          <w:sz w:val="20"/>
          <w:szCs w:val="20"/>
          <w:b/>
          <w:bCs/>
          <w:color w:val="231F20"/>
          <w:spacing w:val="-3"/>
          <w:position w:val="1"/>
        </w:rPr>
        <w:t>3.6</w:t>
      </w:r>
      <w:r>
        <w:rPr>
          <w:sz w:val="20"/>
          <w:szCs w:val="20"/>
          <w:b/>
          <w:bCs/>
          <w:color w:val="231F20"/>
          <w:spacing w:val="4"/>
          <w:position w:val="1"/>
        </w:rPr>
        <w:t xml:space="preserve">    </w:t>
      </w:r>
      <w:r>
        <w:rPr>
          <w:rFonts w:ascii="SimHei" w:hAnsi="SimHei" w:eastAsia="SimHei" w:cs="SimHei"/>
          <w:sz w:val="20"/>
          <w:szCs w:val="20"/>
          <w:color w:val="231F20"/>
          <w:spacing w:val="-3"/>
          <w:position w:val="1"/>
        </w:rPr>
        <w:t>总结</w:t>
      </w:r>
    </w:p>
    <w:p>
      <w:pPr>
        <w:ind w:left="567" w:right="357" w:firstLine="380"/>
        <w:spacing w:before="83" w:line="246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8"/>
        </w:rPr>
        <w:t>急性胃肠炎是急诊科常见的疾病，其治疗原则</w:t>
      </w:r>
      <w:r>
        <w:rPr>
          <w:rFonts w:ascii="SimSun" w:hAnsi="SimSun" w:eastAsia="SimSun" w:cs="SimSun"/>
          <w:sz w:val="20"/>
          <w:szCs w:val="20"/>
          <w:color w:val="231F20"/>
          <w:spacing w:val="1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主要为纠正脱水及对症治疗。本次调查的我院急性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right="90" w:firstLine="28"/>
        <w:spacing w:before="37" w:line="314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胃肠炎处方用药基本合理，但也存在部分问题</w:t>
      </w:r>
      <w:r>
        <w:rPr>
          <w:rFonts w:ascii="SimSun" w:hAnsi="SimSun" w:eastAsia="SimSun" w:cs="SimSun"/>
          <w:sz w:val="20"/>
          <w:szCs w:val="20"/>
          <w:color w:val="231F20"/>
          <w:spacing w:val="-36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3"/>
        </w:rPr>
        <w:t>：在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6"/>
        </w:rPr>
        <w:t>质子泵抑制剂的使用上，应优先选择基本药物或带</w:t>
      </w:r>
      <w:r>
        <w:rPr>
          <w:rFonts w:ascii="SimSun" w:hAnsi="SimSun" w:eastAsia="SimSun" w:cs="SimSun"/>
          <w:sz w:val="20"/>
          <w:szCs w:val="20"/>
          <w:color w:val="231F20"/>
          <w:spacing w:val="18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量品种</w:t>
      </w:r>
      <w:r>
        <w:rPr>
          <w:rFonts w:ascii="SimSun" w:hAnsi="SimSun" w:eastAsia="SimSun" w:cs="SimSun"/>
          <w:sz w:val="20"/>
          <w:szCs w:val="20"/>
          <w:color w:val="231F20"/>
          <w:spacing w:val="-4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；鼓励进行炎症指标等相关检测，确有指征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方可使用抗菌药物</w:t>
      </w:r>
      <w:r>
        <w:rPr>
          <w:rFonts w:ascii="SimSun" w:hAnsi="SimSun" w:eastAsia="SimSun" w:cs="SimSun"/>
          <w:sz w:val="20"/>
          <w:szCs w:val="20"/>
          <w:color w:val="231F20"/>
          <w:spacing w:val="-29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；使用抗菌药物时应考虑到患者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的年龄、用法等问题</w:t>
      </w:r>
      <w:r>
        <w:rPr>
          <w:rFonts w:ascii="SimSun" w:hAnsi="SimSun" w:eastAsia="SimSun" w:cs="SimSun"/>
          <w:sz w:val="20"/>
          <w:szCs w:val="20"/>
          <w:color w:val="231F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4"/>
        </w:rPr>
        <w:t>；选择治疗药物时，还需兼顾</w:t>
      </w:r>
      <w:r>
        <w:rPr>
          <w:rFonts w:ascii="SimSun" w:hAnsi="SimSun" w:eastAsia="SimSun" w:cs="SimSun"/>
          <w:sz w:val="20"/>
          <w:szCs w:val="20"/>
          <w:color w:val="231F20"/>
        </w:rPr>
        <w:t xml:space="preserve"> </w:t>
      </w:r>
      <w:r>
        <w:rPr>
          <w:rFonts w:ascii="SimSun" w:hAnsi="SimSun" w:eastAsia="SimSun" w:cs="SimSun"/>
          <w:sz w:val="20"/>
          <w:szCs w:val="20"/>
          <w:color w:val="231F20"/>
          <w:spacing w:val="-4"/>
        </w:rPr>
        <w:t>医保的限制。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ind w:left="1885"/>
        <w:spacing w:before="65" w:line="242" w:lineRule="auto"/>
        <w:outlineLvl w:val="2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-2"/>
        </w:rPr>
        <w:t>参考文献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left="399" w:right="37" w:hanging="390"/>
        <w:spacing w:before="55" w:line="267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[1]    </w:t>
      </w:r>
      <w:r>
        <w:rPr>
          <w:rFonts w:ascii="SimSun" w:hAnsi="SimSun" w:eastAsia="SimSun" w:cs="SimSun"/>
          <w:sz w:val="17"/>
          <w:szCs w:val="17"/>
          <w:color w:val="231F20"/>
        </w:rPr>
        <w:t>周欣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</w:rPr>
        <w:t>.</w:t>
      </w:r>
      <w:r>
        <w:rPr>
          <w:sz w:val="17"/>
          <w:szCs w:val="17"/>
          <w:color w:val="231F20"/>
          <w:spacing w:val="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夏秋时节谨防胃肠发炎</w:t>
      </w:r>
      <w:r>
        <w:rPr>
          <w:rFonts w:ascii="SimSun" w:hAnsi="SimSun" w:eastAsia="SimSun" w:cs="SimSun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</w:rPr>
        <w:t>[J].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湖南农业，</w:t>
      </w:r>
      <w:r>
        <w:rPr>
          <w:sz w:val="17"/>
          <w:szCs w:val="17"/>
          <w:color w:val="231F20"/>
        </w:rPr>
        <w:t>2022</w:t>
      </w:r>
      <w:r>
        <w:rPr>
          <w:rFonts w:ascii="SimSun" w:hAnsi="SimSun" w:eastAsia="SimSun" w:cs="SimSun"/>
          <w:sz w:val="17"/>
          <w:szCs w:val="17"/>
          <w:color w:val="231F20"/>
        </w:rPr>
        <w:t>（</w:t>
      </w:r>
      <w:r>
        <w:rPr>
          <w:sz w:val="17"/>
          <w:szCs w:val="17"/>
          <w:color w:val="231F20"/>
        </w:rPr>
        <w:t>9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3"/>
        </w:rPr>
        <w:t>）：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53.</w:t>
      </w:r>
    </w:p>
    <w:p>
      <w:pPr>
        <w:pStyle w:val="BodyText"/>
        <w:ind w:left="398" w:right="37" w:hanging="389"/>
        <w:spacing w:before="99" w:line="27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[2]   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李骏，刘爽，宋毅，等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4"/>
        </w:rPr>
        <w:t>.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湖北省社区急性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胃肠炎患者就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医用药情况分析</w:t>
      </w:r>
      <w:r>
        <w:rPr>
          <w:rFonts w:ascii="SimSun" w:hAnsi="SimSun" w:eastAsia="SimSun" w:cs="SimSun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-4"/>
        </w:rPr>
        <w:t>[J].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公共卫生与预防医学，</w:t>
      </w:r>
      <w:r>
        <w:rPr>
          <w:sz w:val="17"/>
          <w:szCs w:val="17"/>
          <w:color w:val="231F20"/>
          <w:spacing w:val="-4"/>
        </w:rPr>
        <w:t>2016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，</w:t>
      </w:r>
      <w:r>
        <w:rPr>
          <w:sz w:val="17"/>
          <w:szCs w:val="17"/>
          <w:color w:val="231F20"/>
          <w:spacing w:val="-4"/>
        </w:rPr>
        <w:t>27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（</w:t>
      </w:r>
      <w:r>
        <w:rPr>
          <w:sz w:val="17"/>
          <w:szCs w:val="17"/>
          <w:color w:val="231F20"/>
          <w:spacing w:val="-4"/>
        </w:rPr>
        <w:t>2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8"/>
          <w:w w:val="83"/>
        </w:rPr>
        <w:t>）：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96-98.</w:t>
      </w:r>
    </w:p>
    <w:p>
      <w:pPr>
        <w:pStyle w:val="BodyText"/>
        <w:ind w:left="396" w:right="91" w:hanging="387"/>
        <w:spacing w:before="99" w:line="26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[3]   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丁翔宇，刘艳辉，冯超，等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4"/>
        </w:rPr>
        <w:t>.</w:t>
      </w:r>
      <w:r>
        <w:rPr>
          <w:sz w:val="17"/>
          <w:szCs w:val="17"/>
          <w:color w:val="231F20"/>
          <w:spacing w:val="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儿童急性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胃肠炎指南的系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统评价</w:t>
      </w:r>
      <w:r>
        <w:rPr>
          <w:rFonts w:ascii="SimSun" w:hAnsi="SimSun" w:eastAsia="SimSun" w:cs="SimSun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-2"/>
        </w:rPr>
        <w:t>[J].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中国循证医学杂志，</w:t>
      </w:r>
      <w:r>
        <w:rPr>
          <w:sz w:val="17"/>
          <w:szCs w:val="17"/>
          <w:color w:val="231F20"/>
          <w:spacing w:val="-2"/>
        </w:rPr>
        <w:t>201</w:t>
      </w:r>
      <w:r>
        <w:rPr>
          <w:sz w:val="17"/>
          <w:szCs w:val="17"/>
          <w:color w:val="231F20"/>
          <w:spacing w:val="-3"/>
        </w:rPr>
        <w:t>5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，</w:t>
      </w:r>
      <w:r>
        <w:rPr>
          <w:sz w:val="17"/>
          <w:szCs w:val="17"/>
          <w:color w:val="231F20"/>
          <w:spacing w:val="-3"/>
        </w:rPr>
        <w:t>15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（</w:t>
      </w:r>
      <w:r>
        <w:rPr>
          <w:sz w:val="17"/>
          <w:szCs w:val="17"/>
          <w:color w:val="231F20"/>
          <w:spacing w:val="-3"/>
        </w:rPr>
        <w:t>8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5"/>
          <w:w w:val="98"/>
        </w:rPr>
        <w:t>）：</w:t>
      </w:r>
      <w:r>
        <w:rPr>
          <w:sz w:val="17"/>
          <w:szCs w:val="17"/>
          <w:color w:val="231F20"/>
          <w:spacing w:val="-3"/>
        </w:rPr>
        <w:t>892-897.</w:t>
      </w:r>
    </w:p>
    <w:p>
      <w:pPr>
        <w:pStyle w:val="BodyText"/>
        <w:ind w:left="394" w:right="91" w:hanging="385"/>
        <w:spacing w:before="72" w:line="284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[4]   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李萃萃，李向莲，李幼平，等</w:t>
      </w:r>
      <w:r>
        <w:rPr>
          <w:rFonts w:ascii="SimSun" w:hAnsi="SimSun" w:eastAsia="SimSun" w:cs="SimSun"/>
          <w:sz w:val="17"/>
          <w:szCs w:val="17"/>
          <w:color w:val="231F20"/>
          <w:spacing w:val="-19"/>
        </w:rPr>
        <w:t xml:space="preserve"> </w:t>
      </w:r>
      <w:r>
        <w:rPr>
          <w:sz w:val="17"/>
          <w:szCs w:val="17"/>
          <w:color w:val="231F20"/>
          <w:spacing w:val="3"/>
        </w:rPr>
        <w:t>.</w:t>
      </w:r>
      <w:r>
        <w:rPr>
          <w:sz w:val="17"/>
          <w:szCs w:val="17"/>
          <w:color w:val="231F20"/>
          <w:spacing w:val="26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我国示范乡镇卫生院基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本药物循证评价与遴选之八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：急性胃肠炎</w:t>
      </w:r>
      <w:r>
        <w:rPr>
          <w:rFonts w:ascii="SimSun" w:hAnsi="SimSun" w:eastAsia="SimSun" w:cs="SimSun"/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1"/>
        </w:rPr>
        <w:t>[J].</w:t>
      </w:r>
      <w:r>
        <w:rPr>
          <w:sz w:val="17"/>
          <w:szCs w:val="17"/>
          <w:color w:val="231F20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1"/>
        </w:rPr>
        <w:t>中国循证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医学杂志，</w:t>
      </w:r>
      <w:r>
        <w:rPr>
          <w:sz w:val="17"/>
          <w:szCs w:val="17"/>
          <w:color w:val="231F20"/>
          <w:spacing w:val="-2"/>
        </w:rPr>
        <w:t>2012</w:t>
      </w:r>
      <w:r>
        <w:rPr>
          <w:sz w:val="17"/>
          <w:szCs w:val="17"/>
          <w:color w:val="231F20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，</w:t>
      </w:r>
      <w:r>
        <w:rPr>
          <w:sz w:val="17"/>
          <w:szCs w:val="17"/>
          <w:color w:val="231F20"/>
          <w:spacing w:val="-2"/>
        </w:rPr>
        <w:t>12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（</w:t>
      </w:r>
      <w:r>
        <w:rPr>
          <w:sz w:val="17"/>
          <w:szCs w:val="17"/>
          <w:color w:val="231F20"/>
          <w:spacing w:val="-2"/>
        </w:rPr>
        <w:t>08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6"/>
          <w:w w:val="99"/>
        </w:rPr>
        <w:t>）：</w:t>
      </w:r>
      <w:r>
        <w:rPr>
          <w:sz w:val="17"/>
          <w:szCs w:val="17"/>
          <w:color w:val="231F20"/>
          <w:spacing w:val="-2"/>
        </w:rPr>
        <w:t>923-929.</w:t>
      </w:r>
    </w:p>
    <w:p>
      <w:pPr>
        <w:pStyle w:val="BodyText"/>
        <w:ind w:left="395" w:right="91" w:hanging="386"/>
        <w:spacing w:before="56" w:line="289" w:lineRule="auto"/>
        <w:rPr>
          <w:sz w:val="17"/>
          <w:szCs w:val="17"/>
        </w:rPr>
      </w:pPr>
      <w:r>
        <w:rPr>
          <w:sz w:val="17"/>
          <w:szCs w:val="17"/>
          <w:color w:val="231F20"/>
        </w:rPr>
        <w:t>[5]     </w:t>
      </w:r>
      <w:r>
        <w:rPr>
          <w:rFonts w:ascii="SimSun" w:hAnsi="SimSun" w:eastAsia="SimSun" w:cs="SimSun"/>
          <w:sz w:val="17"/>
          <w:szCs w:val="17"/>
          <w:color w:val="231F20"/>
        </w:rPr>
        <w:t>国家药典委员会</w:t>
      </w:r>
      <w:r>
        <w:rPr>
          <w:rFonts w:ascii="SimSun" w:hAnsi="SimSun" w:eastAsia="SimSun" w:cs="SimSun"/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</w:rPr>
        <w:t>.  </w:t>
      </w:r>
      <w:r>
        <w:rPr>
          <w:rFonts w:ascii="SimSun" w:hAnsi="SimSun" w:eastAsia="SimSun" w:cs="SimSun"/>
          <w:sz w:val="17"/>
          <w:szCs w:val="17"/>
          <w:color w:val="231F20"/>
        </w:rPr>
        <w:t>中国药典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：临床用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药须知化学药和生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物制品卷（</w:t>
      </w:r>
      <w:r>
        <w:rPr>
          <w:sz w:val="17"/>
          <w:szCs w:val="17"/>
          <w:color w:val="231F20"/>
        </w:rPr>
        <w:t>2010 </w:t>
      </w:r>
      <w:r>
        <w:rPr>
          <w:rFonts w:ascii="SimSun" w:hAnsi="SimSun" w:eastAsia="SimSun" w:cs="SimSun"/>
          <w:sz w:val="17"/>
          <w:szCs w:val="17"/>
          <w:color w:val="231F20"/>
        </w:rPr>
        <w:t>年版）</w:t>
      </w:r>
      <w:r>
        <w:rPr>
          <w:sz w:val="17"/>
          <w:szCs w:val="17"/>
          <w:color w:val="231F20"/>
        </w:rPr>
        <w:t>[S].</w:t>
      </w:r>
      <w:r>
        <w:rPr>
          <w:sz w:val="17"/>
          <w:szCs w:val="17"/>
          <w:color w:val="231F20"/>
          <w:spacing w:val="35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北京</w:t>
      </w:r>
      <w:r>
        <w:rPr>
          <w:rFonts w:ascii="SimSun" w:hAnsi="SimSun" w:eastAsia="SimSun" w:cs="SimSun"/>
          <w:sz w:val="17"/>
          <w:szCs w:val="17"/>
          <w:color w:val="231F20"/>
          <w:spacing w:val="-3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：中国医药科技出版社 </w:t>
      </w:r>
      <w:r>
        <w:rPr>
          <w:sz w:val="17"/>
          <w:szCs w:val="17"/>
          <w:color w:val="231F20"/>
          <w:spacing w:val="-7"/>
        </w:rPr>
        <w:t>2011</w:t>
      </w:r>
      <w:r>
        <w:rPr>
          <w:sz w:val="17"/>
          <w:szCs w:val="17"/>
          <w:color w:val="231F20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7"/>
        </w:rPr>
        <w:t>：</w:t>
      </w:r>
      <w:r>
        <w:rPr>
          <w:sz w:val="17"/>
          <w:szCs w:val="17"/>
          <w:color w:val="231F20"/>
          <w:spacing w:val="-7"/>
        </w:rPr>
        <w:t>1-28.</w:t>
      </w:r>
    </w:p>
    <w:p>
      <w:pPr>
        <w:pStyle w:val="BodyText"/>
        <w:ind w:left="401" w:right="91" w:hanging="392"/>
        <w:spacing w:before="42" w:line="273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[6]   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关于印发医疗机构处方审核规范的通知</w:t>
      </w:r>
      <w:r>
        <w:rPr>
          <w:rFonts w:ascii="SimSun" w:hAnsi="SimSun" w:eastAsia="SimSun" w:cs="SimSun"/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3"/>
        </w:rPr>
        <w:t>[J].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中华</w:t>
      </w:r>
      <w:r>
        <w:rPr>
          <w:rFonts w:ascii="SimSun" w:hAnsi="SimSun" w:eastAsia="SimSun" w:cs="SimSun"/>
          <w:sz w:val="17"/>
          <w:szCs w:val="17"/>
          <w:color w:val="231F20"/>
          <w:spacing w:val="2"/>
        </w:rPr>
        <w:t>人民共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和国国家卫生健康委员会公报，</w:t>
      </w:r>
      <w:r>
        <w:rPr>
          <w:sz w:val="17"/>
          <w:szCs w:val="17"/>
          <w:color w:val="231F20"/>
          <w:spacing w:val="-1"/>
        </w:rPr>
        <w:t>2018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（</w:t>
      </w:r>
      <w:r>
        <w:rPr>
          <w:sz w:val="17"/>
          <w:szCs w:val="17"/>
          <w:color w:val="231F20"/>
          <w:spacing w:val="-1"/>
        </w:rPr>
        <w:t>07</w:t>
      </w:r>
      <w:r>
        <w:rPr>
          <w:sz w:val="17"/>
          <w:szCs w:val="17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6"/>
        </w:rPr>
        <w:t>）：</w:t>
      </w:r>
      <w:r>
        <w:rPr>
          <w:sz w:val="17"/>
          <w:szCs w:val="17"/>
          <w:color w:val="231F20"/>
          <w:spacing w:val="-1"/>
        </w:rPr>
        <w:t>35-38.</w:t>
      </w:r>
    </w:p>
    <w:p>
      <w:pPr>
        <w:pStyle w:val="BodyText"/>
        <w:ind w:left="394" w:right="91" w:hanging="385"/>
        <w:spacing w:before="56" w:line="27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[7]   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沈勇</w:t>
      </w:r>
      <w:r>
        <w:rPr>
          <w:rFonts w:ascii="SimSun" w:hAnsi="SimSun" w:eastAsia="SimSun" w:cs="SimSun"/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4"/>
        </w:rPr>
        <w:t>.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双歧杆菌乳杆菌三联活菌联合蒙脱石散治疗慢性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肠炎的临床效果</w:t>
      </w:r>
      <w:r>
        <w:rPr>
          <w:rFonts w:ascii="SimSun" w:hAnsi="SimSun" w:eastAsia="SimSun" w:cs="SimSun"/>
          <w:sz w:val="17"/>
          <w:szCs w:val="17"/>
          <w:color w:val="231F20"/>
          <w:spacing w:val="-25"/>
        </w:rPr>
        <w:t xml:space="preserve"> </w:t>
      </w:r>
      <w:r>
        <w:rPr>
          <w:sz w:val="17"/>
          <w:szCs w:val="17"/>
          <w:color w:val="231F20"/>
          <w:spacing w:val="-1"/>
        </w:rPr>
        <w:t>[J].</w:t>
      </w:r>
      <w:r>
        <w:rPr>
          <w:sz w:val="17"/>
          <w:szCs w:val="17"/>
          <w:color w:val="231F20"/>
          <w:spacing w:val="2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中国当代医药，</w:t>
      </w:r>
      <w:r>
        <w:rPr>
          <w:sz w:val="17"/>
          <w:szCs w:val="17"/>
          <w:color w:val="231F20"/>
          <w:spacing w:val="-1"/>
        </w:rPr>
        <w:t>2023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，</w:t>
      </w:r>
      <w:r>
        <w:rPr>
          <w:sz w:val="17"/>
          <w:szCs w:val="17"/>
          <w:color w:val="231F20"/>
          <w:spacing w:val="-1"/>
        </w:rPr>
        <w:t>30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（</w:t>
      </w:r>
      <w:r>
        <w:rPr>
          <w:sz w:val="17"/>
          <w:szCs w:val="17"/>
          <w:color w:val="231F20"/>
          <w:spacing w:val="-1"/>
        </w:rPr>
        <w:t>4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3"/>
        </w:rPr>
        <w:t>）：</w:t>
      </w:r>
      <w:r>
        <w:rPr>
          <w:sz w:val="17"/>
          <w:szCs w:val="17"/>
          <w:color w:val="231F20"/>
          <w:spacing w:val="-1"/>
        </w:rPr>
        <w:t>64-</w:t>
      </w:r>
      <w:r>
        <w:rPr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67.</w:t>
      </w:r>
    </w:p>
    <w:p>
      <w:pPr>
        <w:pStyle w:val="BodyText"/>
        <w:ind w:left="397" w:right="91" w:hanging="388"/>
        <w:spacing w:before="99" w:line="278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4"/>
        </w:rPr>
        <w:t>[8]   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郑苏婷，方丹萍</w:t>
      </w:r>
      <w:r>
        <w:rPr>
          <w:rFonts w:ascii="SimSun" w:hAnsi="SimSun" w:eastAsia="SimSun" w:cs="SimSun"/>
          <w:sz w:val="17"/>
          <w:szCs w:val="17"/>
          <w:color w:val="231F20"/>
          <w:spacing w:val="-22"/>
        </w:rPr>
        <w:t xml:space="preserve"> </w:t>
      </w:r>
      <w:r>
        <w:rPr>
          <w:sz w:val="17"/>
          <w:szCs w:val="17"/>
          <w:color w:val="231F20"/>
          <w:spacing w:val="4"/>
        </w:rPr>
        <w:t>. </w:t>
      </w:r>
      <w:r>
        <w:rPr>
          <w:rFonts w:ascii="SimSun" w:hAnsi="SimSun" w:eastAsia="SimSun" w:cs="SimSun"/>
          <w:sz w:val="17"/>
          <w:szCs w:val="17"/>
          <w:color w:val="231F20"/>
          <w:spacing w:val="4"/>
        </w:rPr>
        <w:t>益生菌联合蒙脱石散对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急性腹泻伴发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热患儿临床症状及白细胞计数和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1"/>
        </w:rPr>
        <w:t>C-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反应蛋白水平的影响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3"/>
        </w:rPr>
        <w:t>[J].</w:t>
      </w:r>
      <w:r>
        <w:rPr>
          <w:sz w:val="17"/>
          <w:szCs w:val="17"/>
          <w:color w:val="231F20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中国妇幼保健，</w:t>
      </w:r>
      <w:r>
        <w:rPr>
          <w:sz w:val="17"/>
          <w:szCs w:val="17"/>
          <w:color w:val="231F20"/>
          <w:spacing w:val="-3"/>
        </w:rPr>
        <w:t>2023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，</w:t>
      </w:r>
      <w:r>
        <w:rPr>
          <w:sz w:val="17"/>
          <w:szCs w:val="17"/>
          <w:color w:val="231F20"/>
          <w:spacing w:val="-3"/>
        </w:rPr>
        <w:t>38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（</w:t>
      </w:r>
      <w:r>
        <w:rPr>
          <w:sz w:val="17"/>
          <w:szCs w:val="17"/>
          <w:color w:val="231F20"/>
          <w:spacing w:val="-3"/>
        </w:rPr>
        <w:t>6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7"/>
        </w:rPr>
        <w:t>）：</w:t>
      </w:r>
      <w:r>
        <w:rPr>
          <w:sz w:val="17"/>
          <w:szCs w:val="17"/>
          <w:color w:val="231F20"/>
          <w:spacing w:val="-3"/>
        </w:rPr>
        <w:t>1056-1059.</w:t>
      </w:r>
    </w:p>
    <w:p>
      <w:pPr>
        <w:pStyle w:val="BodyText"/>
        <w:ind w:left="399" w:right="38" w:hanging="390"/>
        <w:spacing w:before="70" w:line="26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[9]</w:t>
      </w:r>
      <w:r>
        <w:rPr>
          <w:sz w:val="17"/>
          <w:szCs w:val="17"/>
          <w:color w:val="231F20"/>
          <w:spacing w:val="8"/>
        </w:rPr>
        <w:t xml:space="preserve">   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任晓侠</w:t>
      </w:r>
      <w:r>
        <w:rPr>
          <w:rFonts w:ascii="SimSun" w:hAnsi="SimSun" w:eastAsia="SimSun" w:cs="SimSun"/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-4"/>
        </w:rPr>
        <w:t>.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蒙脱石散如何正确服用</w:t>
      </w:r>
      <w:r>
        <w:rPr>
          <w:rFonts w:ascii="SimSun" w:hAnsi="SimSun" w:eastAsia="SimSun" w:cs="SimSun"/>
          <w:sz w:val="17"/>
          <w:szCs w:val="17"/>
          <w:color w:val="231F20"/>
          <w:spacing w:val="-29"/>
        </w:rPr>
        <w:t xml:space="preserve"> </w:t>
      </w:r>
      <w:r>
        <w:rPr>
          <w:sz w:val="17"/>
          <w:szCs w:val="17"/>
          <w:color w:val="231F20"/>
          <w:spacing w:val="-4"/>
        </w:rPr>
        <w:t>[J].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大众健康，</w:t>
      </w:r>
      <w:r>
        <w:rPr>
          <w:sz w:val="17"/>
          <w:szCs w:val="17"/>
          <w:color w:val="231F20"/>
          <w:spacing w:val="-4"/>
        </w:rPr>
        <w:t>2023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（</w:t>
      </w:r>
      <w:r>
        <w:rPr>
          <w:sz w:val="17"/>
          <w:szCs w:val="17"/>
          <w:color w:val="231F20"/>
          <w:spacing w:val="-5"/>
        </w:rPr>
        <w:t>2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7"/>
          <w:w w:val="81"/>
        </w:rPr>
        <w:t>）：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2"/>
        </w:rPr>
        <w:t>61.</w:t>
      </w:r>
    </w:p>
    <w:p>
      <w:pPr>
        <w:pStyle w:val="BodyText"/>
        <w:ind w:left="394" w:right="91" w:hanging="385"/>
        <w:spacing w:before="96" w:line="27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9"/>
        </w:rPr>
        <w:t>[10]   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阚全程，刘皋林，熊利泽，等</w:t>
      </w:r>
      <w:r>
        <w:rPr>
          <w:rFonts w:ascii="SimSun" w:hAnsi="SimSun" w:eastAsia="SimSun" w:cs="SimSun"/>
          <w:sz w:val="17"/>
          <w:szCs w:val="17"/>
          <w:color w:val="231F20"/>
          <w:spacing w:val="-38"/>
        </w:rPr>
        <w:t xml:space="preserve"> </w:t>
      </w:r>
      <w:r>
        <w:rPr>
          <w:sz w:val="17"/>
          <w:szCs w:val="17"/>
          <w:color w:val="231F20"/>
          <w:spacing w:val="-9"/>
        </w:rPr>
        <w:t>. 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医院药学高级教程</w:t>
      </w:r>
      <w:r>
        <w:rPr>
          <w:rFonts w:ascii="SimSun" w:hAnsi="SimSun" w:eastAsia="SimSun" w:cs="SimSun"/>
          <w:sz w:val="17"/>
          <w:szCs w:val="17"/>
          <w:color w:val="231F20"/>
          <w:spacing w:val="-48"/>
        </w:rPr>
        <w:t xml:space="preserve"> </w:t>
      </w:r>
      <w:r>
        <w:rPr>
          <w:sz w:val="17"/>
          <w:szCs w:val="17"/>
          <w:color w:val="231F20"/>
          <w:spacing w:val="-9"/>
        </w:rPr>
        <w:t>[M].</w:t>
      </w:r>
      <w:r>
        <w:rPr>
          <w:rFonts w:ascii="SimSun" w:hAnsi="SimSun" w:eastAsia="SimSun" w:cs="SimSun"/>
          <w:sz w:val="17"/>
          <w:szCs w:val="17"/>
          <w:color w:val="231F20"/>
          <w:spacing w:val="-9"/>
        </w:rPr>
        <w:t>北京</w:t>
      </w:r>
      <w:r>
        <w:rPr>
          <w:rFonts w:ascii="SimSun" w:hAnsi="SimSun" w:eastAsia="SimSun" w:cs="SimSun"/>
          <w:sz w:val="17"/>
          <w:szCs w:val="17"/>
          <w:color w:val="231F20"/>
          <w:spacing w:val="-47"/>
        </w:rPr>
        <w:t xml:space="preserve"> </w:t>
      </w:r>
      <w:r>
        <w:rPr>
          <w:sz w:val="17"/>
          <w:szCs w:val="17"/>
          <w:color w:val="231F20"/>
          <w:spacing w:val="-9"/>
        </w:rPr>
        <w:t>:</w:t>
      </w:r>
      <w:r>
        <w:rPr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人民军医出版社，</w:t>
      </w:r>
      <w:r>
        <w:rPr>
          <w:sz w:val="17"/>
          <w:szCs w:val="17"/>
          <w:color w:val="231F20"/>
          <w:spacing w:val="-3"/>
        </w:rPr>
        <w:t>2015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：</w:t>
      </w:r>
      <w:r>
        <w:rPr>
          <w:sz w:val="17"/>
          <w:szCs w:val="17"/>
          <w:color w:val="231F20"/>
          <w:spacing w:val="-3"/>
        </w:rPr>
        <w:t>542.</w:t>
      </w:r>
    </w:p>
    <w:p>
      <w:pPr>
        <w:pStyle w:val="BodyText"/>
        <w:ind w:left="395" w:right="91" w:hanging="386"/>
        <w:spacing w:before="56" w:line="26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[11]</w:t>
      </w:r>
      <w:r>
        <w:rPr>
          <w:sz w:val="17"/>
          <w:szCs w:val="17"/>
          <w:color w:val="231F20"/>
          <w:spacing w:val="18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缪晓辉，冉陆，张文宏，等</w:t>
      </w:r>
      <w:r>
        <w:rPr>
          <w:rFonts w:ascii="SimSun" w:hAnsi="SimSun" w:eastAsia="SimSun" w:cs="SimSun"/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3"/>
        </w:rPr>
        <w:t>.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成人急性感染性腹泻诊疗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专家共识</w:t>
      </w:r>
      <w:r>
        <w:rPr>
          <w:rFonts w:ascii="SimSun" w:hAnsi="SimSun" w:eastAsia="SimSun" w:cs="SimSun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-4"/>
        </w:rPr>
        <w:t>[J].</w:t>
      </w:r>
      <w:r>
        <w:rPr>
          <w:sz w:val="17"/>
          <w:szCs w:val="17"/>
          <w:color w:val="231F20"/>
          <w:spacing w:val="2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中华消化杂志，</w:t>
      </w:r>
      <w:r>
        <w:rPr>
          <w:sz w:val="17"/>
          <w:szCs w:val="17"/>
          <w:color w:val="231F20"/>
          <w:spacing w:val="-4"/>
        </w:rPr>
        <w:t>2013</w:t>
      </w:r>
      <w:r>
        <w:rPr>
          <w:sz w:val="17"/>
          <w:szCs w:val="17"/>
          <w:color w:val="231F20"/>
          <w:spacing w:val="-14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，</w:t>
      </w:r>
      <w:r>
        <w:rPr>
          <w:sz w:val="17"/>
          <w:szCs w:val="17"/>
          <w:color w:val="231F20"/>
          <w:spacing w:val="-4"/>
        </w:rPr>
        <w:t>33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（</w:t>
      </w:r>
      <w:r>
        <w:rPr>
          <w:rFonts w:ascii="SimSun" w:hAnsi="SimSun" w:eastAsia="SimSun" w:cs="SimSun"/>
          <w:sz w:val="17"/>
          <w:szCs w:val="17"/>
          <w:color w:val="231F20"/>
          <w:spacing w:val="-43"/>
        </w:rPr>
        <w:t xml:space="preserve"> </w:t>
      </w:r>
      <w:r>
        <w:rPr>
          <w:sz w:val="17"/>
          <w:szCs w:val="17"/>
          <w:color w:val="231F20"/>
          <w:spacing w:val="-4"/>
        </w:rPr>
        <w:t>12</w:t>
      </w:r>
      <w:r>
        <w:rPr>
          <w:sz w:val="17"/>
          <w:szCs w:val="17"/>
          <w:color w:val="231F20"/>
          <w:spacing w:val="-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43"/>
        </w:rPr>
        <w:t>）：</w:t>
      </w:r>
      <w:r>
        <w:rPr>
          <w:sz w:val="17"/>
          <w:szCs w:val="17"/>
          <w:color w:val="231F20"/>
          <w:spacing w:val="-4"/>
        </w:rPr>
        <w:t>793-802.</w:t>
      </w:r>
    </w:p>
    <w:p>
      <w:pPr>
        <w:pStyle w:val="BodyText"/>
        <w:ind w:left="397" w:right="91" w:hanging="388"/>
        <w:spacing w:before="70" w:line="275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2"/>
        </w:rPr>
        <w:t>[12]</w:t>
      </w:r>
      <w:r>
        <w:rPr>
          <w:sz w:val="17"/>
          <w:szCs w:val="17"/>
          <w:color w:val="231F20"/>
          <w:spacing w:val="16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杨宝峰，陈建国 </w:t>
      </w:r>
      <w:r>
        <w:rPr>
          <w:sz w:val="17"/>
          <w:szCs w:val="17"/>
          <w:color w:val="231F20"/>
          <w:spacing w:val="-2"/>
        </w:rPr>
        <w:t>.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药理学</w:t>
      </w:r>
      <w:r>
        <w:rPr>
          <w:rFonts w:ascii="SimSun" w:hAnsi="SimSun" w:eastAsia="SimSun" w:cs="SimSun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-2"/>
        </w:rPr>
        <w:t>[M]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第</w:t>
      </w:r>
      <w:r>
        <w:rPr>
          <w:rFonts w:ascii="SimSun" w:hAnsi="SimSun" w:eastAsia="SimSun" w:cs="SimSun"/>
          <w:sz w:val="17"/>
          <w:szCs w:val="17"/>
          <w:color w:val="231F20"/>
          <w:spacing w:val="-35"/>
        </w:rPr>
        <w:t xml:space="preserve"> </w:t>
      </w:r>
      <w:r>
        <w:rPr>
          <w:sz w:val="17"/>
          <w:szCs w:val="17"/>
          <w:color w:val="231F20"/>
          <w:spacing w:val="-2"/>
        </w:rPr>
        <w:t>9 </w:t>
      </w:r>
      <w:r>
        <w:rPr>
          <w:rFonts w:ascii="SimSun" w:hAnsi="SimSun" w:eastAsia="SimSun" w:cs="SimSun"/>
          <w:sz w:val="17"/>
          <w:szCs w:val="17"/>
          <w:color w:val="231F20"/>
          <w:spacing w:val="-2"/>
        </w:rPr>
        <w:t>版</w:t>
      </w:r>
      <w:r>
        <w:rPr>
          <w:rFonts w:ascii="SimSun" w:hAnsi="SimSun" w:eastAsia="SimSun" w:cs="SimSun"/>
          <w:sz w:val="17"/>
          <w:szCs w:val="17"/>
          <w:color w:val="231F20"/>
          <w:spacing w:val="-30"/>
        </w:rPr>
        <w:t xml:space="preserve"> </w:t>
      </w:r>
      <w:r>
        <w:rPr>
          <w:sz w:val="17"/>
          <w:szCs w:val="17"/>
          <w:color w:val="231F20"/>
          <w:spacing w:val="-2"/>
        </w:rPr>
        <w:t>.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北京</w:t>
      </w:r>
      <w:r>
        <w:rPr>
          <w:rFonts w:ascii="SimSun" w:hAnsi="SimSun" w:eastAsia="SimSun" w:cs="SimSun"/>
          <w:sz w:val="17"/>
          <w:szCs w:val="17"/>
          <w:color w:val="231F20"/>
          <w:spacing w:val="-27"/>
        </w:rPr>
        <w:t xml:space="preserve"> </w:t>
      </w:r>
      <w:r>
        <w:rPr>
          <w:sz w:val="17"/>
          <w:szCs w:val="17"/>
          <w:color w:val="231F20"/>
          <w:spacing w:val="-3"/>
        </w:rPr>
        <w:t>: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人民卫生出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版社，</w:t>
      </w:r>
      <w:r>
        <w:rPr>
          <w:sz w:val="17"/>
          <w:szCs w:val="17"/>
          <w:color w:val="231F20"/>
          <w:spacing w:val="-5"/>
        </w:rPr>
        <w:t>2018</w:t>
      </w:r>
      <w:r>
        <w:rPr>
          <w:sz w:val="17"/>
          <w:szCs w:val="17"/>
          <w:color w:val="231F20"/>
          <w:spacing w:val="10"/>
          <w:w w:val="102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：</w:t>
      </w:r>
      <w:r>
        <w:rPr>
          <w:sz w:val="17"/>
          <w:szCs w:val="17"/>
          <w:color w:val="231F20"/>
          <w:spacing w:val="-5"/>
        </w:rPr>
        <w:t>402.</w:t>
      </w:r>
    </w:p>
    <w:p>
      <w:pPr>
        <w:pStyle w:val="BodyText"/>
        <w:ind w:left="395" w:right="91" w:hanging="386"/>
        <w:spacing w:before="56" w:line="257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3"/>
        </w:rPr>
        <w:t>[13]</w:t>
      </w:r>
      <w:r>
        <w:rPr>
          <w:sz w:val="17"/>
          <w:szCs w:val="17"/>
          <w:color w:val="231F20"/>
          <w:spacing w:val="17"/>
          <w:w w:val="102"/>
        </w:rPr>
        <w:t xml:space="preserve"> 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钟南山，万希润，马小军，等</w:t>
      </w:r>
      <w:r>
        <w:rPr>
          <w:rFonts w:ascii="SimSun" w:hAnsi="SimSun" w:eastAsia="SimSun" w:cs="SimSun"/>
          <w:sz w:val="17"/>
          <w:szCs w:val="17"/>
          <w:color w:val="231F20"/>
          <w:spacing w:val="-23"/>
        </w:rPr>
        <w:t xml:space="preserve"> </w:t>
      </w:r>
      <w:r>
        <w:rPr>
          <w:sz w:val="17"/>
          <w:szCs w:val="17"/>
          <w:color w:val="231F20"/>
          <w:spacing w:val="3"/>
        </w:rPr>
        <w:t>. </w:t>
      </w:r>
      <w:r>
        <w:rPr>
          <w:rFonts w:ascii="SimSun" w:hAnsi="SimSun" w:eastAsia="SimSun" w:cs="SimSun"/>
          <w:sz w:val="17"/>
          <w:szCs w:val="17"/>
          <w:color w:val="231F20"/>
          <w:spacing w:val="3"/>
        </w:rPr>
        <w:t>抗菌药物临床应用指导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</w:rPr>
        <w:t>原则（</w:t>
      </w:r>
      <w:r>
        <w:rPr>
          <w:sz w:val="17"/>
          <w:szCs w:val="17"/>
          <w:color w:val="231F20"/>
        </w:rPr>
        <w:t>2015 </w:t>
      </w:r>
      <w:r>
        <w:rPr>
          <w:rFonts w:ascii="SimSun" w:hAnsi="SimSun" w:eastAsia="SimSun" w:cs="SimSun"/>
          <w:sz w:val="17"/>
          <w:szCs w:val="17"/>
          <w:color w:val="231F20"/>
        </w:rPr>
        <w:t>版）</w:t>
      </w:r>
      <w:r>
        <w:rPr>
          <w:sz w:val="17"/>
          <w:szCs w:val="17"/>
          <w:color w:val="231F20"/>
        </w:rPr>
        <w:t>[M]. </w:t>
      </w:r>
      <w:r>
        <w:rPr>
          <w:rFonts w:ascii="SimSun" w:hAnsi="SimSun" w:eastAsia="SimSun" w:cs="SimSun"/>
          <w:sz w:val="17"/>
          <w:szCs w:val="17"/>
          <w:color w:val="231F20"/>
        </w:rPr>
        <w:t>北京</w:t>
      </w:r>
      <w:r>
        <w:rPr>
          <w:rFonts w:ascii="SimSun" w:hAnsi="SimSun" w:eastAsia="SimSun" w:cs="SimSun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</w:rPr>
        <w:t>: </w:t>
      </w:r>
      <w:r>
        <w:rPr>
          <w:rFonts w:ascii="SimSun" w:hAnsi="SimSun" w:eastAsia="SimSun" w:cs="SimSun"/>
          <w:sz w:val="17"/>
          <w:szCs w:val="17"/>
          <w:color w:val="231F20"/>
        </w:rPr>
        <w:t>人民卫生出版社，</w:t>
      </w:r>
      <w:r>
        <w:rPr>
          <w:sz w:val="17"/>
          <w:szCs w:val="17"/>
          <w:color w:val="231F20"/>
          <w:spacing w:val="-1"/>
        </w:rPr>
        <w:t>2015:15.</w:t>
      </w:r>
    </w:p>
    <w:p>
      <w:pPr>
        <w:pStyle w:val="BodyText"/>
        <w:ind w:left="394" w:right="37" w:hanging="385"/>
        <w:spacing w:before="86" w:line="279" w:lineRule="auto"/>
        <w:rPr>
          <w:sz w:val="17"/>
          <w:szCs w:val="17"/>
        </w:rPr>
      </w:pPr>
      <w:r>
        <w:rPr>
          <w:sz w:val="17"/>
          <w:szCs w:val="17"/>
          <w:color w:val="231F20"/>
          <w:spacing w:val="-1"/>
        </w:rPr>
        <w:t>[14]  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曾静，杨丽，李饶，等</w:t>
      </w:r>
      <w:r>
        <w:rPr>
          <w:rFonts w:ascii="SimSun" w:hAnsi="SimSun" w:eastAsia="SimSun" w:cs="SimSun"/>
          <w:sz w:val="17"/>
          <w:szCs w:val="17"/>
          <w:color w:val="231F20"/>
          <w:spacing w:val="-21"/>
        </w:rPr>
        <w:t xml:space="preserve"> </w:t>
      </w:r>
      <w:r>
        <w:rPr>
          <w:sz w:val="17"/>
          <w:szCs w:val="17"/>
          <w:color w:val="231F20"/>
          <w:spacing w:val="-1"/>
        </w:rPr>
        <w:t>.PDCA </w:t>
      </w:r>
      <w:r>
        <w:rPr>
          <w:rFonts w:ascii="SimSun" w:hAnsi="SimSun" w:eastAsia="SimSun" w:cs="SimSun"/>
          <w:sz w:val="17"/>
          <w:szCs w:val="17"/>
          <w:color w:val="231F20"/>
          <w:spacing w:val="-1"/>
        </w:rPr>
        <w:t>管理在时间依赖性抗菌药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物输注中的应用</w:t>
      </w:r>
      <w:r>
        <w:rPr>
          <w:rFonts w:ascii="SimSun" w:hAnsi="SimSun" w:eastAsia="SimSun" w:cs="SimSun"/>
          <w:sz w:val="17"/>
          <w:szCs w:val="17"/>
          <w:color w:val="231F20"/>
          <w:spacing w:val="-28"/>
        </w:rPr>
        <w:t xml:space="preserve"> </w:t>
      </w:r>
      <w:r>
        <w:rPr>
          <w:sz w:val="17"/>
          <w:szCs w:val="17"/>
          <w:color w:val="231F20"/>
          <w:spacing w:val="-3"/>
        </w:rPr>
        <w:t>[J].</w:t>
      </w:r>
      <w:r>
        <w:rPr>
          <w:sz w:val="17"/>
          <w:szCs w:val="17"/>
          <w:color w:val="231F20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"/>
        </w:rPr>
        <w:t>中国妇幼健康研究，</w:t>
      </w:r>
      <w:r>
        <w:rPr>
          <w:sz w:val="17"/>
          <w:szCs w:val="17"/>
          <w:color w:val="231F20"/>
          <w:spacing w:val="-3"/>
        </w:rPr>
        <w:t>20</w:t>
      </w:r>
      <w:r>
        <w:rPr>
          <w:sz w:val="17"/>
          <w:szCs w:val="17"/>
          <w:color w:val="231F20"/>
          <w:spacing w:val="-4"/>
        </w:rPr>
        <w:t>17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，</w:t>
      </w:r>
      <w:r>
        <w:rPr>
          <w:sz w:val="17"/>
          <w:szCs w:val="17"/>
          <w:color w:val="231F20"/>
          <w:spacing w:val="-4"/>
        </w:rPr>
        <w:t>28</w:t>
      </w:r>
      <w:r>
        <w:rPr>
          <w:rFonts w:ascii="SimSun" w:hAnsi="SimSun" w:eastAsia="SimSun" w:cs="SimSun"/>
          <w:sz w:val="17"/>
          <w:szCs w:val="17"/>
          <w:color w:val="231F20"/>
          <w:spacing w:val="-4"/>
        </w:rPr>
        <w:t>（</w:t>
      </w:r>
      <w:r>
        <w:rPr>
          <w:sz w:val="17"/>
          <w:szCs w:val="17"/>
          <w:color w:val="231F20"/>
          <w:spacing w:val="-4"/>
        </w:rPr>
        <w:t>S4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37"/>
          <w:w w:val="81"/>
        </w:rPr>
        <w:t>）：</w:t>
      </w:r>
      <w:r>
        <w:rPr>
          <w:rFonts w:ascii="SimSun" w:hAnsi="SimSun" w:eastAsia="SimSun" w:cs="SimSun"/>
          <w:sz w:val="17"/>
          <w:szCs w:val="17"/>
          <w:color w:val="231F20"/>
        </w:rPr>
        <w:t xml:space="preserve"> </w:t>
      </w:r>
      <w:r>
        <w:rPr>
          <w:sz w:val="17"/>
          <w:szCs w:val="17"/>
          <w:color w:val="231F20"/>
          <w:spacing w:val="-1"/>
        </w:rPr>
        <w:t>464-465.</w:t>
      </w:r>
    </w:p>
    <w:p>
      <w:pPr>
        <w:pStyle w:val="BodyText"/>
        <w:spacing w:before="96" w:line="214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（收稿日期</w:t>
      </w:r>
      <w:r>
        <w:rPr>
          <w:rFonts w:ascii="SimSun" w:hAnsi="SimSun" w:eastAsia="SimSun" w:cs="SimSun"/>
          <w:sz w:val="17"/>
          <w:szCs w:val="17"/>
          <w:color w:val="231F20"/>
          <w:spacing w:val="-19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：</w:t>
      </w:r>
      <w:r>
        <w:rPr>
          <w:sz w:val="17"/>
          <w:szCs w:val="17"/>
          <w:color w:val="231F20"/>
          <w:spacing w:val="-5"/>
        </w:rPr>
        <w:t>2023-05-21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；修回日期</w:t>
      </w:r>
      <w:r>
        <w:rPr>
          <w:rFonts w:ascii="SimSun" w:hAnsi="SimSun" w:eastAsia="SimSun" w:cs="SimSun"/>
          <w:sz w:val="17"/>
          <w:szCs w:val="17"/>
          <w:color w:val="231F20"/>
          <w:spacing w:val="-33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：</w:t>
      </w:r>
      <w:r>
        <w:rPr>
          <w:sz w:val="17"/>
          <w:szCs w:val="17"/>
          <w:color w:val="231F20"/>
          <w:spacing w:val="-5"/>
        </w:rPr>
        <w:t>2023-08-18</w:t>
      </w:r>
      <w:r>
        <w:rPr>
          <w:sz w:val="17"/>
          <w:szCs w:val="17"/>
          <w:color w:val="231F20"/>
          <w:spacing w:val="-21"/>
        </w:rPr>
        <w:t xml:space="preserve"> </w:t>
      </w:r>
      <w:r>
        <w:rPr>
          <w:rFonts w:ascii="SimSun" w:hAnsi="SimSun" w:eastAsia="SimSun" w:cs="SimSun"/>
          <w:sz w:val="17"/>
          <w:szCs w:val="17"/>
          <w:color w:val="231F20"/>
          <w:spacing w:val="-5"/>
        </w:rPr>
        <w:t>）</w:t>
      </w:r>
    </w:p>
    <w:sectPr>
      <w:type w:val="continuous"/>
      <w:pgSz w:w="11793" w:h="16045"/>
      <w:pgMar w:top="1237" w:right="1156" w:bottom="993" w:left="407" w:header="876" w:footer="645" w:gutter="0"/>
      <w:cols w:equalWidth="0" w:num="2">
        <w:col w:w="5478" w:space="100"/>
        <w:col w:w="4651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19"/>
      <w:spacing w:line="337" w:lineRule="exact"/>
      <w:rPr>
        <w:sz w:val="24"/>
        <w:szCs w:val="24"/>
      </w:rPr>
    </w:pPr>
    <w:r>
      <w:rPr>
        <w:sz w:val="24"/>
        <w:szCs w:val="24"/>
        <w:color w:val="231F20"/>
        <w:spacing w:val="23"/>
        <w:position w:val="2"/>
      </w:rPr>
      <w:t>-</w:t>
    </w:r>
    <w:r>
      <w:rPr>
        <w:sz w:val="24"/>
        <w:szCs w:val="24"/>
        <w:color w:val="231F20"/>
        <w:spacing w:val="1"/>
        <w:position w:val="2"/>
      </w:rPr>
      <w:t xml:space="preserve">  </w:t>
    </w:r>
    <w:r>
      <w:rPr>
        <w:rFonts w:ascii="SimSun" w:hAnsi="SimSun" w:eastAsia="SimSun" w:cs="SimSun"/>
        <w:sz w:val="24"/>
        <w:szCs w:val="24"/>
        <w:color w:val="231F20"/>
        <w:spacing w:val="23"/>
        <w:position w:val="2"/>
      </w:rPr>
      <w:t>1913</w:t>
    </w:r>
    <w:r>
      <w:rPr>
        <w:rFonts w:ascii="SimSun" w:hAnsi="SimSun" w:eastAsia="SimSun" w:cs="SimSun"/>
        <w:sz w:val="24"/>
        <w:szCs w:val="24"/>
        <w:color w:val="231F20"/>
        <w:spacing w:val="-21"/>
        <w:position w:val="2"/>
      </w:rPr>
      <w:t xml:space="preserve"> </w:t>
    </w:r>
    <w:r>
      <w:rPr>
        <w:sz w:val="24"/>
        <w:szCs w:val="24"/>
        <w:color w:val="231F20"/>
        <w:spacing w:val="23"/>
        <w:position w:val="2"/>
      </w:rPr>
      <w:t>-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line="337" w:lineRule="exact"/>
      <w:rPr>
        <w:sz w:val="24"/>
        <w:szCs w:val="24"/>
      </w:rPr>
    </w:pPr>
    <w:r>
      <w:rPr>
        <w:sz w:val="24"/>
        <w:szCs w:val="24"/>
        <w:color w:val="231F20"/>
        <w:spacing w:val="23"/>
        <w:position w:val="2"/>
      </w:rPr>
      <w:t>-</w:t>
    </w:r>
    <w:r>
      <w:rPr>
        <w:sz w:val="24"/>
        <w:szCs w:val="24"/>
        <w:color w:val="231F20"/>
        <w:spacing w:val="1"/>
        <w:position w:val="2"/>
      </w:rPr>
      <w:t xml:space="preserve">  </w:t>
    </w:r>
    <w:r>
      <w:rPr>
        <w:rFonts w:ascii="SimSun" w:hAnsi="SimSun" w:eastAsia="SimSun" w:cs="SimSun"/>
        <w:sz w:val="24"/>
        <w:szCs w:val="24"/>
        <w:color w:val="231F20"/>
        <w:spacing w:val="23"/>
        <w:position w:val="2"/>
      </w:rPr>
      <w:t>1914</w:t>
    </w:r>
    <w:r>
      <w:rPr>
        <w:rFonts w:ascii="SimSun" w:hAnsi="SimSun" w:eastAsia="SimSun" w:cs="SimSun"/>
        <w:sz w:val="24"/>
        <w:szCs w:val="24"/>
        <w:color w:val="231F20"/>
        <w:spacing w:val="-21"/>
        <w:position w:val="2"/>
      </w:rPr>
      <w:t xml:space="preserve"> </w:t>
    </w:r>
    <w:r>
      <w:rPr>
        <w:sz w:val="24"/>
        <w:szCs w:val="24"/>
        <w:color w:val="231F20"/>
        <w:spacing w:val="23"/>
        <w:position w:val="2"/>
      </w:rPr>
      <w:t>-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9419"/>
      <w:spacing w:line="337" w:lineRule="exact"/>
      <w:rPr>
        <w:sz w:val="24"/>
        <w:szCs w:val="24"/>
      </w:rPr>
    </w:pPr>
    <w:r>
      <w:rPr>
        <w:sz w:val="24"/>
        <w:szCs w:val="24"/>
        <w:color w:val="231F20"/>
        <w:spacing w:val="23"/>
        <w:position w:val="2"/>
      </w:rPr>
      <w:t>-</w:t>
    </w:r>
    <w:r>
      <w:rPr>
        <w:sz w:val="24"/>
        <w:szCs w:val="24"/>
        <w:color w:val="231F20"/>
        <w:spacing w:val="1"/>
        <w:position w:val="2"/>
      </w:rPr>
      <w:t xml:space="preserve">  </w:t>
    </w:r>
    <w:r>
      <w:rPr>
        <w:rFonts w:ascii="SimSun" w:hAnsi="SimSun" w:eastAsia="SimSun" w:cs="SimSun"/>
        <w:sz w:val="24"/>
        <w:szCs w:val="24"/>
        <w:color w:val="231F20"/>
        <w:spacing w:val="23"/>
        <w:position w:val="2"/>
      </w:rPr>
      <w:t>1915</w:t>
    </w:r>
    <w:r>
      <w:rPr>
        <w:rFonts w:ascii="SimSun" w:hAnsi="SimSun" w:eastAsia="SimSun" w:cs="SimSun"/>
        <w:sz w:val="24"/>
        <w:szCs w:val="24"/>
        <w:color w:val="231F20"/>
        <w:spacing w:val="-21"/>
        <w:position w:val="2"/>
      </w:rPr>
      <w:t xml:space="preserve"> </w:t>
    </w:r>
    <w:r>
      <w:rPr>
        <w:sz w:val="24"/>
        <w:szCs w:val="24"/>
        <w:color w:val="231F20"/>
        <w:spacing w:val="23"/>
        <w:position w:val="2"/>
      </w:rPr>
      <w:t>-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55"/>
      <w:spacing w:line="337" w:lineRule="exact"/>
      <w:rPr>
        <w:sz w:val="24"/>
        <w:szCs w:val="24"/>
      </w:rPr>
    </w:pPr>
    <w:r>
      <w:rPr>
        <w:sz w:val="24"/>
        <w:szCs w:val="24"/>
        <w:color w:val="231F20"/>
        <w:spacing w:val="23"/>
        <w:position w:val="2"/>
      </w:rPr>
      <w:t>-</w:t>
    </w:r>
    <w:r>
      <w:rPr>
        <w:sz w:val="24"/>
        <w:szCs w:val="24"/>
        <w:color w:val="231F20"/>
        <w:spacing w:val="1"/>
        <w:position w:val="2"/>
      </w:rPr>
      <w:t xml:space="preserve">  </w:t>
    </w:r>
    <w:r>
      <w:rPr>
        <w:rFonts w:ascii="SimSun" w:hAnsi="SimSun" w:eastAsia="SimSun" w:cs="SimSun"/>
        <w:sz w:val="24"/>
        <w:szCs w:val="24"/>
        <w:color w:val="231F20"/>
        <w:spacing w:val="23"/>
        <w:position w:val="2"/>
      </w:rPr>
      <w:t>1916</w:t>
    </w:r>
    <w:r>
      <w:rPr>
        <w:rFonts w:ascii="SimSun" w:hAnsi="SimSun" w:eastAsia="SimSun" w:cs="SimSun"/>
        <w:sz w:val="24"/>
        <w:szCs w:val="24"/>
        <w:color w:val="231F20"/>
        <w:spacing w:val="-21"/>
        <w:position w:val="2"/>
      </w:rPr>
      <w:t xml:space="preserve"> </w:t>
    </w:r>
    <w:r>
      <w:rPr>
        <w:sz w:val="24"/>
        <w:szCs w:val="24"/>
        <w:color w:val="231F20"/>
        <w:spacing w:val="23"/>
        <w:position w:val="2"/>
      </w:rPr>
      <w:t>-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28"/>
      <w:spacing w:before="51" w:line="213" w:lineRule="auto"/>
      <w:rPr>
        <w:rFonts w:ascii="SimSun" w:hAnsi="SimSun" w:eastAsia="SimSun" w:cs="SimSun"/>
      </w:rPr>
    </w:pPr>
    <w:r>
      <w:pict>
        <v:shape id="WordPictureWatermark2" style="position:absolute;margin-left:20.4pt;margin-top:774.804pt;mso-position-vertical-relative:page;mso-position-horizontal-relative:page;width:475.5pt;height:9.7pt;z-index:-251658240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color w:val="231F20"/>
        <w:spacing w:val="-2"/>
      </w:rPr>
      <w:t>中国药物滥用防治杂志</w:t>
    </w:r>
    <w:r>
      <w:rPr>
        <w:rFonts w:ascii="SimSun" w:hAnsi="SimSun" w:eastAsia="SimSun" w:cs="SimSun"/>
        <w:color w:val="231F20"/>
        <w:spacing w:val="16"/>
      </w:rPr>
      <w:t xml:space="preserve">   </w:t>
    </w:r>
    <w:r>
      <w:rPr>
        <w:color w:val="231F20"/>
        <w:spacing w:val="-2"/>
      </w:rPr>
      <w:t>2023 </w:t>
    </w:r>
    <w:r>
      <w:rPr>
        <w:rFonts w:ascii="SimSun" w:hAnsi="SimSun" w:eastAsia="SimSun" w:cs="SimSun"/>
        <w:color w:val="231F20"/>
        <w:spacing w:val="-2"/>
      </w:rPr>
      <w:t>年第</w:t>
    </w:r>
    <w:r>
      <w:rPr>
        <w:rFonts w:ascii="SimSun" w:hAnsi="SimSun" w:eastAsia="SimSun" w:cs="SimSun"/>
        <w:color w:val="231F20"/>
        <w:spacing w:val="-41"/>
      </w:rPr>
      <w:t xml:space="preserve"> </w:t>
    </w:r>
    <w:r>
      <w:rPr>
        <w:color w:val="231F20"/>
        <w:spacing w:val="-2"/>
      </w:rPr>
      <w:t>29 </w:t>
    </w:r>
    <w:r>
      <w:rPr>
        <w:rFonts w:ascii="SimSun" w:hAnsi="SimSun" w:eastAsia="SimSun" w:cs="SimSun"/>
        <w:color w:val="231F20"/>
        <w:spacing w:val="-2"/>
      </w:rPr>
      <w:t>卷  第</w:t>
    </w:r>
    <w:r>
      <w:rPr>
        <w:rFonts w:ascii="SimSun" w:hAnsi="SimSun" w:eastAsia="SimSun" w:cs="SimSun"/>
        <w:color w:val="231F20"/>
        <w:spacing w:val="-24"/>
      </w:rPr>
      <w:t xml:space="preserve"> </w:t>
    </w:r>
    <w:r>
      <w:rPr>
        <w:color w:val="231F20"/>
        <w:spacing w:val="-2"/>
      </w:rPr>
      <w:t>11 </w:t>
    </w:r>
    <w:r>
      <w:rPr>
        <w:rFonts w:ascii="SimSun" w:hAnsi="SimSun" w:eastAsia="SimSun" w:cs="SimSun"/>
        <w:color w:val="231F20"/>
        <w:spacing w:val="-2"/>
      </w:rPr>
      <w:t>期</w:t>
    </w:r>
  </w:p>
  <w:p>
    <w:pPr>
      <w:ind w:firstLine="839"/>
      <w:spacing w:before="56" w:line="48" w:lineRule="exact"/>
      <w:rPr/>
    </w:pPr>
    <w:r>
      <w:rPr>
        <w:position w:val="-1"/>
      </w:rPr>
      <w:pict>
        <v:shape id="_x0000_s4" style="mso-position-vertical-relative:line;mso-position-horizontal-relative:char;width:479.1pt;height:2.95pt;" filled="false" strokecolor="#231F20" strokeweight="0.45pt" coordsize="9582,59" coordorigin="0,0" path="m0,53l9581,53m0,4l9581,4e">
          <v:stroke joinstyle="miter" miterlimit="4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8"/>
      <w:spacing w:before="34" w:line="242" w:lineRule="auto"/>
      <w:rPr/>
    </w:pPr>
    <w:r>
      <w:pict>
        <v:shape id="WordPictureWatermark14" style="position:absolute;margin-left:20.4pt;margin-top:774.804pt;mso-position-vertical-relative:page;mso-position-horizontal-relative:page;width:475.5pt;height:9.7pt;z-index:-251657216;" o:allowincell="f" filled="false" stroked="false" type="#_x0000_t75">
          <v:imagedata o:title="" r:id="rId1"/>
        </v:shape>
      </w:pict>
    </w:r>
    <w:r>
      <w:rPr>
        <w:color w:val="231F20"/>
        <w:spacing w:val="-2"/>
      </w:rPr>
      <w:t>Chinese Journal of</w:t>
    </w:r>
    <w:r>
      <w:rPr>
        <w:color w:val="231F20"/>
        <w:spacing w:val="-21"/>
      </w:rPr>
      <w:t xml:space="preserve"> </w:t>
    </w:r>
    <w:r>
      <w:rPr>
        <w:color w:val="231F20"/>
        <w:spacing w:val="-2"/>
      </w:rPr>
      <w:t>Drug Abuse pr</w:t>
    </w:r>
    <w:r>
      <w:rPr>
        <w:color w:val="231F20"/>
        <w:spacing w:val="-3"/>
      </w:rPr>
      <w:t>evention and Treatment 2023.</w:t>
    </w:r>
    <w:r>
      <w:rPr>
        <w:color w:val="231F20"/>
        <w:spacing w:val="32"/>
        <w:w w:val="101"/>
      </w:rPr>
      <w:t xml:space="preserve"> </w:t>
    </w:r>
    <w:r>
      <w:rPr>
        <w:color w:val="231F20"/>
        <w:spacing w:val="-3"/>
      </w:rPr>
      <w:t>Vol.</w:t>
    </w:r>
    <w:r>
      <w:rPr>
        <w:color w:val="231F20"/>
        <w:spacing w:val="35"/>
      </w:rPr>
      <w:t xml:space="preserve"> </w:t>
    </w:r>
    <w:r>
      <w:rPr>
        <w:color w:val="231F20"/>
        <w:spacing w:val="-3"/>
      </w:rPr>
      <w:t>29,</w:t>
    </w:r>
    <w:r>
      <w:rPr>
        <w:color w:val="231F20"/>
        <w:spacing w:val="33"/>
        <w:w w:val="101"/>
      </w:rPr>
      <w:t xml:space="preserve"> </w:t>
    </w:r>
    <w:r>
      <w:rPr>
        <w:color w:val="231F20"/>
        <w:spacing w:val="-3"/>
      </w:rPr>
      <w:t>No.11</w:t>
    </w:r>
  </w:p>
  <w:p>
    <w:pPr>
      <w:ind w:firstLine="555"/>
      <w:spacing w:before="59" w:line="48" w:lineRule="exact"/>
      <w:rPr/>
    </w:pPr>
    <w:r>
      <w:rPr>
        <w:position w:val="-1"/>
      </w:rPr>
      <w:pict>
        <v:shape id="_x0000_s16" style="mso-position-vertical-relative:line;mso-position-horizontal-relative:char;width:479.1pt;height:2.95pt;" filled="false" strokecolor="#231F20" strokeweight="0.45pt" coordsize="9582,59" coordorigin="0,0" path="m0,53l9581,53m0,4l9581,4e">
          <v:stroke joinstyle="miter" miterlimit="4"/>
        </v:shape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628"/>
      <w:spacing w:before="51" w:line="213" w:lineRule="auto"/>
      <w:rPr>
        <w:rFonts w:ascii="SimSun" w:hAnsi="SimSun" w:eastAsia="SimSun" w:cs="SimSun"/>
      </w:rPr>
    </w:pPr>
    <w:r>
      <w:pict>
        <v:shape id="WordPictureWatermark18" style="position:absolute;margin-left:20.4pt;margin-top:774.804pt;mso-position-vertical-relative:page;mso-position-horizontal-relative:page;width:475.5pt;height:9.7pt;z-index:-251656192;" o:allowincell="f" filled="false" stroked="false" type="#_x0000_t75">
          <v:imagedata o:title="" r:id="rId1"/>
        </v:shape>
      </w:pict>
    </w:r>
    <w:r>
      <w:rPr>
        <w:rFonts w:ascii="SimSun" w:hAnsi="SimSun" w:eastAsia="SimSun" w:cs="SimSun"/>
        <w:color w:val="231F20"/>
        <w:spacing w:val="-2"/>
      </w:rPr>
      <w:t>中国药物滥用防治杂志</w:t>
    </w:r>
    <w:r>
      <w:rPr>
        <w:rFonts w:ascii="SimSun" w:hAnsi="SimSun" w:eastAsia="SimSun" w:cs="SimSun"/>
        <w:color w:val="231F20"/>
        <w:spacing w:val="16"/>
      </w:rPr>
      <w:t xml:space="preserve">   </w:t>
    </w:r>
    <w:r>
      <w:rPr>
        <w:color w:val="231F20"/>
        <w:spacing w:val="-2"/>
      </w:rPr>
      <w:t>2023 </w:t>
    </w:r>
    <w:r>
      <w:rPr>
        <w:rFonts w:ascii="SimSun" w:hAnsi="SimSun" w:eastAsia="SimSun" w:cs="SimSun"/>
        <w:color w:val="231F20"/>
        <w:spacing w:val="-2"/>
      </w:rPr>
      <w:t>年第</w:t>
    </w:r>
    <w:r>
      <w:rPr>
        <w:rFonts w:ascii="SimSun" w:hAnsi="SimSun" w:eastAsia="SimSun" w:cs="SimSun"/>
        <w:color w:val="231F20"/>
        <w:spacing w:val="-41"/>
      </w:rPr>
      <w:t xml:space="preserve"> </w:t>
    </w:r>
    <w:r>
      <w:rPr>
        <w:color w:val="231F20"/>
        <w:spacing w:val="-2"/>
      </w:rPr>
      <w:t>29 </w:t>
    </w:r>
    <w:r>
      <w:rPr>
        <w:rFonts w:ascii="SimSun" w:hAnsi="SimSun" w:eastAsia="SimSun" w:cs="SimSun"/>
        <w:color w:val="231F20"/>
        <w:spacing w:val="-2"/>
      </w:rPr>
      <w:t>卷  第</w:t>
    </w:r>
    <w:r>
      <w:rPr>
        <w:rFonts w:ascii="SimSun" w:hAnsi="SimSun" w:eastAsia="SimSun" w:cs="SimSun"/>
        <w:color w:val="231F20"/>
        <w:spacing w:val="-24"/>
      </w:rPr>
      <w:t xml:space="preserve"> </w:t>
    </w:r>
    <w:r>
      <w:rPr>
        <w:color w:val="231F20"/>
        <w:spacing w:val="-2"/>
      </w:rPr>
      <w:t>11 </w:t>
    </w:r>
    <w:r>
      <w:rPr>
        <w:rFonts w:ascii="SimSun" w:hAnsi="SimSun" w:eastAsia="SimSun" w:cs="SimSun"/>
        <w:color w:val="231F20"/>
        <w:spacing w:val="-2"/>
      </w:rPr>
      <w:t>期</w:t>
    </w:r>
  </w:p>
  <w:p>
    <w:pPr>
      <w:ind w:firstLine="839"/>
      <w:spacing w:before="56" w:line="48" w:lineRule="exact"/>
      <w:rPr/>
    </w:pPr>
    <w:r>
      <w:rPr>
        <w:position w:val="-1"/>
      </w:rPr>
      <w:pict>
        <v:shape id="_x0000_s20" style="mso-position-vertical-relative:line;mso-position-horizontal-relative:char;width:479.1pt;height:2.95pt;" filled="false" strokecolor="#231F20" strokeweight="0.45pt" coordsize="9582,59" coordorigin="0,0" path="m0,53l9581,53m0,4l9581,4e">
          <v:stroke joinstyle="miter" miterlimit="4"/>
        </v:shape>
      </w:pic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78"/>
      <w:spacing w:before="34" w:line="242" w:lineRule="auto"/>
      <w:rPr/>
    </w:pPr>
    <w:r>
      <w:pict>
        <v:shape id="WordPictureWatermark22" style="position:absolute;margin-left:20.4pt;margin-top:774.804pt;mso-position-vertical-relative:page;mso-position-horizontal-relative:page;width:475.5pt;height:9.7pt;z-index:-251655168;" o:allowincell="f" filled="false" stroked="false" type="#_x0000_t75">
          <v:imagedata o:title="" r:id="rId1"/>
        </v:shape>
      </w:pict>
    </w:r>
    <w:r>
      <w:rPr>
        <w:color w:val="231F20"/>
        <w:spacing w:val="-2"/>
      </w:rPr>
      <w:t>Chinese Journal of</w:t>
    </w:r>
    <w:r>
      <w:rPr>
        <w:color w:val="231F20"/>
        <w:spacing w:val="-21"/>
      </w:rPr>
      <w:t xml:space="preserve"> </w:t>
    </w:r>
    <w:r>
      <w:rPr>
        <w:color w:val="231F20"/>
        <w:spacing w:val="-2"/>
      </w:rPr>
      <w:t>Drug Abuse pr</w:t>
    </w:r>
    <w:r>
      <w:rPr>
        <w:color w:val="231F20"/>
        <w:spacing w:val="-3"/>
      </w:rPr>
      <w:t>evention and Treatment 2023.</w:t>
    </w:r>
    <w:r>
      <w:rPr>
        <w:color w:val="231F20"/>
        <w:spacing w:val="32"/>
        <w:w w:val="101"/>
      </w:rPr>
      <w:t xml:space="preserve"> </w:t>
    </w:r>
    <w:r>
      <w:rPr>
        <w:color w:val="231F20"/>
        <w:spacing w:val="-3"/>
      </w:rPr>
      <w:t>Vol.</w:t>
    </w:r>
    <w:r>
      <w:rPr>
        <w:color w:val="231F20"/>
        <w:spacing w:val="35"/>
      </w:rPr>
      <w:t xml:space="preserve"> </w:t>
    </w:r>
    <w:r>
      <w:rPr>
        <w:color w:val="231F20"/>
        <w:spacing w:val="-3"/>
      </w:rPr>
      <w:t>29,</w:t>
    </w:r>
    <w:r>
      <w:rPr>
        <w:color w:val="231F20"/>
        <w:spacing w:val="33"/>
        <w:w w:val="101"/>
      </w:rPr>
      <w:t xml:space="preserve"> </w:t>
    </w:r>
    <w:r>
      <w:rPr>
        <w:color w:val="231F20"/>
        <w:spacing w:val="-3"/>
      </w:rPr>
      <w:t>No.11</w:t>
    </w:r>
  </w:p>
  <w:p>
    <w:pPr>
      <w:ind w:firstLine="555"/>
      <w:spacing w:before="59" w:line="48" w:lineRule="exact"/>
      <w:rPr/>
    </w:pPr>
    <w:r>
      <w:rPr>
        <w:position w:val="-1"/>
      </w:rPr>
      <w:pict>
        <v:shape id="_x0000_s24" style="mso-position-vertical-relative:line;mso-position-horizontal-relative:char;width:479.1pt;height:2.95pt;" filled="false" strokecolor="#231F20" strokeweight="0.45pt" coordsize="9582,59" coordorigin="0,0" path="m0,53l9581,53m0,4l9581,4e">
          <v:stroke joinstyle="miter" miterlimit="4"/>
        </v:shape>
      </w:pic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footer" Target="footer4.xml"/><Relationship Id="rId7" Type="http://schemas.openxmlformats.org/officeDocument/2006/relationships/header" Target="header4.xml"/><Relationship Id="rId6" Type="http://schemas.openxmlformats.org/officeDocument/2006/relationships/footer" Target="footer3.xml"/><Relationship Id="rId5" Type="http://schemas.openxmlformats.org/officeDocument/2006/relationships/header" Target="header3.xml"/><Relationship Id="rId4" Type="http://schemas.openxmlformats.org/officeDocument/2006/relationships/footer" Target="footer2.xml"/><Relationship Id="rId3" Type="http://schemas.openxmlformats.org/officeDocument/2006/relationships/header" Target="header2.xml"/><Relationship Id="rId2" Type="http://schemas.openxmlformats.org/officeDocument/2006/relationships/footer" Target="footer1.xml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2023-11-24T21:13:45Z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2025-10-28T21:31:25</vt:filetime>
  </property>
</Properties>
</file>