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156"/>
        <w:spacing w:before="143" w:line="192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-3"/>
        </w:rPr>
        <w:t>·</w:t>
      </w:r>
      <w:r>
        <w:rPr>
          <w:sz w:val="27"/>
          <w:szCs w:val="27"/>
          <w:color w:val="231F20"/>
          <w:spacing w:val="63"/>
        </w:rPr>
        <w:t xml:space="preserve"> </w:t>
      </w:r>
      <w:r>
        <w:rPr>
          <w:sz w:val="27"/>
          <w:szCs w:val="27"/>
          <w:color w:val="231F20"/>
          <w:spacing w:val="-3"/>
        </w:rPr>
        <w:t>论</w:t>
      </w:r>
      <w:r>
        <w:rPr>
          <w:sz w:val="27"/>
          <w:szCs w:val="27"/>
          <w:color w:val="231F20"/>
          <w:spacing w:val="15"/>
        </w:rPr>
        <w:t xml:space="preserve">   </w:t>
      </w:r>
      <w:r>
        <w:rPr>
          <w:sz w:val="27"/>
          <w:szCs w:val="27"/>
          <w:color w:val="231F20"/>
          <w:spacing w:val="-3"/>
        </w:rPr>
        <w:t>著</w:t>
      </w:r>
      <w:r>
        <w:rPr>
          <w:sz w:val="27"/>
          <w:szCs w:val="27"/>
          <w:color w:val="231F20"/>
          <w:spacing w:val="62"/>
          <w:w w:val="101"/>
        </w:rPr>
        <w:t xml:space="preserve"> </w:t>
      </w:r>
      <w:r>
        <w:rPr>
          <w:sz w:val="27"/>
          <w:szCs w:val="27"/>
          <w:color w:val="231F20"/>
          <w:spacing w:val="-3"/>
        </w:rPr>
        <w:t>·</w:t>
      </w:r>
    </w:p>
    <w:p>
      <w:pPr>
        <w:pStyle w:val="BodyText"/>
        <w:ind w:left="1965"/>
        <w:spacing w:before="238" w:line="186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柴胡桂枝汤治疗小儿急性肠胃炎的效果</w:t>
      </w:r>
    </w:p>
    <w:p>
      <w:pPr>
        <w:pStyle w:val="BodyText"/>
        <w:ind w:left="4473"/>
        <w:spacing w:before="196" w:line="193" w:lineRule="auto"/>
        <w:rPr/>
      </w:pPr>
      <w:r>
        <w:rPr>
          <w:color w:val="231F20"/>
          <w:spacing w:val="1"/>
        </w:rPr>
        <w:t>唐娜娜，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李海秀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，孙娜</w:t>
      </w:r>
    </w:p>
    <w:p>
      <w:pPr>
        <w:pStyle w:val="BodyText"/>
        <w:ind w:left="3548"/>
        <w:spacing w:before="38" w:line="201" w:lineRule="auto"/>
        <w:rPr/>
      </w:pPr>
      <w:r>
        <w:rPr>
          <w:color w:val="231F20"/>
          <w:spacing w:val="1"/>
        </w:rPr>
        <w:t>高唐县人民医院儿科，山东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  <w:spacing w:val="1"/>
        </w:rPr>
        <w:t>聊城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"/>
        </w:rPr>
        <w:t>252800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034" w:right="452" w:firstLine="1"/>
        <w:spacing w:before="73" w:line="234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摘要：目的</w:t>
      </w:r>
      <w:r>
        <w:rPr>
          <w:sz w:val="17"/>
          <w:szCs w:val="17"/>
          <w:color w:val="231F20"/>
          <w:spacing w:val="45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观察柴胡桂枝汤治疗急性肠胃炎患儿的临床效果，为临床治疗小儿急性肠胃炎提供</w:t>
      </w:r>
      <w:r>
        <w:rPr>
          <w:sz w:val="17"/>
          <w:szCs w:val="17"/>
          <w:color w:val="231F20"/>
          <w:spacing w:val="2"/>
        </w:rPr>
        <w:t>参考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2"/>
        </w:rPr>
        <w:t>。方法</w:t>
      </w:r>
      <w:r>
        <w:rPr>
          <w:sz w:val="17"/>
          <w:szCs w:val="17"/>
          <w:color w:val="231F20"/>
          <w:spacing w:val="41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选取 2019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3"/>
        </w:rPr>
        <w:t>年 3 月—2020 年 4 月高唐县人民医院收治的小儿急性肠胃炎患儿 6</w:t>
      </w:r>
      <w:r>
        <w:rPr>
          <w:sz w:val="17"/>
          <w:szCs w:val="17"/>
          <w:color w:val="231F20"/>
          <w:spacing w:val="2"/>
        </w:rPr>
        <w:t>4 例作为研究对象，采用随机抽签方式分为观察组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和对照组各 32 例，观察组采用基础用药联合柴</w:t>
      </w:r>
      <w:r>
        <w:rPr>
          <w:sz w:val="17"/>
          <w:szCs w:val="17"/>
          <w:color w:val="231F20"/>
          <w:spacing w:val="6"/>
        </w:rPr>
        <w:t>胡桂枝汤治疗，对照组采用基础用药治疗，比较两组患儿治疗总有效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3"/>
        </w:rPr>
        <w:t>率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13"/>
        </w:rPr>
        <w:t>、腹部疼痛持续时间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13"/>
        </w:rPr>
        <w:t>、大便恢复正常时间及患儿家长对治疗效果的满意率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13"/>
        </w:rPr>
        <w:t>。结果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3"/>
        </w:rPr>
        <w:t>观察组患儿治疗总有效率为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8"/>
        </w:rPr>
        <w:t>93.75%，高于对照组的 71.88%；观察组患儿腹部疼痛持续时间、大便恢复正常时间分别为（2.66±0.30）和（4.10±0.47）d，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6"/>
        </w:rPr>
        <w:t>均短于对照组的（4.20±0.54）和（6.83±0.60）d；观察组患儿家长对治疗效果的满意率为 96.88%</w:t>
      </w:r>
      <w:r>
        <w:rPr>
          <w:sz w:val="17"/>
          <w:szCs w:val="17"/>
          <w:color w:val="231F20"/>
          <w:spacing w:val="-7"/>
        </w:rPr>
        <w:t>，高于对照组的 75.00%，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差异均有统计学意义（P＜0.05）。结论</w:t>
      </w:r>
      <w:r>
        <w:rPr>
          <w:sz w:val="17"/>
          <w:szCs w:val="17"/>
          <w:color w:val="231F20"/>
          <w:spacing w:val="52"/>
        </w:rPr>
        <w:t xml:space="preserve"> </w:t>
      </w:r>
      <w:r>
        <w:rPr>
          <w:sz w:val="17"/>
          <w:szCs w:val="17"/>
          <w:color w:val="231F20"/>
        </w:rPr>
        <w:t>柴胡桂枝汤治疗小儿急性肠胃炎患儿的临床效果良好，值得临床推广应用。</w:t>
      </w:r>
    </w:p>
    <w:p>
      <w:pPr>
        <w:pStyle w:val="BodyText"/>
        <w:ind w:left="1036"/>
        <w:spacing w:line="19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关键词：小儿急性肠胃炎；柴胡桂枝汤；临床效果</w:t>
      </w:r>
    </w:p>
    <w:p>
      <w:pPr>
        <w:pStyle w:val="BodyText"/>
        <w:ind w:left="1049"/>
        <w:spacing w:before="59" w:line="18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中图分类号：R4       文献标识码：A         文章编号：1003-5052（2021）11-008-03         DOI:10.162</w:t>
      </w:r>
      <w:r>
        <w:rPr>
          <w:sz w:val="15"/>
          <w:szCs w:val="15"/>
          <w:color w:val="231F20"/>
          <w:spacing w:val="-6"/>
        </w:rPr>
        <w:t>86/j.1003-5052.2021.11.003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3887" w:right="885" w:hanging="2490"/>
        <w:spacing w:before="116" w:line="204" w:lineRule="auto"/>
        <w:rPr/>
      </w:pPr>
      <w:r>
        <w:rPr>
          <w:sz w:val="27"/>
          <w:szCs w:val="27"/>
          <w:color w:val="231F20"/>
          <w:spacing w:val="-10"/>
        </w:rPr>
        <w:t>Effect of Chaihu Guizhi Decoction on acute gastroenteritis in children</w:t>
      </w:r>
      <w:r>
        <w:rPr>
          <w:sz w:val="27"/>
          <w:szCs w:val="27"/>
          <w:color w:val="231F20"/>
          <w:spacing w:val="4"/>
        </w:rPr>
        <w:t xml:space="preserve"> </w:t>
      </w:r>
      <w:r>
        <w:rPr>
          <w:color w:val="231F20"/>
        </w:rPr>
        <w:t>TANG Na-na，LI Hai-xi</w:t>
      </w:r>
      <w:r>
        <w:rPr>
          <w:color w:val="231F20"/>
          <w:spacing w:val="-1"/>
        </w:rPr>
        <w:t>u，SUN Na</w:t>
      </w:r>
    </w:p>
    <w:p>
      <w:pPr>
        <w:pStyle w:val="BodyText"/>
        <w:ind w:left="1064" w:right="473" w:hanging="22"/>
        <w:spacing w:before="20" w:line="219" w:lineRule="auto"/>
        <w:jc w:val="both"/>
        <w:rPr/>
      </w:pPr>
      <w:r>
        <w:rPr>
          <w:color w:val="231F20"/>
          <w:spacing w:val="-16"/>
        </w:rPr>
        <w:t>Department of Pediatrics，Gaotang County People's Hospital，Liaocheng Shandong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Province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6"/>
        </w:rPr>
        <w:t>252800，China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Abstract: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2"/>
        </w:rPr>
        <w:t>Objective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2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2"/>
        </w:rPr>
        <w:t>observe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2"/>
        </w:rPr>
        <w:t>clinical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2"/>
        </w:rPr>
        <w:t>effect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Cha</w:t>
      </w:r>
      <w:r>
        <w:rPr>
          <w:color w:val="231F20"/>
          <w:spacing w:val="-13"/>
        </w:rPr>
        <w:t>ihu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3"/>
        </w:rPr>
        <w:t>Guizhi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3"/>
        </w:rPr>
        <w:t>Decoction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children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acute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gastroenteritis，to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4"/>
        </w:rPr>
        <w:t>provide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4"/>
        </w:rPr>
        <w:t>reference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4"/>
        </w:rPr>
        <w:t>clinical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4"/>
        </w:rPr>
        <w:t>tr</w:t>
      </w:r>
      <w:r>
        <w:rPr>
          <w:color w:val="231F20"/>
          <w:spacing w:val="-15"/>
        </w:rPr>
        <w:t>eatment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5"/>
        </w:rPr>
        <w:t>gastroenteritis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5"/>
        </w:rPr>
        <w:t>children.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5"/>
        </w:rPr>
        <w:t>Methods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5"/>
        </w:rPr>
        <w:t>From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March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4"/>
        </w:rPr>
        <w:t>2019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4"/>
        </w:rPr>
        <w:t>April  2020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，64  children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4"/>
        </w:rPr>
        <w:t>with  acute  gastroe</w:t>
      </w:r>
      <w:r>
        <w:rPr>
          <w:color w:val="231F20"/>
          <w:spacing w:val="-15"/>
        </w:rPr>
        <w:t>nteritis  treated  in  Gaotang  County  People's</w:t>
      </w:r>
      <w:r>
        <w:rPr>
          <w:color w:val="231F20"/>
        </w:rPr>
        <w:t xml:space="preserve">  </w:t>
      </w:r>
      <w:r>
        <w:rPr>
          <w:color w:val="231F20"/>
          <w:spacing w:val="-18"/>
        </w:rPr>
        <w:t>Hospital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were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8"/>
        </w:rPr>
        <w:t>selected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divided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8"/>
        </w:rPr>
        <w:t>into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observation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group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8"/>
        </w:rPr>
        <w:t>control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group，with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8"/>
        </w:rPr>
        <w:t>32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cases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8"/>
        </w:rPr>
        <w:t>each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8"/>
        </w:rPr>
        <w:t>group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according to random lottery method. The observation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7"/>
        </w:rPr>
        <w:t>was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t</w:t>
      </w:r>
      <w:r>
        <w:rPr>
          <w:color w:val="231F20"/>
          <w:spacing w:val="-18"/>
        </w:rPr>
        <w:t>reated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8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basic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8"/>
        </w:rPr>
        <w:t>medication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combined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8"/>
        </w:rPr>
        <w:t>with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Chaihu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</w:rPr>
        <w:t>Guizhi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Decoction，and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control group w</w:t>
      </w:r>
      <w:r>
        <w:rPr>
          <w:color w:val="231F20"/>
          <w:spacing w:val="-16"/>
        </w:rPr>
        <w:t>as treated with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</w:rPr>
        <w:t>basic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medication.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total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effective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</w:rPr>
        <w:t>rate，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duration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of abdominal </w:t>
      </w:r>
      <w:r>
        <w:rPr>
          <w:color w:val="231F20"/>
          <w:spacing w:val="-17"/>
        </w:rPr>
        <w:t>pain，stool recovery to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normal time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satisfaction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rate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of parents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7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7"/>
        </w:rPr>
        <w:t>treatment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effect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6"/>
        </w:rPr>
        <w:t>two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6"/>
        </w:rPr>
        <w:t>groups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6"/>
        </w:rPr>
        <w:t>were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6"/>
        </w:rPr>
        <w:t>compared.  Results   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6"/>
        </w:rPr>
        <w:t>total  effective  rate  in  the  observation</w:t>
      </w:r>
      <w:r>
        <w:rPr>
          <w:color w:val="231F20"/>
          <w:spacing w:val="-17"/>
        </w:rPr>
        <w:t xml:space="preserve">  group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7"/>
        </w:rPr>
        <w:t>was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93.75%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</w:rPr>
        <w:t>，which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6"/>
        </w:rPr>
        <w:t>higher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6"/>
        </w:rPr>
        <w:t>than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6"/>
        </w:rPr>
        <w:t>71.88%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6"/>
        </w:rPr>
        <w:t>co</w:t>
      </w:r>
      <w:r>
        <w:rPr>
          <w:color w:val="231F20"/>
          <w:spacing w:val="-17"/>
        </w:rPr>
        <w:t>ntrol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7"/>
        </w:rPr>
        <w:t>group；the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7"/>
        </w:rPr>
        <w:t>duration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7"/>
        </w:rPr>
        <w:t>abdominal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7"/>
        </w:rPr>
        <w:t>pain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recovery  to  normal  time  of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5"/>
        </w:rPr>
        <w:t>stool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57"/>
          <w:w w:val="101"/>
        </w:rPr>
        <w:t xml:space="preserve"> </w:t>
      </w:r>
      <w:r>
        <w:rPr>
          <w:color w:val="231F20"/>
          <w:spacing w:val="-15"/>
        </w:rPr>
        <w:t>observation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-15"/>
        </w:rPr>
        <w:t>group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15"/>
        </w:rPr>
        <w:t>were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5"/>
        </w:rPr>
        <w:t>（2.66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</w:rPr>
        <w:t>±0.30</w:t>
      </w:r>
      <w:r>
        <w:rPr>
          <w:color w:val="231F20"/>
          <w:spacing w:val="-16"/>
        </w:rPr>
        <w:t>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6"/>
        </w:rPr>
        <w:t>（4.10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±0.47）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d，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respectively，shorter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than（4.20±0.54）and（6.83±0.60）d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control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group；the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satisfac</w:t>
      </w:r>
      <w:r>
        <w:rPr>
          <w:color w:val="231F20"/>
          <w:spacing w:val="-15"/>
        </w:rPr>
        <w:t>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rate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parents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6"/>
        </w:rPr>
        <w:t>treatment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6"/>
        </w:rPr>
        <w:t>effec</w:t>
      </w:r>
      <w:r>
        <w:rPr>
          <w:color w:val="231F20"/>
          <w:spacing w:val="-17"/>
        </w:rPr>
        <w:t>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7"/>
        </w:rPr>
        <w:t>observation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was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7"/>
        </w:rPr>
        <w:t>96.88%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，which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was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higher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than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75.00%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control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group，and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differences were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statistically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significant（P＜0．05）.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Conc</w:t>
      </w:r>
      <w:r>
        <w:rPr>
          <w:color w:val="231F20"/>
          <w:spacing w:val="-17"/>
        </w:rPr>
        <w:t>lusion  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clinical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effect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Chaihu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5"/>
        </w:rPr>
        <w:t>Guizhi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5"/>
        </w:rPr>
        <w:t>Decoction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5"/>
        </w:rPr>
        <w:t>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5"/>
        </w:rPr>
        <w:t>children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5"/>
        </w:rPr>
        <w:t>acut</w:t>
      </w:r>
      <w:r>
        <w:rPr>
          <w:color w:val="231F20"/>
          <w:spacing w:val="-16"/>
        </w:rPr>
        <w:t>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6"/>
        </w:rPr>
        <w:t>gastroenteritis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6"/>
        </w:rPr>
        <w:t>good，which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6"/>
        </w:rPr>
        <w:t>worthy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6"/>
        </w:rPr>
        <w:t>clinical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promotion and application.</w:t>
      </w:r>
    </w:p>
    <w:p>
      <w:pPr>
        <w:pStyle w:val="BodyText"/>
        <w:ind w:left="1069"/>
        <w:spacing w:line="164" w:lineRule="auto"/>
        <w:rPr/>
      </w:pPr>
      <w:r>
        <w:rPr>
          <w:color w:val="231F20"/>
          <w:spacing w:val="-11"/>
        </w:rPr>
        <w:t>Keywords: Acute gastroenteritis in children；Chaihu Guizhi Decoction；Clinical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eff</w:t>
      </w:r>
      <w:r>
        <w:rPr>
          <w:color w:val="231F20"/>
          <w:spacing w:val="-12"/>
        </w:rPr>
        <w:t>ect</w:t>
      </w:r>
    </w:p>
    <w:p>
      <w:pPr>
        <w:spacing w:before="228"/>
        <w:rPr/>
      </w:pPr>
      <w:r/>
    </w:p>
    <w:p>
      <w:pPr>
        <w:sectPr>
          <w:headerReference w:type="default" r:id="rId1"/>
          <w:footerReference w:type="default" r:id="rId2"/>
          <w:pgSz w:w="11905" w:h="16836"/>
          <w:pgMar w:top="1455" w:right="985" w:bottom="886" w:left="407" w:header="1109" w:footer="603" w:gutter="0"/>
          <w:cols w:equalWidth="0" w:num="1">
            <w:col w:w="10511" w:space="0"/>
          </w:cols>
        </w:sectPr>
        <w:rPr/>
      </w:pPr>
    </w:p>
    <w:p>
      <w:pPr>
        <w:pStyle w:val="BodyText"/>
        <w:ind w:left="618" w:right="270" w:firstLine="424"/>
        <w:spacing w:before="44" w:line="246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389889</wp:posOffset>
            </wp:positionH>
            <wp:positionV relativeFrom="paragraph">
              <wp:posOffset>1160565</wp:posOffset>
            </wp:positionV>
            <wp:extent cx="1080769" cy="761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076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0"/>
        </w:rPr>
        <w:t>急性肠胃炎于小儿中并不少见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，大多由于饮食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不洁或是被邪毒以及风寒入侵等所致</w:t>
      </w:r>
      <w:r>
        <w:rPr>
          <w:sz w:val="11"/>
          <w:szCs w:val="11"/>
          <w:color w:val="231F20"/>
          <w:spacing w:val="4"/>
          <w:position w:val="7"/>
        </w:rPr>
        <w:t>[1]</w:t>
      </w:r>
      <w:r>
        <w:rPr>
          <w:sz w:val="11"/>
          <w:szCs w:val="11"/>
          <w:color w:val="231F20"/>
          <w:position w:val="7"/>
        </w:rPr>
        <w:t xml:space="preserve"> </w:t>
      </w:r>
      <w:r>
        <w:rPr>
          <w:color w:val="231F20"/>
          <w:spacing w:val="4"/>
        </w:rPr>
        <w:t>。所以，针对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急性肠胃炎患儿开展积极治疗非常重要</w:t>
      </w:r>
      <w:r>
        <w:rPr>
          <w:sz w:val="11"/>
          <w:szCs w:val="11"/>
          <w:color w:val="231F20"/>
          <w:spacing w:val="5"/>
          <w:position w:val="7"/>
        </w:rPr>
        <w:t>[2]</w:t>
      </w:r>
      <w:r>
        <w:rPr>
          <w:color w:val="231F20"/>
          <w:spacing w:val="5"/>
        </w:rPr>
        <w:t>。本研究观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2"/>
        </w:rPr>
        <w:t>察中药柴胡桂枝汤干预急性肠胃炎患儿的临床效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果，报告如下。</w:t>
      </w:r>
    </w:p>
    <w:p>
      <w:pPr>
        <w:pStyle w:val="BodyText"/>
        <w:ind w:left="617"/>
        <w:spacing w:before="91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作者简介：唐娜娜，本科，主治医师，主要从事儿科临床相关工作</w:t>
      </w:r>
    </w:p>
    <w:p>
      <w:pPr>
        <w:pStyle w:val="BodyText"/>
        <w:ind w:left="616"/>
        <w:spacing w:before="60" w:line="17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通信作者：唐娜娜，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E- mail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52397351@qq.com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5"/>
        <w:spacing w:before="46" w:line="196" w:lineRule="auto"/>
        <w:outlineLvl w:val="1"/>
        <w:rPr/>
      </w:pPr>
      <w:r>
        <w:rPr>
          <w:color w:val="231F20"/>
          <w:spacing w:val="1"/>
        </w:rPr>
        <w:t>1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1"/>
        </w:rPr>
        <w:t>资料与方法</w:t>
      </w:r>
    </w:p>
    <w:p>
      <w:pPr>
        <w:pStyle w:val="BodyText"/>
        <w:ind w:right="16" w:firstLine="105"/>
        <w:spacing w:before="60" w:line="228" w:lineRule="auto"/>
        <w:jc w:val="both"/>
        <w:rPr/>
      </w:pPr>
      <w:r>
        <w:rPr>
          <w:color w:val="231F20"/>
          <w:spacing w:val="-3"/>
        </w:rPr>
        <w:t>1.1</w:t>
      </w:r>
      <w:r>
        <w:rPr>
          <w:color w:val="231F20"/>
          <w:spacing w:val="18"/>
          <w:w w:val="101"/>
        </w:rPr>
        <w:t xml:space="preserve">   </w:t>
      </w:r>
      <w:r>
        <w:rPr>
          <w:color w:val="231F20"/>
          <w:spacing w:val="-3"/>
        </w:rPr>
        <w:t>一般资料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3"/>
        </w:rPr>
        <w:t>选取 2019 年 3 月—2020 年 4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月我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院收治的小儿急性肠胃炎患儿 64 例，采用随机抽签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方式分为观察组和对照组各 32 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。对照组男性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0"/>
        </w:rPr>
        <w:t>19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例，女性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4"/>
        </w:rPr>
        <w:t>13 例；年龄 7～14 岁，平均（10.23±1.25）岁。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观察组男性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20 例，女性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12 例；年龄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8～13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岁，平均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（10.14±1.33）岁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。纳入标准：符合小儿急性肠胃炎诊</w:t>
      </w:r>
    </w:p>
    <w:p>
      <w:pPr>
        <w:spacing w:line="228" w:lineRule="auto"/>
        <w:sectPr>
          <w:type w:val="continuous"/>
          <w:pgSz w:w="11905" w:h="16836"/>
          <w:pgMar w:top="1455" w:right="985" w:bottom="886" w:left="407" w:header="1109" w:footer="603" w:gutter="0"/>
          <w:cols w:equalWidth="0" w:num="2">
            <w:col w:w="5561" w:space="100"/>
            <w:col w:w="4850" w:space="0"/>
          </w:cols>
        </w:sectPr>
        <w:rPr/>
      </w:pPr>
    </w:p>
    <w:p>
      <w:pPr>
        <w:spacing w:line="86" w:lineRule="exact"/>
        <w:rPr/>
      </w:pPr>
      <w:r/>
    </w:p>
    <w:p>
      <w:pPr>
        <w:spacing w:line="86" w:lineRule="exact"/>
        <w:sectPr>
          <w:headerReference w:type="default" r:id="rId4"/>
          <w:footerReference w:type="default" r:id="rId5"/>
          <w:pgSz w:w="11905" w:h="16836"/>
          <w:pgMar w:top="1455" w:right="940" w:bottom="886" w:left="407" w:header="1109" w:footer="603" w:gutter="0"/>
          <w:cols w:equalWidth="0" w:num="1">
            <w:col w:w="10556" w:space="0"/>
          </w:cols>
        </w:sectPr>
        <w:rPr/>
      </w:pPr>
    </w:p>
    <w:p>
      <w:pPr>
        <w:pStyle w:val="BodyText"/>
        <w:ind w:left="672" w:right="354" w:firstLine="6"/>
        <w:spacing w:before="44" w:line="242" w:lineRule="auto"/>
        <w:jc w:val="both"/>
        <w:rPr/>
      </w:pPr>
      <w:r>
        <w:rPr>
          <w:color w:val="231F20"/>
          <w:spacing w:val="-12"/>
          <w:w w:val="96"/>
        </w:rPr>
        <w:t>断标准；年龄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2"/>
          <w:w w:val="96"/>
        </w:rPr>
        <w:t>7~14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  <w:w w:val="96"/>
        </w:rPr>
        <w:t>岁；患儿家长均签署知情同意书。排除</w:t>
      </w:r>
      <w:r>
        <w:rPr>
          <w:color w:val="231F20"/>
        </w:rPr>
        <w:t xml:space="preserve"> </w:t>
      </w:r>
      <w:r>
        <w:rPr>
          <w:color w:val="231F20"/>
          <w:spacing w:val="-9"/>
          <w:w w:val="98"/>
        </w:rPr>
        <w:t>标准：认知障碍不配合者；合并其他脏器严重疾病者。两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组一般资料差异无统计学意义（P＞0.05</w:t>
      </w:r>
      <w:r>
        <w:rPr>
          <w:color w:val="231F20"/>
          <w:spacing w:val="-24"/>
          <w:w w:val="51"/>
        </w:rPr>
        <w:t>），</w:t>
      </w:r>
      <w:r>
        <w:rPr>
          <w:color w:val="231F20"/>
          <w:spacing w:val="-15"/>
        </w:rPr>
        <w:t>具有可比性。</w:t>
      </w:r>
    </w:p>
    <w:p>
      <w:pPr>
        <w:pStyle w:val="BodyText"/>
        <w:ind w:left="678" w:right="354" w:firstLine="14"/>
        <w:spacing w:line="242" w:lineRule="auto"/>
        <w:rPr/>
      </w:pPr>
      <w:r>
        <w:rPr>
          <w:color w:val="231F20"/>
          <w:spacing w:val="5"/>
        </w:rPr>
        <w:t>1.2   方法    观察组采用基础用药联合中药柴胡桂枝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  <w:w w:val="97"/>
        </w:rPr>
        <w:t>汤进行治疗，对照组采用基础用药治疗，具体如下。</w:t>
      </w:r>
    </w:p>
    <w:p>
      <w:pPr>
        <w:pStyle w:val="BodyText"/>
        <w:ind w:left="671" w:right="354" w:firstLine="20"/>
        <w:spacing w:before="2" w:line="241" w:lineRule="auto"/>
        <w:jc w:val="both"/>
        <w:rPr/>
      </w:pPr>
      <w:r>
        <w:rPr>
          <w:color w:val="231F20"/>
          <w:spacing w:val="6"/>
        </w:rPr>
        <w:t>1.2.1   基础用药治疗方法    针对呕吐或脱水患儿静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脉给予 5%～10%葡萄糖或 0.9%氯化钠溶液和对应电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解质液，对症给予止吐、解痉、止泻及抗菌等治疗。</w:t>
      </w:r>
    </w:p>
    <w:p>
      <w:pPr>
        <w:pStyle w:val="BodyText"/>
        <w:ind w:left="692"/>
        <w:spacing w:before="1" w:line="200" w:lineRule="auto"/>
        <w:rPr/>
      </w:pPr>
      <w:r>
        <w:rPr>
          <w:color w:val="231F20"/>
        </w:rPr>
        <w:t>1.2.2</w:t>
      </w:r>
      <w:r>
        <w:rPr>
          <w:color w:val="231F20"/>
          <w:spacing w:val="17"/>
        </w:rPr>
        <w:t xml:space="preserve">   </w:t>
      </w:r>
      <w:r>
        <w:rPr>
          <w:color w:val="231F20"/>
        </w:rPr>
        <w:t>中药柴胡桂枝汤治疗方法   药方组成为：黄芩</w:t>
      </w:r>
    </w:p>
    <w:p>
      <w:pPr>
        <w:pStyle w:val="BodyText"/>
        <w:ind w:left="676" w:right="354"/>
        <w:spacing w:before="58" w:line="214" w:lineRule="auto"/>
        <w:rPr/>
      </w:pPr>
      <w:r>
        <w:rPr>
          <w:color w:val="231F20"/>
          <w:spacing w:val="-16"/>
          <w:w w:val="92"/>
        </w:rPr>
        <w:t>6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  <w:w w:val="92"/>
        </w:rPr>
        <w:t>g、柴胡 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  <w:w w:val="92"/>
        </w:rPr>
        <w:t>g、半夏 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  <w:w w:val="92"/>
        </w:rPr>
        <w:t>g、桂枝 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  <w:w w:val="92"/>
        </w:rPr>
        <w:t>g、党参 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  <w:w w:val="92"/>
        </w:rPr>
        <w:t>g、白芍</w:t>
      </w:r>
      <w:r>
        <w:rPr>
          <w:color w:val="231F20"/>
          <w:spacing w:val="-17"/>
          <w:w w:val="92"/>
        </w:rPr>
        <w:t xml:space="preserve"> 20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7"/>
          <w:w w:val="92"/>
        </w:rPr>
        <w:t>g、生姜</w:t>
      </w:r>
      <w:r>
        <w:rPr>
          <w:color w:val="231F20"/>
        </w:rPr>
        <w:t xml:space="preserve"> </w:t>
      </w:r>
      <w:r>
        <w:rPr>
          <w:color w:val="231F20"/>
          <w:spacing w:val="-21"/>
        </w:rPr>
        <w:t>6 g、甘草 6 g、大枣 6 g，水煎服，1 剂/d，连</w:t>
      </w:r>
      <w:r>
        <w:rPr>
          <w:color w:val="231F20"/>
          <w:spacing w:val="-22"/>
        </w:rPr>
        <w:t>续用药 6 d。</w:t>
      </w:r>
    </w:p>
    <w:p>
      <w:pPr>
        <w:pStyle w:val="BodyText"/>
        <w:ind w:left="671" w:right="289" w:firstLine="20"/>
        <w:spacing w:before="81" w:line="234" w:lineRule="auto"/>
        <w:rPr/>
      </w:pPr>
      <w:r>
        <w:rPr>
          <w:color w:val="231F20"/>
          <w:spacing w:val="5"/>
        </w:rPr>
        <w:t>1.3   观察指标    比较两组患儿治疗总有效率、腹部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2"/>
        </w:rPr>
        <w:t>疼痛持续时间、大便恢复正常时间以及两组患儿家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长对治疗效果的满意率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。临床效果分为：显效，腹部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疼痛、呕吐症状等消失，大便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1 次/d，大便质软成形；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有效，腹部疼痛、呕吐症状等改善，大便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2"/>
        </w:rPr>
        <w:t>1～3 次/d，大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便质地为稀糊状；无效，症状未改善或加重</w:t>
      </w:r>
      <w:r>
        <w:rPr>
          <w:sz w:val="11"/>
          <w:szCs w:val="11"/>
          <w:color w:val="231F20"/>
          <w:spacing w:val="-3"/>
          <w:position w:val="7"/>
        </w:rPr>
        <w:t>[3]</w:t>
      </w:r>
      <w:r>
        <w:rPr>
          <w:color w:val="231F20"/>
          <w:spacing w:val="-3"/>
        </w:rPr>
        <w:t>。总有效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7"/>
        </w:rPr>
        <w:t>率=（显效+有效）/总例数×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100%。</w:t>
      </w:r>
    </w:p>
    <w:p>
      <w:pPr>
        <w:pStyle w:val="BodyText"/>
        <w:ind w:left="671" w:right="291" w:firstLine="20"/>
        <w:spacing w:before="66" w:line="223" w:lineRule="auto"/>
        <w:rPr/>
      </w:pPr>
      <w:r>
        <w:pict>
          <v:shape id="_x0000_s6" style="position:absolute;margin-left:89.0992pt;margin-top:22.0643pt;mso-position-vertical-relative:text;mso-position-horizontal-relative:text;width:3.6pt;height:0.2pt;z-index:-251657216;" filled="false" strokecolor="#231F20" strokeweight="0.20pt" coordsize="71,4" coordorigin="0,0" path="m0,1l71,1e">
            <v:stroke joinstyle="miter" miterlimit="10"/>
          </v:shape>
        </w:pict>
      </w:r>
      <w:r>
        <w:rPr>
          <w:color w:val="231F20"/>
          <w:spacing w:val="-5"/>
        </w:rPr>
        <w:t>1.4   统计学处理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5"/>
        </w:rPr>
        <w:t>采用 SPSS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23.0 软件进行统计分析，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计量资料以 </w:t>
      </w:r>
      <w:r>
        <w:rPr>
          <w:color w:val="231F20"/>
          <w:spacing w:val="-7"/>
        </w:rPr>
        <w:t>x</w:t>
      </w:r>
      <w:r>
        <w:rPr>
          <w:color w:val="231F20"/>
          <w:spacing w:val="-7"/>
        </w:rPr>
        <w:t>±s 表示，采用 t 检验，计数</w:t>
      </w:r>
      <w:r>
        <w:rPr>
          <w:color w:val="231F20"/>
          <w:spacing w:val="-8"/>
        </w:rPr>
        <w:t>资料以n（%）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表示，采用 χ</w:t>
      </w:r>
      <w:r>
        <w:rPr>
          <w:sz w:val="11"/>
          <w:szCs w:val="11"/>
          <w:color w:val="231F20"/>
          <w:spacing w:val="-10"/>
          <w:position w:val="7"/>
        </w:rPr>
        <w:t>2</w:t>
      </w:r>
      <w:r>
        <w:rPr>
          <w:sz w:val="11"/>
          <w:szCs w:val="11"/>
          <w:color w:val="231F20"/>
          <w:spacing w:val="35"/>
          <w:w w:val="101"/>
          <w:position w:val="7"/>
        </w:rPr>
        <w:t xml:space="preserve"> </w:t>
      </w:r>
      <w:r>
        <w:rPr>
          <w:color w:val="231F20"/>
          <w:spacing w:val="-7"/>
        </w:rPr>
        <w:t>检验，P＜0.05 为差异有统计学意义。</w:t>
      </w:r>
    </w:p>
    <w:p>
      <w:pPr>
        <w:pStyle w:val="BodyText"/>
        <w:ind w:left="672"/>
        <w:spacing w:before="84" w:line="188" w:lineRule="auto"/>
        <w:rPr/>
      </w:pPr>
      <w:r>
        <w:rPr>
          <w:color w:val="231F20"/>
          <w:spacing w:val="-7"/>
        </w:rPr>
        <w:t>2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-7"/>
        </w:rPr>
        <w:t>结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-7"/>
        </w:rPr>
        <w:t>果</w:t>
      </w:r>
    </w:p>
    <w:p>
      <w:pPr>
        <w:pStyle w:val="BodyText"/>
        <w:ind w:left="673" w:right="354" w:firstLine="2"/>
        <w:spacing w:before="73" w:line="227" w:lineRule="auto"/>
        <w:rPr/>
      </w:pPr>
      <w:r>
        <w:rPr>
          <w:color w:val="231F20"/>
          <w:spacing w:val="7"/>
        </w:rPr>
        <w:t>2.1</w:t>
      </w:r>
      <w:r>
        <w:rPr>
          <w:color w:val="231F20"/>
          <w:spacing w:val="19"/>
          <w:w w:val="101"/>
        </w:rPr>
        <w:t xml:space="preserve">   </w:t>
      </w:r>
      <w:r>
        <w:rPr>
          <w:color w:val="231F20"/>
          <w:spacing w:val="7"/>
        </w:rPr>
        <w:t>两组患儿治疗总有效率比较   观察组患儿治疗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总有效率为对 93.75%，高于对照组的 71.</w:t>
      </w:r>
      <w:r>
        <w:rPr>
          <w:color w:val="231F20"/>
          <w:spacing w:val="-2"/>
        </w:rPr>
        <w:t>88%，差异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有统计学意义（P＜0.05</w:t>
      </w:r>
      <w:r>
        <w:rPr>
          <w:color w:val="231F20"/>
          <w:spacing w:val="-27"/>
          <w:w w:val="57"/>
        </w:rPr>
        <w:t>），</w:t>
      </w:r>
      <w:r>
        <w:rPr>
          <w:color w:val="231F20"/>
          <w:spacing w:val="-9"/>
        </w:rPr>
        <w:t>见表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1。</w:t>
      </w:r>
    </w:p>
    <w:p>
      <w:pPr>
        <w:pStyle w:val="BodyText"/>
        <w:ind w:left="922"/>
        <w:spacing w:before="108" w:line="175" w:lineRule="auto"/>
        <w:outlineLvl w:val="2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表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    </w:t>
      </w:r>
      <w:r>
        <w:rPr>
          <w:sz w:val="17"/>
          <w:szCs w:val="17"/>
          <w:color w:val="231F20"/>
          <w:spacing w:val="-3"/>
        </w:rPr>
        <w:t>观察组与对照组患儿治疗总有效率比较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-3"/>
        </w:rPr>
        <w:t>[n（%）]</w:t>
      </w:r>
    </w:p>
    <w:tbl>
      <w:tblPr>
        <w:tblStyle w:val="TableNormal"/>
        <w:tblW w:w="4734" w:type="dxa"/>
        <w:tblInd w:w="6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4"/>
        <w:gridCol w:w="762"/>
        <w:gridCol w:w="760"/>
        <w:gridCol w:w="759"/>
        <w:gridCol w:w="761"/>
        <w:gridCol w:w="938"/>
      </w:tblGrid>
      <w:tr>
        <w:trPr>
          <w:trHeight w:val="264" w:hRule="atLeast"/>
        </w:trPr>
        <w:tc>
          <w:tcPr>
            <w:tcW w:w="75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9"/>
              <w:spacing w:before="69" w:line="172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762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7"/>
              <w:spacing w:before="69" w:line="172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76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3"/>
              <w:spacing w:before="69" w:line="172" w:lineRule="auto"/>
              <w:rPr/>
            </w:pPr>
            <w:r>
              <w:rPr>
                <w:color w:val="231F20"/>
                <w:spacing w:val="8"/>
              </w:rPr>
              <w:t>无效</w:t>
            </w:r>
          </w:p>
        </w:tc>
        <w:tc>
          <w:tcPr>
            <w:tcW w:w="75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4"/>
              <w:spacing w:before="69" w:line="172" w:lineRule="auto"/>
              <w:rPr/>
            </w:pPr>
            <w:r>
              <w:rPr>
                <w:color w:val="231F20"/>
                <w:spacing w:val="7"/>
              </w:rPr>
              <w:t>有效</w:t>
            </w:r>
          </w:p>
        </w:tc>
        <w:tc>
          <w:tcPr>
            <w:tcW w:w="76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4"/>
              <w:spacing w:before="69" w:line="172" w:lineRule="auto"/>
              <w:rPr/>
            </w:pPr>
            <w:r>
              <w:rPr>
                <w:color w:val="231F20"/>
                <w:spacing w:val="7"/>
              </w:rPr>
              <w:t>显效</w:t>
            </w:r>
          </w:p>
        </w:tc>
        <w:tc>
          <w:tcPr>
            <w:tcW w:w="93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48"/>
              <w:spacing w:before="69" w:line="172" w:lineRule="auto"/>
              <w:rPr/>
            </w:pPr>
            <w:r>
              <w:rPr>
                <w:color w:val="231F20"/>
                <w:spacing w:val="6"/>
              </w:rPr>
              <w:t>总有效率</w:t>
            </w:r>
          </w:p>
        </w:tc>
      </w:tr>
      <w:tr>
        <w:trPr>
          <w:trHeight w:val="291" w:hRule="atLeast"/>
        </w:trPr>
        <w:tc>
          <w:tcPr>
            <w:tcW w:w="75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8"/>
              <w:spacing w:before="80" w:line="187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76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1"/>
              <w:spacing w:before="102" w:line="166" w:lineRule="auto"/>
              <w:rPr/>
            </w:pPr>
            <w:r>
              <w:rPr>
                <w:color w:val="231F20"/>
                <w:spacing w:val="-6"/>
              </w:rPr>
              <w:t>32</w:t>
            </w:r>
          </w:p>
        </w:tc>
        <w:tc>
          <w:tcPr>
            <w:tcW w:w="76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46"/>
              <w:spacing w:before="102" w:line="166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75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20"/>
              <w:spacing w:before="102" w:line="166" w:lineRule="auto"/>
              <w:rPr/>
            </w:pPr>
            <w:r>
              <w:rPr>
                <w:color w:val="231F20"/>
                <w:spacing w:val="-9"/>
              </w:rPr>
              <w:t>11</w:t>
            </w:r>
          </w:p>
        </w:tc>
        <w:tc>
          <w:tcPr>
            <w:tcW w:w="76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20"/>
              <w:spacing w:before="102" w:line="166" w:lineRule="auto"/>
              <w:rPr/>
            </w:pPr>
            <w:r>
              <w:rPr>
                <w:color w:val="231F20"/>
                <w:spacing w:val="-9"/>
              </w:rPr>
              <w:t>12</w:t>
            </w:r>
          </w:p>
        </w:tc>
        <w:tc>
          <w:tcPr>
            <w:tcW w:w="93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80" w:line="187" w:lineRule="auto"/>
              <w:jc w:val="right"/>
              <w:rPr/>
            </w:pPr>
            <w:r>
              <w:rPr>
                <w:color w:val="231F20"/>
                <w:spacing w:val="-17"/>
              </w:rPr>
              <w:t>23（71.88）</w:t>
            </w:r>
          </w:p>
        </w:tc>
      </w:tr>
      <w:tr>
        <w:trPr>
          <w:trHeight w:val="272" w:hRule="atLeast"/>
        </w:trPr>
        <w:tc>
          <w:tcPr>
            <w:tcW w:w="75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4" w:line="175" w:lineRule="auto"/>
              <w:rPr/>
            </w:pPr>
            <w:r>
              <w:rPr>
                <w:color w:val="231F20"/>
                <w:spacing w:val="7"/>
              </w:rPr>
              <w:t>观察组</w:t>
            </w:r>
          </w:p>
        </w:tc>
        <w:tc>
          <w:tcPr>
            <w:tcW w:w="76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1"/>
              <w:spacing w:before="95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32</w:t>
            </w:r>
          </w:p>
        </w:tc>
        <w:tc>
          <w:tcPr>
            <w:tcW w:w="7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6"/>
              <w:spacing w:before="95" w:line="167" w:lineRule="exact"/>
              <w:rPr/>
            </w:pPr>
            <w:r>
              <w:rPr>
                <w:color w:val="231F20"/>
                <w:position w:val="-1"/>
              </w:rPr>
              <w:t>2</w:t>
            </w:r>
          </w:p>
        </w:tc>
        <w:tc>
          <w:tcPr>
            <w:tcW w:w="7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0"/>
              <w:spacing w:before="95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13</w:t>
            </w:r>
          </w:p>
        </w:tc>
        <w:tc>
          <w:tcPr>
            <w:tcW w:w="7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0"/>
              <w:spacing w:before="95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17</w:t>
            </w:r>
          </w:p>
        </w:tc>
        <w:tc>
          <w:tcPr>
            <w:tcW w:w="93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before="74" w:line="175" w:lineRule="auto"/>
              <w:jc w:val="right"/>
              <w:rPr/>
            </w:pPr>
            <w:r>
              <w:rPr>
                <w:color w:val="231F20"/>
                <w:spacing w:val="-17"/>
              </w:rPr>
              <w:t>30（93.75）</w:t>
            </w:r>
          </w:p>
        </w:tc>
      </w:tr>
      <w:tr>
        <w:trPr>
          <w:trHeight w:val="566" w:hRule="atLeast"/>
        </w:trPr>
        <w:tc>
          <w:tcPr>
            <w:tcW w:w="754" w:type="dxa"/>
            <w:vAlign w:val="top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55" w:right="373" w:firstLine="4"/>
              <w:spacing w:before="77" w:line="223" w:lineRule="auto"/>
              <w:rPr/>
            </w:pPr>
            <w:r>
              <w:rPr>
                <w:color w:val="231F20"/>
              </w:rPr>
              <w:t>χ</w:t>
            </w:r>
            <w:r>
              <w:rPr>
                <w:sz w:val="8"/>
                <w:szCs w:val="8"/>
                <w:color w:val="231F20"/>
                <w:position w:val="5"/>
              </w:rPr>
              <w:t>2</w:t>
            </w:r>
            <w:r>
              <w:rPr>
                <w:sz w:val="8"/>
                <w:szCs w:val="8"/>
                <w:color w:val="231F20"/>
                <w:spacing w:val="11"/>
                <w:position w:val="5"/>
              </w:rPr>
              <w:t xml:space="preserve"> </w:t>
            </w:r>
            <w:r>
              <w:rPr>
                <w:color w:val="231F20"/>
              </w:rPr>
              <w:t>值 </w:t>
            </w:r>
            <w:r>
              <w:rPr>
                <w:color w:val="231F20"/>
                <w:spacing w:val="6"/>
              </w:rPr>
              <w:t>P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值</w:t>
            </w:r>
          </w:p>
        </w:tc>
        <w:tc>
          <w:tcPr>
            <w:tcW w:w="3980" w:type="dxa"/>
            <w:vAlign w:val="top"/>
            <w:gridSpan w:val="5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3344"/>
              <w:spacing w:before="100" w:line="200" w:lineRule="auto"/>
              <w:rPr/>
            </w:pPr>
            <w:r>
              <w:rPr>
                <w:color w:val="231F20"/>
                <w:spacing w:val="-6"/>
              </w:rPr>
              <w:t>5.379</w:t>
            </w:r>
          </w:p>
          <w:p>
            <w:pPr>
              <w:pStyle w:val="TableText"/>
              <w:ind w:left="3342"/>
              <w:spacing w:before="70" w:line="159" w:lineRule="auto"/>
              <w:rPr/>
            </w:pPr>
            <w:r>
              <w:rPr>
                <w:color w:val="231F20"/>
                <w:spacing w:val="-6"/>
              </w:rPr>
              <w:t>0.020</w:t>
            </w:r>
          </w:p>
        </w:tc>
      </w:tr>
    </w:tbl>
    <w:p>
      <w:pPr>
        <w:pStyle w:val="BodyText"/>
        <w:ind w:left="593" w:right="354" w:firstLine="88"/>
        <w:spacing w:before="269" w:line="248" w:lineRule="auto"/>
        <w:jc w:val="both"/>
        <w:rPr/>
      </w:pPr>
      <w:r>
        <w:rPr>
          <w:color w:val="231F20"/>
          <w:spacing w:val="6"/>
        </w:rPr>
        <w:t>2.2</w:t>
      </w:r>
      <w:r>
        <w:rPr>
          <w:color w:val="231F20"/>
          <w:spacing w:val="22"/>
        </w:rPr>
        <w:t xml:space="preserve">   </w:t>
      </w:r>
      <w:r>
        <w:rPr>
          <w:color w:val="231F20"/>
          <w:spacing w:val="6"/>
        </w:rPr>
        <w:t>两组患儿腹部疼痛持续时间和大便恢复正常时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间比较   观察组患儿腹部疼痛持续时间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、大便恢复</w:t>
      </w:r>
      <w:r>
        <w:rPr>
          <w:color w:val="231F20"/>
        </w:rPr>
        <w:t xml:space="preserve"> </w:t>
      </w:r>
      <w:r>
        <w:rPr>
          <w:color w:val="231F20"/>
          <w:spacing w:val="31"/>
        </w:rPr>
        <w:t>正常时间均短于对照组， 差异均有统计学意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1"/>
        </w:rPr>
        <w:t>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（P＜0.05</w:t>
      </w:r>
      <w:r>
        <w:rPr>
          <w:color w:val="231F20"/>
          <w:spacing w:val="-27"/>
          <w:w w:val="57"/>
        </w:rPr>
        <w:t>），</w:t>
      </w:r>
      <w:r>
        <w:rPr>
          <w:color w:val="231F20"/>
          <w:spacing w:val="-5"/>
        </w:rPr>
        <w:t>见表 2。</w:t>
      </w:r>
    </w:p>
    <w:p>
      <w:pPr>
        <w:pStyle w:val="BodyText"/>
        <w:ind w:left="744"/>
        <w:spacing w:before="102" w:line="200" w:lineRule="auto"/>
        <w:outlineLvl w:val="2"/>
        <w:rPr>
          <w:sz w:val="17"/>
          <w:szCs w:val="17"/>
        </w:rPr>
      </w:pPr>
      <w:r>
        <w:rPr>
          <w:sz w:val="17"/>
          <w:szCs w:val="17"/>
          <w:color w:val="231F20"/>
          <w:spacing w:val="7"/>
        </w:rPr>
        <w:t>表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  </w:t>
      </w:r>
      <w:r>
        <w:rPr>
          <w:sz w:val="17"/>
          <w:szCs w:val="17"/>
          <w:color w:val="231F20"/>
          <w:spacing w:val="7"/>
        </w:rPr>
        <w:t>观察组与对照组患儿腹部疼痛持续时间和大便</w:t>
      </w:r>
      <w:r>
        <w:rPr>
          <w:sz w:val="17"/>
          <w:szCs w:val="17"/>
          <w:color w:val="231F20"/>
          <w:spacing w:val="6"/>
        </w:rPr>
        <w:t>恢复正</w:t>
      </w:r>
    </w:p>
    <w:p>
      <w:pPr>
        <w:pStyle w:val="BodyText"/>
        <w:ind w:left="2212"/>
        <w:spacing w:before="45" w:line="165" w:lineRule="auto"/>
        <w:rPr>
          <w:sz w:val="17"/>
          <w:szCs w:val="17"/>
        </w:rPr>
      </w:pPr>
      <w:r>
        <w:pict>
          <v:shape id="_x0000_s8" style="position:absolute;margin-left:168.699pt;margin-top:3.67736pt;mso-position-vertical-relative:text;mso-position-horizontal-relative:text;width:3.2pt;height:0.2pt;z-index:-251656192;" filled="false" strokecolor="#231F20" strokeweight="0.20pt" coordsize="64,4" coordorigin="0,0" path="m0,1l63,1e">
            <v:stroke joinstyle="miter" miterlimit="10"/>
          </v:shape>
        </w:pict>
      </w:r>
      <w:r>
        <w:rPr>
          <w:sz w:val="17"/>
          <w:szCs w:val="17"/>
          <w:color w:val="231F20"/>
          <w:spacing w:val="-11"/>
        </w:rPr>
        <w:t>常时间比较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（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11"/>
        </w:rPr>
        <w:t>x</w:t>
      </w:r>
      <w:r>
        <w:rPr>
          <w:sz w:val="17"/>
          <w:szCs w:val="17"/>
          <w:color w:val="231F20"/>
          <w:spacing w:val="-11"/>
        </w:rPr>
        <w:t>±s，d）</w:t>
      </w:r>
    </w:p>
    <w:tbl>
      <w:tblPr>
        <w:tblStyle w:val="TableNormal"/>
        <w:tblW w:w="4732" w:type="dxa"/>
        <w:tblInd w:w="67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7"/>
        <w:gridCol w:w="750"/>
        <w:gridCol w:w="1700"/>
        <w:gridCol w:w="1535"/>
      </w:tblGrid>
      <w:tr>
        <w:trPr>
          <w:trHeight w:val="264" w:hRule="atLeast"/>
        </w:trPr>
        <w:tc>
          <w:tcPr>
            <w:tcW w:w="747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9"/>
              <w:spacing w:before="69" w:line="172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75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1"/>
              <w:spacing w:before="69" w:line="172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70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18"/>
              <w:spacing w:before="68" w:line="173" w:lineRule="auto"/>
              <w:rPr/>
            </w:pPr>
            <w:r>
              <w:rPr>
                <w:color w:val="231F20"/>
                <w:spacing w:val="8"/>
              </w:rPr>
              <w:t>腹部疼痛持续时间</w:t>
            </w:r>
          </w:p>
        </w:tc>
        <w:tc>
          <w:tcPr>
            <w:tcW w:w="153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5"/>
              <w:spacing w:before="69" w:line="172" w:lineRule="auto"/>
              <w:rPr/>
            </w:pPr>
            <w:r>
              <w:rPr>
                <w:color w:val="231F20"/>
                <w:spacing w:val="8"/>
              </w:rPr>
              <w:t>大便恢复正常时间</w:t>
            </w:r>
          </w:p>
        </w:tc>
      </w:tr>
      <w:tr>
        <w:trPr>
          <w:trHeight w:val="290" w:hRule="atLeast"/>
        </w:trPr>
        <w:tc>
          <w:tcPr>
            <w:tcW w:w="74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8"/>
              <w:spacing w:before="80" w:line="186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75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05"/>
              <w:spacing w:before="103" w:line="165" w:lineRule="auto"/>
              <w:rPr/>
            </w:pPr>
            <w:r>
              <w:rPr>
                <w:color w:val="231F20"/>
                <w:spacing w:val="-6"/>
              </w:rPr>
              <w:t>32</w:t>
            </w:r>
          </w:p>
        </w:tc>
        <w:tc>
          <w:tcPr>
            <w:tcW w:w="170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34"/>
              <w:spacing w:before="103" w:line="165" w:lineRule="auto"/>
              <w:rPr/>
            </w:pPr>
            <w:r>
              <w:rPr>
                <w:color w:val="231F20"/>
                <w:spacing w:val="-11"/>
              </w:rPr>
              <w:t>4.20± 0.54</w:t>
            </w:r>
          </w:p>
        </w:tc>
        <w:tc>
          <w:tcPr>
            <w:tcW w:w="153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40"/>
              <w:spacing w:before="103" w:line="165" w:lineRule="auto"/>
              <w:rPr/>
            </w:pPr>
            <w:r>
              <w:rPr>
                <w:color w:val="231F20"/>
                <w:spacing w:val="-11"/>
              </w:rPr>
              <w:t>6.83± 0.60</w:t>
            </w:r>
          </w:p>
        </w:tc>
      </w:tr>
      <w:tr>
        <w:trPr>
          <w:trHeight w:val="300" w:hRule="atLeast"/>
        </w:trPr>
        <w:tc>
          <w:tcPr>
            <w:tcW w:w="74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2"/>
              <w:spacing w:before="74" w:line="192" w:lineRule="auto"/>
              <w:rPr/>
            </w:pPr>
            <w:r>
              <w:rPr>
                <w:color w:val="231F20"/>
                <w:spacing w:val="7"/>
              </w:rPr>
              <w:t>观察组</w:t>
            </w:r>
          </w:p>
        </w:tc>
        <w:tc>
          <w:tcPr>
            <w:tcW w:w="75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05"/>
              <w:spacing w:before="95" w:line="181" w:lineRule="auto"/>
              <w:rPr/>
            </w:pPr>
            <w:r>
              <w:rPr>
                <w:color w:val="231F20"/>
                <w:spacing w:val="-6"/>
              </w:rPr>
              <w:t>32</w:t>
            </w:r>
          </w:p>
        </w:tc>
        <w:tc>
          <w:tcPr>
            <w:tcW w:w="17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37"/>
              <w:spacing w:before="95" w:line="181" w:lineRule="auto"/>
              <w:rPr/>
            </w:pPr>
            <w:r>
              <w:rPr>
                <w:color w:val="231F20"/>
                <w:spacing w:val="-11"/>
              </w:rPr>
              <w:t>2.66± 0.30</w:t>
            </w:r>
          </w:p>
        </w:tc>
        <w:tc>
          <w:tcPr>
            <w:tcW w:w="153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36"/>
              <w:spacing w:before="95" w:line="181" w:lineRule="auto"/>
              <w:rPr/>
            </w:pPr>
            <w:r>
              <w:rPr>
                <w:color w:val="231F20"/>
                <w:spacing w:val="-11"/>
              </w:rPr>
              <w:t>4.10± 0.47</w:t>
            </w:r>
          </w:p>
        </w:tc>
      </w:tr>
      <w:tr>
        <w:trPr>
          <w:trHeight w:val="259" w:hRule="atLeast"/>
        </w:trPr>
        <w:tc>
          <w:tcPr>
            <w:tcW w:w="7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54" w:line="181" w:lineRule="auto"/>
              <w:rPr/>
            </w:pPr>
            <w:r>
              <w:rPr>
                <w:color w:val="231F20"/>
                <w:spacing w:val="-4"/>
              </w:rPr>
              <w:t>t 值</w:t>
            </w:r>
          </w:p>
        </w:tc>
        <w:tc>
          <w:tcPr>
            <w:tcW w:w="750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8"/>
              <w:spacing w:before="75" w:line="162" w:lineRule="auto"/>
              <w:rPr/>
            </w:pPr>
            <w:r>
              <w:rPr>
                <w:color w:val="231F20"/>
                <w:spacing w:val="-9"/>
              </w:rPr>
              <w:t>14.102</w:t>
            </w:r>
          </w:p>
        </w:tc>
        <w:tc>
          <w:tcPr>
            <w:tcW w:w="15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7"/>
              <w:spacing w:before="75" w:line="162" w:lineRule="auto"/>
              <w:rPr/>
            </w:pPr>
            <w:r>
              <w:rPr>
                <w:color w:val="231F20"/>
                <w:spacing w:val="-6"/>
              </w:rPr>
              <w:t>20.262</w:t>
            </w:r>
          </w:p>
        </w:tc>
      </w:tr>
      <w:tr>
        <w:trPr>
          <w:trHeight w:val="284" w:hRule="atLeast"/>
        </w:trPr>
        <w:tc>
          <w:tcPr>
            <w:tcW w:w="74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5"/>
              <w:spacing w:before="80" w:line="180" w:lineRule="auto"/>
              <w:rPr/>
            </w:pPr>
            <w:r>
              <w:rPr>
                <w:color w:val="231F20"/>
                <w:spacing w:val="6"/>
              </w:rPr>
              <w:t>P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值</w:t>
            </w:r>
          </w:p>
        </w:tc>
        <w:tc>
          <w:tcPr>
            <w:tcW w:w="750" w:type="dxa"/>
            <w:vAlign w:val="top"/>
            <w:tcBorders>
              <w:bottom w:val="single" w:color="231F2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63"/>
              <w:spacing w:before="101" w:line="161" w:lineRule="auto"/>
              <w:rPr/>
            </w:pPr>
            <w:r>
              <w:rPr>
                <w:color w:val="231F20"/>
                <w:spacing w:val="-6"/>
              </w:rPr>
              <w:t>0.000</w:t>
            </w:r>
          </w:p>
        </w:tc>
        <w:tc>
          <w:tcPr>
            <w:tcW w:w="153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46"/>
              <w:spacing w:before="101" w:line="161" w:lineRule="auto"/>
              <w:rPr/>
            </w:pPr>
            <w:r>
              <w:rPr>
                <w:color w:val="231F20"/>
                <w:spacing w:val="-6"/>
              </w:rPr>
              <w:t>0.000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6" w:firstLine="2"/>
        <w:spacing w:before="46" w:line="242" w:lineRule="auto"/>
        <w:jc w:val="both"/>
        <w:rPr/>
      </w:pPr>
      <w:r>
        <w:rPr>
          <w:color w:val="231F20"/>
          <w:spacing w:val="7"/>
        </w:rPr>
        <w:t>2.3</w:t>
      </w:r>
      <w:r>
        <w:rPr>
          <w:color w:val="231F20"/>
          <w:spacing w:val="19"/>
          <w:w w:val="101"/>
        </w:rPr>
        <w:t xml:space="preserve">   </w:t>
      </w:r>
      <w:r>
        <w:rPr>
          <w:color w:val="231F20"/>
          <w:spacing w:val="7"/>
        </w:rPr>
        <w:t>两组患儿家长对治疗效果的满意率比较   对照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组患儿家长对治疗效果不满意 8 例，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满意 24 例，患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儿家长对治疗效果的满意率为 75.00%（24/32</w:t>
      </w:r>
      <w:r>
        <w:rPr>
          <w:color w:val="231F20"/>
          <w:spacing w:val="-30"/>
          <w:w w:val="63"/>
        </w:rPr>
        <w:t>）；</w:t>
      </w:r>
      <w:r>
        <w:rPr>
          <w:color w:val="231F20"/>
          <w:spacing w:val="-1"/>
        </w:rPr>
        <w:t>观察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组患儿家长对治疗效果不满意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1 例，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满意 31 例，患</w:t>
      </w:r>
      <w:r>
        <w:rPr>
          <w:color w:val="231F20"/>
        </w:rPr>
        <w:t xml:space="preserve"> </w:t>
      </w:r>
      <w:r>
        <w:rPr>
          <w:color w:val="231F20"/>
        </w:rPr>
        <w:t>儿家长对治疗效果的满意率为 96.88</w:t>
      </w:r>
      <w:r>
        <w:rPr>
          <w:color w:val="231F20"/>
          <w:spacing w:val="-1"/>
        </w:rPr>
        <w:t>%（31/32</w:t>
      </w:r>
      <w:r>
        <w:rPr>
          <w:color w:val="231F20"/>
          <w:spacing w:val="-27"/>
          <w:w w:val="56"/>
        </w:rPr>
        <w:t>），</w:t>
      </w:r>
      <w:r>
        <w:rPr>
          <w:color w:val="231F20"/>
          <w:spacing w:val="-1"/>
        </w:rPr>
        <w:t>观察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1"/>
        </w:rPr>
        <w:t>组患儿家长对治疗效果的满意率高于对照组，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差异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有统计学意义(χ</w:t>
      </w:r>
      <w:r>
        <w:rPr>
          <w:sz w:val="11"/>
          <w:szCs w:val="11"/>
          <w:color w:val="231F20"/>
          <w:spacing w:val="9"/>
          <w:position w:val="7"/>
        </w:rPr>
        <w:t>2</w:t>
      </w:r>
      <w:r>
        <w:rPr>
          <w:color w:val="231F20"/>
          <w:spacing w:val="-22"/>
        </w:rPr>
        <w:t>=6.335，P=0.011）。</w:t>
      </w:r>
    </w:p>
    <w:p>
      <w:pPr>
        <w:pStyle w:val="BodyText"/>
        <w:spacing w:line="190" w:lineRule="auto"/>
        <w:outlineLvl w:val="1"/>
        <w:rPr/>
      </w:pPr>
      <w:r>
        <w:rPr>
          <w:color w:val="231F20"/>
          <w:spacing w:val="-5"/>
        </w:rPr>
        <w:t>3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5"/>
        </w:rPr>
        <w:t>讨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-5"/>
        </w:rPr>
        <w:t>论</w:t>
      </w:r>
    </w:p>
    <w:p>
      <w:pPr>
        <w:pStyle w:val="BodyText"/>
        <w:ind w:firstLine="424"/>
        <w:spacing w:before="71" w:line="242" w:lineRule="auto"/>
        <w:jc w:val="both"/>
        <w:rPr/>
      </w:pPr>
      <w:r>
        <w:rPr>
          <w:color w:val="231F20"/>
          <w:spacing w:val="11"/>
        </w:rPr>
        <w:t>急性肠胃炎为儿科常见疾病之一，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患儿多存在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腹泻现象，导致体重下降，平时食欲减弱，可伴有腹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0"/>
        </w:rPr>
        <w:t>部疼痛、呕吐症状，还可出现脱水表现，如口干、口渴、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排尿减少等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0"/>
        </w:rPr>
        <w:t>，给患儿机体健康状况和成长带来负面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影响，严重时还会威胁患儿生命健康安全</w:t>
      </w:r>
      <w:r>
        <w:rPr>
          <w:sz w:val="11"/>
          <w:szCs w:val="11"/>
          <w:color w:val="231F20"/>
          <w:spacing w:val="-3"/>
          <w:position w:val="7"/>
        </w:rPr>
        <w:t>[4]</w:t>
      </w:r>
      <w:r>
        <w:rPr>
          <w:color w:val="231F20"/>
          <w:spacing w:val="-3"/>
        </w:rPr>
        <w:t>。所以，为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急性肠胃炎患儿提供积极治疗干预具有重要意义</w:t>
      </w:r>
      <w:r>
        <w:rPr>
          <w:sz w:val="11"/>
          <w:szCs w:val="11"/>
          <w:color w:val="231F20"/>
          <w:spacing w:val="7"/>
          <w:position w:val="7"/>
        </w:rPr>
        <w:t>[5</w:t>
      </w:r>
      <w:r>
        <w:rPr>
          <w:sz w:val="11"/>
          <w:szCs w:val="11"/>
          <w:color w:val="231F20"/>
          <w:spacing w:val="6"/>
          <w:position w:val="7"/>
        </w:rPr>
        <w:t>]</w:t>
      </w:r>
      <w:r>
        <w:rPr>
          <w:color w:val="231F20"/>
          <w:spacing w:val="6"/>
        </w:rPr>
        <w:t>。</w:t>
      </w:r>
    </w:p>
    <w:p>
      <w:pPr>
        <w:pStyle w:val="BodyText"/>
        <w:ind w:firstLine="442"/>
        <w:spacing w:line="242" w:lineRule="auto"/>
        <w:jc w:val="both"/>
        <w:rPr/>
      </w:pPr>
      <w:r>
        <w:rPr>
          <w:color w:val="231F20"/>
          <w:spacing w:val="1"/>
        </w:rPr>
        <w:t>中医学理论显示，急性肠胃炎可归入中医学“泄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3"/>
          <w:w w:val="96"/>
        </w:rPr>
        <w:t>泻”、“呕吐”、“腹痛”等范畴，急性肠胃炎患儿患病因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素多为体内正气不足，体阳不振，受到外部寒邪入侵  </w:t>
      </w:r>
      <w:r>
        <w:rPr>
          <w:color w:val="231F20"/>
          <w:spacing w:val="3"/>
        </w:rPr>
        <w:t>和阻滞，脾胃相对虚弱，引发患儿出现胃肠道方面不  </w:t>
      </w:r>
      <w:r>
        <w:rPr>
          <w:color w:val="231F20"/>
          <w:spacing w:val="2"/>
        </w:rPr>
        <w:t>适症状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。中医针对急性肠胃炎患儿需辨证施治，给予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患儿化湿解表、和中理气、疏肝化浊，散寒除湿等治  </w:t>
      </w:r>
      <w:r>
        <w:rPr>
          <w:color w:val="231F20"/>
          <w:spacing w:val="1"/>
        </w:rPr>
        <w:t>疗</w:t>
      </w:r>
      <w:r>
        <w:rPr>
          <w:sz w:val="11"/>
          <w:szCs w:val="11"/>
          <w:color w:val="231F20"/>
          <w:spacing w:val="1"/>
          <w:position w:val="7"/>
        </w:rPr>
        <w:t>[6-7]</w:t>
      </w:r>
      <w:r>
        <w:rPr>
          <w:color w:val="231F20"/>
          <w:spacing w:val="1"/>
        </w:rPr>
        <w:t>。本研究显示，基础用药治疗联合中药柴胡</w:t>
      </w:r>
      <w:r>
        <w:rPr>
          <w:color w:val="231F20"/>
        </w:rPr>
        <w:t>桂枝  </w:t>
      </w:r>
      <w:r>
        <w:rPr>
          <w:color w:val="231F20"/>
          <w:spacing w:val="22"/>
        </w:rPr>
        <w:t>汤治疗的观察组与单纯基础用药治疗的对照组比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较，观察组的总有效率高于对照组，患儿腹部疼痛持  </w:t>
      </w:r>
      <w:r>
        <w:rPr>
          <w:color w:val="231F20"/>
          <w:spacing w:val="3"/>
        </w:rPr>
        <w:t>续时间、大便恢复正常时间缩短，观察组患儿家长对  </w:t>
      </w:r>
      <w:r>
        <w:rPr>
          <w:color w:val="231F20"/>
          <w:spacing w:val="5"/>
        </w:rPr>
        <w:t>治疗效果的满意率增加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。柴胡桂枝汤中桂枝、大枣、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甘草、生姜能够调和中焦，开胃健脾，促进脾胃功能  </w:t>
      </w:r>
      <w:r>
        <w:rPr>
          <w:color w:val="231F20"/>
          <w:spacing w:val="-2"/>
        </w:rPr>
        <w:t>得以改善，白芍缓急和里、温中补虚，半夏降逆和胃、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化痰消饮，党参可扶正驱邪，黄芩能燥湿热、解毒泻  </w:t>
      </w:r>
      <w:r>
        <w:rPr>
          <w:color w:val="231F20"/>
          <w:spacing w:val="-4"/>
        </w:rPr>
        <w:t>火，柴胡退热解表、升举阳气、解郁疏肝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。诸药合用，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能够通利枢机，和解少阳，调和表里，使水</w:t>
      </w:r>
      <w:r>
        <w:rPr>
          <w:color w:val="231F20"/>
          <w:spacing w:val="-6"/>
        </w:rPr>
        <w:t>升火降，调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脾理胃，促进体内气血得以通畅</w:t>
      </w:r>
      <w:r>
        <w:rPr>
          <w:sz w:val="11"/>
          <w:szCs w:val="11"/>
          <w:color w:val="231F20"/>
          <w:spacing w:val="-1"/>
          <w:position w:val="7"/>
        </w:rPr>
        <w:t>[8-9]</w:t>
      </w:r>
      <w:r>
        <w:rPr>
          <w:color w:val="231F20"/>
          <w:spacing w:val="-1"/>
        </w:rPr>
        <w:t>。</w:t>
      </w:r>
    </w:p>
    <w:p>
      <w:pPr>
        <w:pStyle w:val="BodyText"/>
        <w:ind w:left="1" w:right="76" w:firstLine="417"/>
        <w:spacing w:line="243" w:lineRule="auto"/>
        <w:rPr/>
      </w:pPr>
      <w:r>
        <w:rPr>
          <w:color w:val="231F20"/>
          <w:spacing w:val="11"/>
        </w:rPr>
        <w:t>综上所述，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为急性肠胃炎患儿实施中药柴胡桂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枝汤治疗，有助于提升患儿治疗效果，缩短患儿腹部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疼痛持续时间，帮助患儿大便尽早恢复正常，提高患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儿家长对治疗效果的满意率，值得临床推广应用。</w:t>
      </w:r>
    </w:p>
    <w:p>
      <w:pPr>
        <w:pStyle w:val="BodyText"/>
        <w:ind w:left="5"/>
        <w:spacing w:line="187" w:lineRule="auto"/>
        <w:rPr/>
      </w:pPr>
      <w:r>
        <w:rPr>
          <w:color w:val="231F20"/>
          <w:spacing w:val="7"/>
        </w:rPr>
        <w:t>参考文献</w:t>
      </w:r>
    </w:p>
    <w:p>
      <w:pPr>
        <w:pStyle w:val="BodyText"/>
        <w:ind w:left="317" w:right="76" w:hanging="314"/>
        <w:spacing w:before="72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[1]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11"/>
        </w:rPr>
        <w:t>唐三华.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1"/>
        </w:rPr>
        <w:t>中西医结合治疗急性肠胃炎临床</w:t>
      </w:r>
      <w:r>
        <w:rPr>
          <w:sz w:val="15"/>
          <w:szCs w:val="15"/>
          <w:color w:val="231F20"/>
          <w:spacing w:val="10"/>
        </w:rPr>
        <w:t>观察[J].实用中医药杂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志，2020，36（5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4"/>
        </w:rPr>
        <w:t>589-594.</w:t>
      </w:r>
    </w:p>
    <w:p>
      <w:pPr>
        <w:pStyle w:val="BodyText"/>
        <w:ind w:left="319" w:right="76" w:hanging="316"/>
        <w:spacing w:before="50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[2]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4"/>
        </w:rPr>
        <w:t>任晓红，穆亚宁，马永梅，等.肠炎宁糖浆联合头孢克肟治</w:t>
      </w:r>
      <w:r>
        <w:rPr>
          <w:sz w:val="15"/>
          <w:szCs w:val="15"/>
          <w:color w:val="231F20"/>
          <w:spacing w:val="3"/>
        </w:rPr>
        <w:t>疗小儿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急性肠胃炎的临床研究[J].现代药物与临</w:t>
      </w:r>
      <w:r>
        <w:rPr>
          <w:sz w:val="15"/>
          <w:szCs w:val="15"/>
          <w:color w:val="231F20"/>
          <w:spacing w:val="-2"/>
        </w:rPr>
        <w:t>床，2020，35（6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2"/>
        </w:rPr>
        <w:t>1204-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1206.</w:t>
      </w:r>
    </w:p>
    <w:p>
      <w:pPr>
        <w:pStyle w:val="BodyText"/>
        <w:ind w:left="3"/>
        <w:spacing w:before="27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[3]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7"/>
        </w:rPr>
        <w:t>姜立峰.阿莫西林联合替硝唑治疗急性肠胃炎的疗效分</w:t>
      </w:r>
      <w:r>
        <w:rPr>
          <w:sz w:val="15"/>
          <w:szCs w:val="15"/>
          <w:color w:val="231F20"/>
          <w:spacing w:val="6"/>
        </w:rPr>
        <w:t>析[J].中国</w:t>
      </w:r>
    </w:p>
    <w:p>
      <w:pPr>
        <w:spacing w:line="199" w:lineRule="auto"/>
        <w:sectPr>
          <w:type w:val="continuous"/>
          <w:pgSz w:w="11905" w:h="16836"/>
          <w:pgMar w:top="1455" w:right="940" w:bottom="886" w:left="407" w:header="1109" w:footer="603" w:gutter="0"/>
          <w:cols w:equalWidth="0" w:num="2">
            <w:col w:w="5703" w:space="100"/>
            <w:col w:w="4753" w:space="0"/>
          </w:cols>
        </w:sectPr>
        <w:rPr>
          <w:sz w:val="15"/>
          <w:szCs w:val="15"/>
        </w:rPr>
      </w:pPr>
    </w:p>
    <w:p>
      <w:pPr>
        <w:pStyle w:val="BodyText"/>
        <w:ind w:left="9154"/>
        <w:spacing w:before="135" w:line="192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-3"/>
        </w:rPr>
        <w:t>·</w:t>
      </w:r>
      <w:r>
        <w:rPr>
          <w:sz w:val="27"/>
          <w:szCs w:val="27"/>
          <w:color w:val="231F20"/>
          <w:spacing w:val="63"/>
        </w:rPr>
        <w:t xml:space="preserve"> </w:t>
      </w:r>
      <w:r>
        <w:rPr>
          <w:sz w:val="27"/>
          <w:szCs w:val="27"/>
          <w:color w:val="231F20"/>
          <w:spacing w:val="-3"/>
        </w:rPr>
        <w:t>论</w:t>
      </w:r>
      <w:r>
        <w:rPr>
          <w:sz w:val="27"/>
          <w:szCs w:val="27"/>
          <w:color w:val="231F20"/>
          <w:spacing w:val="15"/>
        </w:rPr>
        <w:t xml:space="preserve">   </w:t>
      </w:r>
      <w:r>
        <w:rPr>
          <w:sz w:val="27"/>
          <w:szCs w:val="27"/>
          <w:color w:val="231F20"/>
          <w:spacing w:val="-3"/>
        </w:rPr>
        <w:t>著</w:t>
      </w:r>
      <w:r>
        <w:rPr>
          <w:sz w:val="27"/>
          <w:szCs w:val="27"/>
          <w:color w:val="231F20"/>
          <w:spacing w:val="62"/>
          <w:w w:val="101"/>
        </w:rPr>
        <w:t xml:space="preserve"> </w:t>
      </w:r>
      <w:r>
        <w:rPr>
          <w:sz w:val="27"/>
          <w:szCs w:val="27"/>
          <w:color w:val="231F20"/>
          <w:spacing w:val="-3"/>
        </w:rPr>
        <w:t>·</w:t>
      </w:r>
    </w:p>
    <w:p>
      <w:pPr>
        <w:pStyle w:val="BodyText"/>
        <w:ind w:left="1541"/>
        <w:spacing w:before="250" w:line="186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糖尿病患者规范化饮食指导的临床干预效果</w:t>
      </w:r>
    </w:p>
    <w:p>
      <w:pPr>
        <w:pStyle w:val="BodyText"/>
        <w:ind w:left="5329"/>
        <w:spacing w:before="195" w:line="196" w:lineRule="auto"/>
        <w:rPr/>
      </w:pPr>
      <w:r>
        <w:rPr>
          <w:color w:val="231F20"/>
          <w:spacing w:val="-1"/>
        </w:rPr>
        <w:t>于淼</w:t>
      </w:r>
    </w:p>
    <w:p>
      <w:pPr>
        <w:pStyle w:val="BodyText"/>
        <w:ind w:left="3017"/>
        <w:spacing w:before="34" w:line="200" w:lineRule="auto"/>
        <w:rPr/>
      </w:pPr>
      <w:r>
        <w:rPr>
          <w:color w:val="231F20"/>
          <w:spacing w:val="5"/>
        </w:rPr>
        <w:t>天津医科大学朱宪彝纪念医院内分泌科，天津   300400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957" w:right="503" w:firstLine="74"/>
        <w:spacing w:before="73" w:line="234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摘要：目的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  <w:spacing w:val="6"/>
        </w:rPr>
        <w:t>探讨规范化饮食指导对糖尿病患者血糖控制的效果及临床满意率。方法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sz w:val="17"/>
          <w:szCs w:val="17"/>
          <w:color w:val="231F20"/>
          <w:spacing w:val="5"/>
        </w:rPr>
        <w:t>选取天津医科大学朱宪彝纪念医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院 2019 年 8 月—2020 年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10 月收治的糖尿病患者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100 例，随机分为常规组和干预组各 50 例。常规组采用遵医用药、合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理休息、饮食禁忌等常规指导，干预组在常规组基础上进行规范化饮食干预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6"/>
        </w:rPr>
        <w:t>。比较两组患者干预前及干预 3 个月后空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腹血糖（FPG）和餐后 2 h 血糖（2hPBG）变化情况及临床满意率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3"/>
        </w:rPr>
        <w:t>。结果</w:t>
      </w:r>
      <w:r>
        <w:rPr>
          <w:sz w:val="17"/>
          <w:szCs w:val="17"/>
          <w:color w:val="231F20"/>
          <w:spacing w:val="47"/>
        </w:rPr>
        <w:t xml:space="preserve"> </w:t>
      </w:r>
      <w:r>
        <w:rPr>
          <w:sz w:val="17"/>
          <w:szCs w:val="17"/>
          <w:color w:val="231F20"/>
          <w:spacing w:val="-3"/>
        </w:rPr>
        <w:t>干预前，两组患者 FPG 和 2hPBG 水平比较,差异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无统计学意义（P&gt;0.05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1"/>
        </w:rPr>
        <w:t>干预 3 个月后，两组患者 </w:t>
      </w:r>
      <w:r>
        <w:rPr>
          <w:sz w:val="17"/>
          <w:szCs w:val="17"/>
          <w:color w:val="231F20"/>
        </w:rPr>
        <w:t>FPG</w:t>
      </w:r>
      <w:r>
        <w:rPr>
          <w:sz w:val="17"/>
          <w:szCs w:val="17"/>
          <w:color w:val="231F20"/>
          <w:spacing w:val="1"/>
        </w:rPr>
        <w:t xml:space="preserve"> 和 2</w:t>
      </w:r>
      <w:r>
        <w:rPr>
          <w:sz w:val="17"/>
          <w:szCs w:val="17"/>
          <w:color w:val="231F20"/>
        </w:rPr>
        <w:t>hPBG</w:t>
      </w:r>
      <w:r>
        <w:rPr>
          <w:sz w:val="17"/>
          <w:szCs w:val="17"/>
          <w:color w:val="231F20"/>
          <w:spacing w:val="1"/>
        </w:rPr>
        <w:t xml:space="preserve"> 水平均明显低于干预前，且干预组 </w:t>
      </w:r>
      <w:r>
        <w:rPr>
          <w:sz w:val="17"/>
          <w:szCs w:val="17"/>
          <w:color w:val="231F20"/>
        </w:rPr>
        <w:t>FPG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</w:rPr>
        <w:t>与 2hPBG 水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-7"/>
        </w:rPr>
        <w:t>平为（5.75±0.69）和（7.86±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7"/>
        </w:rPr>
        <w:t>1.11）mmol/L，均低于常规组的（6.48±0.76）和（8.78±1.1</w:t>
      </w:r>
      <w:r>
        <w:rPr>
          <w:sz w:val="17"/>
          <w:szCs w:val="17"/>
          <w:color w:val="231F20"/>
          <w:spacing w:val="-8"/>
        </w:rPr>
        <w:t>7）mmol/L，差异均有统计学意义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（P&lt;0.05）。干预组患者总满意率为 92.00%，明显高于常规组的 74.00%，差异有统计学意义（</w:t>
      </w:r>
      <w:r>
        <w:rPr>
          <w:sz w:val="17"/>
          <w:szCs w:val="17"/>
          <w:color w:val="231F20"/>
          <w:spacing w:val="-3"/>
        </w:rPr>
        <w:t>P&lt;0.05）。结论</w:t>
      </w:r>
      <w:r>
        <w:rPr>
          <w:sz w:val="17"/>
          <w:szCs w:val="17"/>
          <w:color w:val="231F20"/>
          <w:spacing w:val="18"/>
          <w:w w:val="101"/>
        </w:rPr>
        <w:t xml:space="preserve">  </w:t>
      </w:r>
      <w:r>
        <w:rPr>
          <w:sz w:val="17"/>
          <w:szCs w:val="17"/>
          <w:color w:val="231F20"/>
          <w:spacing w:val="-3"/>
        </w:rPr>
        <w:t>规范化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饮食指导有利于促进糖尿病患者血糖的控制，提高患者满意率，值得临床应用和推广。</w:t>
      </w:r>
    </w:p>
    <w:p>
      <w:pPr>
        <w:pStyle w:val="BodyText"/>
        <w:ind w:left="1032"/>
        <w:spacing w:before="1" w:line="19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关键词：规范化饮食指导；糖尿病；血糖控制；干预效果</w:t>
      </w:r>
    </w:p>
    <w:p>
      <w:pPr>
        <w:pStyle w:val="BodyText"/>
        <w:ind w:left="1045"/>
        <w:spacing w:before="59" w:line="18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中图分类号：R4       文献标识码：A         文章编号：1003-5052（2021）11-010-03         DOI:10.162</w:t>
      </w:r>
      <w:r>
        <w:rPr>
          <w:sz w:val="15"/>
          <w:szCs w:val="15"/>
          <w:color w:val="231F20"/>
          <w:spacing w:val="-6"/>
        </w:rPr>
        <w:t>86/j.1003-5052.2021.11.004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1298"/>
        <w:spacing w:before="116" w:line="159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-9"/>
        </w:rPr>
        <w:t>Clinical interventi</w:t>
      </w:r>
      <w:r>
        <w:rPr>
          <w:sz w:val="27"/>
          <w:szCs w:val="27"/>
          <w:color w:val="231F20"/>
          <w:spacing w:val="-10"/>
        </w:rPr>
        <w:t>on effect of</w:t>
      </w:r>
      <w:r>
        <w:rPr>
          <w:sz w:val="27"/>
          <w:szCs w:val="27"/>
          <w:color w:val="231F20"/>
          <w:spacing w:val="-19"/>
        </w:rPr>
        <w:t xml:space="preserve"> </w:t>
      </w:r>
      <w:r>
        <w:rPr>
          <w:sz w:val="27"/>
          <w:szCs w:val="27"/>
          <w:color w:val="231F20"/>
          <w:spacing w:val="-10"/>
        </w:rPr>
        <w:t>standardized dietary guidance in patients</w:t>
      </w:r>
    </w:p>
    <w:p>
      <w:pPr>
        <w:pStyle w:val="BodyText"/>
        <w:ind w:left="4231"/>
        <w:spacing w:before="78" w:line="192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-12"/>
        </w:rPr>
        <w:t>with diabetes mellitus</w:t>
      </w:r>
    </w:p>
    <w:p>
      <w:pPr>
        <w:pStyle w:val="BodyText"/>
        <w:ind w:left="5109"/>
        <w:spacing w:before="1" w:line="166" w:lineRule="auto"/>
        <w:rPr/>
      </w:pPr>
      <w:r>
        <w:rPr>
          <w:color w:val="231F20"/>
        </w:rPr>
        <w:t>YU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Miao</w:t>
      </w:r>
    </w:p>
    <w:p>
      <w:pPr>
        <w:pStyle w:val="BodyText"/>
        <w:ind w:left="1780"/>
        <w:spacing w:before="75" w:line="164" w:lineRule="auto"/>
        <w:rPr/>
      </w:pPr>
      <w:r>
        <w:rPr>
          <w:color w:val="231F20"/>
          <w:spacing w:val="-13"/>
        </w:rPr>
        <w:t>Department of Endocrinology，Tianjin Medical University Zhu Xianyi Memorial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Ho</w:t>
      </w:r>
      <w:r>
        <w:rPr>
          <w:color w:val="231F20"/>
          <w:spacing w:val="-14"/>
        </w:rPr>
        <w:t>spital，</w:t>
      </w:r>
    </w:p>
    <w:p>
      <w:pPr>
        <w:pStyle w:val="BodyText"/>
        <w:ind w:left="4557"/>
        <w:spacing w:before="80" w:line="164" w:lineRule="auto"/>
        <w:rPr/>
      </w:pPr>
      <w:r>
        <w:rPr>
          <w:color w:val="231F20"/>
          <w:spacing w:val="-11"/>
        </w:rPr>
        <w:t>Tianjin 300400，China</w:t>
      </w:r>
    </w:p>
    <w:p>
      <w:pPr>
        <w:pStyle w:val="BodyText"/>
        <w:ind w:left="1064" w:right="541" w:hanging="3"/>
        <w:spacing w:before="77" w:line="220" w:lineRule="auto"/>
        <w:jc w:val="both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391160</wp:posOffset>
            </wp:positionH>
            <wp:positionV relativeFrom="paragraph">
              <wp:posOffset>2342881</wp:posOffset>
            </wp:positionV>
            <wp:extent cx="1080770" cy="762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077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5"/>
        </w:rPr>
        <w:t>Abstract: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Objective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5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explore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effect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standardized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dietary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5"/>
        </w:rPr>
        <w:t>guidance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5"/>
        </w:rPr>
        <w:t>blood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5"/>
        </w:rPr>
        <w:t>glucose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clinical  satisfaction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2"/>
        </w:rPr>
        <w:t>rate  in  </w:t>
      </w:r>
      <w:r>
        <w:rPr>
          <w:color w:val="231F20"/>
          <w:spacing w:val="-13"/>
        </w:rPr>
        <w:t>patients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3"/>
        </w:rPr>
        <w:t>with  diabetes  mellitus.  Methods   A  total  of  100  cases  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diabetes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mellitus admitted to Tianjin Medical University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4"/>
        </w:rPr>
        <w:t>Zhu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Xianyi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Memorial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Hospital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4"/>
        </w:rPr>
        <w:t>from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4"/>
        </w:rPr>
        <w:t>Au</w:t>
      </w:r>
      <w:r>
        <w:rPr>
          <w:color w:val="231F20"/>
          <w:spacing w:val="-15"/>
        </w:rPr>
        <w:t>gust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5"/>
        </w:rPr>
        <w:t>2019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October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2020 were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selected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randomly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divided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into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routine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interventio</w:t>
      </w:r>
      <w:r>
        <w:rPr>
          <w:color w:val="231F20"/>
          <w:spacing w:val="-18"/>
        </w:rPr>
        <w:t>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group，with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50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cases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each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group.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7"/>
        </w:rPr>
        <w:t>routine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7"/>
        </w:rPr>
        <w:t>was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7"/>
        </w:rPr>
        <w:t>given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7"/>
        </w:rPr>
        <w:t>routine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7"/>
        </w:rPr>
        <w:t>guidance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7"/>
        </w:rPr>
        <w:t>such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7"/>
        </w:rPr>
        <w:t>as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7"/>
        </w:rPr>
        <w:t>medical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7"/>
        </w:rPr>
        <w:t>compl</w:t>
      </w:r>
      <w:r>
        <w:rPr>
          <w:color w:val="231F20"/>
          <w:spacing w:val="-18"/>
        </w:rPr>
        <w:t>iance，reasonable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8"/>
        </w:rPr>
        <w:t>rest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dietary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6"/>
        </w:rPr>
        <w:t>taboo.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6"/>
        </w:rPr>
        <w:t>intervention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7"/>
        </w:rPr>
        <w:t>received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7"/>
        </w:rPr>
        <w:t>standardized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7"/>
        </w:rPr>
        <w:t>diet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7"/>
        </w:rPr>
        <w:t>intervention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7"/>
        </w:rPr>
        <w:t>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7"/>
        </w:rPr>
        <w:t>basis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7"/>
        </w:rPr>
        <w:t>routine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group.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9"/>
        </w:rPr>
        <w:t>changes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9"/>
        </w:rPr>
        <w:t>of fasting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9"/>
        </w:rPr>
        <w:t>blood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glucose（FPG）and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2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9"/>
        </w:rPr>
        <w:t>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9"/>
        </w:rPr>
        <w:t>postprandial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blood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glucose（</w:t>
      </w:r>
      <w:r>
        <w:rPr>
          <w:color w:val="231F20"/>
          <w:spacing w:val="-20"/>
        </w:rPr>
        <w:t>2hPBG）before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3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7"/>
        </w:rPr>
        <w:t>months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7"/>
        </w:rPr>
        <w:t>after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7"/>
        </w:rPr>
        <w:t>intervention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7"/>
        </w:rPr>
        <w:t>clinical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7"/>
        </w:rPr>
        <w:t>satisfaction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7"/>
        </w:rPr>
        <w:t>rate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7"/>
        </w:rPr>
        <w:t>patients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7"/>
        </w:rPr>
        <w:t>were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7"/>
        </w:rPr>
        <w:t>comp</w:t>
      </w:r>
      <w:r>
        <w:rPr>
          <w:color w:val="231F20"/>
          <w:spacing w:val="-18"/>
        </w:rPr>
        <w:t>ared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8"/>
        </w:rPr>
        <w:t>between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8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groups.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Results  Before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intervention，there were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no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significant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4"/>
        </w:rPr>
        <w:t>differences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levels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of FPG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2hPBG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between the two groups（P&gt;0.05</w:t>
      </w:r>
      <w:r>
        <w:rPr>
          <w:color w:val="231F20"/>
          <w:spacing w:val="-43"/>
          <w:w w:val="90"/>
        </w:rPr>
        <w:t>）；</w:t>
      </w:r>
      <w:r>
        <w:rPr>
          <w:color w:val="231F20"/>
          <w:spacing w:val="-16"/>
        </w:rPr>
        <w:t>after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3 months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of interve</w:t>
      </w:r>
      <w:r>
        <w:rPr>
          <w:color w:val="231F20"/>
          <w:spacing w:val="-17"/>
        </w:rPr>
        <w:t>ntion，the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levels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7"/>
        </w:rPr>
        <w:t>FPG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2hPBG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groups were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significantly lower than those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before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th</w:t>
      </w:r>
      <w:r>
        <w:rPr>
          <w:color w:val="231F20"/>
          <w:spacing w:val="-16"/>
        </w:rPr>
        <w:t>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intervention，and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levels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6"/>
        </w:rPr>
        <w:t>FPG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2hPBG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the</w:t>
      </w:r>
    </w:p>
    <w:p>
      <w:pPr>
        <w:pStyle w:val="BodyText"/>
        <w:ind w:left="619"/>
        <w:spacing w:before="220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作者简介：于淼，本科，护师，主要从事临床护理</w:t>
      </w:r>
      <w:r>
        <w:rPr>
          <w:sz w:val="15"/>
          <w:szCs w:val="15"/>
          <w:color w:val="231F20"/>
          <w:spacing w:val="-4"/>
        </w:rPr>
        <w:t>工作</w:t>
      </w:r>
    </w:p>
    <w:p>
      <w:pPr>
        <w:pStyle w:val="BodyText"/>
        <w:ind w:left="618"/>
        <w:spacing w:before="59" w:line="192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384810</wp:posOffset>
            </wp:positionH>
            <wp:positionV relativeFrom="paragraph">
              <wp:posOffset>273711</wp:posOffset>
            </wp:positionV>
            <wp:extent cx="6228079" cy="762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8079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8"/>
        </w:rPr>
        <w:t>通信作者：于淼，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E- mail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ymym0413@126.com</w:t>
      </w:r>
    </w:p>
    <w:p>
      <w:pPr>
        <w:spacing w:before="140"/>
        <w:rPr/>
      </w:pPr>
      <w:r/>
    </w:p>
    <w:p>
      <w:pPr>
        <w:sectPr>
          <w:headerReference w:type="default" r:id="rId1"/>
          <w:footerReference w:type="default" r:id="rId6"/>
          <w:pgSz w:w="11905" w:h="16836"/>
          <w:pgMar w:top="1455" w:right="985" w:bottom="886" w:left="407" w:header="1109" w:footer="603" w:gutter="0"/>
          <w:cols w:equalWidth="0" w:num="1">
            <w:col w:w="10511" w:space="0"/>
          </w:cols>
        </w:sectPr>
        <w:rPr/>
      </w:pPr>
    </w:p>
    <w:p>
      <w:pPr>
        <w:pStyle w:val="BodyText"/>
        <w:ind w:left="936"/>
        <w:spacing w:before="34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现代药物应用，2021，15（3</w:t>
      </w:r>
      <w:r>
        <w:rPr>
          <w:sz w:val="15"/>
          <w:szCs w:val="15"/>
          <w:color w:val="231F20"/>
          <w:spacing w:val="-33"/>
          <w:w w:val="80"/>
        </w:rPr>
        <w:t>）：</w:t>
      </w:r>
      <w:r>
        <w:rPr>
          <w:sz w:val="15"/>
          <w:szCs w:val="15"/>
          <w:color w:val="231F20"/>
          <w:spacing w:val="-11"/>
        </w:rPr>
        <w:t>161-163.</w:t>
      </w:r>
    </w:p>
    <w:p>
      <w:pPr>
        <w:pStyle w:val="BodyText"/>
        <w:ind w:left="933" w:right="358" w:hanging="313"/>
        <w:spacing w:before="52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赵旭，曾朝涛，张译文，等.益生菌作为添加治</w:t>
      </w:r>
      <w:r>
        <w:rPr>
          <w:sz w:val="15"/>
          <w:szCs w:val="15"/>
          <w:color w:val="231F20"/>
          <w:spacing w:val="3"/>
        </w:rPr>
        <w:t>疗急性肠胃炎的疗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效和降低急性肠胃炎腹泻时间的研究分析[J</w:t>
      </w:r>
      <w:r>
        <w:rPr>
          <w:sz w:val="15"/>
          <w:szCs w:val="15"/>
          <w:color w:val="231F20"/>
          <w:spacing w:val="8"/>
        </w:rPr>
        <w:t>].中国临床药理学杂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志，2021，37（2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7"/>
        </w:rPr>
        <w:t>172-174.</w:t>
      </w:r>
    </w:p>
    <w:p>
      <w:pPr>
        <w:pStyle w:val="BodyText"/>
        <w:ind w:left="934" w:right="358" w:hanging="314"/>
        <w:spacing w:before="50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[5]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6"/>
        </w:rPr>
        <w:t>王永梅，马健.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6"/>
        </w:rPr>
        <w:t>中西医结合治疗急性肠胃炎的临床观察[J].</w:t>
      </w:r>
      <w:r>
        <w:rPr>
          <w:sz w:val="15"/>
          <w:szCs w:val="15"/>
          <w:color w:val="231F20"/>
          <w:spacing w:val="5"/>
        </w:rPr>
        <w:t>青海医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药杂志，2019，49（11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2"/>
        </w:rPr>
        <w:t>54-55.</w:t>
      </w:r>
    </w:p>
    <w:p>
      <w:pPr>
        <w:pStyle w:val="BodyText"/>
        <w:ind w:left="933" w:right="358" w:hanging="313"/>
        <w:spacing w:before="51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[6]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贾冬青.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8"/>
        </w:rPr>
        <w:t>中医辨证施治对急性肠胃炎患者炎症因子水平的影响研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究[J].中国保健营养，2019，29（8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9"/>
        </w:rPr>
        <w:t>140-145.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2" w:right="41" w:hanging="313"/>
        <w:spacing w:before="32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[7]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朱凯，叶小雪，黄适.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3"/>
        </w:rPr>
        <w:t>中医辨证施治联合西医常规治疗急性肠胃炎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的疗效及对炎症因子水平的影响[J].辽宁中医杂志，2019，46（4</w:t>
      </w:r>
      <w:r>
        <w:rPr>
          <w:sz w:val="15"/>
          <w:szCs w:val="15"/>
          <w:color w:val="231F20"/>
          <w:spacing w:val="-39"/>
          <w:w w:val="9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785-787.</w:t>
      </w:r>
    </w:p>
    <w:p>
      <w:pPr>
        <w:pStyle w:val="BodyText"/>
        <w:ind w:left="322" w:right="87" w:hanging="323"/>
        <w:spacing w:before="26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[8]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7"/>
        </w:rPr>
        <w:t>陈树财.经方葛根芩连汤治疗急性肠</w:t>
      </w:r>
      <w:r>
        <w:rPr>
          <w:sz w:val="15"/>
          <w:szCs w:val="15"/>
          <w:color w:val="231F20"/>
          <w:spacing w:val="6"/>
        </w:rPr>
        <w:t>胃炎的临床疗效[J].内蒙古中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医药，2020，39（12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6"/>
        </w:rPr>
        <w:t>18-19.</w:t>
      </w:r>
    </w:p>
    <w:p>
      <w:pPr>
        <w:pStyle w:val="BodyText"/>
        <w:ind w:left="315" w:right="87" w:hanging="315"/>
        <w:spacing w:before="50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[9]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赵良伟，王春子.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6"/>
        </w:rPr>
        <w:t>中医针刺止痛在急性肠胃炎腹痛中的应用[J].内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蒙古中医药，2020，39（12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0"/>
        </w:rPr>
        <w:t>89-90.</w:t>
      </w:r>
    </w:p>
    <w:p>
      <w:pPr>
        <w:pStyle w:val="BodyText"/>
        <w:ind w:left="2689"/>
        <w:spacing w:before="51" w:line="1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责任编辑：刘美英，校对：董莉</w:t>
      </w:r>
    </w:p>
    <w:sectPr>
      <w:type w:val="continuous"/>
      <w:pgSz w:w="11905" w:h="16836"/>
      <w:pgMar w:top="1455" w:right="985" w:bottom="886" w:left="407" w:header="1109" w:footer="603" w:gutter="0"/>
      <w:cols w:equalWidth="0" w:num="2">
        <w:col w:w="5650" w:space="100"/>
        <w:col w:w="476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2"/>
      <w:spacing w:line="191" w:lineRule="auto"/>
      <w:rPr/>
    </w:pPr>
    <w:r>
      <w:rPr>
        <w:color w:val="231F20"/>
        <w:spacing w:val="4"/>
      </w:rPr>
      <w:t>-</w:t>
    </w:r>
    <w:r>
      <w:rPr>
        <w:color w:val="231F20"/>
        <w:spacing w:val="22"/>
      </w:rPr>
      <w:t xml:space="preserve">  </w:t>
    </w:r>
    <w:r>
      <w:rPr>
        <w:color w:val="231F20"/>
        <w:spacing w:val="4"/>
      </w:rPr>
      <w:t>8</w:t>
    </w:r>
    <w:r>
      <w:rPr>
        <w:color w:val="231F20"/>
        <w:spacing w:val="21"/>
      </w:rPr>
      <w:t xml:space="preserve">  </w:t>
    </w:r>
    <w:r>
      <w:rPr>
        <w:color w:val="231F20"/>
        <w:spacing w:val="4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77"/>
      <w:spacing w:before="1" w:line="190" w:lineRule="auto"/>
      <w:rPr/>
    </w:pPr>
    <w:r>
      <w:rPr>
        <w:color w:val="231F20"/>
        <w:spacing w:val="5"/>
      </w:rPr>
      <w:t>-</w:t>
    </w:r>
    <w:r>
      <w:rPr>
        <w:color w:val="231F20"/>
        <w:spacing w:val="11"/>
      </w:rPr>
      <w:t xml:space="preserve">   </w:t>
    </w:r>
    <w:r>
      <w:rPr>
        <w:color w:val="231F20"/>
        <w:spacing w:val="5"/>
      </w:rPr>
      <w:t>9</w:t>
    </w:r>
    <w:r>
      <w:rPr>
        <w:color w:val="231F20"/>
        <w:spacing w:val="11"/>
      </w:rPr>
      <w:t xml:space="preserve">   </w:t>
    </w:r>
    <w:r>
      <w:rPr>
        <w:color w:val="231F20"/>
        <w:spacing w:val="5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2"/>
      <w:spacing w:before="1" w:line="190" w:lineRule="auto"/>
      <w:rPr/>
    </w:pPr>
    <w:r>
      <w:rPr>
        <w:color w:val="231F20"/>
        <w:spacing w:val="-3"/>
      </w:rPr>
      <w:t>-</w:t>
    </w:r>
    <w:r>
      <w:rPr>
        <w:color w:val="231F20"/>
        <w:spacing w:val="1"/>
      </w:rPr>
      <w:t xml:space="preserve">  </w:t>
    </w:r>
    <w:r>
      <w:rPr>
        <w:color w:val="231F20"/>
        <w:spacing w:val="-3"/>
      </w:rPr>
      <w:t>10</w:t>
    </w:r>
    <w:r>
      <w:rPr>
        <w:color w:val="231F20"/>
        <w:spacing w:val="50"/>
      </w:rPr>
      <w:t xml:space="preserve"> </w:t>
    </w:r>
    <w:r>
      <w:rPr>
        <w:color w:val="231F20"/>
        <w:spacing w:val="-3"/>
      </w:rPr>
      <w:t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3" w:line="195" w:lineRule="auto"/>
      <w:jc w:val="right"/>
      <w:rPr>
        <w:sz w:val="17"/>
        <w:szCs w:val="17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648969</wp:posOffset>
          </wp:positionH>
          <wp:positionV relativeFrom="page">
            <wp:posOffset>890269</wp:posOffset>
          </wp:positionV>
          <wp:extent cx="6228079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color w:val="231F20"/>
        <w:spacing w:val="-4"/>
      </w:rPr>
      <w:t>中国城乡企业卫生</w:t>
    </w:r>
    <w:r>
      <w:rPr>
        <w:rFonts w:ascii="Arial" w:hAnsi="Arial" w:eastAsia="Arial" w:cs="Arial"/>
        <w:sz w:val="17"/>
        <w:szCs w:val="17"/>
        <w:color w:val="231F20"/>
        <w:spacing w:val="-4"/>
      </w:rPr>
      <w:t>2021 </w:t>
    </w:r>
    <w:r>
      <w:rPr>
        <w:sz w:val="17"/>
        <w:szCs w:val="17"/>
        <w:color w:val="231F20"/>
        <w:spacing w:val="-4"/>
      </w:rPr>
      <w:t>年</w:t>
    </w:r>
    <w:r>
      <w:rPr>
        <w:sz w:val="17"/>
        <w:szCs w:val="17"/>
        <w:color w:val="231F20"/>
        <w:spacing w:val="23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11</w:t>
    </w:r>
    <w:r>
      <w:rPr>
        <w:rFonts w:ascii="Arial" w:hAnsi="Arial" w:eastAsia="Arial" w:cs="Arial"/>
        <w:sz w:val="17"/>
        <w:szCs w:val="17"/>
        <w:color w:val="231F20"/>
        <w:spacing w:val="16"/>
        <w:w w:val="102"/>
      </w:rPr>
      <w:t xml:space="preserve"> </w:t>
    </w:r>
    <w:r>
      <w:rPr>
        <w:sz w:val="17"/>
        <w:szCs w:val="17"/>
        <w:color w:val="231F20"/>
        <w:spacing w:val="-4"/>
      </w:rPr>
      <w:t>月第</w:t>
    </w:r>
    <w:r>
      <w:rPr>
        <w:sz w:val="17"/>
        <w:szCs w:val="17"/>
        <w:color w:val="231F20"/>
        <w:spacing w:val="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11 </w:t>
    </w:r>
    <w:r>
      <w:rPr>
        <w:sz w:val="17"/>
        <w:szCs w:val="17"/>
        <w:color w:val="231F20"/>
        <w:spacing w:val="-4"/>
      </w:rPr>
      <w:t>期（总第 </w:t>
    </w:r>
    <w:r>
      <w:rPr>
        <w:rFonts w:ascii="Arial" w:hAnsi="Arial" w:eastAsia="Arial" w:cs="Arial"/>
        <w:sz w:val="17"/>
        <w:szCs w:val="17"/>
        <w:color w:val="231F20"/>
        <w:spacing w:val="-4"/>
      </w:rPr>
      <w:t>241 </w:t>
    </w:r>
    <w:r>
      <w:rPr>
        <w:sz w:val="17"/>
        <w:szCs w:val="17"/>
        <w:color w:val="231F20"/>
        <w:spacing w:val="-4"/>
      </w:rPr>
      <w:t>期）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1"/>
      <w:spacing w:before="43" w:line="195" w:lineRule="auto"/>
      <w:rPr>
        <w:sz w:val="17"/>
        <w:szCs w:val="17"/>
      </w:rPr>
    </w:pPr>
    <w:r>
      <w:pict>
        <v:shape id="WordPictureWatermark4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890269</wp:posOffset>
          </wp:positionV>
          <wp:extent cx="6228079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color w:val="231F20"/>
        <w:spacing w:val="-3"/>
      </w:rPr>
      <w:t>中国城乡企业卫生</w:t>
    </w:r>
    <w:r>
      <w:rPr>
        <w:rFonts w:ascii="Arial" w:hAnsi="Arial" w:eastAsia="Arial" w:cs="Arial"/>
        <w:sz w:val="17"/>
        <w:szCs w:val="17"/>
        <w:color w:val="231F20"/>
        <w:spacing w:val="-3"/>
      </w:rPr>
      <w:t>2021 </w:t>
    </w:r>
    <w:r>
      <w:rPr>
        <w:sz w:val="17"/>
        <w:szCs w:val="17"/>
        <w:color w:val="231F20"/>
        <w:spacing w:val="-3"/>
      </w:rPr>
      <w:t>年</w:t>
    </w:r>
    <w:r>
      <w:rPr>
        <w:sz w:val="17"/>
        <w:szCs w:val="17"/>
        <w:color w:val="231F20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3"/>
      </w:rPr>
      <w:t>11</w:t>
    </w:r>
    <w:r>
      <w:rPr>
        <w:rFonts w:ascii="Arial" w:hAnsi="Arial" w:eastAsia="Arial" w:cs="Arial"/>
        <w:sz w:val="17"/>
        <w:szCs w:val="17"/>
        <w:color w:val="231F20"/>
        <w:spacing w:val="17"/>
      </w:rPr>
      <w:t xml:space="preserve"> </w:t>
    </w:r>
    <w:r>
      <w:rPr>
        <w:sz w:val="17"/>
        <w:szCs w:val="17"/>
        <w:color w:val="231F20"/>
        <w:spacing w:val="-3"/>
      </w:rPr>
      <w:t>月第</w:t>
    </w:r>
    <w:r>
      <w:rPr>
        <w:sz w:val="17"/>
        <w:szCs w:val="17"/>
        <w:color w:val="231F20"/>
        <w:spacing w:val="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3"/>
      </w:rPr>
      <w:t>11 </w:t>
    </w:r>
    <w:r>
      <w:rPr>
        <w:sz w:val="17"/>
        <w:szCs w:val="17"/>
        <w:color w:val="231F20"/>
        <w:spacing w:val="-3"/>
      </w:rPr>
      <w:t>期（总第 </w:t>
    </w:r>
    <w:r>
      <w:rPr>
        <w:rFonts w:ascii="Arial" w:hAnsi="Arial" w:eastAsia="Arial" w:cs="Arial"/>
        <w:sz w:val="17"/>
        <w:szCs w:val="17"/>
        <w:color w:val="231F20"/>
        <w:spacing w:val="-3"/>
      </w:rPr>
      <w:t>241 </w:t>
    </w:r>
    <w:r>
      <w:rPr>
        <w:sz w:val="17"/>
        <w:szCs w:val="17"/>
        <w:color w:val="231F20"/>
        <w:spacing w:val="-3"/>
      </w:rPr>
      <w:t>期）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image" Target="media/image3.jpeg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2023-02-07T10:47:51Z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2025-10-28T21:31:22</vt:filetime>
  </property>
</Properties>
</file>