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09" w:right="495" w:hanging="26"/>
        <w:spacing w:before="206" w:line="180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14"/>
          <w:w w:val="96"/>
        </w:rPr>
        <w:t>炎琥宁与蒙脱石散</w:t>
      </w:r>
      <w:r>
        <w:rPr>
          <w:sz w:val="41"/>
          <w:szCs w:val="41"/>
          <w:color w:val="231F20"/>
          <w:spacing w:val="-14"/>
          <w:w w:val="96"/>
          <w:position w:val="-2"/>
        </w:rPr>
        <w:t>、</w:t>
      </w:r>
      <w:r>
        <w:rPr>
          <w:sz w:val="41"/>
          <w:szCs w:val="41"/>
          <w:color w:val="231F20"/>
          <w:spacing w:val="-14"/>
          <w:w w:val="96"/>
        </w:rPr>
        <w:t>益生菌联合治疗小儿急性肠胃炎</w:t>
      </w:r>
      <w:r>
        <w:rPr>
          <w:sz w:val="41"/>
          <w:szCs w:val="41"/>
          <w:color w:val="231F20"/>
          <w:spacing w:val="56"/>
        </w:rPr>
        <w:t xml:space="preserve"> </w:t>
      </w:r>
      <w:r>
        <w:rPr>
          <w:sz w:val="41"/>
          <w:szCs w:val="41"/>
          <w:color w:val="231F20"/>
        </w:rPr>
        <w:t>的效果分析</w:t>
      </w:r>
    </w:p>
    <w:p>
      <w:pPr>
        <w:pStyle w:val="BodyText"/>
        <w:ind w:left="1189"/>
        <w:spacing w:before="268" w:line="202" w:lineRule="auto"/>
        <w:rPr/>
      </w:pPr>
      <w:r>
        <w:rPr>
          <w:color w:val="231F20"/>
          <w:spacing w:val="-2"/>
        </w:rPr>
        <w:t>周敏（丰城市人民医院，江西  丰城  </w:t>
      </w:r>
      <w:r>
        <w:rPr>
          <w:sz w:val="20"/>
          <w:szCs w:val="20"/>
          <w:color w:val="231F20"/>
          <w:spacing w:val="-2"/>
        </w:rPr>
        <w:t>33</w:t>
      </w:r>
      <w:r>
        <w:rPr>
          <w:sz w:val="20"/>
          <w:szCs w:val="20"/>
          <w:color w:val="231F20"/>
          <w:spacing w:val="-3"/>
        </w:rPr>
        <w:t>1100</w:t>
      </w:r>
      <w:r>
        <w:rPr>
          <w:color w:val="231F20"/>
          <w:spacing w:val="-3"/>
        </w:rPr>
        <w:t>）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118" w:right="445" w:firstLine="65"/>
        <w:spacing w:before="73" w:line="232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摘要：目的   探讨炎琥宁与蒙脱石散、益生菌联合治疗小儿急性肠胃炎的临床效果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3"/>
        </w:rPr>
        <w:t>。方法    选取 </w:t>
      </w:r>
      <w:r>
        <w:rPr>
          <w:sz w:val="17"/>
          <w:szCs w:val="17"/>
          <w:color w:val="231F20"/>
          <w:spacing w:val="3"/>
          <w:position w:val="-1"/>
        </w:rPr>
        <w:t>2018 </w:t>
      </w:r>
      <w:r>
        <w:rPr>
          <w:sz w:val="16"/>
          <w:szCs w:val="16"/>
          <w:color w:val="231F20"/>
          <w:spacing w:val="3"/>
        </w:rPr>
        <w:t>年 </w:t>
      </w:r>
      <w:r>
        <w:rPr>
          <w:sz w:val="17"/>
          <w:szCs w:val="17"/>
          <w:color w:val="231F20"/>
          <w:spacing w:val="3"/>
          <w:position w:val="-1"/>
        </w:rPr>
        <w:t>5</w:t>
      </w:r>
      <w:r>
        <w:rPr>
          <w:sz w:val="17"/>
          <w:szCs w:val="17"/>
          <w:color w:val="231F20"/>
          <w:spacing w:val="2"/>
          <w:position w:val="-1"/>
        </w:rPr>
        <w:t xml:space="preserve"> </w:t>
      </w:r>
      <w:r>
        <w:rPr>
          <w:sz w:val="16"/>
          <w:szCs w:val="16"/>
          <w:color w:val="231F20"/>
          <w:spacing w:val="2"/>
        </w:rPr>
        <w:t>月至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2"/>
        </w:rPr>
        <w:t>2020 </w:t>
      </w:r>
      <w:r>
        <w:rPr>
          <w:sz w:val="16"/>
          <w:szCs w:val="16"/>
          <w:color w:val="231F20"/>
          <w:spacing w:val="2"/>
        </w:rPr>
        <w:t>年</w:t>
      </w:r>
      <w:r>
        <w:rPr>
          <w:sz w:val="16"/>
          <w:szCs w:val="16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5 </w:t>
      </w:r>
      <w:r>
        <w:rPr>
          <w:sz w:val="16"/>
          <w:szCs w:val="16"/>
          <w:color w:val="231F20"/>
          <w:spacing w:val="7"/>
        </w:rPr>
        <w:t>月在我院收治的急性腹泻儿童 </w:t>
      </w:r>
      <w:r>
        <w:rPr>
          <w:sz w:val="17"/>
          <w:szCs w:val="17"/>
          <w:color w:val="231F20"/>
          <w:spacing w:val="7"/>
        </w:rPr>
        <w:t>62 </w:t>
      </w:r>
      <w:r>
        <w:rPr>
          <w:sz w:val="16"/>
          <w:szCs w:val="16"/>
          <w:color w:val="231F20"/>
          <w:spacing w:val="7"/>
        </w:rPr>
        <w:t>例，根据治疗方案不同分为对照组和观察组各 </w:t>
      </w:r>
      <w:r>
        <w:rPr>
          <w:sz w:val="17"/>
          <w:szCs w:val="17"/>
          <w:color w:val="231F20"/>
          <w:spacing w:val="7"/>
          <w:position w:val="-1"/>
        </w:rPr>
        <w:t>31 </w:t>
      </w:r>
      <w:r>
        <w:rPr>
          <w:sz w:val="16"/>
          <w:szCs w:val="16"/>
          <w:color w:val="231F20"/>
          <w:spacing w:val="7"/>
        </w:rPr>
        <w:t>例。对照组给予给予蒙脱石散联合  </w:t>
      </w:r>
      <w:r>
        <w:rPr>
          <w:sz w:val="16"/>
          <w:szCs w:val="16"/>
          <w:color w:val="231F20"/>
          <w:spacing w:val="11"/>
        </w:rPr>
        <w:t>双歧杆菌四联活菌片治疗，观察组在对照组基础上加予炎琥宁治疗，评估两组临床疗效，记录两组临床症状缓解时间，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3"/>
        </w:rPr>
        <w:t>对比两组治疗前及治疗 </w:t>
      </w:r>
      <w:r>
        <w:rPr>
          <w:sz w:val="17"/>
          <w:szCs w:val="17"/>
          <w:color w:val="231F20"/>
          <w:spacing w:val="3"/>
        </w:rPr>
        <w:t>7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3"/>
        </w:rPr>
        <w:t>d </w:t>
      </w:r>
      <w:r>
        <w:rPr>
          <w:sz w:val="16"/>
          <w:szCs w:val="16"/>
          <w:color w:val="231F20"/>
          <w:spacing w:val="3"/>
        </w:rPr>
        <w:t>后的血清超敏 </w:t>
      </w:r>
      <w:r>
        <w:rPr>
          <w:sz w:val="17"/>
          <w:szCs w:val="17"/>
          <w:color w:val="231F20"/>
          <w:spacing w:val="3"/>
        </w:rPr>
        <w:t>C </w:t>
      </w:r>
      <w:r>
        <w:rPr>
          <w:sz w:val="16"/>
          <w:szCs w:val="16"/>
          <w:color w:val="231F20"/>
          <w:spacing w:val="3"/>
        </w:rPr>
        <w:t>反应蛋白</w:t>
      </w:r>
      <w:r>
        <w:rPr>
          <w:sz w:val="17"/>
          <w:szCs w:val="17"/>
          <w:color w:val="231F20"/>
          <w:spacing w:val="3"/>
        </w:rPr>
        <w:t>(</w:t>
      </w:r>
      <w:r>
        <w:rPr>
          <w:sz w:val="17"/>
          <w:szCs w:val="17"/>
          <w:color w:val="231F20"/>
        </w:rPr>
        <w:t>hs</w:t>
      </w:r>
      <w:r>
        <w:rPr>
          <w:sz w:val="17"/>
          <w:szCs w:val="17"/>
          <w:color w:val="231F20"/>
          <w:spacing w:val="3"/>
        </w:rPr>
        <w:t>-</w:t>
      </w:r>
      <w:r>
        <w:rPr>
          <w:sz w:val="17"/>
          <w:szCs w:val="17"/>
          <w:color w:val="231F20"/>
        </w:rPr>
        <w:t>CRP</w:t>
      </w:r>
      <w:r>
        <w:rPr>
          <w:sz w:val="17"/>
          <w:szCs w:val="17"/>
          <w:color w:val="231F20"/>
          <w:spacing w:val="3"/>
        </w:rPr>
        <w:t>)</w:t>
      </w:r>
      <w:r>
        <w:rPr>
          <w:sz w:val="16"/>
          <w:szCs w:val="16"/>
          <w:color w:val="231F20"/>
          <w:spacing w:val="3"/>
        </w:rPr>
        <w:t>、白细胞介素</w:t>
      </w:r>
      <w:r>
        <w:rPr>
          <w:sz w:val="17"/>
          <w:szCs w:val="17"/>
          <w:color w:val="231F20"/>
          <w:spacing w:val="3"/>
        </w:rPr>
        <w:t>-6(</w:t>
      </w:r>
      <w:r>
        <w:rPr>
          <w:sz w:val="17"/>
          <w:szCs w:val="17"/>
          <w:color w:val="231F20"/>
        </w:rPr>
        <w:t>IL</w:t>
      </w:r>
      <w:r>
        <w:rPr>
          <w:sz w:val="17"/>
          <w:szCs w:val="17"/>
          <w:color w:val="231F20"/>
          <w:spacing w:val="3"/>
        </w:rPr>
        <w:t>-6)</w:t>
      </w:r>
      <w:r>
        <w:rPr>
          <w:sz w:val="16"/>
          <w:szCs w:val="16"/>
          <w:color w:val="231F20"/>
          <w:spacing w:val="3"/>
        </w:rPr>
        <w:t>、降钙素</w:t>
      </w:r>
      <w:r>
        <w:rPr>
          <w:sz w:val="17"/>
          <w:szCs w:val="17"/>
          <w:color w:val="231F20"/>
          <w:spacing w:val="3"/>
        </w:rPr>
        <w:t>(</w:t>
      </w:r>
      <w:r>
        <w:rPr>
          <w:sz w:val="17"/>
          <w:szCs w:val="17"/>
          <w:color w:val="231F20"/>
        </w:rPr>
        <w:t>PCT</w:t>
      </w:r>
      <w:r>
        <w:rPr>
          <w:sz w:val="17"/>
          <w:szCs w:val="17"/>
          <w:color w:val="231F20"/>
          <w:spacing w:val="2"/>
        </w:rPr>
        <w:t>)</w:t>
      </w:r>
      <w:r>
        <w:rPr>
          <w:sz w:val="16"/>
          <w:szCs w:val="16"/>
          <w:color w:val="231F20"/>
          <w:spacing w:val="2"/>
        </w:rPr>
        <w:t>水平变化，记录两组不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2"/>
        </w:rPr>
        <w:t>良反应症状。结果</w:t>
      </w:r>
      <w:r>
        <w:rPr>
          <w:sz w:val="16"/>
          <w:szCs w:val="16"/>
          <w:color w:val="231F20"/>
          <w:spacing w:val="19"/>
        </w:rPr>
        <w:t xml:space="preserve">   </w:t>
      </w:r>
      <w:r>
        <w:rPr>
          <w:sz w:val="16"/>
          <w:szCs w:val="16"/>
          <w:color w:val="231F20"/>
          <w:spacing w:val="-2"/>
        </w:rPr>
        <w:t>观察组的临床总有效率为 </w:t>
      </w:r>
      <w:r>
        <w:rPr>
          <w:sz w:val="17"/>
          <w:szCs w:val="17"/>
          <w:color w:val="231F20"/>
          <w:spacing w:val="-2"/>
        </w:rPr>
        <w:t>93.55%</w:t>
      </w:r>
      <w:r>
        <w:rPr>
          <w:sz w:val="16"/>
          <w:szCs w:val="16"/>
          <w:color w:val="231F20"/>
          <w:spacing w:val="-2"/>
        </w:rPr>
        <w:t>，显著高于对照组的 </w:t>
      </w:r>
      <w:r>
        <w:rPr>
          <w:sz w:val="17"/>
          <w:szCs w:val="17"/>
          <w:color w:val="231F20"/>
          <w:spacing w:val="-2"/>
        </w:rPr>
        <w:t>74.14%</w:t>
      </w:r>
      <w:r>
        <w:rPr>
          <w:sz w:val="16"/>
          <w:szCs w:val="16"/>
          <w:color w:val="231F20"/>
          <w:spacing w:val="-2"/>
        </w:rPr>
        <w:t>，差异有统计学意义（</w:t>
      </w:r>
      <w:r>
        <w:rPr>
          <w:sz w:val="17"/>
          <w:szCs w:val="17"/>
          <w:color w:val="231F20"/>
          <w:spacing w:val="-2"/>
        </w:rPr>
        <w:t>P＜0.05</w:t>
      </w:r>
      <w:r>
        <w:rPr>
          <w:sz w:val="16"/>
          <w:szCs w:val="16"/>
          <w:color w:val="231F20"/>
          <w:spacing w:val="-2"/>
        </w:rPr>
        <w:t>）。观察组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0"/>
        </w:rPr>
        <w:t>的退热时间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10"/>
        </w:rPr>
        <w:t>、止吐时间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10"/>
        </w:rPr>
        <w:t>、腹痛缓解时间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0"/>
        </w:rPr>
        <w:t>、止泻时间以及大便性状恢复时间均显著短于对照组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10"/>
        </w:rPr>
        <w:t>，差异有统计学意义（</w:t>
      </w:r>
      <w:r>
        <w:rPr>
          <w:sz w:val="17"/>
          <w:szCs w:val="17"/>
          <w:color w:val="231F20"/>
          <w:spacing w:val="10"/>
        </w:rPr>
        <w:t>P&lt;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"/>
        </w:rPr>
        <w:t>0.05</w:t>
      </w:r>
      <w:r>
        <w:rPr>
          <w:sz w:val="16"/>
          <w:szCs w:val="16"/>
          <w:color w:val="231F20"/>
          <w:spacing w:val="1"/>
        </w:rPr>
        <w:t>）。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1"/>
        </w:rPr>
        <w:t>治疗后，两组的血清 </w:t>
      </w:r>
      <w:r>
        <w:rPr>
          <w:sz w:val="17"/>
          <w:szCs w:val="17"/>
          <w:color w:val="231F20"/>
        </w:rPr>
        <w:t>hs</w:t>
      </w:r>
      <w:r>
        <w:rPr>
          <w:sz w:val="17"/>
          <w:szCs w:val="17"/>
          <w:color w:val="231F20"/>
          <w:spacing w:val="1"/>
        </w:rPr>
        <w:t>-</w:t>
      </w:r>
      <w:r>
        <w:rPr>
          <w:sz w:val="17"/>
          <w:szCs w:val="17"/>
          <w:color w:val="231F20"/>
        </w:rPr>
        <w:t>CRP</w:t>
      </w:r>
      <w:r>
        <w:rPr>
          <w:sz w:val="16"/>
          <w:szCs w:val="16"/>
          <w:color w:val="231F20"/>
          <w:spacing w:val="1"/>
        </w:rPr>
        <w:t>、</w:t>
      </w:r>
      <w:r>
        <w:rPr>
          <w:sz w:val="17"/>
          <w:szCs w:val="17"/>
          <w:color w:val="231F20"/>
        </w:rPr>
        <w:t>IL</w:t>
      </w:r>
      <w:r>
        <w:rPr>
          <w:sz w:val="17"/>
          <w:szCs w:val="17"/>
          <w:color w:val="231F20"/>
          <w:spacing w:val="1"/>
        </w:rPr>
        <w:t>-6 </w:t>
      </w:r>
      <w:r>
        <w:rPr>
          <w:sz w:val="16"/>
          <w:szCs w:val="16"/>
          <w:color w:val="231F20"/>
          <w:spacing w:val="1"/>
        </w:rPr>
        <w:t>及 </w:t>
      </w:r>
      <w:r>
        <w:rPr>
          <w:sz w:val="17"/>
          <w:szCs w:val="17"/>
          <w:color w:val="231F20"/>
        </w:rPr>
        <w:t>PCT</w:t>
      </w:r>
      <w:r>
        <w:rPr>
          <w:sz w:val="17"/>
          <w:szCs w:val="17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1"/>
        </w:rPr>
        <w:t>水平均显著低于治疗前</w:t>
      </w:r>
      <w:r>
        <w:rPr>
          <w:sz w:val="16"/>
          <w:szCs w:val="16"/>
          <w:color w:val="231F20"/>
        </w:rPr>
        <w:t>，且观察组显著低于对照组，差异有统计学意义  </w:t>
      </w:r>
      <w:r>
        <w:rPr>
          <w:sz w:val="16"/>
          <w:szCs w:val="16"/>
          <w:color w:val="231F20"/>
        </w:rPr>
        <w:t>（</w:t>
      </w:r>
      <w:r>
        <w:rPr>
          <w:sz w:val="17"/>
          <w:szCs w:val="17"/>
          <w:color w:val="231F20"/>
        </w:rPr>
        <w:t>P＜0.05</w:t>
      </w:r>
      <w:r>
        <w:rPr>
          <w:sz w:val="16"/>
          <w:szCs w:val="16"/>
          <w:color w:val="231F20"/>
        </w:rPr>
        <w:t>）。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</w:rPr>
        <w:t>两组不良反应总发生率对比差异无统计学意义（</w:t>
      </w:r>
      <w:r>
        <w:rPr>
          <w:sz w:val="17"/>
          <w:szCs w:val="17"/>
          <w:color w:val="231F20"/>
        </w:rPr>
        <w:t>P＞0.05</w:t>
      </w:r>
      <w:r>
        <w:rPr>
          <w:sz w:val="16"/>
          <w:szCs w:val="16"/>
          <w:color w:val="231F20"/>
        </w:rPr>
        <w:t>）。 结论    炎琥宁</w:t>
      </w:r>
      <w:r>
        <w:rPr>
          <w:sz w:val="16"/>
          <w:szCs w:val="16"/>
          <w:color w:val="231F20"/>
          <w:spacing w:val="-1"/>
        </w:rPr>
        <w:t>联合蒙脱石散、双歧杆菌四联活菌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2"/>
        </w:rPr>
        <w:t>片治疗小儿急性胃肠炎疗效显著，能明显促进临床相关症状恢复，改善血</w:t>
      </w:r>
      <w:r>
        <w:rPr>
          <w:sz w:val="16"/>
          <w:szCs w:val="16"/>
          <w:color w:val="231F20"/>
          <w:spacing w:val="11"/>
        </w:rPr>
        <w:t>清炎症因子水平，药物不良反应少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11"/>
        </w:rPr>
        <w:t>。</w:t>
      </w:r>
    </w:p>
    <w:p>
      <w:pPr>
        <w:pStyle w:val="BodyText"/>
        <w:ind w:left="1184"/>
        <w:spacing w:line="20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关键词：炎琥宁；蒙脱石散；益生菌；小儿急性肠胃炎；炎症因子</w:t>
      </w:r>
    </w:p>
    <w:p>
      <w:pPr>
        <w:pStyle w:val="BodyText"/>
        <w:ind w:left="1198"/>
        <w:spacing w:before="50" w:line="198" w:lineRule="auto"/>
        <w:rPr>
          <w:sz w:val="17"/>
          <w:szCs w:val="17"/>
        </w:rPr>
      </w:pPr>
      <w:r>
        <w:rPr>
          <w:sz w:val="16"/>
          <w:szCs w:val="16"/>
          <w:color w:val="231F20"/>
          <w:spacing w:val="-5"/>
        </w:rPr>
        <w:t>中图分类号：</w:t>
      </w:r>
      <w:r>
        <w:rPr>
          <w:sz w:val="17"/>
          <w:szCs w:val="17"/>
          <w:color w:val="231F20"/>
          <w:spacing w:val="-5"/>
        </w:rPr>
        <w:t>R725.7               </w:t>
      </w:r>
      <w:r>
        <w:rPr>
          <w:sz w:val="16"/>
          <w:szCs w:val="16"/>
          <w:color w:val="231F20"/>
          <w:spacing w:val="-5"/>
        </w:rPr>
        <w:t>文献标志码：</w:t>
      </w:r>
      <w:r>
        <w:rPr>
          <w:sz w:val="17"/>
          <w:szCs w:val="17"/>
          <w:color w:val="231F20"/>
          <w:spacing w:val="-5"/>
        </w:rPr>
        <w:t>B         </w:t>
      </w:r>
      <w:r>
        <w:rPr>
          <w:sz w:val="17"/>
          <w:szCs w:val="17"/>
          <w:color w:val="231F20"/>
          <w:spacing w:val="-6"/>
        </w:rPr>
        <w:t xml:space="preserve">      </w:t>
      </w:r>
      <w:r>
        <w:rPr>
          <w:sz w:val="16"/>
          <w:szCs w:val="16"/>
          <w:color w:val="231F20"/>
          <w:spacing w:val="-6"/>
        </w:rPr>
        <w:t>文章编号：</w:t>
      </w:r>
      <w:r>
        <w:rPr>
          <w:sz w:val="17"/>
          <w:szCs w:val="17"/>
          <w:color w:val="231F20"/>
          <w:spacing w:val="-6"/>
        </w:rPr>
        <w:t>1001</w:t>
      </w:r>
      <w:r>
        <w:rPr>
          <w:sz w:val="16"/>
          <w:szCs w:val="16"/>
          <w:color w:val="231F20"/>
          <w:spacing w:val="-6"/>
        </w:rPr>
        <w:t>-</w:t>
      </w:r>
      <w:r>
        <w:rPr>
          <w:sz w:val="17"/>
          <w:szCs w:val="17"/>
          <w:color w:val="231F20"/>
          <w:spacing w:val="-6"/>
        </w:rPr>
        <w:t>8174</w:t>
      </w:r>
      <w:r>
        <w:rPr>
          <w:sz w:val="16"/>
          <w:szCs w:val="16"/>
          <w:color w:val="231F20"/>
          <w:spacing w:val="-6"/>
        </w:rPr>
        <w:t>（</w:t>
      </w:r>
      <w:r>
        <w:rPr>
          <w:sz w:val="17"/>
          <w:szCs w:val="17"/>
          <w:color w:val="231F20"/>
          <w:spacing w:val="-6"/>
        </w:rPr>
        <w:t>2022</w:t>
      </w:r>
      <w:r>
        <w:rPr>
          <w:sz w:val="16"/>
          <w:szCs w:val="16"/>
          <w:color w:val="231F20"/>
          <w:spacing w:val="-6"/>
        </w:rPr>
        <w:t>）</w:t>
      </w:r>
      <w:r>
        <w:rPr>
          <w:sz w:val="17"/>
          <w:szCs w:val="17"/>
          <w:color w:val="231F20"/>
          <w:spacing w:val="-6"/>
        </w:rPr>
        <w:t>21</w:t>
      </w:r>
      <w:r>
        <w:rPr>
          <w:sz w:val="16"/>
          <w:szCs w:val="16"/>
          <w:color w:val="231F20"/>
          <w:spacing w:val="-6"/>
        </w:rPr>
        <w:t>-</w:t>
      </w:r>
      <w:r>
        <w:rPr>
          <w:sz w:val="17"/>
          <w:szCs w:val="17"/>
          <w:color w:val="231F20"/>
          <w:spacing w:val="-6"/>
        </w:rPr>
        <w:t>3222</w:t>
      </w:r>
      <w:r>
        <w:rPr>
          <w:sz w:val="16"/>
          <w:szCs w:val="16"/>
          <w:color w:val="231F20"/>
          <w:spacing w:val="-6"/>
        </w:rPr>
        <w:t>-</w:t>
      </w:r>
      <w:r>
        <w:rPr>
          <w:sz w:val="17"/>
          <w:szCs w:val="17"/>
          <w:color w:val="231F20"/>
          <w:spacing w:val="-6"/>
        </w:rPr>
        <w:t>02</w:t>
      </w:r>
    </w:p>
    <w:p>
      <w:pPr>
        <w:spacing w:before="80"/>
        <w:rPr/>
      </w:pPr>
      <w:r/>
    </w:p>
    <w:p>
      <w:pPr>
        <w:sectPr>
          <w:headerReference w:type="default" r:id="rId1"/>
          <w:pgSz w:w="12075" w:h="16836"/>
          <w:pgMar w:top="1365" w:right="1199" w:bottom="0" w:left="407" w:header="978" w:footer="0" w:gutter="0"/>
          <w:cols w:equalWidth="0" w:num="1">
            <w:col w:w="10467" w:space="0"/>
          </w:cols>
        </w:sectPr>
        <w:rPr/>
      </w:pPr>
    </w:p>
    <w:p>
      <w:pPr>
        <w:pStyle w:val="BodyText"/>
        <w:ind w:left="748" w:right="246" w:firstLine="421"/>
        <w:spacing w:before="49" w:line="228" w:lineRule="auto"/>
        <w:jc w:val="both"/>
        <w:rPr/>
      </w:pPr>
      <w:r>
        <w:rPr>
          <w:color w:val="231F20"/>
          <w:spacing w:val="19"/>
        </w:rPr>
        <w:t>小儿急性肠胃炎主要由小肠上皮细胞受到轮状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病毒等病原体感染所致，主要采取抗感染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、纠正水电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解质和酸碱失衡、吸氧等对症治疗。肠道粘膜保护剂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8"/>
        </w:rPr>
        <w:t>和益生菌联合治疗在近年逐渐新兴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8"/>
        </w:rPr>
        <w:t>，其中以蒙脱石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散联合益生菌治疗已获取不错疗效</w:t>
      </w:r>
      <w:r>
        <w:rPr>
          <w:sz w:val="10"/>
          <w:szCs w:val="10"/>
          <w:color w:val="231F20"/>
          <w:spacing w:val="6"/>
          <w:position w:val="6"/>
        </w:rPr>
        <w:t>［</w:t>
      </w:r>
      <w:r>
        <w:rPr>
          <w:sz w:val="11"/>
          <w:szCs w:val="11"/>
          <w:color w:val="231F20"/>
          <w:spacing w:val="6"/>
          <w:position w:val="6"/>
        </w:rPr>
        <w:t>1</w:t>
      </w:r>
      <w:r>
        <w:rPr>
          <w:sz w:val="10"/>
          <w:szCs w:val="10"/>
          <w:color w:val="231F20"/>
          <w:spacing w:val="6"/>
          <w:position w:val="6"/>
        </w:rPr>
        <w:t>］</w:t>
      </w:r>
      <w:r>
        <w:rPr>
          <w:color w:val="231F20"/>
          <w:spacing w:val="6"/>
          <w:position w:val="-1"/>
        </w:rPr>
        <w:t>。</w:t>
      </w:r>
      <w:r>
        <w:rPr>
          <w:color w:val="231F20"/>
          <w:spacing w:val="6"/>
        </w:rPr>
        <w:t>炎琥宁属于纯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8"/>
        </w:rPr>
        <w:t>中药制剂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8"/>
        </w:rPr>
        <w:t>，用于小儿急性胃肠炎治疗中能发挥清热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解毒</w:t>
      </w:r>
      <w:r>
        <w:rPr>
          <w:color w:val="231F20"/>
          <w:spacing w:val="-1"/>
          <w:position w:val="-1"/>
        </w:rPr>
        <w:t>、</w:t>
      </w:r>
      <w:r>
        <w:rPr>
          <w:color w:val="231F20"/>
          <w:spacing w:val="-1"/>
        </w:rPr>
        <w:t>抗病毒</w:t>
      </w:r>
      <w:r>
        <w:rPr>
          <w:color w:val="231F20"/>
          <w:spacing w:val="-1"/>
          <w:position w:val="-1"/>
        </w:rPr>
        <w:t>、</w:t>
      </w:r>
      <w:r>
        <w:rPr>
          <w:color w:val="231F20"/>
          <w:spacing w:val="-1"/>
        </w:rPr>
        <w:t>增强免疫力等作用</w:t>
      </w:r>
      <w:r>
        <w:rPr>
          <w:sz w:val="10"/>
          <w:szCs w:val="10"/>
          <w:color w:val="231F20"/>
          <w:spacing w:val="-1"/>
          <w:position w:val="6"/>
        </w:rPr>
        <w:t>［</w:t>
      </w:r>
      <w:r>
        <w:rPr>
          <w:sz w:val="11"/>
          <w:szCs w:val="11"/>
          <w:color w:val="231F20"/>
          <w:spacing w:val="-1"/>
          <w:position w:val="6"/>
        </w:rPr>
        <w:t>2</w:t>
      </w:r>
      <w:r>
        <w:rPr>
          <w:sz w:val="10"/>
          <w:szCs w:val="10"/>
          <w:color w:val="231F20"/>
          <w:spacing w:val="-1"/>
          <w:position w:val="6"/>
        </w:rPr>
        <w:t>］</w:t>
      </w:r>
      <w:r>
        <w:rPr>
          <w:color w:val="231F20"/>
          <w:spacing w:val="-1"/>
          <w:position w:val="-1"/>
        </w:rPr>
        <w:t>。</w:t>
      </w:r>
      <w:r>
        <w:rPr>
          <w:color w:val="231F20"/>
          <w:spacing w:val="-1"/>
        </w:rPr>
        <w:t>本文探讨</w:t>
      </w:r>
      <w:r>
        <w:rPr>
          <w:color w:val="231F20"/>
          <w:spacing w:val="-2"/>
        </w:rPr>
        <w:t>炎琥宁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联合蒙脱石散、双歧杆菌四联活菌片治疗小儿急性肠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胃炎的应用价值，旨在为临床相关领域提供数据支持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报道如下。</w:t>
      </w:r>
    </w:p>
    <w:p>
      <w:pPr>
        <w:pStyle w:val="BodyText"/>
        <w:ind w:left="760"/>
        <w:spacing w:line="182" w:lineRule="auto"/>
        <w:outlineLvl w:val="0"/>
        <w:rPr/>
      </w:pPr>
      <w:r>
        <w:rPr>
          <w:sz w:val="20"/>
          <w:szCs w:val="20"/>
          <w:color w:val="231F20"/>
          <w:spacing w:val="7"/>
          <w:position w:val="-1"/>
        </w:rPr>
        <w:t>1</w:t>
      </w:r>
      <w:r>
        <w:rPr>
          <w:sz w:val="20"/>
          <w:szCs w:val="20"/>
          <w:color w:val="231F20"/>
          <w:spacing w:val="15"/>
          <w:position w:val="-1"/>
        </w:rPr>
        <w:t xml:space="preserve">   </w:t>
      </w:r>
      <w:r>
        <w:rPr>
          <w:color w:val="231F20"/>
          <w:spacing w:val="7"/>
        </w:rPr>
        <w:t>资料与方法</w:t>
      </w:r>
    </w:p>
    <w:p>
      <w:pPr>
        <w:pStyle w:val="BodyText"/>
        <w:ind w:left="749" w:right="318" w:firstLine="13"/>
        <w:spacing w:before="50" w:line="21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1.1</w:t>
      </w:r>
      <w:r>
        <w:rPr>
          <w:sz w:val="20"/>
          <w:szCs w:val="20"/>
          <w:color w:val="231F20"/>
          <w:spacing w:val="18"/>
          <w:w w:val="101"/>
        </w:rPr>
        <w:t xml:space="preserve">   </w:t>
      </w:r>
      <w:r>
        <w:rPr>
          <w:color w:val="231F20"/>
          <w:spacing w:val="-2"/>
        </w:rPr>
        <w:t>一般资料    选取</w:t>
      </w:r>
      <w:r>
        <w:rPr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2"/>
        </w:rPr>
        <w:t>2018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2"/>
        </w:rPr>
        <w:t>5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color w:val="231F20"/>
          <w:spacing w:val="-2"/>
        </w:rPr>
        <w:t>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至</w:t>
      </w:r>
      <w:r>
        <w:rPr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2"/>
        </w:rPr>
        <w:t>2020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2"/>
        </w:rPr>
        <w:t>5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color w:val="231F20"/>
          <w:spacing w:val="-2"/>
        </w:rPr>
        <w:t>月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在我院收治的 </w:t>
      </w:r>
      <w:r>
        <w:rPr>
          <w:sz w:val="20"/>
          <w:szCs w:val="20"/>
          <w:color w:val="231F20"/>
          <w:spacing w:val="10"/>
        </w:rPr>
        <w:t>62 </w:t>
      </w:r>
      <w:r>
        <w:rPr>
          <w:color w:val="231F20"/>
          <w:spacing w:val="10"/>
        </w:rPr>
        <w:t>例急性腹泻儿童随机分为两组，即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0"/>
        </w:rPr>
        <w:t>两药联合组和三药联合组各 </w:t>
      </w:r>
      <w:r>
        <w:rPr>
          <w:sz w:val="20"/>
          <w:szCs w:val="20"/>
          <w:color w:val="231F20"/>
          <w:spacing w:val="10"/>
          <w:position w:val="-1"/>
        </w:rPr>
        <w:t>31 </w:t>
      </w:r>
      <w:r>
        <w:rPr>
          <w:color w:val="231F20"/>
          <w:spacing w:val="10"/>
        </w:rPr>
        <w:t>例。两组患儿资料建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6"/>
        </w:rPr>
        <w:t>立倾向性匹配评分模型，进行</w:t>
      </w:r>
      <w:r>
        <w:rPr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6"/>
          <w:position w:val="-1"/>
        </w:rPr>
        <w:t>1:1</w:t>
      </w:r>
      <w:r>
        <w:rPr>
          <w:sz w:val="20"/>
          <w:szCs w:val="20"/>
          <w:color w:val="231F20"/>
          <w:spacing w:val="30"/>
          <w:position w:val="-1"/>
        </w:rPr>
        <w:t xml:space="preserve"> </w:t>
      </w:r>
      <w:r>
        <w:rPr>
          <w:color w:val="231F20"/>
          <w:spacing w:val="6"/>
        </w:rPr>
        <w:t>比例匹配，观察组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中男</w:t>
      </w:r>
      <w:r>
        <w:rPr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5"/>
        </w:rPr>
        <w:t>17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-15"/>
        </w:rPr>
        <w:t>例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5"/>
        </w:rPr>
        <w:t>、女</w:t>
      </w:r>
      <w:r>
        <w:rPr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5"/>
        </w:rPr>
        <w:t>14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-15"/>
        </w:rPr>
        <w:t>例；年龄</w:t>
      </w:r>
      <w:r>
        <w:rPr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5"/>
        </w:rPr>
        <w:t>6 </w:t>
      </w:r>
      <w:r>
        <w:rPr>
          <w:color w:val="231F20"/>
          <w:spacing w:val="-15"/>
        </w:rPr>
        <w:t>个月</w:t>
      </w:r>
      <w:r>
        <w:rPr>
          <w:sz w:val="20"/>
          <w:szCs w:val="20"/>
          <w:color w:val="231F20"/>
          <w:spacing w:val="-15"/>
        </w:rPr>
        <w:t>～8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color w:val="231F20"/>
          <w:spacing w:val="-15"/>
        </w:rPr>
        <w:t>岁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5"/>
        </w:rPr>
        <w:t>，平均（</w:t>
      </w:r>
      <w:r>
        <w:rPr>
          <w:sz w:val="20"/>
          <w:szCs w:val="20"/>
          <w:color w:val="231F20"/>
          <w:spacing w:val="-15"/>
        </w:rPr>
        <w:t>4.1</w:t>
      </w:r>
      <w:r>
        <w:rPr>
          <w:sz w:val="20"/>
          <w:szCs w:val="20"/>
          <w:color w:val="231F20"/>
          <w:spacing w:val="-16"/>
        </w:rPr>
        <w:t>2±</w:t>
      </w:r>
    </w:p>
    <w:p>
      <w:pPr>
        <w:pStyle w:val="BodyText"/>
        <w:ind w:left="748" w:right="318" w:hanging="4"/>
        <w:spacing w:before="26" w:line="21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24"/>
        </w:rPr>
        <w:t>0.89</w:t>
      </w:r>
      <w:r>
        <w:rPr>
          <w:color w:val="231F20"/>
          <w:spacing w:val="-24"/>
        </w:rPr>
        <w:t>）岁；病程</w:t>
      </w:r>
      <w:r>
        <w:rPr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24"/>
        </w:rPr>
        <w:t>1～3</w:t>
      </w:r>
      <w:r>
        <w:rPr>
          <w:color w:val="231F20"/>
          <w:spacing w:val="-24"/>
        </w:rPr>
        <w:t>（</w:t>
      </w:r>
      <w:r>
        <w:rPr>
          <w:sz w:val="20"/>
          <w:szCs w:val="20"/>
          <w:color w:val="231F20"/>
          <w:spacing w:val="-24"/>
        </w:rPr>
        <w:t>1.89±0.25</w:t>
      </w:r>
      <w:r>
        <w:rPr>
          <w:color w:val="231F20"/>
          <w:spacing w:val="-24"/>
        </w:rPr>
        <w:t>）</w:t>
      </w:r>
      <w:r>
        <w:rPr>
          <w:sz w:val="20"/>
          <w:szCs w:val="20"/>
          <w:color w:val="231F20"/>
          <w:spacing w:val="-24"/>
        </w:rPr>
        <w:t>d</w:t>
      </w:r>
      <w:r>
        <w:rPr>
          <w:color w:val="231F20"/>
          <w:spacing w:val="-24"/>
        </w:rPr>
        <w:t>；病情：轻度</w:t>
      </w:r>
      <w:r>
        <w:rPr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24"/>
        </w:rPr>
        <w:t>14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color w:val="231F20"/>
          <w:spacing w:val="-24"/>
        </w:rPr>
        <w:t>例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4"/>
        </w:rPr>
        <w:t>、中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度</w:t>
      </w:r>
      <w:r>
        <w:rPr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12 </w:t>
      </w:r>
      <w:r>
        <w:rPr>
          <w:color w:val="231F20"/>
          <w:spacing w:val="-8"/>
        </w:rPr>
        <w:t>例、重度 </w:t>
      </w:r>
      <w:r>
        <w:rPr>
          <w:sz w:val="20"/>
          <w:szCs w:val="20"/>
          <w:color w:val="231F20"/>
          <w:spacing w:val="-8"/>
        </w:rPr>
        <w:t>5 </w:t>
      </w:r>
      <w:r>
        <w:rPr>
          <w:color w:val="231F20"/>
          <w:spacing w:val="-8"/>
        </w:rPr>
        <w:t>例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。对照组中男</w:t>
      </w:r>
      <w:r>
        <w:rPr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16 </w:t>
      </w:r>
      <w:r>
        <w:rPr>
          <w:color w:val="231F20"/>
          <w:spacing w:val="-8"/>
        </w:rPr>
        <w:t>例、女</w:t>
      </w:r>
      <w:r>
        <w:rPr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15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color w:val="231F20"/>
          <w:spacing w:val="-8"/>
        </w:rPr>
        <w:t>例；年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龄</w:t>
      </w:r>
      <w:r>
        <w:rPr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20"/>
        </w:rPr>
        <w:t>8 </w:t>
      </w:r>
      <w:r>
        <w:rPr>
          <w:color w:val="231F20"/>
          <w:spacing w:val="-20"/>
        </w:rPr>
        <w:t>个月</w:t>
      </w:r>
      <w:r>
        <w:rPr>
          <w:sz w:val="20"/>
          <w:szCs w:val="20"/>
          <w:color w:val="231F20"/>
          <w:spacing w:val="-20"/>
        </w:rPr>
        <w:t>～8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color w:val="231F20"/>
          <w:spacing w:val="-20"/>
        </w:rPr>
        <w:t>岁，平均（</w:t>
      </w:r>
      <w:r>
        <w:rPr>
          <w:sz w:val="20"/>
          <w:szCs w:val="20"/>
          <w:color w:val="231F20"/>
          <w:spacing w:val="-20"/>
        </w:rPr>
        <w:t>4.21±0.87</w:t>
      </w:r>
      <w:r>
        <w:rPr>
          <w:color w:val="231F20"/>
          <w:spacing w:val="-20"/>
        </w:rPr>
        <w:t>）岁；病程  </w:t>
      </w:r>
      <w:r>
        <w:rPr>
          <w:sz w:val="20"/>
          <w:szCs w:val="20"/>
          <w:color w:val="231F20"/>
          <w:spacing w:val="-20"/>
        </w:rPr>
        <w:t>1～3</w:t>
      </w:r>
      <w:r>
        <w:rPr>
          <w:color w:val="231F20"/>
          <w:spacing w:val="-20"/>
        </w:rPr>
        <w:t>（</w:t>
      </w:r>
      <w:r>
        <w:rPr>
          <w:sz w:val="20"/>
          <w:szCs w:val="20"/>
          <w:color w:val="231F20"/>
          <w:spacing w:val="-20"/>
        </w:rPr>
        <w:t>1.92±</w:t>
      </w:r>
    </w:p>
    <w:p>
      <w:pPr>
        <w:pStyle w:val="BodyText"/>
        <w:ind w:left="748" w:right="324" w:hanging="4"/>
        <w:spacing w:before="26" w:line="216" w:lineRule="auto"/>
        <w:rPr/>
      </w:pPr>
      <w:r>
        <w:rPr>
          <w:sz w:val="20"/>
          <w:szCs w:val="20"/>
          <w:color w:val="231F20"/>
          <w:spacing w:val="-15"/>
        </w:rPr>
        <w:t>0.28</w:t>
      </w:r>
      <w:r>
        <w:rPr>
          <w:color w:val="231F20"/>
          <w:spacing w:val="-15"/>
        </w:rPr>
        <w:t>）</w:t>
      </w:r>
      <w:r>
        <w:rPr>
          <w:sz w:val="20"/>
          <w:szCs w:val="20"/>
          <w:color w:val="231F20"/>
          <w:spacing w:val="-15"/>
        </w:rPr>
        <w:t>d</w:t>
      </w:r>
      <w:r>
        <w:rPr>
          <w:color w:val="231F20"/>
          <w:spacing w:val="-15"/>
        </w:rPr>
        <w:t>；病情：轻度</w:t>
      </w:r>
      <w:r>
        <w:rPr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5"/>
        </w:rPr>
        <w:t>13 </w:t>
      </w:r>
      <w:r>
        <w:rPr>
          <w:color w:val="231F20"/>
          <w:spacing w:val="-15"/>
        </w:rPr>
        <w:t>例、中度</w:t>
      </w:r>
      <w:r>
        <w:rPr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5"/>
        </w:rPr>
        <w:t>14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color w:val="231F20"/>
          <w:spacing w:val="-16"/>
        </w:rPr>
        <w:t>例、重度 </w:t>
      </w:r>
      <w:r>
        <w:rPr>
          <w:sz w:val="20"/>
          <w:szCs w:val="20"/>
          <w:color w:val="231F20"/>
          <w:spacing w:val="-16"/>
        </w:rPr>
        <w:t>4 </w:t>
      </w:r>
      <w:r>
        <w:rPr>
          <w:color w:val="231F20"/>
          <w:spacing w:val="-16"/>
        </w:rPr>
        <w:t>例。两组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患儿性别、年龄、病程、病情等一般资料比较</w:t>
      </w:r>
      <w:r>
        <w:rPr>
          <w:color w:val="231F20"/>
          <w:spacing w:val="1"/>
        </w:rPr>
        <w:t>，无显著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差异（</w:t>
      </w:r>
      <w:r>
        <w:rPr>
          <w:sz w:val="20"/>
          <w:szCs w:val="20"/>
          <w:color w:val="231F20"/>
          <w:spacing w:val="2"/>
        </w:rPr>
        <w:t>P＞0.05</w:t>
      </w:r>
      <w:r>
        <w:rPr>
          <w:color w:val="231F20"/>
          <w:spacing w:val="-29"/>
          <w:w w:val="65"/>
        </w:rPr>
        <w:t>），</w:t>
      </w:r>
      <w:r>
        <w:rPr>
          <w:color w:val="231F20"/>
          <w:spacing w:val="2"/>
        </w:rPr>
        <w:t>具有可比性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。本研究经我院医学伦理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委员会审核批准</w:t>
      </w:r>
      <w:r>
        <w:rPr>
          <w:sz w:val="20"/>
          <w:szCs w:val="20"/>
          <w:color w:val="231F20"/>
          <w:spacing w:val="-13"/>
        </w:rPr>
        <w:t>[</w:t>
      </w:r>
      <w:r>
        <w:rPr>
          <w:color w:val="231F20"/>
          <w:spacing w:val="-13"/>
        </w:rPr>
        <w:t>审批号：</w:t>
      </w:r>
      <w:r>
        <w:rPr>
          <w:sz w:val="20"/>
          <w:szCs w:val="20"/>
          <w:color w:val="231F20"/>
          <w:spacing w:val="-13"/>
        </w:rPr>
        <w:t>2018 </w:t>
      </w:r>
      <w:r>
        <w:rPr>
          <w:color w:val="231F20"/>
          <w:spacing w:val="-13"/>
        </w:rPr>
        <w:t>医研伦审第（</w:t>
      </w:r>
      <w:r>
        <w:rPr>
          <w:sz w:val="20"/>
          <w:szCs w:val="20"/>
          <w:color w:val="231F20"/>
          <w:spacing w:val="-13"/>
        </w:rPr>
        <w:t>013</w:t>
      </w:r>
      <w:r>
        <w:rPr>
          <w:color w:val="231F20"/>
          <w:spacing w:val="-13"/>
        </w:rPr>
        <w:t>）号］。</w:t>
      </w:r>
    </w:p>
    <w:p>
      <w:pPr>
        <w:pStyle w:val="BodyText"/>
        <w:ind w:left="748" w:right="322" w:firstLine="14"/>
        <w:spacing w:before="23" w:line="208" w:lineRule="auto"/>
        <w:rPr/>
      </w:pPr>
      <w:r>
        <w:rPr>
          <w:sz w:val="20"/>
          <w:szCs w:val="20"/>
          <w:color w:val="231F20"/>
          <w:spacing w:val="6"/>
          <w:position w:val="-1"/>
        </w:rPr>
        <w:t>1.2   </w:t>
      </w:r>
      <w:r>
        <w:rPr>
          <w:color w:val="231F20"/>
          <w:spacing w:val="6"/>
        </w:rPr>
        <w:t>纳入与排除标准    纳入标准</w:t>
      </w:r>
      <w:r>
        <w:rPr>
          <w:color w:val="231F20"/>
          <w:spacing w:val="-36"/>
          <w:w w:val="70"/>
        </w:rPr>
        <w:t>：（</w:t>
      </w:r>
      <w:r>
        <w:rPr>
          <w:sz w:val="20"/>
          <w:szCs w:val="20"/>
          <w:color w:val="231F20"/>
          <w:spacing w:val="6"/>
        </w:rPr>
        <w:t>1</w:t>
      </w:r>
      <w:r>
        <w:rPr>
          <w:color w:val="231F20"/>
          <w:spacing w:val="6"/>
        </w:rPr>
        <w:t>）参符合小儿急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性胃肠炎的诊断标准</w:t>
      </w:r>
      <w:r>
        <w:rPr>
          <w:sz w:val="10"/>
          <w:szCs w:val="10"/>
          <w:color w:val="231F20"/>
          <w:spacing w:val="11"/>
          <w:position w:val="6"/>
        </w:rPr>
        <w:t>［</w:t>
      </w:r>
      <w:r>
        <w:rPr>
          <w:sz w:val="11"/>
          <w:szCs w:val="11"/>
          <w:color w:val="231F20"/>
          <w:spacing w:val="11"/>
          <w:position w:val="6"/>
        </w:rPr>
        <w:t>3</w:t>
      </w:r>
      <w:r>
        <w:rPr>
          <w:sz w:val="10"/>
          <w:szCs w:val="10"/>
          <w:color w:val="231F20"/>
          <w:spacing w:val="-10"/>
          <w:position w:val="6"/>
        </w:rPr>
        <w:t>］</w:t>
      </w:r>
      <w:r>
        <w:rPr>
          <w:color w:val="231F20"/>
          <w:spacing w:val="-35"/>
          <w:w w:val="61"/>
          <w:position w:val="-1"/>
        </w:rPr>
        <w:t>，</w:t>
      </w:r>
      <w:r>
        <w:rPr>
          <w:color w:val="231F20"/>
          <w:spacing w:val="11"/>
        </w:rPr>
        <w:t>可见发热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1"/>
          <w:position w:val="-1"/>
        </w:rPr>
        <w:t>、</w:t>
      </w:r>
      <w:r>
        <w:rPr>
          <w:color w:val="231F20"/>
          <w:spacing w:val="11"/>
        </w:rPr>
        <w:t>呕吐及腹痛等症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状，大便性状呈黄绿色水样状或蛋花样，经粪检显示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呈轮状病毒阳性者</w:t>
      </w:r>
      <w:r>
        <w:rPr>
          <w:color w:val="231F20"/>
          <w:spacing w:val="-29"/>
          <w:w w:val="64"/>
        </w:rPr>
        <w:t>；（</w:t>
      </w:r>
      <w:r>
        <w:rPr>
          <w:sz w:val="20"/>
          <w:szCs w:val="20"/>
          <w:color w:val="231F20"/>
          <w:spacing w:val="-1"/>
        </w:rPr>
        <w:t>2</w:t>
      </w:r>
      <w:r>
        <w:rPr>
          <w:color w:val="231F20"/>
          <w:spacing w:val="-1"/>
        </w:rPr>
        <w:t>）年龄在 </w:t>
      </w:r>
      <w:r>
        <w:rPr>
          <w:sz w:val="20"/>
          <w:szCs w:val="20"/>
          <w:color w:val="231F20"/>
          <w:spacing w:val="-1"/>
        </w:rPr>
        <w:t>6 </w:t>
      </w:r>
      <w:r>
        <w:rPr>
          <w:color w:val="231F20"/>
          <w:spacing w:val="-1"/>
        </w:rPr>
        <w:t>个月</w:t>
      </w:r>
      <w:r>
        <w:rPr>
          <w:sz w:val="20"/>
          <w:szCs w:val="20"/>
          <w:color w:val="231F20"/>
          <w:spacing w:val="-1"/>
        </w:rPr>
        <w:t>～8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color w:val="231F20"/>
          <w:spacing w:val="-2"/>
        </w:rPr>
        <w:t>岁者</w:t>
      </w:r>
      <w:r>
        <w:rPr>
          <w:color w:val="231F20"/>
          <w:spacing w:val="-29"/>
          <w:w w:val="64"/>
        </w:rPr>
        <w:t>；（</w:t>
      </w:r>
      <w:r>
        <w:rPr>
          <w:sz w:val="20"/>
          <w:szCs w:val="20"/>
          <w:color w:val="231F20"/>
          <w:spacing w:val="-2"/>
        </w:rPr>
        <w:t>3</w:t>
      </w:r>
      <w:r>
        <w:rPr>
          <w:color w:val="231F20"/>
          <w:spacing w:val="-2"/>
        </w:rPr>
        <w:t>）患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2"/>
        </w:rPr>
        <w:t>儿监护人签订知情同意书者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。排除标准</w:t>
      </w:r>
      <w:r>
        <w:rPr>
          <w:color w:val="231F20"/>
          <w:spacing w:val="-37"/>
          <w:w w:val="71"/>
        </w:rPr>
        <w:t>：（</w:t>
      </w:r>
      <w:r>
        <w:rPr>
          <w:sz w:val="20"/>
          <w:szCs w:val="20"/>
          <w:color w:val="231F20"/>
          <w:spacing w:val="12"/>
        </w:rPr>
        <w:t>1</w:t>
      </w:r>
      <w:r>
        <w:rPr>
          <w:color w:val="231F20"/>
          <w:spacing w:val="12"/>
        </w:rPr>
        <w:t>）既往微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79" w:firstLine="2"/>
        <w:spacing w:before="44" w:line="220" w:lineRule="auto"/>
        <w:jc w:val="both"/>
        <w:rPr/>
      </w:pPr>
      <w:r>
        <w:rPr>
          <w:color w:val="231F20"/>
          <w:spacing w:val="8"/>
        </w:rPr>
        <w:t>生物治疗史者</w:t>
      </w:r>
      <w:r>
        <w:rPr>
          <w:color w:val="231F20"/>
          <w:spacing w:val="-30"/>
          <w:w w:val="67"/>
        </w:rPr>
        <w:t>；（</w:t>
      </w:r>
      <w:r>
        <w:rPr>
          <w:sz w:val="20"/>
          <w:szCs w:val="20"/>
          <w:color w:val="231F20"/>
          <w:spacing w:val="8"/>
        </w:rPr>
        <w:t>2</w:t>
      </w:r>
      <w:r>
        <w:rPr>
          <w:color w:val="231F20"/>
          <w:spacing w:val="8"/>
        </w:rPr>
        <w:t>）自身免疫功能缺陷者</w:t>
      </w:r>
      <w:r>
        <w:rPr>
          <w:color w:val="231F20"/>
          <w:spacing w:val="-30"/>
          <w:w w:val="67"/>
        </w:rPr>
        <w:t>；（</w:t>
      </w:r>
      <w:r>
        <w:rPr>
          <w:sz w:val="20"/>
          <w:szCs w:val="20"/>
          <w:color w:val="231F20"/>
          <w:spacing w:val="8"/>
        </w:rPr>
        <w:t>3</w:t>
      </w:r>
      <w:r>
        <w:rPr>
          <w:color w:val="231F20"/>
          <w:spacing w:val="8"/>
        </w:rPr>
        <w:t>）患有先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天性心脏病者</w:t>
      </w:r>
      <w:r>
        <w:rPr>
          <w:color w:val="231F20"/>
          <w:spacing w:val="-30"/>
          <w:w w:val="67"/>
        </w:rPr>
        <w:t>；（</w:t>
      </w:r>
      <w:r>
        <w:rPr>
          <w:sz w:val="20"/>
          <w:szCs w:val="20"/>
          <w:color w:val="231F20"/>
          <w:spacing w:val="8"/>
        </w:rPr>
        <w:t>4</w:t>
      </w:r>
      <w:r>
        <w:rPr>
          <w:color w:val="231F20"/>
          <w:spacing w:val="8"/>
        </w:rPr>
        <w:t>）伴有严重感染性疾病者</w:t>
      </w:r>
      <w:r>
        <w:rPr>
          <w:color w:val="231F20"/>
          <w:spacing w:val="-30"/>
          <w:w w:val="67"/>
        </w:rPr>
        <w:t>；（</w:t>
      </w:r>
      <w:r>
        <w:rPr>
          <w:sz w:val="20"/>
          <w:szCs w:val="20"/>
          <w:color w:val="231F20"/>
          <w:spacing w:val="8"/>
        </w:rPr>
        <w:t>5</w:t>
      </w:r>
      <w:r>
        <w:rPr>
          <w:color w:val="231F20"/>
          <w:spacing w:val="8"/>
        </w:rPr>
        <w:t>）合并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4"/>
        </w:rPr>
        <w:t>恶性肿瘤疾病者</w:t>
      </w:r>
      <w:r>
        <w:rPr>
          <w:color w:val="231F20"/>
          <w:spacing w:val="-29"/>
          <w:w w:val="65"/>
        </w:rPr>
        <w:t>；（</w:t>
      </w:r>
      <w:r>
        <w:rPr>
          <w:sz w:val="20"/>
          <w:szCs w:val="20"/>
          <w:color w:val="231F20"/>
          <w:spacing w:val="14"/>
        </w:rPr>
        <w:t>6</w:t>
      </w:r>
      <w:r>
        <w:rPr>
          <w:color w:val="231F20"/>
          <w:spacing w:val="14"/>
        </w:rPr>
        <w:t>）合并肝肾等重要脏器器</w:t>
      </w:r>
      <w:r>
        <w:rPr>
          <w:color w:val="231F20"/>
          <w:spacing w:val="13"/>
        </w:rPr>
        <w:t>质性疾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病者</w:t>
      </w:r>
      <w:r>
        <w:rPr>
          <w:color w:val="231F20"/>
          <w:spacing w:val="-30"/>
          <w:w w:val="67"/>
        </w:rPr>
        <w:t>；（</w:t>
      </w:r>
      <w:r>
        <w:rPr>
          <w:sz w:val="20"/>
          <w:szCs w:val="20"/>
          <w:color w:val="231F20"/>
          <w:spacing w:val="8"/>
        </w:rPr>
        <w:t>7</w:t>
      </w:r>
      <w:r>
        <w:rPr>
          <w:color w:val="231F20"/>
          <w:spacing w:val="8"/>
        </w:rPr>
        <w:t>）消化系统畸形者</w:t>
      </w:r>
      <w:r>
        <w:rPr>
          <w:color w:val="231F20"/>
          <w:spacing w:val="-30"/>
          <w:w w:val="67"/>
        </w:rPr>
        <w:t>；（</w:t>
      </w:r>
      <w:r>
        <w:rPr>
          <w:sz w:val="20"/>
          <w:szCs w:val="20"/>
          <w:color w:val="231F20"/>
          <w:spacing w:val="8"/>
        </w:rPr>
        <w:t>8</w:t>
      </w:r>
      <w:r>
        <w:rPr>
          <w:color w:val="231F20"/>
          <w:spacing w:val="8"/>
        </w:rPr>
        <w:t>）对本研究治疗方案存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5"/>
        </w:rPr>
        <w:t>在禁忌症者。</w:t>
      </w:r>
    </w:p>
    <w:p>
      <w:pPr>
        <w:pStyle w:val="BodyText"/>
        <w:ind w:left="3" w:firstLine="12"/>
        <w:spacing w:before="4" w:line="225" w:lineRule="auto"/>
        <w:jc w:val="both"/>
        <w:rPr/>
      </w:pPr>
      <w:r>
        <w:rPr>
          <w:sz w:val="20"/>
          <w:szCs w:val="20"/>
          <w:color w:val="231F20"/>
          <w:spacing w:val="10"/>
          <w:position w:val="-1"/>
        </w:rPr>
        <w:t>1.3   </w:t>
      </w:r>
      <w:r>
        <w:rPr>
          <w:color w:val="231F20"/>
          <w:spacing w:val="10"/>
        </w:rPr>
        <w:t>方法    所有受试患儿均接受常规对症治疗，内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容包括抗病毒、纠正水电解质酸碱紊乱、降温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、补液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吸氧等，给予常规干预。</w:t>
      </w:r>
    </w:p>
    <w:p>
      <w:pPr>
        <w:pStyle w:val="BodyText"/>
        <w:ind w:right="13" w:firstLine="16"/>
        <w:spacing w:before="3" w:line="217" w:lineRule="auto"/>
        <w:rPr/>
      </w:pPr>
      <w:r>
        <w:rPr>
          <w:sz w:val="20"/>
          <w:szCs w:val="20"/>
          <w:color w:val="231F20"/>
          <w:spacing w:val="9"/>
          <w:position w:val="-1"/>
        </w:rPr>
        <w:t>1.3.1   </w:t>
      </w:r>
      <w:r>
        <w:rPr>
          <w:color w:val="231F20"/>
          <w:spacing w:val="9"/>
        </w:rPr>
        <w:t>对照组    给予蒙脱石散联合益生菌治疗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9"/>
        </w:rPr>
        <w:t>。蒙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脱石散</w:t>
      </w:r>
      <w:r>
        <w:rPr>
          <w:sz w:val="20"/>
          <w:szCs w:val="20"/>
          <w:color w:val="231F20"/>
          <w:spacing w:val="13"/>
        </w:rPr>
        <w:t>[</w:t>
      </w:r>
      <w:r>
        <w:rPr>
          <w:color w:val="231F20"/>
          <w:spacing w:val="13"/>
        </w:rPr>
        <w:t>博福</w:t>
      </w:r>
      <w:r>
        <w:rPr>
          <w:sz w:val="20"/>
          <w:szCs w:val="20"/>
          <w:color w:val="231F20"/>
          <w:spacing w:val="13"/>
        </w:rPr>
        <w:t>-</w:t>
      </w:r>
      <w:r>
        <w:rPr>
          <w:color w:val="231F20"/>
          <w:spacing w:val="13"/>
        </w:rPr>
        <w:t>益普生</w:t>
      </w:r>
      <w:r>
        <w:rPr>
          <w:sz w:val="20"/>
          <w:szCs w:val="20"/>
          <w:color w:val="231F20"/>
          <w:spacing w:val="13"/>
        </w:rPr>
        <w:t>(</w:t>
      </w:r>
      <w:r>
        <w:rPr>
          <w:color w:val="231F20"/>
          <w:spacing w:val="13"/>
        </w:rPr>
        <w:t>天津</w:t>
      </w:r>
      <w:r>
        <w:rPr>
          <w:sz w:val="20"/>
          <w:szCs w:val="20"/>
          <w:color w:val="231F20"/>
          <w:spacing w:val="13"/>
        </w:rPr>
        <w:t>)</w:t>
      </w:r>
      <w:r>
        <w:rPr>
          <w:color w:val="231F20"/>
          <w:spacing w:val="13"/>
        </w:rPr>
        <w:t>制药有限公司，国药准字</w:t>
      </w:r>
      <w:r>
        <w:rPr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9"/>
        </w:rPr>
        <w:t>H20000690</w:t>
      </w:r>
      <w:r>
        <w:rPr>
          <w:color w:val="231F20"/>
          <w:spacing w:val="-9"/>
        </w:rPr>
        <w:t>］口服，</w:t>
      </w:r>
      <w:r>
        <w:rPr>
          <w:sz w:val="20"/>
          <w:szCs w:val="20"/>
          <w:color w:val="231F20"/>
          <w:spacing w:val="-9"/>
        </w:rPr>
        <w:t>1 </w:t>
      </w:r>
      <w:r>
        <w:rPr>
          <w:color w:val="231F20"/>
          <w:spacing w:val="-9"/>
        </w:rPr>
        <w:t>岁以内患儿口服</w:t>
      </w:r>
      <w:r>
        <w:rPr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1g/</w:t>
      </w:r>
      <w:r>
        <w:rPr>
          <w:color w:val="231F20"/>
          <w:spacing w:val="-9"/>
        </w:rPr>
        <w:t>次，</w:t>
      </w:r>
      <w:r>
        <w:rPr>
          <w:sz w:val="20"/>
          <w:szCs w:val="20"/>
          <w:color w:val="231F20"/>
          <w:spacing w:val="-9"/>
        </w:rPr>
        <w:t>2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color w:val="231F20"/>
          <w:spacing w:val="-10"/>
        </w:rPr>
        <w:t>岁以内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患儿</w:t>
      </w:r>
      <w:r>
        <w:rPr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2 g/</w:t>
      </w:r>
      <w:r>
        <w:rPr>
          <w:color w:val="231F20"/>
          <w:spacing w:val="-7"/>
        </w:rPr>
        <w:t>次，</w:t>
      </w:r>
      <w:r>
        <w:rPr>
          <w:sz w:val="20"/>
          <w:szCs w:val="20"/>
          <w:color w:val="231F20"/>
          <w:spacing w:val="-7"/>
        </w:rPr>
        <w:t>3 </w:t>
      </w:r>
      <w:r>
        <w:rPr>
          <w:color w:val="231F20"/>
          <w:spacing w:val="-7"/>
        </w:rPr>
        <w:t>岁及以上患儿口服</w:t>
      </w:r>
      <w:r>
        <w:rPr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3 g/</w:t>
      </w:r>
      <w:r>
        <w:rPr>
          <w:color w:val="231F20"/>
          <w:spacing w:val="-7"/>
        </w:rPr>
        <w:t>次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，</w:t>
      </w:r>
      <w:r>
        <w:rPr>
          <w:sz w:val="20"/>
          <w:szCs w:val="20"/>
          <w:color w:val="231F20"/>
          <w:spacing w:val="-7"/>
        </w:rPr>
        <w:t>3 </w:t>
      </w:r>
      <w:r>
        <w:rPr>
          <w:color w:val="231F20"/>
          <w:spacing w:val="-7"/>
        </w:rPr>
        <w:t>次</w:t>
      </w:r>
      <w:r>
        <w:rPr>
          <w:sz w:val="20"/>
          <w:szCs w:val="20"/>
          <w:color w:val="231F20"/>
          <w:spacing w:val="-7"/>
        </w:rPr>
        <w:t>/</w:t>
      </w:r>
      <w:r>
        <w:rPr>
          <w:color w:val="231F20"/>
          <w:spacing w:val="-7"/>
        </w:rPr>
        <w:t>日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7"/>
        </w:rPr>
        <w:t>，治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疗 </w:t>
      </w:r>
      <w:r>
        <w:rPr>
          <w:sz w:val="20"/>
          <w:szCs w:val="20"/>
          <w:color w:val="231F20"/>
          <w:spacing w:val="9"/>
          <w:position w:val="-1"/>
        </w:rPr>
        <w:t>7 d</w:t>
      </w:r>
      <w:r>
        <w:rPr>
          <w:sz w:val="20"/>
          <w:szCs w:val="20"/>
          <w:color w:val="231F20"/>
          <w:spacing w:val="-29"/>
          <w:position w:val="-1"/>
        </w:rPr>
        <w:t xml:space="preserve"> </w:t>
      </w:r>
      <w:r>
        <w:rPr>
          <w:color w:val="231F20"/>
          <w:spacing w:val="9"/>
        </w:rPr>
        <w:t>。双歧杆菌四联活菌片（杭州远大生物制药有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限公司，国药准字 </w:t>
      </w:r>
      <w:r>
        <w:rPr>
          <w:sz w:val="20"/>
          <w:szCs w:val="20"/>
          <w:color w:val="231F20"/>
          <w:spacing w:val="-6"/>
        </w:rPr>
        <w:t>S20060010</w:t>
      </w:r>
      <w:r>
        <w:rPr>
          <w:color w:val="231F20"/>
          <w:spacing w:val="-6"/>
        </w:rPr>
        <w:t>）口服，</w:t>
      </w:r>
      <w:r>
        <w:rPr>
          <w:sz w:val="20"/>
          <w:szCs w:val="20"/>
          <w:color w:val="231F20"/>
          <w:spacing w:val="-6"/>
        </w:rPr>
        <w:t>6 </w:t>
      </w:r>
      <w:r>
        <w:rPr>
          <w:color w:val="231F20"/>
          <w:spacing w:val="-6"/>
        </w:rPr>
        <w:t>个月至</w:t>
      </w:r>
      <w:r>
        <w:rPr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 </w:t>
      </w:r>
      <w:r>
        <w:rPr>
          <w:color w:val="231F20"/>
          <w:spacing w:val="-6"/>
        </w:rPr>
        <w:t>岁患</w:t>
      </w:r>
      <w:r>
        <w:rPr>
          <w:color w:val="231F20"/>
        </w:rPr>
        <w:t xml:space="preserve">  </w:t>
      </w:r>
      <w:r>
        <w:rPr>
          <w:color w:val="231F20"/>
          <w:spacing w:val="-19"/>
        </w:rPr>
        <w:t>儿口服 </w:t>
      </w:r>
      <w:r>
        <w:rPr>
          <w:sz w:val="20"/>
          <w:szCs w:val="20"/>
          <w:color w:val="231F20"/>
          <w:spacing w:val="-19"/>
        </w:rPr>
        <w:t>2 </w:t>
      </w:r>
      <w:r>
        <w:rPr>
          <w:color w:val="231F20"/>
          <w:spacing w:val="-19"/>
        </w:rPr>
        <w:t>片</w:t>
      </w:r>
      <w:r>
        <w:rPr>
          <w:sz w:val="20"/>
          <w:szCs w:val="20"/>
          <w:color w:val="231F20"/>
          <w:spacing w:val="-19"/>
        </w:rPr>
        <w:t>/</w:t>
      </w:r>
      <w:r>
        <w:rPr>
          <w:color w:val="231F20"/>
          <w:spacing w:val="-19"/>
        </w:rPr>
        <w:t>次，</w:t>
      </w:r>
      <w:r>
        <w:rPr>
          <w:sz w:val="20"/>
          <w:szCs w:val="20"/>
          <w:color w:val="231F20"/>
          <w:spacing w:val="-19"/>
        </w:rPr>
        <w:t>2 </w:t>
      </w:r>
      <w:r>
        <w:rPr>
          <w:color w:val="231F20"/>
          <w:spacing w:val="-19"/>
        </w:rPr>
        <w:t>次</w:t>
      </w:r>
      <w:r>
        <w:rPr>
          <w:sz w:val="20"/>
          <w:szCs w:val="20"/>
          <w:color w:val="231F20"/>
          <w:spacing w:val="-19"/>
        </w:rPr>
        <w:t>/</w:t>
      </w:r>
      <w:r>
        <w:rPr>
          <w:color w:val="231F20"/>
          <w:spacing w:val="-19"/>
        </w:rPr>
        <w:t>日，</w:t>
      </w:r>
      <w:r>
        <w:rPr>
          <w:sz w:val="20"/>
          <w:szCs w:val="20"/>
          <w:color w:val="231F20"/>
          <w:spacing w:val="-19"/>
        </w:rPr>
        <w:t>1～6 </w:t>
      </w:r>
      <w:r>
        <w:rPr>
          <w:color w:val="231F20"/>
          <w:spacing w:val="-19"/>
        </w:rPr>
        <w:t>岁患儿 </w:t>
      </w:r>
      <w:r>
        <w:rPr>
          <w:sz w:val="20"/>
          <w:szCs w:val="20"/>
          <w:color w:val="231F20"/>
          <w:spacing w:val="-19"/>
        </w:rPr>
        <w:t>2 </w:t>
      </w:r>
      <w:r>
        <w:rPr>
          <w:color w:val="231F20"/>
          <w:spacing w:val="-19"/>
        </w:rPr>
        <w:t>片</w:t>
      </w:r>
      <w:r>
        <w:rPr>
          <w:sz w:val="20"/>
          <w:szCs w:val="20"/>
          <w:color w:val="231F20"/>
          <w:spacing w:val="-19"/>
        </w:rPr>
        <w:t>/</w:t>
      </w:r>
      <w:r>
        <w:rPr>
          <w:color w:val="231F20"/>
          <w:spacing w:val="-19"/>
        </w:rPr>
        <w:t>次，</w:t>
      </w:r>
      <w:r>
        <w:rPr>
          <w:sz w:val="20"/>
          <w:szCs w:val="20"/>
          <w:color w:val="231F20"/>
          <w:spacing w:val="-19"/>
        </w:rPr>
        <w:t>2～3 </w:t>
      </w:r>
      <w:r>
        <w:rPr>
          <w:color w:val="231F20"/>
          <w:spacing w:val="-19"/>
        </w:rPr>
        <w:t>次</w:t>
      </w:r>
      <w:r>
        <w:rPr>
          <w:sz w:val="20"/>
          <w:szCs w:val="20"/>
          <w:color w:val="231F20"/>
          <w:spacing w:val="-19"/>
        </w:rPr>
        <w:t>/</w:t>
      </w:r>
      <w:r>
        <w:rPr>
          <w:color w:val="231F20"/>
          <w:spacing w:val="-19"/>
        </w:rPr>
        <w:t>日，</w:t>
      </w:r>
      <w:r>
        <w:rPr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6 </w:t>
      </w:r>
      <w:r>
        <w:rPr>
          <w:color w:val="231F20"/>
          <w:spacing w:val="-6"/>
        </w:rPr>
        <w:t>岁以上患儿 </w:t>
      </w:r>
      <w:r>
        <w:rPr>
          <w:sz w:val="20"/>
          <w:szCs w:val="20"/>
          <w:color w:val="231F20"/>
          <w:spacing w:val="-6"/>
        </w:rPr>
        <w:t>2～3 </w:t>
      </w:r>
      <w:r>
        <w:rPr>
          <w:color w:val="231F20"/>
          <w:spacing w:val="-6"/>
        </w:rPr>
        <w:t>片</w:t>
      </w:r>
      <w:r>
        <w:rPr>
          <w:sz w:val="20"/>
          <w:szCs w:val="20"/>
          <w:color w:val="231F20"/>
          <w:spacing w:val="-6"/>
        </w:rPr>
        <w:t>/</w:t>
      </w:r>
      <w:r>
        <w:rPr>
          <w:color w:val="231F20"/>
          <w:spacing w:val="-6"/>
        </w:rPr>
        <w:t>次，</w:t>
      </w:r>
      <w:r>
        <w:rPr>
          <w:sz w:val="20"/>
          <w:szCs w:val="20"/>
          <w:color w:val="231F20"/>
          <w:spacing w:val="-6"/>
        </w:rPr>
        <w:t>3 </w:t>
      </w:r>
      <w:r>
        <w:rPr>
          <w:color w:val="231F20"/>
          <w:spacing w:val="-6"/>
        </w:rPr>
        <w:t>次</w:t>
      </w:r>
      <w:r>
        <w:rPr>
          <w:sz w:val="20"/>
          <w:szCs w:val="20"/>
          <w:color w:val="231F20"/>
          <w:spacing w:val="-6"/>
        </w:rPr>
        <w:t>/</w:t>
      </w:r>
      <w:r>
        <w:rPr>
          <w:color w:val="231F20"/>
          <w:spacing w:val="-7"/>
        </w:rPr>
        <w:t>日，用低于</w:t>
      </w:r>
      <w:r>
        <w:rPr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50℃</w:t>
      </w:r>
      <w:r>
        <w:rPr>
          <w:color w:val="231F20"/>
          <w:spacing w:val="-7"/>
        </w:rPr>
        <w:t>温水送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服或溶于温牛奶送服，治疗 </w:t>
      </w:r>
      <w:r>
        <w:rPr>
          <w:sz w:val="20"/>
          <w:szCs w:val="20"/>
          <w:color w:val="231F20"/>
          <w:spacing w:val="2"/>
          <w:position w:val="-1"/>
        </w:rPr>
        <w:t>7 d</w:t>
      </w:r>
      <w:r>
        <w:rPr>
          <w:color w:val="231F20"/>
          <w:spacing w:val="2"/>
        </w:rPr>
        <w:t>。</w:t>
      </w:r>
    </w:p>
    <w:p>
      <w:pPr>
        <w:pStyle w:val="BodyText"/>
        <w:ind w:left="4" w:right="13" w:firstLine="11"/>
        <w:spacing w:before="12" w:line="217" w:lineRule="auto"/>
        <w:rPr/>
      </w:pPr>
      <w:r>
        <w:rPr>
          <w:sz w:val="20"/>
          <w:szCs w:val="20"/>
          <w:color w:val="231F20"/>
          <w:spacing w:val="11"/>
          <w:position w:val="-1"/>
        </w:rPr>
        <w:t>1.3.2   </w:t>
      </w:r>
      <w:r>
        <w:rPr>
          <w:color w:val="231F20"/>
          <w:spacing w:val="11"/>
        </w:rPr>
        <w:t>观察组    在对照组的</w:t>
      </w:r>
      <w:r>
        <w:rPr>
          <w:color w:val="231F20"/>
          <w:spacing w:val="10"/>
        </w:rPr>
        <w:t>治疗基础上加予炎琥宁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治疗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1"/>
        </w:rPr>
        <w:t>。注射用炎琥宁（吉林敖东洮南药业股份公司，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国药准字</w:t>
      </w:r>
      <w:r>
        <w:rPr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H20063344</w:t>
      </w:r>
      <w:r>
        <w:rPr>
          <w:color w:val="231F20"/>
          <w:spacing w:val="-10"/>
        </w:rPr>
        <w:t>）</w:t>
      </w:r>
      <w:r>
        <w:rPr>
          <w:sz w:val="20"/>
          <w:szCs w:val="20"/>
          <w:color w:val="231F20"/>
          <w:spacing w:val="-10"/>
        </w:rPr>
        <w:t>5～10 m</w:t>
      </w:r>
      <w:r>
        <w:rPr>
          <w:sz w:val="20"/>
          <w:szCs w:val="20"/>
          <w:color w:val="231F20"/>
          <w:spacing w:val="-11"/>
        </w:rPr>
        <w:t>g/kg+5%</w:t>
      </w:r>
      <w:r>
        <w:rPr>
          <w:color w:val="231F20"/>
          <w:spacing w:val="-11"/>
        </w:rPr>
        <w:t>葡萄糖注射液</w:t>
      </w:r>
      <w:r>
        <w:rPr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100 ml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中静脉滴注，</w:t>
      </w:r>
      <w:r>
        <w:rPr>
          <w:sz w:val="20"/>
          <w:szCs w:val="20"/>
          <w:color w:val="231F20"/>
          <w:spacing w:val="-9"/>
        </w:rPr>
        <w:t>1 </w:t>
      </w:r>
      <w:r>
        <w:rPr>
          <w:color w:val="231F20"/>
          <w:spacing w:val="-9"/>
        </w:rPr>
        <w:t>次</w:t>
      </w:r>
      <w:r>
        <w:rPr>
          <w:sz w:val="20"/>
          <w:szCs w:val="20"/>
          <w:color w:val="231F20"/>
          <w:spacing w:val="-9"/>
        </w:rPr>
        <w:t>/</w:t>
      </w:r>
      <w:r>
        <w:rPr>
          <w:color w:val="231F20"/>
          <w:spacing w:val="-9"/>
        </w:rPr>
        <w:t>日，共静滴 </w:t>
      </w:r>
      <w:r>
        <w:rPr>
          <w:sz w:val="20"/>
          <w:szCs w:val="20"/>
          <w:color w:val="231F20"/>
          <w:spacing w:val="-9"/>
        </w:rPr>
        <w:t>7 d</w:t>
      </w:r>
      <w:r>
        <w:rPr>
          <w:color w:val="231F20"/>
          <w:spacing w:val="-9"/>
        </w:rPr>
        <w:t>。</w:t>
      </w:r>
    </w:p>
    <w:p>
      <w:pPr>
        <w:pStyle w:val="BodyText"/>
        <w:ind w:left="1" w:right="2" w:firstLine="14"/>
        <w:spacing w:before="20" w:line="214" w:lineRule="auto"/>
        <w:jc w:val="both"/>
        <w:rPr/>
      </w:pPr>
      <w:r>
        <w:rPr>
          <w:sz w:val="20"/>
          <w:szCs w:val="20"/>
          <w:color w:val="231F20"/>
          <w:spacing w:val="-3"/>
        </w:rPr>
        <w:t>1.4</w:t>
      </w:r>
      <w:r>
        <w:rPr>
          <w:sz w:val="20"/>
          <w:szCs w:val="20"/>
          <w:color w:val="231F20"/>
          <w:spacing w:val="21"/>
        </w:rPr>
        <w:t xml:space="preserve">   </w:t>
      </w:r>
      <w:r>
        <w:rPr>
          <w:color w:val="231F20"/>
          <w:spacing w:val="-3"/>
        </w:rPr>
        <w:t>临床观察指标  （</w:t>
      </w:r>
      <w:r>
        <w:rPr>
          <w:sz w:val="20"/>
          <w:szCs w:val="20"/>
          <w:color w:val="231F20"/>
          <w:spacing w:val="-3"/>
        </w:rPr>
        <w:t>1</w:t>
      </w:r>
      <w:r>
        <w:rPr>
          <w:color w:val="231F20"/>
          <w:spacing w:val="-3"/>
        </w:rPr>
        <w:t>）临床疗效。（</w:t>
      </w:r>
      <w:r>
        <w:rPr>
          <w:sz w:val="20"/>
          <w:szCs w:val="20"/>
          <w:color w:val="231F20"/>
          <w:spacing w:val="-3"/>
        </w:rPr>
        <w:t>2</w:t>
      </w:r>
      <w:r>
        <w:rPr>
          <w:color w:val="231F20"/>
          <w:spacing w:val="-3"/>
        </w:rPr>
        <w:t>）症状改善时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间：对两组患儿的退热时间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、止吐时间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、腹</w:t>
      </w:r>
      <w:r>
        <w:rPr>
          <w:color w:val="231F20"/>
          <w:spacing w:val="7"/>
        </w:rPr>
        <w:t>痛缓解时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间、止泻时间以及大便性状恢复时间进行记录。（</w:t>
      </w:r>
      <w:r>
        <w:rPr>
          <w:sz w:val="20"/>
          <w:szCs w:val="20"/>
          <w:color w:val="231F20"/>
          <w:spacing w:val="8"/>
        </w:rPr>
        <w:t>3</w:t>
      </w:r>
      <w:r>
        <w:rPr>
          <w:color w:val="231F20"/>
          <w:spacing w:val="8"/>
        </w:rPr>
        <w:t>）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生化指标：采取两组患儿的空腹静脉血样，采样时间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3"/>
        </w:rPr>
        <w:t>为治疗前及治疗 </w:t>
      </w:r>
      <w:r>
        <w:rPr>
          <w:sz w:val="20"/>
          <w:szCs w:val="20"/>
          <w:color w:val="231F20"/>
          <w:spacing w:val="-3"/>
        </w:rPr>
        <w:t>7 d </w:t>
      </w:r>
      <w:r>
        <w:rPr>
          <w:color w:val="231F20"/>
          <w:spacing w:val="-3"/>
        </w:rPr>
        <w:t>后的清晨，以</w:t>
      </w:r>
      <w:r>
        <w:rPr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3 000 r/min </w:t>
      </w:r>
      <w:r>
        <w:rPr>
          <w:color w:val="231F20"/>
          <w:spacing w:val="-3"/>
        </w:rPr>
        <w:t>转速和</w:t>
      </w:r>
      <w:r>
        <w:rPr>
          <w:color w:val="231F20"/>
        </w:rPr>
        <w:t xml:space="preserve">  </w:t>
      </w:r>
      <w:r>
        <w:rPr>
          <w:color w:val="231F20"/>
        </w:rPr>
        <w:t>半径</w:t>
      </w:r>
      <w:r>
        <w:rPr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</w:rPr>
        <w:t>10 cm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color w:val="231F20"/>
        </w:rPr>
        <w:t>的离心机进行离心</w:t>
      </w:r>
      <w:r>
        <w:rPr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</w:rPr>
        <w:t>10 min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color w:val="231F20"/>
        </w:rPr>
        <w:t>，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室温静置后  </w:t>
      </w:r>
      <w:r>
        <w:rPr>
          <w:color w:val="231F20"/>
          <w:spacing w:val="10"/>
        </w:rPr>
        <w:t>分离收集上层清液，冷藏至冰箱以作备检，检测血清</w:t>
      </w:r>
    </w:p>
    <w:p>
      <w:pPr>
        <w:spacing w:line="214" w:lineRule="auto"/>
        <w:sectPr>
          <w:type w:val="continuous"/>
          <w:pgSz w:w="12075" w:h="16836"/>
          <w:pgMar w:top="1365" w:right="1199" w:bottom="0" w:left="407" w:header="978" w:footer="0" w:gutter="0"/>
          <w:cols w:equalWidth="0" w:num="2">
            <w:col w:w="5680" w:space="100"/>
            <w:col w:w="4688" w:space="0"/>
          </w:cols>
        </w:sectPr>
        <w:rPr/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2"/>
          <w:pgSz w:w="12075" w:h="16836"/>
          <w:pgMar w:top="1367" w:right="1098" w:bottom="0" w:left="407" w:header="996" w:footer="0" w:gutter="0"/>
          <w:cols w:equalWidth="0" w:num="1">
            <w:col w:w="10568" w:space="0"/>
          </w:cols>
        </w:sectPr>
        <w:rPr/>
      </w:pPr>
    </w:p>
    <w:p>
      <w:pPr>
        <w:pStyle w:val="BodyText"/>
        <w:ind w:left="875" w:right="174" w:firstLine="1"/>
        <w:spacing w:before="42" w:line="224" w:lineRule="auto"/>
        <w:jc w:val="both"/>
        <w:rPr/>
      </w:pPr>
      <w:r>
        <w:rPr>
          <w:color w:val="231F20"/>
          <w:spacing w:val="-3"/>
        </w:rPr>
        <w:t>超敏 </w:t>
      </w:r>
      <w:r>
        <w:rPr>
          <w:sz w:val="20"/>
          <w:szCs w:val="20"/>
          <w:color w:val="231F20"/>
          <w:spacing w:val="-3"/>
        </w:rPr>
        <w:t>C </w:t>
      </w:r>
      <w:r>
        <w:rPr>
          <w:color w:val="231F20"/>
          <w:spacing w:val="-3"/>
        </w:rPr>
        <w:t>反应蛋白</w:t>
      </w:r>
      <w:r>
        <w:rPr>
          <w:sz w:val="20"/>
          <w:szCs w:val="20"/>
          <w:color w:val="231F20"/>
          <w:spacing w:val="-3"/>
        </w:rPr>
        <w:t>(hs-CRP)</w:t>
      </w:r>
      <w:r>
        <w:rPr>
          <w:color w:val="231F20"/>
          <w:spacing w:val="-3"/>
        </w:rPr>
        <w:t>［酶联免疫吸附法</w:t>
      </w:r>
      <w:r>
        <w:rPr>
          <w:sz w:val="20"/>
          <w:szCs w:val="20"/>
          <w:color w:val="231F20"/>
          <w:spacing w:val="-3"/>
        </w:rPr>
        <w:t>(ELISA)</w:t>
      </w:r>
      <w:r>
        <w:rPr>
          <w:color w:val="231F20"/>
          <w:spacing w:val="-3"/>
        </w:rPr>
        <w:t>］、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白细胞介素</w:t>
      </w:r>
      <w:r>
        <w:rPr>
          <w:sz w:val="20"/>
          <w:szCs w:val="20"/>
          <w:color w:val="231F20"/>
          <w:spacing w:val="-5"/>
        </w:rPr>
        <w:t>-6(IL-6)</w:t>
      </w:r>
      <w:r>
        <w:rPr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ELISA </w:t>
      </w:r>
      <w:r>
        <w:rPr>
          <w:color w:val="231F20"/>
          <w:spacing w:val="-5"/>
        </w:rPr>
        <w:t>法）、降钙素</w:t>
      </w:r>
      <w:r>
        <w:rPr>
          <w:sz w:val="20"/>
          <w:szCs w:val="20"/>
          <w:color w:val="231F20"/>
          <w:spacing w:val="-5"/>
        </w:rPr>
        <w:t>(PCT)</w:t>
      </w:r>
      <w:r>
        <w:rPr>
          <w:color w:val="231F20"/>
          <w:spacing w:val="-5"/>
        </w:rPr>
        <w:t>（</w:t>
      </w:r>
      <w:r>
        <w:rPr>
          <w:sz w:val="20"/>
          <w:szCs w:val="20"/>
          <w:color w:val="231F20"/>
          <w:spacing w:val="-5"/>
        </w:rPr>
        <w:t>EL</w:t>
      </w:r>
      <w:r>
        <w:rPr>
          <w:sz w:val="20"/>
          <w:szCs w:val="20"/>
          <w:color w:val="231F20"/>
          <w:spacing w:val="-6"/>
        </w:rPr>
        <w:t>ISA</w:t>
      </w:r>
      <w:r>
        <w:rPr>
          <w:sz w:val="20"/>
          <w:szCs w:val="20"/>
          <w:color w:val="231F20"/>
        </w:rPr>
        <w:t xml:space="preserve">  </w:t>
      </w:r>
      <w:r>
        <w:rPr>
          <w:color w:val="231F20"/>
          <w:spacing w:val="3"/>
        </w:rPr>
        <w:t>法）水平进行检测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。（</w:t>
      </w:r>
      <w:r>
        <w:rPr>
          <w:sz w:val="20"/>
          <w:szCs w:val="20"/>
          <w:color w:val="231F20"/>
          <w:spacing w:val="3"/>
        </w:rPr>
        <w:t>4</w:t>
      </w:r>
      <w:r>
        <w:rPr>
          <w:color w:val="231F20"/>
          <w:spacing w:val="3"/>
        </w:rPr>
        <w:t>）不良反应发生情况：受</w:t>
      </w:r>
      <w:r>
        <w:rPr>
          <w:color w:val="231F20"/>
          <w:spacing w:val="2"/>
        </w:rPr>
        <w:t>试间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期，密切监测两组患儿的血常规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7"/>
        </w:rPr>
        <w:t>、尿常规和肝肾功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能，记录两组患儿可能出现的不良反应症状（药</w:t>
      </w:r>
      <w:r>
        <w:rPr>
          <w:color w:val="231F20"/>
          <w:spacing w:val="9"/>
        </w:rPr>
        <w:t>物相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关性过敏、出汗、头晕、耳鸣等）。</w:t>
      </w:r>
    </w:p>
    <w:p>
      <w:pPr>
        <w:pStyle w:val="BodyText"/>
        <w:ind w:left="875" w:right="173" w:firstLine="15"/>
        <w:spacing w:before="1" w:line="217" w:lineRule="auto"/>
        <w:rPr/>
      </w:pPr>
      <w:r>
        <w:rPr>
          <w:sz w:val="20"/>
          <w:szCs w:val="20"/>
          <w:color w:val="231F20"/>
          <w:position w:val="-1"/>
        </w:rPr>
        <w:t>1.5   </w:t>
      </w:r>
      <w:r>
        <w:rPr>
          <w:color w:val="231F20"/>
        </w:rPr>
        <w:t>疗效判定标准</w:t>
      </w:r>
      <w:r>
        <w:rPr>
          <w:sz w:val="10"/>
          <w:szCs w:val="10"/>
          <w:color w:val="231F20"/>
          <w:position w:val="6"/>
        </w:rPr>
        <w:t>［</w:t>
      </w:r>
      <w:r>
        <w:rPr>
          <w:sz w:val="11"/>
          <w:szCs w:val="11"/>
          <w:color w:val="231F20"/>
          <w:position w:val="6"/>
        </w:rPr>
        <w:t>4</w:t>
      </w:r>
      <w:r>
        <w:rPr>
          <w:sz w:val="10"/>
          <w:szCs w:val="10"/>
          <w:color w:val="231F20"/>
          <w:position w:val="6"/>
        </w:rPr>
        <w:t>］      </w:t>
      </w:r>
      <w:r>
        <w:rPr>
          <w:color w:val="231F20"/>
        </w:rPr>
        <w:t>参照文献，依据用药后 </w:t>
      </w:r>
      <w:r>
        <w:rPr>
          <w:sz w:val="20"/>
          <w:szCs w:val="20"/>
          <w:color w:val="231F20"/>
          <w:position w:val="-1"/>
        </w:rPr>
        <w:t>2 d</w:t>
      </w:r>
      <w:r>
        <w:rPr>
          <w:sz w:val="20"/>
          <w:szCs w:val="20"/>
          <w:color w:val="231F20"/>
          <w:spacing w:val="28"/>
          <w:w w:val="101"/>
          <w:position w:val="-1"/>
        </w:rPr>
        <w:t xml:space="preserve"> </w:t>
      </w:r>
      <w:r>
        <w:rPr>
          <w:color w:val="231F20"/>
        </w:rPr>
        <w:t>内  </w:t>
      </w:r>
      <w:r>
        <w:rPr>
          <w:color w:val="231F20"/>
          <w:spacing w:val="4"/>
        </w:rPr>
        <w:t>腹泻总量、腹泻次数、止泻时间及大便性状分为显</w:t>
      </w:r>
      <w:r>
        <w:rPr>
          <w:color w:val="231F20"/>
          <w:spacing w:val="3"/>
        </w:rPr>
        <w:t>效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有效及无效共</w:t>
      </w:r>
      <w:r>
        <w:rPr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3 </w:t>
      </w:r>
      <w:r>
        <w:rPr>
          <w:color w:val="231F20"/>
          <w:spacing w:val="1"/>
        </w:rPr>
        <w:t>个等级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，显效：用药后</w:t>
      </w:r>
      <w:r>
        <w:rPr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2 d</w:t>
      </w:r>
      <w:r>
        <w:rPr>
          <w:sz w:val="20"/>
          <w:szCs w:val="20"/>
          <w:color w:val="231F20"/>
          <w:spacing w:val="32"/>
          <w:position w:val="-1"/>
        </w:rPr>
        <w:t xml:space="preserve"> </w:t>
      </w:r>
      <w:r>
        <w:rPr>
          <w:color w:val="231F20"/>
          <w:spacing w:val="1"/>
        </w:rPr>
        <w:t>内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，受试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患儿的腹泻总量低于 </w:t>
      </w:r>
      <w:r>
        <w:rPr>
          <w:sz w:val="20"/>
          <w:szCs w:val="20"/>
          <w:color w:val="231F20"/>
          <w:spacing w:val="-1"/>
        </w:rPr>
        <w:t>250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"/>
        </w:rPr>
        <w:t>ml</w:t>
      </w:r>
      <w:r>
        <w:rPr>
          <w:color w:val="231F20"/>
          <w:spacing w:val="-1"/>
        </w:rPr>
        <w:t>，每日腹</w:t>
      </w:r>
      <w:r>
        <w:rPr>
          <w:color w:val="231F20"/>
          <w:spacing w:val="-2"/>
        </w:rPr>
        <w:t>泻次数不足 </w:t>
      </w:r>
      <w:r>
        <w:rPr>
          <w:sz w:val="20"/>
          <w:szCs w:val="20"/>
          <w:color w:val="231F20"/>
          <w:spacing w:val="-2"/>
        </w:rPr>
        <w:t>5 </w:t>
      </w:r>
      <w:r>
        <w:rPr>
          <w:color w:val="231F20"/>
          <w:spacing w:val="-2"/>
        </w:rPr>
        <w:t>次，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  <w:spacing w:val="-8"/>
          <w:position w:val="-1"/>
        </w:rPr>
        <w:t>3 d</w:t>
      </w:r>
      <w:r>
        <w:rPr>
          <w:sz w:val="20"/>
          <w:szCs w:val="20"/>
          <w:color w:val="231F20"/>
          <w:spacing w:val="26"/>
          <w:w w:val="101"/>
          <w:position w:val="-1"/>
        </w:rPr>
        <w:t xml:space="preserve"> </w:t>
      </w:r>
      <w:r>
        <w:rPr>
          <w:color w:val="231F20"/>
          <w:spacing w:val="-8"/>
        </w:rPr>
        <w:t>内止泻，大便成形。有效：用药 </w:t>
      </w:r>
      <w:r>
        <w:rPr>
          <w:sz w:val="20"/>
          <w:szCs w:val="20"/>
          <w:color w:val="231F20"/>
          <w:spacing w:val="-8"/>
          <w:position w:val="-1"/>
        </w:rPr>
        <w:t>2 d</w:t>
      </w:r>
      <w:r>
        <w:rPr>
          <w:sz w:val="20"/>
          <w:szCs w:val="20"/>
          <w:color w:val="231F20"/>
          <w:spacing w:val="22"/>
          <w:position w:val="-1"/>
        </w:rPr>
        <w:t xml:space="preserve"> </w:t>
      </w:r>
      <w:r>
        <w:rPr>
          <w:color w:val="231F20"/>
          <w:spacing w:val="-8"/>
        </w:rPr>
        <w:t>内，受试患儿大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便总量低于</w:t>
      </w:r>
      <w:r>
        <w:rPr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1"/>
        </w:rPr>
        <w:t>150 </w:t>
      </w:r>
      <w:r>
        <w:rPr>
          <w:sz w:val="20"/>
          <w:szCs w:val="20"/>
          <w:color w:val="231F20"/>
        </w:rPr>
        <w:t>ml</w:t>
      </w:r>
      <w:r>
        <w:rPr>
          <w:color w:val="231F20"/>
          <w:spacing w:val="1"/>
        </w:rPr>
        <w:t>，每日腹泻次数不足 </w:t>
      </w:r>
      <w:r>
        <w:rPr>
          <w:sz w:val="20"/>
          <w:szCs w:val="20"/>
          <w:color w:val="231F20"/>
          <w:spacing w:val="1"/>
        </w:rPr>
        <w:t>3 </w:t>
      </w:r>
      <w:r>
        <w:rPr>
          <w:color w:val="231F20"/>
          <w:spacing w:val="1"/>
        </w:rPr>
        <w:t>次</w:t>
      </w:r>
      <w:r>
        <w:rPr>
          <w:color w:val="231F20"/>
        </w:rPr>
        <w:t>，腹泻用  </w:t>
      </w:r>
      <w:r>
        <w:rPr>
          <w:color w:val="231F20"/>
          <w:spacing w:val="-9"/>
        </w:rPr>
        <w:t>药</w:t>
      </w:r>
      <w:r>
        <w:rPr>
          <w:sz w:val="20"/>
          <w:szCs w:val="20"/>
          <w:color w:val="231F20"/>
          <w:spacing w:val="-9"/>
        </w:rPr>
        <w:t>3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9"/>
        </w:rPr>
        <w:t>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color w:val="231F20"/>
          <w:spacing w:val="-9"/>
        </w:rPr>
        <w:t>内止泻，大便成形。无效：用药后</w:t>
      </w:r>
      <w:r>
        <w:rPr>
          <w:sz w:val="20"/>
          <w:szCs w:val="20"/>
          <w:color w:val="231F20"/>
          <w:spacing w:val="-9"/>
        </w:rPr>
        <w:t>2 d</w:t>
      </w:r>
      <w:r>
        <w:rPr>
          <w:color w:val="231F20"/>
          <w:spacing w:val="-10"/>
        </w:rPr>
        <w:t>，受试患儿的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腹泻量总量超过 </w:t>
      </w:r>
      <w:r>
        <w:rPr>
          <w:sz w:val="20"/>
          <w:szCs w:val="20"/>
          <w:color w:val="231F20"/>
          <w:spacing w:val="-4"/>
        </w:rPr>
        <w:t>300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4"/>
        </w:rPr>
        <w:t>ml</w:t>
      </w:r>
      <w:r>
        <w:rPr>
          <w:color w:val="231F20"/>
          <w:spacing w:val="-4"/>
        </w:rPr>
        <w:t>，每日腹泻次数多于 </w:t>
      </w:r>
      <w:r>
        <w:rPr>
          <w:sz w:val="20"/>
          <w:szCs w:val="20"/>
          <w:color w:val="231F20"/>
          <w:spacing w:val="-4"/>
        </w:rPr>
        <w:t>5 </w:t>
      </w:r>
      <w:r>
        <w:rPr>
          <w:color w:val="231F20"/>
          <w:spacing w:val="-4"/>
        </w:rPr>
        <w:t>次</w:t>
      </w:r>
      <w:r>
        <w:rPr>
          <w:color w:val="231F20"/>
          <w:spacing w:val="-5"/>
        </w:rPr>
        <w:t>，大便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仍不成形。总有效率</w:t>
      </w:r>
      <w:r>
        <w:rPr>
          <w:sz w:val="20"/>
          <w:szCs w:val="20"/>
          <w:color w:val="231F20"/>
          <w:spacing w:val="-13"/>
        </w:rPr>
        <w:t>=</w:t>
      </w:r>
      <w:r>
        <w:rPr>
          <w:color w:val="231F20"/>
          <w:spacing w:val="-13"/>
        </w:rPr>
        <w:t>（显效</w:t>
      </w:r>
      <w:r>
        <w:rPr>
          <w:sz w:val="20"/>
          <w:szCs w:val="20"/>
          <w:color w:val="231F20"/>
          <w:spacing w:val="-13"/>
        </w:rPr>
        <w:t>+</w:t>
      </w:r>
      <w:r>
        <w:rPr>
          <w:color w:val="231F20"/>
          <w:spacing w:val="-13"/>
        </w:rPr>
        <w:t>有效）</w:t>
      </w:r>
      <w:r>
        <w:rPr>
          <w:sz w:val="20"/>
          <w:szCs w:val="20"/>
          <w:color w:val="231F20"/>
          <w:spacing w:val="-13"/>
        </w:rPr>
        <w:t>/</w:t>
      </w:r>
      <w:r>
        <w:rPr>
          <w:color w:val="231F20"/>
          <w:spacing w:val="-13"/>
        </w:rPr>
        <w:t>总例数</w:t>
      </w:r>
      <w:r>
        <w:rPr>
          <w:sz w:val="20"/>
          <w:szCs w:val="20"/>
          <w:color w:val="231F20"/>
          <w:spacing w:val="-13"/>
        </w:rPr>
        <w:t>×100%</w:t>
      </w:r>
      <w:r>
        <w:rPr>
          <w:color w:val="231F20"/>
          <w:spacing w:val="-13"/>
        </w:rPr>
        <w:t>。</w:t>
      </w:r>
    </w:p>
    <w:p>
      <w:pPr>
        <w:pStyle w:val="BodyText"/>
        <w:ind w:left="872" w:right="253" w:firstLine="18"/>
        <w:spacing w:before="24" w:line="211" w:lineRule="auto"/>
        <w:rPr/>
      </w:pPr>
      <w:r>
        <w:pict>
          <v:shape id="_x0000_s6" style="position:absolute;margin-left:163.297pt;margin-top:16.9514pt;mso-position-vertical-relative:text;mso-position-horizontal-relative:text;width:3.7pt;height:0.2pt;z-index:-251658240;" filled="false" strokecolor="#231F20" strokeweight="0.19pt" coordsize="74,4" coordorigin="0,0" path="m0,1l73,1e">
            <v:stroke joinstyle="miter" miterlimit="10"/>
          </v:shape>
        </w:pict>
      </w:r>
      <w:r>
        <w:rPr>
          <w:sz w:val="20"/>
          <w:szCs w:val="20"/>
          <w:color w:val="231F20"/>
          <w:spacing w:val="4"/>
        </w:rPr>
        <w:t>1.6</w:t>
      </w:r>
      <w:r>
        <w:rPr>
          <w:sz w:val="20"/>
          <w:szCs w:val="20"/>
          <w:color w:val="231F20"/>
          <w:spacing w:val="18"/>
        </w:rPr>
        <w:t xml:space="preserve">   </w:t>
      </w:r>
      <w:r>
        <w:rPr>
          <w:color w:val="231F20"/>
          <w:spacing w:val="4"/>
        </w:rPr>
        <w:t>统计学处理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4"/>
        </w:rPr>
        <w:t>数据采用 </w:t>
      </w:r>
      <w:r>
        <w:rPr>
          <w:sz w:val="20"/>
          <w:szCs w:val="20"/>
          <w:color w:val="231F20"/>
        </w:rPr>
        <w:t>SPSS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20.0 </w:t>
      </w:r>
      <w:r>
        <w:rPr>
          <w:color w:val="231F20"/>
          <w:spacing w:val="4"/>
        </w:rPr>
        <w:t>统计学软件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进行处理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5"/>
        </w:rPr>
        <w:t>。计量资料采用（</w:t>
      </w:r>
      <w:r>
        <w:rPr>
          <w:sz w:val="20"/>
          <w:szCs w:val="20"/>
          <w:color w:val="231F20"/>
          <w:spacing w:val="-5"/>
          <w:position w:val="-1"/>
        </w:rPr>
        <w:t>x</w:t>
      </w:r>
      <w:r>
        <w:rPr>
          <w:sz w:val="20"/>
          <w:szCs w:val="20"/>
          <w:color w:val="231F20"/>
          <w:spacing w:val="-5"/>
        </w:rPr>
        <w:t>±s</w:t>
      </w:r>
      <w:r>
        <w:rPr>
          <w:color w:val="231F20"/>
          <w:spacing w:val="-5"/>
        </w:rPr>
        <w:t>）表示，行 </w:t>
      </w:r>
      <w:r>
        <w:rPr>
          <w:sz w:val="20"/>
          <w:szCs w:val="20"/>
          <w:color w:val="231F20"/>
          <w:spacing w:val="-5"/>
        </w:rPr>
        <w:t>t </w:t>
      </w:r>
      <w:r>
        <w:rPr>
          <w:color w:val="231F20"/>
          <w:spacing w:val="-5"/>
        </w:rPr>
        <w:t>检验</w:t>
      </w:r>
      <w:r>
        <w:rPr>
          <w:color w:val="231F20"/>
          <w:spacing w:val="-6"/>
        </w:rPr>
        <w:t>；计数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料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用</w:t>
      </w:r>
      <w:r>
        <w:rPr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6"/>
        </w:rPr>
        <w:t>[n</w:t>
      </w:r>
      <w:r>
        <w:rPr>
          <w:color w:val="231F20"/>
          <w:spacing w:val="-6"/>
        </w:rPr>
        <w:t>（</w:t>
      </w:r>
      <w:r>
        <w:rPr>
          <w:sz w:val="20"/>
          <w:szCs w:val="20"/>
          <w:color w:val="231F20"/>
          <w:spacing w:val="-6"/>
        </w:rPr>
        <w:t>%</w:t>
      </w:r>
      <w:r>
        <w:rPr>
          <w:color w:val="231F20"/>
          <w:spacing w:val="-24"/>
          <w:w w:val="65"/>
        </w:rPr>
        <w:t>）］</w:t>
      </w:r>
      <w:r>
        <w:rPr>
          <w:color w:val="231F20"/>
          <w:spacing w:val="-6"/>
        </w:rPr>
        <w:t>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，行</w:t>
      </w:r>
      <w:r>
        <w:rPr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χ</w:t>
      </w:r>
      <w:r>
        <w:rPr>
          <w:sz w:val="11"/>
          <w:szCs w:val="11"/>
          <w:color w:val="231F20"/>
          <w:spacing w:val="-6"/>
          <w:position w:val="6"/>
        </w:rPr>
        <w:t>2  </w:t>
      </w:r>
      <w:r>
        <w:rPr>
          <w:color w:val="231F20"/>
          <w:spacing w:val="-6"/>
        </w:rPr>
        <w:t>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；等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料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开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展</w:t>
      </w:r>
      <w:r>
        <w:rPr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Wilcoxon </w:t>
      </w:r>
      <w:r>
        <w:rPr>
          <w:color w:val="231F20"/>
          <w:spacing w:val="-1"/>
        </w:rPr>
        <w:t>秩和检验分析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。</w:t>
      </w:r>
      <w:r>
        <w:rPr>
          <w:sz w:val="20"/>
          <w:szCs w:val="20"/>
          <w:color w:val="231F20"/>
          <w:spacing w:val="-1"/>
        </w:rPr>
        <w:t>P＜0.05 </w:t>
      </w:r>
      <w:r>
        <w:rPr>
          <w:color w:val="231F20"/>
          <w:spacing w:val="-1"/>
        </w:rPr>
        <w:t>表示差异有统计学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意义。</w:t>
      </w:r>
    </w:p>
    <w:p>
      <w:pPr>
        <w:pStyle w:val="BodyText"/>
        <w:ind w:left="873"/>
        <w:spacing w:before="49" w:line="201" w:lineRule="auto"/>
        <w:outlineLvl w:val="0"/>
        <w:rPr/>
      </w:pPr>
      <w:r>
        <w:rPr>
          <w:sz w:val="20"/>
          <w:szCs w:val="20"/>
          <w:color w:val="231F20"/>
          <w:spacing w:val="1"/>
        </w:rPr>
        <w:t>2</w:t>
      </w:r>
      <w:r>
        <w:rPr>
          <w:sz w:val="20"/>
          <w:szCs w:val="20"/>
          <w:color w:val="231F20"/>
          <w:spacing w:val="15"/>
          <w:w w:val="101"/>
        </w:rPr>
        <w:t xml:space="preserve">   </w:t>
      </w:r>
      <w:r>
        <w:rPr>
          <w:color w:val="231F20"/>
          <w:spacing w:val="1"/>
        </w:rPr>
        <w:t>结果</w:t>
      </w:r>
    </w:p>
    <w:p>
      <w:pPr>
        <w:pStyle w:val="BodyText"/>
        <w:ind w:left="877" w:right="175" w:hanging="4"/>
        <w:spacing w:before="22" w:line="218" w:lineRule="auto"/>
        <w:rPr/>
      </w:pPr>
      <w:r>
        <w:rPr>
          <w:sz w:val="20"/>
          <w:szCs w:val="20"/>
          <w:color w:val="231F20"/>
          <w:spacing w:val="17"/>
          <w:position w:val="-1"/>
        </w:rPr>
        <w:t>2.1   </w:t>
      </w:r>
      <w:r>
        <w:rPr>
          <w:color w:val="231F20"/>
          <w:spacing w:val="17"/>
        </w:rPr>
        <w:t>两组临床疗效比较    观察组治疗总有效率显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著高于对照组，差异有统计学意义（</w:t>
      </w:r>
      <w:r>
        <w:rPr>
          <w:sz w:val="20"/>
          <w:szCs w:val="20"/>
          <w:color w:val="231F20"/>
          <w:spacing w:val="-9"/>
        </w:rPr>
        <w:t>P＜0.05</w:t>
      </w:r>
      <w:r>
        <w:rPr>
          <w:color w:val="231F20"/>
          <w:spacing w:val="-9"/>
        </w:rPr>
        <w:t>）。见表</w:t>
      </w:r>
      <w:r>
        <w:rPr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1</w:t>
      </w:r>
      <w:r>
        <w:rPr>
          <w:color w:val="231F20"/>
          <w:spacing w:val="-9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74"/>
        <w:spacing w:before="48" w:line="195" w:lineRule="auto"/>
        <w:outlineLvl w:val="1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表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2"/>
        </w:rPr>
        <w:t>1</w:t>
      </w:r>
      <w:r>
        <w:rPr>
          <w:sz w:val="15"/>
          <w:szCs w:val="15"/>
          <w:color w:val="231F20"/>
          <w:spacing w:val="12"/>
          <w:w w:val="101"/>
        </w:rPr>
        <w:t xml:space="preserve">   </w:t>
      </w:r>
      <w:r>
        <w:rPr>
          <w:sz w:val="14"/>
          <w:szCs w:val="14"/>
          <w:color w:val="231F20"/>
          <w:spacing w:val="2"/>
        </w:rPr>
        <w:t>两组临床疗效比较［</w:t>
      </w:r>
      <w:r>
        <w:rPr>
          <w:sz w:val="15"/>
          <w:szCs w:val="15"/>
          <w:color w:val="231F20"/>
          <w:spacing w:val="2"/>
        </w:rPr>
        <w:t>n(%)</w:t>
      </w:r>
      <w:r>
        <w:rPr>
          <w:sz w:val="14"/>
          <w:szCs w:val="14"/>
          <w:color w:val="231F20"/>
          <w:spacing w:val="2"/>
        </w:rPr>
        <w:t>］</w:t>
      </w:r>
    </w:p>
    <w:p>
      <w:pPr>
        <w:spacing w:line="34" w:lineRule="exact"/>
        <w:rPr/>
      </w:pPr>
      <w:r/>
    </w:p>
    <w:tbl>
      <w:tblPr>
        <w:tblStyle w:val="TableNormal"/>
        <w:tblW w:w="4591" w:type="dxa"/>
        <w:tblInd w:w="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4"/>
        <w:gridCol w:w="437"/>
        <w:gridCol w:w="874"/>
        <w:gridCol w:w="845"/>
        <w:gridCol w:w="774"/>
        <w:gridCol w:w="897"/>
      </w:tblGrid>
      <w:tr>
        <w:trPr>
          <w:trHeight w:val="293" w:hRule="atLeast"/>
        </w:trPr>
        <w:tc>
          <w:tcPr>
            <w:tcW w:w="76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1"/>
              <w:spacing w:before="62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43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2"/>
              <w:spacing w:before="91" w:line="165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87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94"/>
              <w:spacing w:before="6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显效</w:t>
            </w:r>
          </w:p>
        </w:tc>
        <w:tc>
          <w:tcPr>
            <w:tcW w:w="8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71"/>
              <w:spacing w:before="6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有效</w:t>
            </w:r>
          </w:p>
        </w:tc>
        <w:tc>
          <w:tcPr>
            <w:tcW w:w="77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1"/>
              <w:spacing w:before="6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2"/>
              </w:rPr>
              <w:t>无效</w:t>
            </w:r>
          </w:p>
        </w:tc>
        <w:tc>
          <w:tcPr>
            <w:tcW w:w="89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7"/>
              <w:spacing w:before="6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总有效率</w:t>
            </w:r>
          </w:p>
        </w:tc>
      </w:tr>
      <w:tr>
        <w:trPr>
          <w:trHeight w:val="280" w:hRule="atLeast"/>
        </w:trPr>
        <w:tc>
          <w:tcPr>
            <w:tcW w:w="7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4"/>
              <w:spacing w:before="6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观察组</w:t>
            </w:r>
          </w:p>
        </w:tc>
        <w:tc>
          <w:tcPr>
            <w:tcW w:w="4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7"/>
              <w:spacing w:before="89" w:line="168" w:lineRule="auto"/>
              <w:rPr/>
            </w:pPr>
            <w:r>
              <w:rPr>
                <w:color w:val="231F20"/>
                <w:spacing w:val="-6"/>
              </w:rPr>
              <w:t>31</w:t>
            </w:r>
          </w:p>
        </w:tc>
        <w:tc>
          <w:tcPr>
            <w:tcW w:w="8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6"/>
              <w:spacing w:before="89" w:line="168" w:lineRule="auto"/>
              <w:rPr/>
            </w:pPr>
            <w:r>
              <w:rPr>
                <w:color w:val="231F20"/>
                <w:spacing w:val="-7"/>
              </w:rPr>
              <w:t>20(64.52)</w:t>
            </w:r>
          </w:p>
        </w:tc>
        <w:tc>
          <w:tcPr>
            <w:tcW w:w="8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4"/>
              <w:spacing w:before="89" w:line="168" w:lineRule="auto"/>
              <w:rPr/>
            </w:pPr>
            <w:r>
              <w:rPr>
                <w:color w:val="231F20"/>
                <w:spacing w:val="-7"/>
              </w:rPr>
              <w:t>9(29.03)</w:t>
            </w:r>
          </w:p>
        </w:tc>
        <w:tc>
          <w:tcPr>
            <w:tcW w:w="7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4"/>
              <w:spacing w:before="89" w:line="168" w:lineRule="auto"/>
              <w:rPr/>
            </w:pPr>
            <w:r>
              <w:rPr>
                <w:color w:val="231F20"/>
                <w:spacing w:val="-6"/>
              </w:rPr>
              <w:t>2(6.45)</w:t>
            </w:r>
          </w:p>
        </w:tc>
        <w:tc>
          <w:tcPr>
            <w:tcW w:w="8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3"/>
              <w:spacing w:before="89" w:line="168" w:lineRule="auto"/>
              <w:rPr/>
            </w:pPr>
            <w:r>
              <w:rPr>
                <w:color w:val="231F20"/>
                <w:spacing w:val="-7"/>
              </w:rPr>
              <w:t>29(93.55)</w:t>
            </w:r>
          </w:p>
        </w:tc>
      </w:tr>
      <w:tr>
        <w:trPr>
          <w:trHeight w:val="265" w:hRule="atLeast"/>
        </w:trPr>
        <w:tc>
          <w:tcPr>
            <w:tcW w:w="764" w:type="dxa"/>
            <w:vAlign w:val="top"/>
          </w:tcPr>
          <w:p>
            <w:pPr>
              <w:pStyle w:val="TableText"/>
              <w:ind w:left="151"/>
              <w:spacing w:before="48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对照组</w:t>
            </w:r>
          </w:p>
        </w:tc>
        <w:tc>
          <w:tcPr>
            <w:tcW w:w="437" w:type="dxa"/>
            <w:vAlign w:val="top"/>
          </w:tcPr>
          <w:p>
            <w:pPr>
              <w:pStyle w:val="TableText"/>
              <w:ind w:left="157"/>
              <w:spacing w:before="71" w:line="171" w:lineRule="auto"/>
              <w:rPr/>
            </w:pPr>
            <w:r>
              <w:rPr>
                <w:color w:val="231F20"/>
                <w:spacing w:val="-6"/>
              </w:rPr>
              <w:t>31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ind w:left="159"/>
              <w:spacing w:before="71" w:line="171" w:lineRule="auto"/>
              <w:rPr/>
            </w:pPr>
            <w:r>
              <w:rPr>
                <w:color w:val="231F20"/>
                <w:spacing w:val="-8"/>
              </w:rPr>
              <w:t>13(41.94)</w:t>
            </w:r>
          </w:p>
        </w:tc>
        <w:tc>
          <w:tcPr>
            <w:tcW w:w="845" w:type="dxa"/>
            <w:vAlign w:val="top"/>
          </w:tcPr>
          <w:p>
            <w:pPr>
              <w:pStyle w:val="TableText"/>
              <w:ind w:left="137"/>
              <w:spacing w:before="71" w:line="171" w:lineRule="auto"/>
              <w:rPr/>
            </w:pPr>
            <w:r>
              <w:rPr>
                <w:color w:val="231F20"/>
                <w:spacing w:val="-8"/>
              </w:rPr>
              <w:t>10(32.26)</w:t>
            </w:r>
          </w:p>
        </w:tc>
        <w:tc>
          <w:tcPr>
            <w:tcW w:w="774" w:type="dxa"/>
            <w:vAlign w:val="top"/>
          </w:tcPr>
          <w:p>
            <w:pPr>
              <w:pStyle w:val="TableText"/>
              <w:ind w:left="129"/>
              <w:spacing w:before="71" w:line="171" w:lineRule="auto"/>
              <w:rPr/>
            </w:pPr>
            <w:r>
              <w:rPr>
                <w:color w:val="231F20"/>
                <w:spacing w:val="-7"/>
              </w:rPr>
              <w:t>8(25.81)</w:t>
            </w:r>
          </w:p>
        </w:tc>
        <w:tc>
          <w:tcPr>
            <w:tcW w:w="897" w:type="dxa"/>
            <w:vAlign w:val="top"/>
          </w:tcPr>
          <w:p>
            <w:pPr>
              <w:pStyle w:val="TableText"/>
              <w:ind w:left="143"/>
              <w:spacing w:before="71" w:line="171" w:lineRule="auto"/>
              <w:rPr/>
            </w:pPr>
            <w:r>
              <w:rPr>
                <w:color w:val="231F20"/>
                <w:spacing w:val="-7"/>
              </w:rPr>
              <w:t>23(74.19)</w:t>
            </w:r>
          </w:p>
        </w:tc>
      </w:tr>
      <w:tr>
        <w:trPr>
          <w:trHeight w:val="264" w:hRule="atLeast"/>
        </w:trPr>
        <w:tc>
          <w:tcPr>
            <w:tcW w:w="764" w:type="dxa"/>
            <w:vAlign w:val="top"/>
          </w:tcPr>
          <w:p>
            <w:pPr>
              <w:pStyle w:val="TableText"/>
              <w:ind w:left="321"/>
              <w:spacing w:before="57" w:line="174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  <w:position w:val="-2"/>
              </w:rPr>
              <w:t>χ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2</w:t>
            </w:r>
          </w:p>
        </w:tc>
        <w:tc>
          <w:tcPr>
            <w:tcW w:w="4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7" w:type="dxa"/>
            <w:vAlign w:val="top"/>
          </w:tcPr>
          <w:p>
            <w:pPr>
              <w:pStyle w:val="TableText"/>
              <w:ind w:left="264"/>
              <w:spacing w:before="68" w:line="173" w:lineRule="auto"/>
              <w:rPr/>
            </w:pPr>
            <w:r>
              <w:rPr>
                <w:color w:val="231F20"/>
                <w:spacing w:val="-5"/>
              </w:rPr>
              <w:t>4.292</w:t>
            </w:r>
          </w:p>
        </w:tc>
      </w:tr>
      <w:tr>
        <w:trPr>
          <w:trHeight w:val="270" w:hRule="atLeast"/>
        </w:trPr>
        <w:tc>
          <w:tcPr>
            <w:tcW w:w="76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6"/>
              <w:spacing w:before="69" w:line="165" w:lineRule="auto"/>
              <w:rPr/>
            </w:pPr>
            <w:r>
              <w:rPr>
                <w:color w:val="231F20"/>
                <w:spacing w:val="6"/>
              </w:rPr>
              <w:t>P</w:t>
            </w:r>
          </w:p>
        </w:tc>
        <w:tc>
          <w:tcPr>
            <w:tcW w:w="43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7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7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6"/>
              <w:spacing w:before="64" w:line="182" w:lineRule="auto"/>
              <w:rPr/>
            </w:pPr>
            <w:r>
              <w:rPr>
                <w:color w:val="231F20"/>
                <w:spacing w:val="-6"/>
              </w:rPr>
              <w:t>0.038</w:t>
            </w:r>
          </w:p>
        </w:tc>
      </w:tr>
    </w:tbl>
    <w:p>
      <w:pPr>
        <w:pStyle w:val="BodyText"/>
        <w:ind w:right="65" w:firstLine="71"/>
        <w:spacing w:before="227" w:line="230" w:lineRule="auto"/>
        <w:jc w:val="both"/>
        <w:rPr/>
      </w:pPr>
      <w:r>
        <w:pict>
          <v:shape id="_x0000_s8" style="position:absolute;margin-left:171.966pt;margin-top:78.9268pt;mso-position-vertical-relative:text;mso-position-horizontal-relative:text;width:2.8pt;height:0.2pt;z-index:-251657216;" filled="false" strokecolor="#231F20" strokeweight="0.19pt" coordsize="55,4" coordorigin="0,0" path="m0,1l55,1e">
            <v:stroke joinstyle="miter" miterlimit="10"/>
          </v:shape>
        </w:pict>
      </w:r>
      <w:r>
        <w:rPr>
          <w:sz w:val="20"/>
          <w:szCs w:val="20"/>
          <w:color w:val="231F20"/>
          <w:spacing w:val="17"/>
          <w:position w:val="-1"/>
        </w:rPr>
        <w:t>2.2   </w:t>
      </w:r>
      <w:r>
        <w:rPr>
          <w:color w:val="231F20"/>
          <w:spacing w:val="17"/>
        </w:rPr>
        <w:t>两组临床症状改善时间比较    观察组退热时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间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、止吐时间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9"/>
        </w:rPr>
        <w:t>、腹痛缓解时间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、止泻时间以及大便性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状恢复时间均显著短于对照组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1"/>
        </w:rPr>
        <w:t>，差异有统计学意义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（</w:t>
      </w:r>
      <w:r>
        <w:rPr>
          <w:sz w:val="20"/>
          <w:szCs w:val="20"/>
          <w:color w:val="231F20"/>
          <w:spacing w:val="-20"/>
        </w:rPr>
        <w:t>P＜0.05</w:t>
      </w:r>
      <w:r>
        <w:rPr>
          <w:color w:val="231F20"/>
          <w:spacing w:val="-20"/>
        </w:rPr>
        <w:t>）。 </w:t>
      </w:r>
      <w:r>
        <w:rPr>
          <w:color w:val="231F20"/>
          <w:spacing w:val="-20"/>
          <w:position w:val="1"/>
        </w:rPr>
        <w:t>见表</w:t>
      </w:r>
      <w:r>
        <w:rPr>
          <w:color w:val="231F20"/>
          <w:spacing w:val="14"/>
          <w:position w:val="1"/>
        </w:rPr>
        <w:t xml:space="preserve"> </w:t>
      </w:r>
      <w:r>
        <w:rPr>
          <w:sz w:val="20"/>
          <w:szCs w:val="20"/>
          <w:color w:val="231F20"/>
          <w:spacing w:val="-20"/>
        </w:rPr>
        <w:t>2</w:t>
      </w:r>
      <w:r>
        <w:rPr>
          <w:color w:val="231F20"/>
          <w:spacing w:val="-20"/>
        </w:rPr>
        <w:t>。</w:t>
      </w:r>
    </w:p>
    <w:p>
      <w:pPr>
        <w:pStyle w:val="BodyText"/>
        <w:ind w:left="881"/>
        <w:spacing w:before="65" w:line="19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"/>
        </w:rPr>
        <w:t>表 </w:t>
      </w:r>
      <w:r>
        <w:rPr>
          <w:sz w:val="15"/>
          <w:szCs w:val="15"/>
          <w:color w:val="231F20"/>
          <w:spacing w:val="1"/>
        </w:rPr>
        <w:t>2</w:t>
      </w:r>
      <w:r>
        <w:rPr>
          <w:sz w:val="15"/>
          <w:szCs w:val="15"/>
          <w:color w:val="231F20"/>
          <w:spacing w:val="15"/>
        </w:rPr>
        <w:t xml:space="preserve">   </w:t>
      </w:r>
      <w:r>
        <w:rPr>
          <w:sz w:val="14"/>
          <w:szCs w:val="14"/>
          <w:color w:val="231F20"/>
          <w:spacing w:val="1"/>
        </w:rPr>
        <w:t>两组的临床症状改善时间比较（</w:t>
      </w:r>
      <w:r>
        <w:rPr>
          <w:sz w:val="15"/>
          <w:szCs w:val="15"/>
          <w:color w:val="231F20"/>
          <w:spacing w:val="1"/>
        </w:rPr>
        <w:t>x</w:t>
      </w:r>
      <w:r>
        <w:rPr>
          <w:sz w:val="15"/>
          <w:szCs w:val="15"/>
          <w:color w:val="231F20"/>
          <w:spacing w:val="1"/>
        </w:rPr>
        <w:t>±s</w:t>
      </w:r>
      <w:r>
        <w:rPr>
          <w:sz w:val="14"/>
          <w:szCs w:val="14"/>
          <w:color w:val="231F20"/>
          <w:spacing w:val="1"/>
        </w:rPr>
        <w:t>，</w:t>
      </w:r>
      <w:r>
        <w:rPr>
          <w:sz w:val="15"/>
          <w:szCs w:val="15"/>
          <w:color w:val="231F20"/>
          <w:spacing w:val="1"/>
        </w:rPr>
        <w:t>d)</w:t>
      </w:r>
    </w:p>
    <w:p>
      <w:pPr>
        <w:spacing w:line="34" w:lineRule="exact"/>
        <w:rPr/>
      </w:pPr>
      <w:r/>
    </w:p>
    <w:tbl>
      <w:tblPr>
        <w:tblStyle w:val="TableNormal"/>
        <w:tblW w:w="4591" w:type="dxa"/>
        <w:tblInd w:w="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8"/>
        <w:gridCol w:w="300"/>
        <w:gridCol w:w="755"/>
        <w:gridCol w:w="747"/>
        <w:gridCol w:w="722"/>
        <w:gridCol w:w="723"/>
        <w:gridCol w:w="746"/>
      </w:tblGrid>
      <w:tr>
        <w:trPr>
          <w:trHeight w:val="537" w:hRule="atLeast"/>
        </w:trPr>
        <w:tc>
          <w:tcPr>
            <w:tcW w:w="59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5"/>
              <w:spacing w:before="185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组别</w:t>
            </w:r>
          </w:p>
        </w:tc>
        <w:tc>
          <w:tcPr>
            <w:tcW w:w="30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5"/>
              <w:spacing w:before="214" w:line="165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75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4"/>
              <w:spacing w:before="18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退热时间</w:t>
            </w:r>
          </w:p>
        </w:tc>
        <w:tc>
          <w:tcPr>
            <w:tcW w:w="74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7"/>
              <w:spacing w:before="185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止吐时间</w:t>
            </w:r>
          </w:p>
        </w:tc>
        <w:tc>
          <w:tcPr>
            <w:tcW w:w="72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6"/>
              <w:spacing w:before="55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腹痛缓</w:t>
            </w:r>
          </w:p>
          <w:p>
            <w:pPr>
              <w:pStyle w:val="TableText"/>
              <w:ind w:left="145"/>
              <w:spacing w:before="71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解时间</w:t>
            </w:r>
          </w:p>
        </w:tc>
        <w:tc>
          <w:tcPr>
            <w:tcW w:w="72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0"/>
              <w:spacing w:before="185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止泻时间</w:t>
            </w:r>
          </w:p>
        </w:tc>
        <w:tc>
          <w:tcPr>
            <w:tcW w:w="74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3"/>
              <w:spacing w:before="54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大便性状</w:t>
            </w:r>
          </w:p>
          <w:p>
            <w:pPr>
              <w:pStyle w:val="TableText"/>
              <w:ind w:left="76"/>
              <w:spacing w:before="74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8"/>
              </w:rPr>
              <w:t>恢复时间</w:t>
            </w:r>
          </w:p>
        </w:tc>
      </w:tr>
      <w:tr>
        <w:trPr>
          <w:trHeight w:val="265" w:hRule="atLeast"/>
        </w:trPr>
        <w:tc>
          <w:tcPr>
            <w:tcW w:w="59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5"/>
              <w:spacing w:before="6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6"/>
              </w:rPr>
              <w:t>观察组</w:t>
            </w:r>
          </w:p>
        </w:tc>
        <w:tc>
          <w:tcPr>
            <w:tcW w:w="3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0"/>
              <w:spacing w:before="91" w:line="163" w:lineRule="exact"/>
              <w:rPr/>
            </w:pPr>
            <w:r>
              <w:rPr>
                <w:color w:val="231F20"/>
                <w:spacing w:val="-6"/>
                <w:position w:val="-1"/>
              </w:rPr>
              <w:t>31</w:t>
            </w:r>
          </w:p>
        </w:tc>
        <w:tc>
          <w:tcPr>
            <w:tcW w:w="7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91" w:line="163" w:lineRule="exact"/>
              <w:rPr/>
            </w:pPr>
            <w:r>
              <w:rPr>
                <w:color w:val="231F20"/>
                <w:spacing w:val="-15"/>
                <w:position w:val="-1"/>
              </w:rPr>
              <w:t>1.46±0.32</w:t>
            </w:r>
          </w:p>
        </w:tc>
        <w:tc>
          <w:tcPr>
            <w:tcW w:w="7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7"/>
              <w:spacing w:before="91" w:line="163" w:lineRule="exact"/>
              <w:rPr/>
            </w:pPr>
            <w:r>
              <w:rPr>
                <w:color w:val="231F20"/>
                <w:spacing w:val="-15"/>
                <w:position w:val="-1"/>
              </w:rPr>
              <w:t>1.92±0.22</w:t>
            </w:r>
          </w:p>
        </w:tc>
        <w:tc>
          <w:tcPr>
            <w:tcW w:w="72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1"/>
              <w:spacing w:before="91" w:line="163" w:lineRule="exact"/>
              <w:rPr/>
            </w:pPr>
            <w:r>
              <w:rPr>
                <w:color w:val="231F20"/>
                <w:spacing w:val="-15"/>
                <w:position w:val="-1"/>
              </w:rPr>
              <w:t>1.22±0.36</w:t>
            </w:r>
          </w:p>
        </w:tc>
        <w:tc>
          <w:tcPr>
            <w:tcW w:w="7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6"/>
              <w:spacing w:before="91" w:line="163" w:lineRule="exact"/>
              <w:rPr/>
            </w:pPr>
            <w:r>
              <w:rPr>
                <w:color w:val="231F20"/>
                <w:spacing w:val="-14"/>
                <w:position w:val="-1"/>
              </w:rPr>
              <w:t>2.26±0.31</w:t>
            </w:r>
          </w:p>
        </w:tc>
        <w:tc>
          <w:tcPr>
            <w:tcW w:w="7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7"/>
              <w:spacing w:before="91" w:line="163" w:lineRule="exact"/>
              <w:rPr/>
            </w:pPr>
            <w:r>
              <w:rPr>
                <w:color w:val="231F20"/>
                <w:spacing w:val="-14"/>
                <w:position w:val="-1"/>
              </w:rPr>
              <w:t>2.52±0.51</w:t>
            </w:r>
          </w:p>
        </w:tc>
      </w:tr>
      <w:tr>
        <w:trPr>
          <w:trHeight w:val="270" w:hRule="atLeast"/>
        </w:trPr>
        <w:tc>
          <w:tcPr>
            <w:tcW w:w="598" w:type="dxa"/>
            <w:vAlign w:val="top"/>
          </w:tcPr>
          <w:p>
            <w:pPr>
              <w:pStyle w:val="TableText"/>
              <w:ind w:left="81"/>
              <w:spacing w:before="64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7"/>
              </w:rPr>
              <w:t>对照组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80"/>
              <w:spacing w:before="88" w:line="160" w:lineRule="auto"/>
              <w:rPr/>
            </w:pPr>
            <w:r>
              <w:rPr>
                <w:color w:val="231F20"/>
                <w:spacing w:val="-6"/>
              </w:rPr>
              <w:t>31</w:t>
            </w:r>
          </w:p>
        </w:tc>
        <w:tc>
          <w:tcPr>
            <w:tcW w:w="755" w:type="dxa"/>
            <w:vAlign w:val="top"/>
          </w:tcPr>
          <w:p>
            <w:pPr>
              <w:pStyle w:val="TableText"/>
              <w:ind w:left="92"/>
              <w:spacing w:before="88" w:line="160" w:lineRule="auto"/>
              <w:rPr/>
            </w:pPr>
            <w:r>
              <w:rPr>
                <w:color w:val="231F20"/>
                <w:spacing w:val="-14"/>
              </w:rPr>
              <w:t>2.54±0.58</w:t>
            </w:r>
          </w:p>
        </w:tc>
        <w:tc>
          <w:tcPr>
            <w:tcW w:w="747" w:type="dxa"/>
            <w:vAlign w:val="top"/>
          </w:tcPr>
          <w:p>
            <w:pPr>
              <w:pStyle w:val="TableText"/>
              <w:ind w:left="94"/>
              <w:spacing w:before="88" w:line="160" w:lineRule="auto"/>
              <w:rPr/>
            </w:pPr>
            <w:r>
              <w:rPr>
                <w:color w:val="231F20"/>
                <w:spacing w:val="-14"/>
              </w:rPr>
              <w:t>2.82±0.56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78"/>
              <w:spacing w:before="88" w:line="160" w:lineRule="auto"/>
              <w:rPr/>
            </w:pPr>
            <w:r>
              <w:rPr>
                <w:color w:val="231F20"/>
                <w:spacing w:val="-14"/>
              </w:rPr>
              <w:t>2.42±0.52</w:t>
            </w:r>
          </w:p>
        </w:tc>
        <w:tc>
          <w:tcPr>
            <w:tcW w:w="723" w:type="dxa"/>
            <w:vAlign w:val="top"/>
          </w:tcPr>
          <w:p>
            <w:pPr>
              <w:pStyle w:val="TableText"/>
              <w:ind w:left="78"/>
              <w:spacing w:before="88" w:line="160" w:lineRule="auto"/>
              <w:rPr/>
            </w:pPr>
            <w:r>
              <w:rPr>
                <w:color w:val="231F20"/>
                <w:spacing w:val="-14"/>
              </w:rPr>
              <w:t>3.05±0.55</w:t>
            </w:r>
          </w:p>
        </w:tc>
        <w:tc>
          <w:tcPr>
            <w:tcW w:w="746" w:type="dxa"/>
            <w:vAlign w:val="top"/>
          </w:tcPr>
          <w:p>
            <w:pPr>
              <w:pStyle w:val="TableText"/>
              <w:ind w:left="84"/>
              <w:spacing w:before="88" w:line="160" w:lineRule="auto"/>
              <w:rPr/>
            </w:pPr>
            <w:r>
              <w:rPr>
                <w:color w:val="231F20"/>
                <w:spacing w:val="-13"/>
              </w:rPr>
              <w:t>4.01±0.98</w:t>
            </w:r>
          </w:p>
        </w:tc>
      </w:tr>
      <w:tr>
        <w:trPr>
          <w:trHeight w:val="260" w:hRule="atLeast"/>
        </w:trPr>
        <w:tc>
          <w:tcPr>
            <w:tcW w:w="598" w:type="dxa"/>
            <w:vAlign w:val="top"/>
          </w:tcPr>
          <w:p>
            <w:pPr>
              <w:pStyle w:val="TableText"/>
              <w:ind w:left="281"/>
              <w:spacing w:before="84" w:line="166" w:lineRule="exact"/>
              <w:rPr/>
            </w:pPr>
            <w:r>
              <w:rPr>
                <w:color w:val="231F20"/>
              </w:rPr>
              <w:t>t</w:t>
            </w:r>
          </w:p>
        </w:tc>
        <w:tc>
          <w:tcPr>
            <w:tcW w:w="3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5" w:type="dxa"/>
            <w:vAlign w:val="top"/>
          </w:tcPr>
          <w:p>
            <w:pPr>
              <w:pStyle w:val="TableText"/>
              <w:ind w:left="214"/>
              <w:spacing w:before="80" w:line="158" w:lineRule="auto"/>
              <w:rPr/>
            </w:pPr>
            <w:r>
              <w:rPr>
                <w:color w:val="231F20"/>
                <w:spacing w:val="-9"/>
              </w:rPr>
              <w:t>9.323</w:t>
            </w:r>
          </w:p>
        </w:tc>
        <w:tc>
          <w:tcPr>
            <w:tcW w:w="747" w:type="dxa"/>
            <w:vAlign w:val="top"/>
          </w:tcPr>
          <w:p>
            <w:pPr>
              <w:pStyle w:val="TableText"/>
              <w:ind w:left="220"/>
              <w:spacing w:before="80" w:line="158" w:lineRule="auto"/>
              <w:rPr/>
            </w:pPr>
            <w:r>
              <w:rPr>
                <w:color w:val="231F20"/>
                <w:spacing w:val="-10"/>
              </w:rPr>
              <w:t>8.329</w:t>
            </w:r>
          </w:p>
        </w:tc>
        <w:tc>
          <w:tcPr>
            <w:tcW w:w="722" w:type="dxa"/>
            <w:vAlign w:val="top"/>
          </w:tcPr>
          <w:p>
            <w:pPr>
              <w:pStyle w:val="TableText"/>
              <w:ind w:left="175"/>
              <w:spacing w:before="80" w:line="158" w:lineRule="auto"/>
              <w:rPr/>
            </w:pPr>
            <w:r>
              <w:rPr>
                <w:color w:val="231F20"/>
                <w:spacing w:val="-11"/>
              </w:rPr>
              <w:t>10.564</w:t>
            </w:r>
          </w:p>
        </w:tc>
        <w:tc>
          <w:tcPr>
            <w:tcW w:w="723" w:type="dxa"/>
            <w:vAlign w:val="top"/>
          </w:tcPr>
          <w:p>
            <w:pPr>
              <w:pStyle w:val="TableText"/>
              <w:ind w:left="201"/>
              <w:spacing w:before="80" w:line="158" w:lineRule="auto"/>
              <w:rPr/>
            </w:pPr>
            <w:r>
              <w:rPr>
                <w:color w:val="231F20"/>
                <w:spacing w:val="-9"/>
              </w:rPr>
              <w:t>6.967</w:t>
            </w:r>
          </w:p>
        </w:tc>
        <w:tc>
          <w:tcPr>
            <w:tcW w:w="746" w:type="dxa"/>
            <w:vAlign w:val="top"/>
          </w:tcPr>
          <w:p>
            <w:pPr>
              <w:pStyle w:val="TableText"/>
              <w:ind w:left="210"/>
              <w:spacing w:before="80" w:line="158" w:lineRule="auto"/>
              <w:rPr/>
            </w:pPr>
            <w:r>
              <w:rPr>
                <w:color w:val="231F20"/>
                <w:spacing w:val="-9"/>
              </w:rPr>
              <w:t>7.509</w:t>
            </w:r>
          </w:p>
        </w:tc>
      </w:tr>
      <w:tr>
        <w:trPr>
          <w:trHeight w:val="282" w:hRule="atLeast"/>
        </w:trPr>
        <w:tc>
          <w:tcPr>
            <w:tcW w:w="59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7"/>
              <w:spacing w:before="84" w:line="165" w:lineRule="auto"/>
              <w:rPr/>
            </w:pPr>
            <w:r>
              <w:rPr>
                <w:color w:val="231F20"/>
                <w:spacing w:val="6"/>
              </w:rPr>
              <w:t>P</w:t>
            </w:r>
          </w:p>
        </w:tc>
        <w:tc>
          <w:tcPr>
            <w:tcW w:w="30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7"/>
              <w:spacing w:before="80" w:line="179" w:lineRule="auto"/>
              <w:rPr/>
            </w:pPr>
            <w:r>
              <w:rPr>
                <w:color w:val="231F20"/>
                <w:spacing w:val="-14"/>
              </w:rPr>
              <w:t>&lt;0.001</w:t>
            </w:r>
          </w:p>
        </w:tc>
        <w:tc>
          <w:tcPr>
            <w:tcW w:w="7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9"/>
              <w:spacing w:before="80" w:line="179" w:lineRule="auto"/>
              <w:rPr/>
            </w:pPr>
            <w:r>
              <w:rPr>
                <w:color w:val="231F20"/>
                <w:spacing w:val="-14"/>
              </w:rPr>
              <w:t>&lt;0.001</w:t>
            </w:r>
          </w:p>
        </w:tc>
        <w:tc>
          <w:tcPr>
            <w:tcW w:w="72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6"/>
              <w:spacing w:before="80" w:line="179" w:lineRule="auto"/>
              <w:rPr/>
            </w:pPr>
            <w:r>
              <w:rPr>
                <w:color w:val="231F20"/>
                <w:spacing w:val="-14"/>
              </w:rPr>
              <w:t>&lt;0.001</w:t>
            </w:r>
          </w:p>
        </w:tc>
        <w:tc>
          <w:tcPr>
            <w:tcW w:w="72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64"/>
              <w:spacing w:before="80" w:line="179" w:lineRule="auto"/>
              <w:rPr/>
            </w:pPr>
            <w:r>
              <w:rPr>
                <w:color w:val="231F20"/>
                <w:spacing w:val="-14"/>
              </w:rPr>
              <w:t>&lt;0.001</w:t>
            </w:r>
          </w:p>
        </w:tc>
        <w:tc>
          <w:tcPr>
            <w:tcW w:w="7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4"/>
              <w:spacing w:before="80" w:line="179" w:lineRule="auto"/>
              <w:rPr/>
            </w:pPr>
            <w:r>
              <w:rPr>
                <w:color w:val="231F20"/>
                <w:spacing w:val="-14"/>
              </w:rPr>
              <w:t>&lt;0.001</w:t>
            </w:r>
          </w:p>
        </w:tc>
      </w:tr>
    </w:tbl>
    <w:p>
      <w:pPr>
        <w:pStyle w:val="BodyText"/>
        <w:ind w:left="72" w:right="60" w:hanging="1"/>
        <w:spacing w:before="196" w:line="214" w:lineRule="auto"/>
        <w:rPr/>
      </w:pPr>
      <w:r>
        <w:rPr>
          <w:sz w:val="20"/>
          <w:szCs w:val="20"/>
          <w:color w:val="231F20"/>
          <w:spacing w:val="17"/>
          <w:position w:val="-1"/>
        </w:rPr>
        <w:t>2.3   </w:t>
      </w:r>
      <w:r>
        <w:rPr>
          <w:color w:val="231F20"/>
          <w:spacing w:val="17"/>
        </w:rPr>
        <w:t>两组治疗前后的血清炎症指标水平比较    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疗前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，两组</w:t>
      </w:r>
      <w:r>
        <w:rPr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2"/>
        </w:rPr>
        <w:t>hs-CRP</w:t>
      </w:r>
      <w:r>
        <w:rPr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IL-6</w:t>
      </w:r>
      <w:r>
        <w:rPr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PCT </w:t>
      </w:r>
      <w:r>
        <w:rPr>
          <w:color w:val="231F20"/>
          <w:spacing w:val="-2"/>
        </w:rPr>
        <w:t>水平比较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，差异无统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计学意义（</w:t>
      </w:r>
      <w:r>
        <w:rPr>
          <w:sz w:val="20"/>
          <w:szCs w:val="20"/>
          <w:color w:val="231F20"/>
          <w:spacing w:val="-2"/>
        </w:rPr>
        <w:t>P＞0.05</w:t>
      </w:r>
      <w:r>
        <w:rPr>
          <w:color w:val="231F20"/>
          <w:spacing w:val="-27"/>
          <w:w w:val="59"/>
        </w:rPr>
        <w:t>）；</w:t>
      </w:r>
      <w:r>
        <w:rPr>
          <w:color w:val="231F20"/>
          <w:spacing w:val="-2"/>
        </w:rPr>
        <w:t>治疗后，两组血清 </w:t>
      </w:r>
      <w:r>
        <w:rPr>
          <w:sz w:val="20"/>
          <w:szCs w:val="20"/>
          <w:color w:val="231F20"/>
          <w:spacing w:val="-2"/>
        </w:rPr>
        <w:t>hs-CRP</w:t>
      </w:r>
      <w:r>
        <w:rPr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IL-6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color w:val="231F20"/>
          <w:spacing w:val="14"/>
        </w:rPr>
        <w:t>及 </w:t>
      </w:r>
      <w:r>
        <w:rPr>
          <w:sz w:val="20"/>
          <w:szCs w:val="20"/>
          <w:color w:val="231F20"/>
        </w:rPr>
        <w:t>PCT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color w:val="231F20"/>
          <w:spacing w:val="14"/>
        </w:rPr>
        <w:t>水平均显著低于治疗前，且观察组显著低于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对照组，差异有统计学意义（</w:t>
      </w:r>
      <w:r>
        <w:rPr>
          <w:sz w:val="20"/>
          <w:szCs w:val="20"/>
          <w:color w:val="231F20"/>
          <w:spacing w:val="-9"/>
        </w:rPr>
        <w:t>P＜0.05</w:t>
      </w:r>
      <w:r>
        <w:rPr>
          <w:color w:val="231F20"/>
          <w:spacing w:val="-9"/>
        </w:rPr>
        <w:t>）。 见表 </w:t>
      </w:r>
      <w:r>
        <w:rPr>
          <w:sz w:val="20"/>
          <w:szCs w:val="20"/>
          <w:color w:val="231F20"/>
          <w:spacing w:val="-9"/>
        </w:rPr>
        <w:t>3</w:t>
      </w:r>
      <w:r>
        <w:rPr>
          <w:color w:val="231F20"/>
          <w:spacing w:val="-9"/>
        </w:rPr>
        <w:t>。</w:t>
      </w:r>
    </w:p>
    <w:p>
      <w:pPr>
        <w:pStyle w:val="BodyText"/>
        <w:spacing w:before="25" w:line="212" w:lineRule="auto"/>
        <w:jc w:val="right"/>
        <w:rPr/>
      </w:pPr>
      <w:r>
        <w:pict>
          <v:shape id="_x0000_s10" style="position:absolute;margin-left:66.7664pt;margin-top:21.6656pt;mso-position-vertical-relative:text;mso-position-horizontal-relative:text;width:2.75pt;height:0.2pt;z-index:-251656192;" filled="false" strokecolor="#231F20" strokeweight="0.19pt" coordsize="55,4" coordorigin="0,0" path="m0,1l54,1e">
            <v:stroke joinstyle="miter" miterlimit="10"/>
          </v:shape>
        </w:pict>
      </w:r>
      <w:r>
        <w:rPr>
          <w:sz w:val="20"/>
          <w:szCs w:val="20"/>
          <w:color w:val="231F20"/>
          <w:spacing w:val="15"/>
          <w:position w:val="-1"/>
        </w:rPr>
        <w:t>2.4</w:t>
      </w:r>
      <w:r>
        <w:rPr>
          <w:sz w:val="20"/>
          <w:szCs w:val="20"/>
          <w:color w:val="231F20"/>
          <w:spacing w:val="1"/>
          <w:position w:val="-1"/>
        </w:rPr>
        <w:t xml:space="preserve">  </w:t>
      </w:r>
      <w:r>
        <w:rPr>
          <w:color w:val="231F20"/>
          <w:spacing w:val="15"/>
        </w:rPr>
        <w:t>两组不良反应情况对比观察组出现</w:t>
      </w:r>
      <w:r>
        <w:rPr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15"/>
          <w:position w:val="-1"/>
        </w:rPr>
        <w:t>1 </w:t>
      </w:r>
      <w:r>
        <w:rPr>
          <w:color w:val="231F20"/>
          <w:spacing w:val="15"/>
        </w:rPr>
        <w:t>例</w:t>
      </w:r>
      <w:r>
        <w:rPr>
          <w:color w:val="231F20"/>
          <w:spacing w:val="14"/>
        </w:rPr>
        <w:t>皮疹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，</w:t>
      </w:r>
    </w:p>
    <w:p>
      <w:pPr>
        <w:spacing w:line="212" w:lineRule="auto"/>
        <w:sectPr>
          <w:type w:val="continuous"/>
          <w:pgSz w:w="12075" w:h="16836"/>
          <w:pgMar w:top="1367" w:right="1098" w:bottom="0" w:left="407" w:header="996" w:footer="0" w:gutter="0"/>
          <w:cols w:equalWidth="0" w:num="2">
            <w:col w:w="5729" w:space="100"/>
            <w:col w:w="4739" w:space="0"/>
          </w:cols>
        </w:sectPr>
        <w:rPr/>
      </w:pPr>
    </w:p>
    <w:p>
      <w:pPr>
        <w:pStyle w:val="BodyText"/>
        <w:ind w:left="3977"/>
        <w:spacing w:before="96" w:line="19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表 </w:t>
      </w:r>
      <w:r>
        <w:rPr>
          <w:sz w:val="15"/>
          <w:szCs w:val="15"/>
          <w:color w:val="231F20"/>
          <w:spacing w:val="7"/>
        </w:rPr>
        <w:t>3</w:t>
      </w:r>
      <w:r>
        <w:rPr>
          <w:sz w:val="15"/>
          <w:szCs w:val="15"/>
          <w:color w:val="231F20"/>
          <w:spacing w:val="12"/>
          <w:w w:val="101"/>
        </w:rPr>
        <w:t xml:space="preserve">   </w:t>
      </w:r>
      <w:r>
        <w:rPr>
          <w:sz w:val="14"/>
          <w:szCs w:val="14"/>
          <w:color w:val="231F20"/>
          <w:spacing w:val="7"/>
        </w:rPr>
        <w:t>两组治疗前后的血清炎症指标水平比较（</w:t>
      </w:r>
      <w:r>
        <w:rPr>
          <w:sz w:val="15"/>
          <w:szCs w:val="15"/>
          <w:color w:val="231F20"/>
          <w:spacing w:val="7"/>
        </w:rPr>
        <w:t>x</w:t>
      </w:r>
      <w:r>
        <w:rPr>
          <w:sz w:val="15"/>
          <w:szCs w:val="15"/>
          <w:color w:val="231F20"/>
          <w:spacing w:val="6"/>
        </w:rPr>
        <w:t>±s</w:t>
      </w:r>
      <w:r>
        <w:rPr>
          <w:sz w:val="14"/>
          <w:szCs w:val="14"/>
          <w:color w:val="231F20"/>
          <w:spacing w:val="6"/>
        </w:rPr>
        <w:t>）</w:t>
      </w:r>
    </w:p>
    <w:p>
      <w:pPr>
        <w:spacing w:line="34" w:lineRule="exact"/>
        <w:rPr/>
      </w:pPr>
      <w:r/>
    </w:p>
    <w:tbl>
      <w:tblPr>
        <w:tblStyle w:val="TableNormal"/>
        <w:tblW w:w="9637" w:type="dxa"/>
        <w:tblInd w:w="8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6"/>
        <w:gridCol w:w="756"/>
        <w:gridCol w:w="1181"/>
        <w:gridCol w:w="1203"/>
        <w:gridCol w:w="1528"/>
        <w:gridCol w:w="1303"/>
        <w:gridCol w:w="1376"/>
        <w:gridCol w:w="1294"/>
      </w:tblGrid>
      <w:tr>
        <w:trPr>
          <w:trHeight w:val="293" w:hRule="atLeast"/>
        </w:trPr>
        <w:tc>
          <w:tcPr>
            <w:tcW w:w="99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30"/>
              <w:spacing w:before="201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1"/>
              </w:rPr>
              <w:t>组别</w:t>
            </w:r>
          </w:p>
        </w:tc>
        <w:tc>
          <w:tcPr>
            <w:tcW w:w="75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324"/>
              <w:spacing w:before="230" w:line="165" w:lineRule="auto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2384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35"/>
              <w:spacing w:before="88" w:line="166" w:lineRule="auto"/>
              <w:rPr/>
            </w:pPr>
            <w:r>
              <w:rPr>
                <w:color w:val="231F20"/>
                <w:spacing w:val="-7"/>
              </w:rPr>
              <w:t>hs-CRP(mg/L)</w:t>
            </w:r>
          </w:p>
        </w:tc>
        <w:tc>
          <w:tcPr>
            <w:tcW w:w="2831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17"/>
              <w:spacing w:before="88" w:line="166" w:lineRule="auto"/>
              <w:rPr/>
            </w:pPr>
            <w:r>
              <w:rPr>
                <w:color w:val="231F20"/>
                <w:spacing w:val="-3"/>
              </w:rPr>
              <w:t>IL-6(ng/L)</w:t>
            </w:r>
          </w:p>
        </w:tc>
        <w:tc>
          <w:tcPr>
            <w:tcW w:w="2670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19"/>
              <w:spacing w:before="88" w:line="166" w:lineRule="auto"/>
              <w:rPr/>
            </w:pPr>
            <w:r>
              <w:rPr>
                <w:color w:val="231F20"/>
                <w:spacing w:val="-11"/>
              </w:rPr>
              <w:t>PCT(pg/ml)</w:t>
            </w:r>
          </w:p>
        </w:tc>
      </w:tr>
      <w:tr>
        <w:trPr>
          <w:trHeight w:val="269" w:hRule="atLeast"/>
        </w:trPr>
        <w:tc>
          <w:tcPr>
            <w:tcW w:w="99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39"/>
              <w:spacing w:before="5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治疗前</w:t>
            </w:r>
          </w:p>
        </w:tc>
        <w:tc>
          <w:tcPr>
            <w:tcW w:w="120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52"/>
              <w:spacing w:before="5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治疗后</w:t>
            </w:r>
          </w:p>
        </w:tc>
        <w:tc>
          <w:tcPr>
            <w:tcW w:w="152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612"/>
              <w:spacing w:before="5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治疗前</w:t>
            </w:r>
          </w:p>
        </w:tc>
        <w:tc>
          <w:tcPr>
            <w:tcW w:w="130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63"/>
              <w:spacing w:before="5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治疗后</w:t>
            </w:r>
          </w:p>
        </w:tc>
        <w:tc>
          <w:tcPr>
            <w:tcW w:w="137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97"/>
              <w:spacing w:before="5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治疗前</w:t>
            </w:r>
          </w:p>
        </w:tc>
        <w:tc>
          <w:tcPr>
            <w:tcW w:w="129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19"/>
              <w:spacing w:before="53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治疗后</w:t>
            </w:r>
          </w:p>
        </w:tc>
      </w:tr>
      <w:tr>
        <w:trPr>
          <w:trHeight w:val="274" w:hRule="atLeast"/>
        </w:trPr>
        <w:tc>
          <w:tcPr>
            <w:tcW w:w="9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4"/>
              <w:spacing w:before="76" w:line="1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3"/>
              </w:rPr>
              <w:t>观察组</w:t>
            </w:r>
          </w:p>
        </w:tc>
        <w:tc>
          <w:tcPr>
            <w:tcW w:w="75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9"/>
              <w:spacing w:before="100" w:line="164" w:lineRule="exact"/>
              <w:rPr/>
            </w:pPr>
            <w:r>
              <w:rPr>
                <w:color w:val="231F20"/>
                <w:spacing w:val="-6"/>
                <w:position w:val="-1"/>
              </w:rPr>
              <w:t>31</w:t>
            </w:r>
          </w:p>
        </w:tc>
        <w:tc>
          <w:tcPr>
            <w:tcW w:w="118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4"/>
              <w:spacing w:before="100" w:line="164" w:lineRule="exact"/>
              <w:rPr/>
            </w:pPr>
            <w:r>
              <w:rPr>
                <w:color w:val="231F20"/>
                <w:spacing w:val="-9"/>
                <w:position w:val="-1"/>
              </w:rPr>
              <w:t>13.25±2.45</w:t>
            </w:r>
          </w:p>
        </w:tc>
        <w:tc>
          <w:tcPr>
            <w:tcW w:w="12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1"/>
              <w:spacing w:before="100" w:line="164" w:lineRule="exact"/>
              <w:rPr/>
            </w:pPr>
            <w:r>
              <w:rPr>
                <w:color w:val="231F20"/>
                <w:spacing w:val="-7"/>
                <w:position w:val="-1"/>
              </w:rPr>
              <w:t>4.51±0.75</w:t>
            </w:r>
          </w:p>
        </w:tc>
        <w:tc>
          <w:tcPr>
            <w:tcW w:w="15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4"/>
              <w:spacing w:before="100" w:line="164" w:lineRule="exact"/>
              <w:rPr/>
            </w:pPr>
            <w:r>
              <w:rPr>
                <w:color w:val="231F20"/>
                <w:spacing w:val="-8"/>
                <w:position w:val="-1"/>
              </w:rPr>
              <w:t>25.65±4.55</w:t>
            </w:r>
          </w:p>
        </w:tc>
        <w:tc>
          <w:tcPr>
            <w:tcW w:w="13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9"/>
              <w:spacing w:before="100" w:line="164" w:lineRule="exact"/>
              <w:rPr/>
            </w:pPr>
            <w:r>
              <w:rPr>
                <w:color w:val="231F20"/>
                <w:spacing w:val="-9"/>
                <w:position w:val="-1"/>
              </w:rPr>
              <w:t>16.12±3.12</w:t>
            </w:r>
          </w:p>
        </w:tc>
        <w:tc>
          <w:tcPr>
            <w:tcW w:w="13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10"/>
              <w:spacing w:before="100" w:line="164" w:lineRule="exact"/>
              <w:rPr/>
            </w:pPr>
            <w:r>
              <w:rPr>
                <w:color w:val="231F20"/>
                <w:spacing w:val="-8"/>
                <w:position w:val="-1"/>
              </w:rPr>
              <w:t>0.46±0.10</w:t>
            </w:r>
          </w:p>
        </w:tc>
        <w:tc>
          <w:tcPr>
            <w:tcW w:w="12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2"/>
              <w:spacing w:before="100" w:line="164" w:lineRule="exact"/>
              <w:rPr/>
            </w:pPr>
            <w:r>
              <w:rPr>
                <w:color w:val="231F20"/>
                <w:spacing w:val="-8"/>
                <w:position w:val="-1"/>
              </w:rPr>
              <w:t>0.09±0.02</w:t>
            </w:r>
          </w:p>
        </w:tc>
      </w:tr>
      <w:tr>
        <w:trPr>
          <w:trHeight w:val="271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250"/>
              <w:spacing w:before="64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4"/>
              </w:rPr>
              <w:t>对照组</w:t>
            </w:r>
          </w:p>
        </w:tc>
        <w:tc>
          <w:tcPr>
            <w:tcW w:w="756" w:type="dxa"/>
            <w:vAlign w:val="top"/>
          </w:tcPr>
          <w:p>
            <w:pPr>
              <w:pStyle w:val="TableText"/>
              <w:ind w:left="289"/>
              <w:spacing w:before="88" w:line="161" w:lineRule="auto"/>
              <w:rPr/>
            </w:pPr>
            <w:r>
              <w:rPr>
                <w:color w:val="231F20"/>
                <w:spacing w:val="-6"/>
              </w:rPr>
              <w:t>31</w:t>
            </w:r>
          </w:p>
        </w:tc>
        <w:tc>
          <w:tcPr>
            <w:tcW w:w="1181" w:type="dxa"/>
            <w:vAlign w:val="top"/>
          </w:tcPr>
          <w:p>
            <w:pPr>
              <w:pStyle w:val="TableText"/>
              <w:ind w:left="224"/>
              <w:spacing w:before="88" w:line="161" w:lineRule="auto"/>
              <w:rPr/>
            </w:pPr>
            <w:r>
              <w:rPr>
                <w:color w:val="231F20"/>
                <w:spacing w:val="-9"/>
              </w:rPr>
              <w:t>13.52±2.61</w:t>
            </w:r>
          </w:p>
        </w:tc>
        <w:tc>
          <w:tcPr>
            <w:tcW w:w="1203" w:type="dxa"/>
            <w:vAlign w:val="top"/>
          </w:tcPr>
          <w:p>
            <w:pPr>
              <w:pStyle w:val="TableText"/>
              <w:ind w:left="262"/>
              <w:spacing w:before="88" w:line="161" w:lineRule="auto"/>
              <w:rPr/>
            </w:pPr>
            <w:r>
              <w:rPr>
                <w:color w:val="231F20"/>
                <w:spacing w:val="-10"/>
              </w:rPr>
              <w:t>7.82±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0"/>
              </w:rPr>
              <w:t>1.28</w:t>
            </w:r>
          </w:p>
        </w:tc>
        <w:tc>
          <w:tcPr>
            <w:tcW w:w="1528" w:type="dxa"/>
            <w:vAlign w:val="top"/>
          </w:tcPr>
          <w:p>
            <w:pPr>
              <w:pStyle w:val="TableText"/>
              <w:ind w:left="484"/>
              <w:spacing w:before="88" w:line="161" w:lineRule="auto"/>
              <w:rPr/>
            </w:pPr>
            <w:r>
              <w:rPr>
                <w:color w:val="231F20"/>
                <w:spacing w:val="-8"/>
              </w:rPr>
              <w:t>25.74±4.91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336"/>
              <w:spacing w:before="88" w:line="161" w:lineRule="auto"/>
              <w:rPr/>
            </w:pPr>
            <w:r>
              <w:rPr>
                <w:color w:val="231F20"/>
                <w:spacing w:val="-8"/>
              </w:rPr>
              <w:t>20.12±3.89</w:t>
            </w:r>
          </w:p>
        </w:tc>
        <w:tc>
          <w:tcPr>
            <w:tcW w:w="1376" w:type="dxa"/>
            <w:vAlign w:val="top"/>
          </w:tcPr>
          <w:p>
            <w:pPr>
              <w:pStyle w:val="TableText"/>
              <w:ind w:left="410"/>
              <w:spacing w:before="88" w:line="161" w:lineRule="auto"/>
              <w:rPr/>
            </w:pPr>
            <w:r>
              <w:rPr>
                <w:color w:val="231F20"/>
                <w:spacing w:val="-8"/>
              </w:rPr>
              <w:t>0.48±0.11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332"/>
              <w:spacing w:before="88" w:line="161" w:lineRule="auto"/>
              <w:rPr/>
            </w:pPr>
            <w:r>
              <w:rPr>
                <w:color w:val="231F20"/>
                <w:spacing w:val="-8"/>
              </w:rPr>
              <w:t>0.21±0.06</w:t>
            </w:r>
          </w:p>
        </w:tc>
      </w:tr>
      <w:tr>
        <w:trPr>
          <w:trHeight w:val="259" w:hRule="atLeast"/>
        </w:trPr>
        <w:tc>
          <w:tcPr>
            <w:tcW w:w="996" w:type="dxa"/>
            <w:vAlign w:val="top"/>
          </w:tcPr>
          <w:p>
            <w:pPr>
              <w:pStyle w:val="TableText"/>
              <w:ind w:left="462"/>
              <w:spacing w:before="84" w:line="165" w:lineRule="exact"/>
              <w:rPr/>
            </w:pPr>
            <w:r>
              <w:rPr>
                <w:color w:val="231F20"/>
              </w:rPr>
              <w:t>t</w:t>
            </w:r>
          </w:p>
        </w:tc>
        <w:tc>
          <w:tcPr>
            <w:tcW w:w="75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1" w:type="dxa"/>
            <w:vAlign w:val="top"/>
          </w:tcPr>
          <w:p>
            <w:pPr>
              <w:pStyle w:val="TableText"/>
              <w:ind w:left="393"/>
              <w:spacing w:before="79" w:line="158" w:lineRule="auto"/>
              <w:rPr/>
            </w:pPr>
            <w:r>
              <w:rPr>
                <w:color w:val="231F20"/>
                <w:spacing w:val="-6"/>
              </w:rPr>
              <w:t>0.413</w:t>
            </w:r>
          </w:p>
        </w:tc>
        <w:tc>
          <w:tcPr>
            <w:tcW w:w="1203" w:type="dxa"/>
            <w:vAlign w:val="top"/>
          </w:tcPr>
          <w:p>
            <w:pPr>
              <w:pStyle w:val="TableText"/>
              <w:ind w:left="379"/>
              <w:spacing w:before="79" w:line="158" w:lineRule="auto"/>
              <w:rPr/>
            </w:pPr>
            <w:r>
              <w:rPr>
                <w:color w:val="231F20"/>
                <w:spacing w:val="-9"/>
              </w:rPr>
              <w:t>12.220</w:t>
            </w:r>
          </w:p>
        </w:tc>
        <w:tc>
          <w:tcPr>
            <w:tcW w:w="1528" w:type="dxa"/>
            <w:vAlign w:val="top"/>
          </w:tcPr>
          <w:p>
            <w:pPr>
              <w:pStyle w:val="TableText"/>
              <w:ind w:left="666"/>
              <w:spacing w:before="79" w:line="158" w:lineRule="auto"/>
              <w:rPr/>
            </w:pPr>
            <w:r>
              <w:rPr>
                <w:color w:val="231F20"/>
                <w:spacing w:val="-6"/>
              </w:rPr>
              <w:t>0.074</w:t>
            </w:r>
          </w:p>
        </w:tc>
        <w:tc>
          <w:tcPr>
            <w:tcW w:w="1303" w:type="dxa"/>
            <w:vAlign w:val="top"/>
          </w:tcPr>
          <w:p>
            <w:pPr>
              <w:pStyle w:val="TableText"/>
              <w:ind w:left="516"/>
              <w:spacing w:before="79" w:line="158" w:lineRule="auto"/>
              <w:rPr/>
            </w:pPr>
            <w:r>
              <w:rPr>
                <w:color w:val="231F20"/>
                <w:spacing w:val="-5"/>
              </w:rPr>
              <w:t>4.394</w:t>
            </w:r>
          </w:p>
        </w:tc>
        <w:tc>
          <w:tcPr>
            <w:tcW w:w="1376" w:type="dxa"/>
            <w:vAlign w:val="top"/>
          </w:tcPr>
          <w:p>
            <w:pPr>
              <w:pStyle w:val="TableText"/>
              <w:ind w:left="552"/>
              <w:spacing w:before="79" w:line="158" w:lineRule="auto"/>
              <w:rPr/>
            </w:pPr>
            <w:r>
              <w:rPr>
                <w:color w:val="231F20"/>
                <w:spacing w:val="-6"/>
              </w:rPr>
              <w:t>0.737</w:t>
            </w:r>
          </w:p>
        </w:tc>
        <w:tc>
          <w:tcPr>
            <w:tcW w:w="1294" w:type="dxa"/>
            <w:vAlign w:val="top"/>
          </w:tcPr>
          <w:p>
            <w:pPr>
              <w:pStyle w:val="TableText"/>
              <w:ind w:left="449"/>
              <w:spacing w:before="79" w:line="158" w:lineRule="auto"/>
              <w:rPr/>
            </w:pPr>
            <w:r>
              <w:rPr>
                <w:color w:val="231F20"/>
                <w:spacing w:val="-9"/>
              </w:rPr>
              <w:t>10.392</w:t>
            </w:r>
          </w:p>
        </w:tc>
      </w:tr>
      <w:tr>
        <w:trPr>
          <w:trHeight w:val="294" w:hRule="atLeast"/>
        </w:trPr>
        <w:tc>
          <w:tcPr>
            <w:tcW w:w="99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7"/>
              <w:spacing w:before="85" w:line="165" w:lineRule="auto"/>
              <w:rPr/>
            </w:pPr>
            <w:r>
              <w:rPr>
                <w:color w:val="231F20"/>
                <w:spacing w:val="6"/>
              </w:rPr>
              <w:t>P</w:t>
            </w:r>
          </w:p>
        </w:tc>
        <w:tc>
          <w:tcPr>
            <w:tcW w:w="75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3"/>
              <w:spacing w:before="80" w:line="190" w:lineRule="auto"/>
              <w:rPr/>
            </w:pPr>
            <w:r>
              <w:rPr>
                <w:color w:val="231F20"/>
                <w:spacing w:val="-6"/>
              </w:rPr>
              <w:t>0.681</w:t>
            </w:r>
          </w:p>
        </w:tc>
        <w:tc>
          <w:tcPr>
            <w:tcW w:w="12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5"/>
              <w:spacing w:before="80" w:line="190" w:lineRule="auto"/>
              <w:rPr/>
            </w:pPr>
            <w:r>
              <w:rPr>
                <w:color w:val="231F20"/>
                <w:spacing w:val="-9"/>
              </w:rPr>
              <w:t>&lt;0.001</w:t>
            </w:r>
          </w:p>
        </w:tc>
        <w:tc>
          <w:tcPr>
            <w:tcW w:w="15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66"/>
              <w:spacing w:before="80" w:line="190" w:lineRule="auto"/>
              <w:rPr/>
            </w:pPr>
            <w:r>
              <w:rPr>
                <w:color w:val="231F20"/>
                <w:spacing w:val="-6"/>
              </w:rPr>
              <w:t>0.942</w:t>
            </w:r>
          </w:p>
        </w:tc>
        <w:tc>
          <w:tcPr>
            <w:tcW w:w="13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76"/>
              <w:spacing w:before="80" w:line="190" w:lineRule="auto"/>
              <w:rPr/>
            </w:pPr>
            <w:r>
              <w:rPr>
                <w:color w:val="231F20"/>
                <w:spacing w:val="-9"/>
              </w:rPr>
              <w:t>&lt;0.001</w:t>
            </w:r>
          </w:p>
        </w:tc>
        <w:tc>
          <w:tcPr>
            <w:tcW w:w="137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52"/>
              <w:spacing w:before="80" w:line="190" w:lineRule="auto"/>
              <w:rPr/>
            </w:pPr>
            <w:r>
              <w:rPr>
                <w:color w:val="231F20"/>
                <w:spacing w:val="-6"/>
              </w:rPr>
              <w:t>0.464</w:t>
            </w:r>
          </w:p>
        </w:tc>
        <w:tc>
          <w:tcPr>
            <w:tcW w:w="129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5"/>
              <w:spacing w:before="80" w:line="190" w:lineRule="auto"/>
              <w:rPr/>
            </w:pPr>
            <w:r>
              <w:rPr>
                <w:color w:val="231F20"/>
                <w:spacing w:val="-9"/>
              </w:rPr>
              <w:t>&lt;0.001</w:t>
            </w:r>
          </w:p>
        </w:tc>
      </w:tr>
    </w:tbl>
    <w:p>
      <w:pPr>
        <w:spacing w:line="171" w:lineRule="exact"/>
        <w:rPr>
          <w:rFonts w:ascii="Arial"/>
          <w:sz w:val="14"/>
        </w:rPr>
      </w:pPr>
      <w:r/>
    </w:p>
    <w:p>
      <w:pPr>
        <w:spacing w:line="171" w:lineRule="exact"/>
        <w:sectPr>
          <w:type w:val="continuous"/>
          <w:pgSz w:w="12075" w:h="16836"/>
          <w:pgMar w:top="1367" w:right="1098" w:bottom="0" w:left="407" w:header="996" w:footer="0" w:gutter="0"/>
          <w:cols w:equalWidth="0" w:num="1">
            <w:col w:w="10568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pStyle w:val="BodyText"/>
        <w:ind w:left="872" w:right="253" w:firstLine="4"/>
        <w:spacing w:before="47" w:line="221" w:lineRule="auto"/>
        <w:jc w:val="both"/>
        <w:rPr/>
      </w:pPr>
      <w:r>
        <w:rPr>
          <w:color w:val="231F20"/>
          <w:spacing w:val="6"/>
        </w:rPr>
        <w:t>对照组出现</w:t>
      </w:r>
      <w:r>
        <w:rPr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6"/>
          <w:position w:val="-1"/>
        </w:rPr>
        <w:t>1 </w:t>
      </w:r>
      <w:r>
        <w:rPr>
          <w:color w:val="231F20"/>
          <w:spacing w:val="6"/>
        </w:rPr>
        <w:t>例头晕，两组不良反应症状均较轻，经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对症处理症状基本消失，期间并未做停药处理，两组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不良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8"/>
        </w:rPr>
        <w:t>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应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总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发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率 比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较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，差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无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计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学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义（</w:t>
      </w:r>
      <w:r>
        <w:rPr>
          <w:sz w:val="20"/>
          <w:szCs w:val="20"/>
          <w:color w:val="231F20"/>
          <w:spacing w:val="-8"/>
        </w:rPr>
        <w:t>P＞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4"/>
          <w:w w:val="99"/>
        </w:rPr>
        <w:t>0.05</w:t>
      </w:r>
      <w:r>
        <w:rPr>
          <w:color w:val="231F20"/>
          <w:spacing w:val="-24"/>
          <w:w w:val="99"/>
        </w:rPr>
        <w:t>）。</w:t>
      </w:r>
    </w:p>
    <w:p>
      <w:pPr>
        <w:pStyle w:val="BodyText"/>
        <w:ind w:left="874"/>
        <w:spacing w:line="202" w:lineRule="auto"/>
        <w:outlineLvl w:val="0"/>
        <w:rPr/>
      </w:pPr>
      <w:r>
        <w:rPr>
          <w:sz w:val="20"/>
          <w:szCs w:val="20"/>
          <w:color w:val="231F20"/>
          <w:spacing w:val="3"/>
        </w:rPr>
        <w:t>3</w:t>
      </w:r>
      <w:r>
        <w:rPr>
          <w:sz w:val="20"/>
          <w:szCs w:val="20"/>
          <w:color w:val="231F20"/>
          <w:spacing w:val="13"/>
        </w:rPr>
        <w:t xml:space="preserve">   </w:t>
      </w:r>
      <w:r>
        <w:rPr>
          <w:color w:val="231F20"/>
          <w:spacing w:val="3"/>
        </w:rPr>
        <w:t>讨论</w:t>
      </w:r>
    </w:p>
    <w:p>
      <w:pPr>
        <w:pStyle w:val="BodyText"/>
        <w:ind w:left="875" w:right="253" w:firstLine="458"/>
        <w:spacing w:before="13" w:line="223" w:lineRule="auto"/>
        <w:jc w:val="both"/>
        <w:rPr/>
      </w:pPr>
      <w:r>
        <w:rPr>
          <w:color w:val="231F20"/>
          <w:spacing w:val="7"/>
        </w:rPr>
        <w:t>目前，蒙脱石散是常用于儿童的常见止泻药，属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于一类矿物质，能较好吸附病原体，并通过肠道</w:t>
      </w:r>
      <w:r>
        <w:rPr>
          <w:color w:val="231F20"/>
          <w:spacing w:val="9"/>
        </w:rPr>
        <w:t>蠕动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将病原体排出体外；同时，能通过在肠道黏膜覆</w:t>
      </w:r>
      <w:r>
        <w:rPr>
          <w:color w:val="231F20"/>
          <w:spacing w:val="9"/>
        </w:rPr>
        <w:t>盖而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与黏液糖蛋白结合，对胃肠黏液起到调节作用，</w:t>
      </w:r>
      <w:r>
        <w:rPr>
          <w:color w:val="231F20"/>
          <w:spacing w:val="9"/>
        </w:rPr>
        <w:t>以修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复受损消化道黏膜上皮组织，促进上皮组织再生</w:t>
      </w:r>
      <w:r>
        <w:rPr>
          <w:color w:val="231F20"/>
          <w:spacing w:val="9"/>
        </w:rPr>
        <w:t>，进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而强化胃肠道黏膜屏障，起到保护胃肠功能作用</w:t>
      </w:r>
      <w:r>
        <w:rPr>
          <w:color w:val="231F20"/>
          <w:spacing w:val="9"/>
        </w:rPr>
        <w:t>；此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外，本品还兼备强化肠道黏膜细胞吸附能力，以</w:t>
      </w:r>
      <w:r>
        <w:rPr>
          <w:color w:val="231F20"/>
          <w:spacing w:val="9"/>
        </w:rPr>
        <w:t>避免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水电解质过度流失</w:t>
      </w:r>
      <w:r>
        <w:rPr>
          <w:color w:val="231F20"/>
          <w:spacing w:val="6"/>
          <w:position w:val="-1"/>
        </w:rPr>
        <w:t>，</w:t>
      </w:r>
      <w:r>
        <w:rPr>
          <w:color w:val="231F20"/>
          <w:spacing w:val="6"/>
        </w:rPr>
        <w:t>便于患儿进食</w:t>
      </w:r>
      <w:r>
        <w:rPr>
          <w:sz w:val="10"/>
          <w:szCs w:val="10"/>
          <w:color w:val="231F20"/>
          <w:spacing w:val="6"/>
          <w:position w:val="6"/>
        </w:rPr>
        <w:t>［</w:t>
      </w:r>
      <w:r>
        <w:rPr>
          <w:sz w:val="11"/>
          <w:szCs w:val="11"/>
          <w:color w:val="231F20"/>
          <w:spacing w:val="6"/>
          <w:position w:val="6"/>
        </w:rPr>
        <w:t>5</w:t>
      </w:r>
      <w:r>
        <w:rPr>
          <w:sz w:val="10"/>
          <w:szCs w:val="10"/>
          <w:color w:val="231F20"/>
          <w:spacing w:val="6"/>
          <w:position w:val="6"/>
        </w:rPr>
        <w:t>］</w:t>
      </w:r>
      <w:r>
        <w:rPr>
          <w:color w:val="231F20"/>
          <w:spacing w:val="6"/>
          <w:position w:val="-1"/>
        </w:rPr>
        <w:t>。</w:t>
      </w:r>
      <w:r>
        <w:rPr>
          <w:color w:val="231F20"/>
          <w:spacing w:val="6"/>
        </w:rPr>
        <w:t>但本品尚不具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0"/>
        </w:rPr>
        <w:t>备解痉功效，临床单用疗效欠佳。常见益生菌制</w:t>
      </w:r>
      <w:r>
        <w:rPr>
          <w:color w:val="231F20"/>
          <w:spacing w:val="9"/>
        </w:rPr>
        <w:t>品有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双歧杆菌四联活菌片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8"/>
        </w:rPr>
        <w:t>，其是一种包含含有以婴儿双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5" w:firstLine="73"/>
        <w:spacing w:before="39" w:line="225" w:lineRule="auto"/>
        <w:jc w:val="both"/>
        <w:rPr/>
      </w:pPr>
      <w:r>
        <w:rPr>
          <w:color w:val="231F20"/>
          <w:spacing w:val="6"/>
        </w:rPr>
        <w:t>歧杆菌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、嗜酸乳酸杆菌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、粪肠球菌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、蜡样芽孢杆菌为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主的益生菌制剂，能调节肠道菌群平衡，抑制有害病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原菌，并保护消化道黏膜上皮组织，促使肠道屏障功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7"/>
        </w:rPr>
        <w:t>能增强</w:t>
      </w:r>
      <w:r>
        <w:rPr>
          <w:sz w:val="10"/>
          <w:szCs w:val="10"/>
          <w:color w:val="231F20"/>
          <w:spacing w:val="17"/>
          <w:position w:val="6"/>
        </w:rPr>
        <w:t>［</w:t>
      </w:r>
      <w:r>
        <w:rPr>
          <w:sz w:val="11"/>
          <w:szCs w:val="11"/>
          <w:color w:val="231F20"/>
          <w:spacing w:val="17"/>
          <w:position w:val="6"/>
        </w:rPr>
        <w:t>6</w:t>
      </w:r>
      <w:r>
        <w:rPr>
          <w:sz w:val="10"/>
          <w:szCs w:val="10"/>
          <w:color w:val="231F20"/>
          <w:spacing w:val="17"/>
          <w:position w:val="6"/>
        </w:rPr>
        <w:t>］</w:t>
      </w:r>
      <w:r>
        <w:rPr>
          <w:color w:val="231F20"/>
          <w:spacing w:val="17"/>
          <w:position w:val="-1"/>
        </w:rPr>
        <w:t>。</w:t>
      </w:r>
      <w:r>
        <w:rPr>
          <w:color w:val="231F20"/>
          <w:spacing w:val="17"/>
        </w:rPr>
        <w:t>炎琥宁属于以穿心莲提取物为主的中药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3"/>
        </w:rPr>
        <w:t>注射剂，能强化机体阻止病毒侵袭的应急能力，提高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1"/>
        </w:rPr>
        <w:t>机体免疫功能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1"/>
        </w:rPr>
        <w:t>，对肌苷酸向鸟苷酸转变机制起到拮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抗作用，以抑制病毒内 </w:t>
      </w:r>
      <w:r>
        <w:rPr>
          <w:sz w:val="20"/>
          <w:szCs w:val="20"/>
          <w:color w:val="231F20"/>
        </w:rPr>
        <w:t>RNA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color w:val="231F20"/>
          <w:spacing w:val="5"/>
        </w:rPr>
        <w:t>或 </w:t>
      </w:r>
      <w:r>
        <w:rPr>
          <w:sz w:val="20"/>
          <w:szCs w:val="20"/>
          <w:color w:val="231F20"/>
          <w:position w:val="-1"/>
        </w:rPr>
        <w:t>DNA</w:t>
      </w:r>
      <w:r>
        <w:rPr>
          <w:sz w:val="20"/>
          <w:szCs w:val="20"/>
          <w:color w:val="231F20"/>
          <w:spacing w:val="26"/>
          <w:position w:val="-1"/>
        </w:rPr>
        <w:t xml:space="preserve"> </w:t>
      </w:r>
      <w:r>
        <w:rPr>
          <w:color w:val="231F20"/>
          <w:spacing w:val="5"/>
        </w:rPr>
        <w:t>的合成，起到抗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病毒和清热解毒的功效</w:t>
      </w:r>
      <w:r>
        <w:rPr>
          <w:sz w:val="10"/>
          <w:szCs w:val="10"/>
          <w:color w:val="231F20"/>
          <w:spacing w:val="9"/>
          <w:position w:val="6"/>
        </w:rPr>
        <w:t>［</w:t>
      </w:r>
      <w:r>
        <w:rPr>
          <w:sz w:val="11"/>
          <w:szCs w:val="11"/>
          <w:color w:val="231F20"/>
          <w:spacing w:val="9"/>
          <w:position w:val="6"/>
        </w:rPr>
        <w:t>7</w:t>
      </w:r>
      <w:r>
        <w:rPr>
          <w:sz w:val="10"/>
          <w:szCs w:val="10"/>
          <w:color w:val="231F20"/>
          <w:spacing w:val="9"/>
          <w:position w:val="6"/>
        </w:rPr>
        <w:t>］</w:t>
      </w:r>
      <w:r>
        <w:rPr>
          <w:color w:val="231F20"/>
          <w:spacing w:val="9"/>
          <w:position w:val="-1"/>
        </w:rPr>
        <w:t>。</w:t>
      </w:r>
      <w:r>
        <w:rPr>
          <w:color w:val="231F20"/>
          <w:spacing w:val="9"/>
        </w:rPr>
        <w:t>本文研究结果显示</w:t>
      </w:r>
      <w:r>
        <w:rPr>
          <w:color w:val="231F20"/>
          <w:spacing w:val="9"/>
          <w:position w:val="-1"/>
        </w:rPr>
        <w:t>，</w:t>
      </w:r>
      <w:r>
        <w:rPr>
          <w:color w:val="231F20"/>
          <w:spacing w:val="9"/>
        </w:rPr>
        <w:t>选择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炎琥宁联合蒙脱石散、益生菌治疗小儿急性肠胃炎能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取得较高治疗总有效率（</w:t>
      </w:r>
      <w:r>
        <w:rPr>
          <w:sz w:val="20"/>
          <w:szCs w:val="20"/>
          <w:color w:val="231F20"/>
          <w:spacing w:val="5"/>
        </w:rPr>
        <w:t>P＜0.05</w:t>
      </w:r>
      <w:r>
        <w:rPr>
          <w:color w:val="231F20"/>
          <w:spacing w:val="-29"/>
          <w:w w:val="64"/>
        </w:rPr>
        <w:t>），</w:t>
      </w:r>
      <w:r>
        <w:rPr>
          <w:color w:val="231F20"/>
          <w:spacing w:val="5"/>
        </w:rPr>
        <w:t>且患儿的退热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、止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吐、止泻、止腹痛及大便性状正常的时间有明显缩短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（</w:t>
      </w:r>
      <w:r>
        <w:rPr>
          <w:sz w:val="20"/>
          <w:szCs w:val="20"/>
          <w:color w:val="231F20"/>
          <w:spacing w:val="3"/>
        </w:rPr>
        <w:t>P＜0.05</w:t>
      </w:r>
      <w:r>
        <w:rPr>
          <w:color w:val="231F20"/>
          <w:spacing w:val="-26"/>
          <w:w w:val="58"/>
        </w:rPr>
        <w:t>），</w:t>
      </w:r>
      <w:r>
        <w:rPr>
          <w:color w:val="231F20"/>
          <w:spacing w:val="3"/>
        </w:rPr>
        <w:t>效果优于蒙脱石散、益生菌联合治</w:t>
      </w:r>
      <w:r>
        <w:rPr>
          <w:color w:val="231F20"/>
          <w:spacing w:val="2"/>
        </w:rPr>
        <w:t>疗。</w:t>
      </w:r>
    </w:p>
    <w:p>
      <w:pPr>
        <w:pStyle w:val="BodyText"/>
        <w:ind w:left="72" w:right="60" w:firstLine="420"/>
        <w:spacing w:line="205" w:lineRule="auto"/>
        <w:jc w:val="both"/>
        <w:rPr>
          <w:sz w:val="20"/>
          <w:szCs w:val="20"/>
        </w:rPr>
      </w:pPr>
      <w:r>
        <w:rPr>
          <w:color w:val="231F20"/>
          <w:spacing w:val="9"/>
        </w:rPr>
        <w:t>其次，据相关研究发现，炎症感染贯穿于小儿急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性肠胃炎的整个发病过程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8"/>
        </w:rPr>
        <w:t>，会打破机体免疫功能平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衡</w:t>
      </w:r>
      <w:r>
        <w:rPr>
          <w:color w:val="231F20"/>
          <w:spacing w:val="12"/>
          <w:position w:val="-1"/>
        </w:rPr>
        <w:t>，</w:t>
      </w:r>
      <w:r>
        <w:rPr>
          <w:color w:val="231F20"/>
          <w:spacing w:val="12"/>
        </w:rPr>
        <w:t>加重机体和胃肠黏膜的急性炎症反应</w:t>
      </w:r>
      <w:r>
        <w:rPr>
          <w:sz w:val="10"/>
          <w:szCs w:val="10"/>
          <w:color w:val="231F20"/>
          <w:spacing w:val="12"/>
          <w:position w:val="6"/>
        </w:rPr>
        <w:t>［</w:t>
      </w:r>
      <w:r>
        <w:rPr>
          <w:sz w:val="11"/>
          <w:szCs w:val="11"/>
          <w:color w:val="231F20"/>
          <w:spacing w:val="12"/>
          <w:position w:val="6"/>
        </w:rPr>
        <w:t>8-9</w:t>
      </w:r>
      <w:r>
        <w:rPr>
          <w:sz w:val="10"/>
          <w:szCs w:val="10"/>
          <w:color w:val="231F20"/>
          <w:spacing w:val="12"/>
          <w:position w:val="6"/>
        </w:rPr>
        <w:t>］</w:t>
      </w:r>
      <w:r>
        <w:rPr>
          <w:color w:val="231F20"/>
          <w:spacing w:val="12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>hs</w:t>
      </w:r>
      <w:r>
        <w:rPr>
          <w:sz w:val="20"/>
          <w:szCs w:val="20"/>
          <w:color w:val="231F20"/>
          <w:spacing w:val="12"/>
          <w:position w:val="-1"/>
        </w:rPr>
        <w:t>-</w:t>
      </w:r>
    </w:p>
    <w:p>
      <w:pPr>
        <w:spacing w:line="205" w:lineRule="auto"/>
        <w:sectPr>
          <w:type w:val="continuous"/>
          <w:pgSz w:w="12075" w:h="16836"/>
          <w:pgMar w:top="1367" w:right="1098" w:bottom="0" w:left="407" w:header="996" w:footer="0" w:gutter="0"/>
          <w:cols w:equalWidth="0" w:num="2">
            <w:col w:w="5729" w:space="100"/>
            <w:col w:w="4739" w:space="0"/>
          </w:cols>
        </w:sectPr>
        <w:rPr>
          <w:sz w:val="20"/>
          <w:szCs w:val="20"/>
        </w:rPr>
      </w:pPr>
    </w:p>
    <w:p>
      <w:pPr>
        <w:spacing w:line="173" w:lineRule="exact"/>
        <w:rPr/>
      </w:pPr>
      <w:r/>
    </w:p>
    <w:p>
      <w:pPr>
        <w:spacing w:line="173" w:lineRule="exact"/>
        <w:sectPr>
          <w:headerReference w:type="default" r:id="rId3"/>
          <w:pgSz w:w="12075" w:h="16836"/>
          <w:pgMar w:top="1365" w:right="1271" w:bottom="0" w:left="407" w:header="978" w:footer="0" w:gutter="0"/>
          <w:cols w:equalWidth="0" w:num="1">
            <w:col w:w="10395" w:space="0"/>
          </w:cols>
        </w:sectPr>
        <w:rPr/>
      </w:pPr>
    </w:p>
    <w:p>
      <w:pPr>
        <w:pStyle w:val="BodyText"/>
        <w:ind w:left="759" w:right="197" w:firstLine="4"/>
        <w:spacing w:before="49" w:line="223" w:lineRule="auto"/>
        <w:jc w:val="both"/>
        <w:rPr/>
      </w:pP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color w:val="231F20"/>
          <w:spacing w:val="19"/>
        </w:rPr>
        <w:t>是反映机体内环境炎症反应的典型炎症指标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9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用于小儿机体炎症反应程度诊断具有较高灵敏性</w:t>
      </w:r>
      <w:r>
        <w:rPr>
          <w:sz w:val="10"/>
          <w:szCs w:val="10"/>
          <w:color w:val="231F20"/>
          <w:spacing w:val="6"/>
          <w:position w:val="6"/>
        </w:rPr>
        <w:t>［</w:t>
      </w:r>
      <w:r>
        <w:rPr>
          <w:sz w:val="11"/>
          <w:szCs w:val="11"/>
          <w:color w:val="231F20"/>
          <w:spacing w:val="6"/>
          <w:position w:val="6"/>
        </w:rPr>
        <w:t>10</w:t>
      </w:r>
      <w:r>
        <w:rPr>
          <w:sz w:val="10"/>
          <w:szCs w:val="10"/>
          <w:color w:val="231F20"/>
          <w:spacing w:val="6"/>
          <w:position w:val="6"/>
        </w:rPr>
        <w:t>］</w:t>
      </w:r>
      <w:r>
        <w:rPr>
          <w:color w:val="231F20"/>
          <w:spacing w:val="6"/>
          <w:position w:val="-1"/>
        </w:rPr>
        <w:t>。</w:t>
      </w:r>
      <w:r>
        <w:rPr>
          <w:color w:val="231F20"/>
          <w:spacing w:val="14"/>
          <w:position w:val="-1"/>
        </w:rPr>
        <w:t xml:space="preserve"> </w:t>
      </w:r>
      <w:r>
        <w:rPr>
          <w:color w:val="231F20"/>
          <w:spacing w:val="7"/>
        </w:rPr>
        <w:t>在炎症起始阶段中，</w:t>
      </w:r>
      <w:r>
        <w:rPr>
          <w:sz w:val="20"/>
          <w:szCs w:val="20"/>
          <w:color w:val="231F20"/>
        </w:rPr>
        <w:t>IL</w:t>
      </w:r>
      <w:r>
        <w:rPr>
          <w:sz w:val="20"/>
          <w:szCs w:val="20"/>
          <w:color w:val="231F20"/>
          <w:spacing w:val="7"/>
        </w:rPr>
        <w:t>-6 </w:t>
      </w:r>
      <w:r>
        <w:rPr>
          <w:color w:val="231F20"/>
          <w:spacing w:val="7"/>
        </w:rPr>
        <w:t>属于重要致炎效应细胞，参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8"/>
        </w:rPr>
        <w:t>与机体炎症反应病理机制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8"/>
        </w:rPr>
        <w:t>，且随着机体炎症反应加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剧</w:t>
      </w:r>
      <w:r>
        <w:rPr>
          <w:color w:val="231F20"/>
          <w:spacing w:val="1"/>
          <w:position w:val="-1"/>
        </w:rPr>
        <w:t>，</w:t>
      </w:r>
      <w:r>
        <w:rPr>
          <w:color w:val="231F20"/>
          <w:spacing w:val="1"/>
        </w:rPr>
        <w:t>该指标呈升高趋势发展</w:t>
      </w:r>
      <w:r>
        <w:rPr>
          <w:sz w:val="10"/>
          <w:szCs w:val="10"/>
          <w:color w:val="231F20"/>
          <w:spacing w:val="1"/>
          <w:position w:val="6"/>
        </w:rPr>
        <w:t>［</w:t>
      </w:r>
      <w:r>
        <w:rPr>
          <w:sz w:val="11"/>
          <w:szCs w:val="11"/>
          <w:color w:val="231F20"/>
          <w:spacing w:val="1"/>
          <w:position w:val="6"/>
        </w:rPr>
        <w:t>11</w:t>
      </w:r>
      <w:r>
        <w:rPr>
          <w:sz w:val="10"/>
          <w:szCs w:val="10"/>
          <w:color w:val="231F20"/>
          <w:spacing w:val="1"/>
          <w:position w:val="6"/>
        </w:rPr>
        <w:t>］</w:t>
      </w:r>
      <w:r>
        <w:rPr>
          <w:color w:val="231F20"/>
          <w:spacing w:val="1"/>
          <w:position w:val="-1"/>
        </w:rPr>
        <w:t>。</w:t>
      </w:r>
      <w:r>
        <w:rPr>
          <w:sz w:val="20"/>
          <w:szCs w:val="20"/>
          <w:color w:val="231F20"/>
        </w:rPr>
        <w:t>PCT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color w:val="231F20"/>
          <w:spacing w:val="1"/>
        </w:rPr>
        <w:t>作为评估小儿全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身炎症反应的重要指标之一，具有良好稳定性，一旦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机体出现炎症反应</w:t>
      </w:r>
      <w:r>
        <w:rPr>
          <w:color w:val="231F20"/>
          <w:spacing w:val="-1"/>
          <w:position w:val="-1"/>
        </w:rPr>
        <w:t>，</w:t>
      </w:r>
      <w:r>
        <w:rPr>
          <w:color w:val="231F20"/>
          <w:spacing w:val="-1"/>
        </w:rPr>
        <w:t>则 </w:t>
      </w:r>
      <w:r>
        <w:rPr>
          <w:sz w:val="20"/>
          <w:szCs w:val="20"/>
          <w:color w:val="231F20"/>
          <w:spacing w:val="-1"/>
        </w:rPr>
        <w:t>PCT </w:t>
      </w:r>
      <w:r>
        <w:rPr>
          <w:color w:val="231F20"/>
          <w:spacing w:val="-1"/>
        </w:rPr>
        <w:t>呈高表达</w:t>
      </w:r>
      <w:r>
        <w:rPr>
          <w:sz w:val="10"/>
          <w:szCs w:val="10"/>
          <w:color w:val="231F20"/>
          <w:spacing w:val="-1"/>
          <w:position w:val="6"/>
        </w:rPr>
        <w:t>［</w:t>
      </w:r>
      <w:r>
        <w:rPr>
          <w:sz w:val="11"/>
          <w:szCs w:val="11"/>
          <w:color w:val="231F20"/>
          <w:spacing w:val="-1"/>
          <w:position w:val="6"/>
        </w:rPr>
        <w:t>12</w:t>
      </w:r>
      <w:r>
        <w:rPr>
          <w:sz w:val="10"/>
          <w:szCs w:val="10"/>
          <w:color w:val="231F20"/>
          <w:spacing w:val="-1"/>
          <w:position w:val="6"/>
        </w:rPr>
        <w:t>］</w:t>
      </w:r>
      <w:r>
        <w:rPr>
          <w:color w:val="231F20"/>
          <w:spacing w:val="-1"/>
          <w:position w:val="-1"/>
        </w:rPr>
        <w:t>。</w:t>
      </w:r>
      <w:r>
        <w:rPr>
          <w:color w:val="231F20"/>
          <w:spacing w:val="-1"/>
        </w:rPr>
        <w:t>本研究结果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0"/>
        </w:rPr>
        <w:t>显示，经以上三种药物联合治疗后，观察组患儿的血</w:t>
      </w:r>
      <w:r>
        <w:rPr>
          <w:color w:val="231F20"/>
        </w:rPr>
        <w:t xml:space="preserve">  </w:t>
      </w:r>
      <w:r>
        <w:rPr>
          <w:color w:val="231F20"/>
        </w:rPr>
        <w:t>清 </w:t>
      </w:r>
      <w:r>
        <w:rPr>
          <w:sz w:val="20"/>
          <w:szCs w:val="20"/>
          <w:color w:val="231F20"/>
        </w:rPr>
        <w:t>hs-CRP</w:t>
      </w:r>
      <w:r>
        <w:rPr>
          <w:color w:val="231F20"/>
        </w:rPr>
        <w:t>、</w:t>
      </w:r>
      <w:r>
        <w:rPr>
          <w:sz w:val="20"/>
          <w:szCs w:val="20"/>
          <w:color w:val="231F20"/>
        </w:rPr>
        <w:t>IL-6 </w:t>
      </w:r>
      <w:r>
        <w:rPr>
          <w:color w:val="231F20"/>
        </w:rPr>
        <w:t>及 </w:t>
      </w:r>
      <w:r>
        <w:rPr>
          <w:sz w:val="20"/>
          <w:szCs w:val="20"/>
          <w:color w:val="231F20"/>
        </w:rPr>
        <w:t>PCT </w:t>
      </w:r>
      <w:r>
        <w:rPr>
          <w:color w:val="231F20"/>
        </w:rPr>
        <w:t>水平均显著低于对照组（</w:t>
      </w:r>
      <w:r>
        <w:rPr>
          <w:sz w:val="20"/>
          <w:szCs w:val="20"/>
          <w:color w:val="231F20"/>
        </w:rPr>
        <w:t>P&lt;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17"/>
        </w:rPr>
        <w:t>0.05</w:t>
      </w:r>
      <w:r>
        <w:rPr>
          <w:color w:val="231F20"/>
          <w:spacing w:val="-26"/>
          <w:w w:val="58"/>
        </w:rPr>
        <w:t>），</w:t>
      </w:r>
      <w:r>
        <w:rPr>
          <w:color w:val="231F20"/>
          <w:spacing w:val="17"/>
        </w:rPr>
        <w:t>提示炎琥宁联合蒙脱石散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7"/>
        </w:rPr>
        <w:t>、双歧三联活</w:t>
      </w:r>
      <w:r>
        <w:rPr>
          <w:color w:val="231F20"/>
          <w:spacing w:val="16"/>
        </w:rPr>
        <w:t>菌片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治疗能有效减轻小儿急性胃肠炎的机体炎症反应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进而改善患儿的预后。最后，本文中加予炎琥宁治疗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后，急性胃肠炎患儿仅出现</w:t>
      </w:r>
      <w:r>
        <w:rPr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7"/>
          <w:position w:val="-1"/>
        </w:rPr>
        <w:t>1 </w:t>
      </w:r>
      <w:r>
        <w:rPr>
          <w:color w:val="231F20"/>
          <w:spacing w:val="7"/>
        </w:rPr>
        <w:t>例轻度皮疹</w:t>
      </w:r>
      <w:r>
        <w:rPr>
          <w:color w:val="231F20"/>
          <w:spacing w:val="6"/>
        </w:rPr>
        <w:t>病例，与两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药联合组的不良反应总发生率无显著性差异，提示本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次联合用药方案治疗小儿急性胃肠炎并未增加药物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不良反应，用药安全性较高，可积极用于儿科治疗中。</w:t>
      </w:r>
    </w:p>
    <w:p>
      <w:pPr>
        <w:pStyle w:val="BodyText"/>
        <w:ind w:left="764" w:right="275" w:firstLine="417"/>
        <w:spacing w:line="232" w:lineRule="auto"/>
        <w:jc w:val="both"/>
        <w:rPr/>
      </w:pPr>
      <w:r>
        <w:rPr>
          <w:color w:val="231F20"/>
          <w:spacing w:val="9"/>
        </w:rPr>
        <w:t>综上所述，炎琥宁联合蒙脱石散、双歧杆菌四联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活菌片治疗小儿急性胃肠炎疗效显著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7"/>
        </w:rPr>
        <w:t>，能明显促进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临床相关症状恢复，改善血清胃肠激素水平</w:t>
      </w:r>
      <w:r>
        <w:rPr>
          <w:color w:val="231F20"/>
          <w:spacing w:val="9"/>
        </w:rPr>
        <w:t>，调节机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体免疫功能。</w:t>
      </w:r>
    </w:p>
    <w:p>
      <w:pPr>
        <w:pStyle w:val="BodyText"/>
        <w:ind w:left="767"/>
        <w:spacing w:before="300" w:line="198" w:lineRule="auto"/>
        <w:rPr/>
      </w:pPr>
      <w:r>
        <w:rPr>
          <w:color w:val="231F20"/>
          <w:spacing w:val="10"/>
        </w:rPr>
        <w:t>参考文献：</w:t>
      </w:r>
    </w:p>
    <w:p>
      <w:pPr>
        <w:pStyle w:val="BodyText"/>
        <w:ind w:left="710"/>
        <w:spacing w:before="40" w:line="19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3"/>
        </w:rPr>
        <w:t>［</w:t>
      </w:r>
      <w:r>
        <w:rPr>
          <w:sz w:val="15"/>
          <w:szCs w:val="15"/>
          <w:color w:val="231F20"/>
          <w:spacing w:val="13"/>
        </w:rPr>
        <w:t>1</w:t>
      </w:r>
      <w:r>
        <w:rPr>
          <w:sz w:val="14"/>
          <w:szCs w:val="14"/>
          <w:color w:val="231F20"/>
          <w:spacing w:val="13"/>
        </w:rPr>
        <w:t>］孟祥会</w:t>
      </w:r>
      <w:r>
        <w:rPr>
          <w:sz w:val="15"/>
          <w:szCs w:val="15"/>
          <w:color w:val="231F20"/>
          <w:spacing w:val="13"/>
          <w:position w:val="-1"/>
        </w:rPr>
        <w:t>,</w:t>
      </w:r>
      <w:r>
        <w:rPr>
          <w:sz w:val="14"/>
          <w:szCs w:val="14"/>
          <w:color w:val="231F20"/>
          <w:spacing w:val="13"/>
        </w:rPr>
        <w:t>陈营</w:t>
      </w:r>
      <w:r>
        <w:rPr>
          <w:sz w:val="15"/>
          <w:szCs w:val="15"/>
          <w:color w:val="231F20"/>
          <w:spacing w:val="13"/>
          <w:position w:val="-1"/>
        </w:rPr>
        <w:t>.</w:t>
      </w:r>
      <w:r>
        <w:rPr>
          <w:sz w:val="14"/>
          <w:szCs w:val="14"/>
          <w:color w:val="231F20"/>
          <w:spacing w:val="13"/>
        </w:rPr>
        <w:t>复合乳酸菌胶囊联合蒙脱石散口服对小儿慢性腹泻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1" w:right="1" w:firstLine="3"/>
        <w:spacing w:before="42" w:line="24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病的疗效及对其肠道微生态的影响研究［</w:t>
      </w:r>
      <w:r>
        <w:rPr>
          <w:sz w:val="15"/>
          <w:szCs w:val="15"/>
          <w:color w:val="231F20"/>
          <w:spacing w:val="6"/>
        </w:rPr>
        <w:t>J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4"/>
          <w:szCs w:val="14"/>
          <w:color w:val="231F20"/>
          <w:spacing w:val="6"/>
        </w:rPr>
        <w:t>贵州医药</w:t>
      </w:r>
      <w:r>
        <w:rPr>
          <w:sz w:val="15"/>
          <w:szCs w:val="15"/>
          <w:color w:val="231F20"/>
          <w:spacing w:val="6"/>
        </w:rPr>
        <w:t>,2022,46(2):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275</w:t>
      </w:r>
      <w:r>
        <w:rPr>
          <w:sz w:val="13"/>
          <w:szCs w:val="13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276.</w:t>
      </w:r>
    </w:p>
    <w:p>
      <w:pPr>
        <w:pStyle w:val="BodyText"/>
        <w:ind w:left="277" w:right="6" w:hanging="278"/>
        <w:spacing w:line="21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2</w:t>
      </w:r>
      <w:r>
        <w:rPr>
          <w:sz w:val="14"/>
          <w:szCs w:val="14"/>
          <w:color w:val="231F20"/>
          <w:spacing w:val="12"/>
        </w:rPr>
        <w:t>］黄发明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4"/>
          <w:szCs w:val="14"/>
          <w:color w:val="231F20"/>
          <w:spacing w:val="12"/>
        </w:rPr>
        <w:t>炎琥宁注射液治疗轮状病毒腹</w:t>
      </w:r>
      <w:r>
        <w:rPr>
          <w:sz w:val="14"/>
          <w:szCs w:val="14"/>
          <w:color w:val="231F20"/>
          <w:spacing w:val="11"/>
        </w:rPr>
        <w:t>泻疗效及对炎性指标  心肌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功能的影响探讨［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4"/>
          <w:szCs w:val="14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4"/>
          <w:szCs w:val="14"/>
          <w:color w:val="231F20"/>
          <w:spacing w:val="-1"/>
        </w:rPr>
        <w:t>基层医学论坛</w:t>
      </w:r>
      <w:r>
        <w:rPr>
          <w:sz w:val="15"/>
          <w:szCs w:val="15"/>
          <w:color w:val="231F20"/>
          <w:spacing w:val="-1"/>
        </w:rPr>
        <w:t>,2021,2</w:t>
      </w:r>
      <w:r>
        <w:rPr>
          <w:sz w:val="15"/>
          <w:szCs w:val="15"/>
          <w:color w:val="231F20"/>
          <w:spacing w:val="-2"/>
        </w:rPr>
        <w:t>5(19):2712</w:t>
      </w:r>
      <w:r>
        <w:rPr>
          <w:sz w:val="13"/>
          <w:szCs w:val="13"/>
          <w:color w:val="231F20"/>
          <w:spacing w:val="-2"/>
        </w:rPr>
        <w:t>-</w:t>
      </w:r>
      <w:r>
        <w:rPr>
          <w:sz w:val="15"/>
          <w:szCs w:val="15"/>
          <w:color w:val="231F20"/>
          <w:spacing w:val="-2"/>
        </w:rPr>
        <w:t>2714.</w:t>
      </w:r>
    </w:p>
    <w:p>
      <w:pPr>
        <w:pStyle w:val="BodyText"/>
        <w:ind w:left="287" w:right="6" w:hanging="287"/>
        <w:spacing w:before="46" w:line="22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3</w:t>
      </w:r>
      <w:r>
        <w:rPr>
          <w:sz w:val="14"/>
          <w:szCs w:val="14"/>
          <w:color w:val="231F20"/>
          <w:spacing w:val="5"/>
        </w:rPr>
        <w:t>］胡亚美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4"/>
          <w:szCs w:val="14"/>
          <w:color w:val="231F20"/>
          <w:spacing w:val="5"/>
        </w:rPr>
        <w:t>江载芳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4"/>
          <w:szCs w:val="14"/>
          <w:color w:val="231F20"/>
          <w:spacing w:val="5"/>
        </w:rPr>
        <w:t>诸福棠实用儿科学</w:t>
      </w:r>
      <w:r>
        <w:rPr>
          <w:sz w:val="15"/>
          <w:szCs w:val="15"/>
          <w:color w:val="231F20"/>
          <w:spacing w:val="5"/>
        </w:rPr>
        <w:t>(</w:t>
      </w:r>
      <w:r>
        <w:rPr>
          <w:sz w:val="14"/>
          <w:szCs w:val="14"/>
          <w:color w:val="231F20"/>
          <w:spacing w:val="5"/>
        </w:rPr>
        <w:t>上</w:t>
      </w:r>
      <w:r>
        <w:rPr>
          <w:sz w:val="15"/>
          <w:szCs w:val="15"/>
          <w:color w:val="231F20"/>
          <w:spacing w:val="5"/>
        </w:rPr>
        <w:t>)</w:t>
      </w:r>
      <w:r>
        <w:rPr>
          <w:sz w:val="14"/>
          <w:szCs w:val="14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M</w:t>
      </w:r>
      <w:r>
        <w:rPr>
          <w:sz w:val="14"/>
          <w:szCs w:val="14"/>
          <w:color w:val="231F20"/>
          <w:spacing w:val="5"/>
        </w:rPr>
        <w:t>］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4"/>
          <w:szCs w:val="14"/>
          <w:color w:val="231F20"/>
          <w:spacing w:val="4"/>
        </w:rPr>
        <w:t>第 </w:t>
      </w:r>
      <w:r>
        <w:rPr>
          <w:sz w:val="15"/>
          <w:szCs w:val="15"/>
          <w:color w:val="231F20"/>
          <w:spacing w:val="4"/>
        </w:rPr>
        <w:t>7 </w:t>
      </w:r>
      <w:r>
        <w:rPr>
          <w:sz w:val="14"/>
          <w:szCs w:val="14"/>
          <w:color w:val="231F20"/>
          <w:spacing w:val="4"/>
        </w:rPr>
        <w:t>版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4"/>
          <w:szCs w:val="14"/>
          <w:color w:val="231F20"/>
          <w:spacing w:val="4"/>
        </w:rPr>
        <w:t>北京</w:t>
      </w:r>
      <w:r>
        <w:rPr>
          <w:sz w:val="15"/>
          <w:szCs w:val="15"/>
          <w:color w:val="231F20"/>
          <w:spacing w:val="4"/>
        </w:rPr>
        <w:t>:</w:t>
      </w:r>
      <w:r>
        <w:rPr>
          <w:sz w:val="14"/>
          <w:szCs w:val="14"/>
          <w:color w:val="231F20"/>
          <w:spacing w:val="4"/>
        </w:rPr>
        <w:t>人民卫生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出版社</w:t>
      </w:r>
      <w:r>
        <w:rPr>
          <w:sz w:val="15"/>
          <w:szCs w:val="15"/>
          <w:color w:val="231F20"/>
          <w:spacing w:val="-4"/>
        </w:rPr>
        <w:t>,2005:1294</w:t>
      </w:r>
      <w:r>
        <w:rPr>
          <w:sz w:val="13"/>
          <w:szCs w:val="13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1296.</w:t>
      </w:r>
    </w:p>
    <w:p>
      <w:pPr>
        <w:pStyle w:val="BodyText"/>
        <w:ind w:left="273" w:right="1" w:hanging="274"/>
        <w:spacing w:before="41" w:line="22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4"/>
        </w:rPr>
        <w:t>［</w:t>
      </w:r>
      <w:r>
        <w:rPr>
          <w:sz w:val="15"/>
          <w:szCs w:val="15"/>
          <w:color w:val="231F20"/>
          <w:spacing w:val="4"/>
        </w:rPr>
        <w:t>4</w:t>
      </w:r>
      <w:r>
        <w:rPr>
          <w:sz w:val="14"/>
          <w:szCs w:val="14"/>
          <w:color w:val="231F20"/>
          <w:spacing w:val="4"/>
        </w:rPr>
        <w:t>］方鹤松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4"/>
          <w:szCs w:val="14"/>
          <w:color w:val="231F20"/>
          <w:spacing w:val="4"/>
        </w:rPr>
        <w:t>中国腹泻病诊断治疗方案［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4"/>
          <w:szCs w:val="14"/>
          <w:color w:val="231F20"/>
          <w:spacing w:val="4"/>
        </w:rPr>
        <w:t>］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4"/>
        </w:rPr>
        <w:t>中国实用儿科杂志</w:t>
      </w:r>
      <w:r>
        <w:rPr>
          <w:sz w:val="15"/>
          <w:szCs w:val="15"/>
          <w:color w:val="231F20"/>
          <w:spacing w:val="4"/>
        </w:rPr>
        <w:t>,199</w:t>
      </w:r>
      <w:r>
        <w:rPr>
          <w:sz w:val="15"/>
          <w:szCs w:val="15"/>
          <w:color w:val="231F20"/>
          <w:spacing w:val="3"/>
        </w:rPr>
        <w:t>8,13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(6):61</w:t>
      </w:r>
      <w:r>
        <w:rPr>
          <w:sz w:val="13"/>
          <w:szCs w:val="13"/>
          <w:color w:val="231F20"/>
          <w:spacing w:val="-6"/>
        </w:rPr>
        <w:t>-</w:t>
      </w:r>
      <w:r>
        <w:rPr>
          <w:sz w:val="15"/>
          <w:szCs w:val="15"/>
          <w:color w:val="231F20"/>
          <w:spacing w:val="-6"/>
        </w:rPr>
        <w:t>64.</w:t>
      </w:r>
    </w:p>
    <w:p>
      <w:pPr>
        <w:pStyle w:val="BodyText"/>
        <w:ind w:left="283" w:right="6" w:hanging="284"/>
        <w:spacing w:before="46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5</w:t>
      </w:r>
      <w:r>
        <w:rPr>
          <w:sz w:val="14"/>
          <w:szCs w:val="14"/>
          <w:color w:val="231F20"/>
          <w:spacing w:val="15"/>
        </w:rPr>
        <w:t>］叶华琼</w:t>
      </w:r>
      <w:r>
        <w:rPr>
          <w:sz w:val="15"/>
          <w:szCs w:val="15"/>
          <w:color w:val="231F20"/>
          <w:spacing w:val="15"/>
          <w:position w:val="-1"/>
        </w:rPr>
        <w:t>.</w:t>
      </w:r>
      <w:r>
        <w:rPr>
          <w:sz w:val="14"/>
          <w:szCs w:val="14"/>
          <w:color w:val="231F20"/>
          <w:spacing w:val="15"/>
        </w:rPr>
        <w:t>双歧杆菌乳杆菌三联活菌片与蒙脱石散治疗小儿腹泻的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"/>
        </w:rPr>
        <w:t>临床疗效观察［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4"/>
          <w:szCs w:val="14"/>
          <w:color w:val="231F20"/>
          <w:spacing w:val="-1"/>
        </w:rPr>
        <w:t>］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4"/>
          <w:szCs w:val="14"/>
          <w:color w:val="231F20"/>
          <w:spacing w:val="-1"/>
        </w:rPr>
        <w:t>现代诊断与治疗</w:t>
      </w:r>
      <w:r>
        <w:rPr>
          <w:sz w:val="15"/>
          <w:szCs w:val="15"/>
          <w:color w:val="231F20"/>
          <w:spacing w:val="-1"/>
        </w:rPr>
        <w:t>,2022,33(6):829</w:t>
      </w:r>
      <w:r>
        <w:rPr>
          <w:sz w:val="13"/>
          <w:szCs w:val="13"/>
          <w:color w:val="231F20"/>
          <w:spacing w:val="-1"/>
        </w:rPr>
        <w:t>-</w:t>
      </w:r>
      <w:r>
        <w:rPr>
          <w:sz w:val="15"/>
          <w:szCs w:val="15"/>
          <w:color w:val="231F20"/>
          <w:spacing w:val="-1"/>
        </w:rPr>
        <w:t>832.</w:t>
      </w:r>
    </w:p>
    <w:p>
      <w:pPr>
        <w:pStyle w:val="BodyText"/>
        <w:ind w:left="272" w:right="2" w:hanging="273"/>
        <w:spacing w:before="43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6</w:t>
      </w:r>
      <w:r>
        <w:rPr>
          <w:sz w:val="14"/>
          <w:szCs w:val="14"/>
          <w:color w:val="231F20"/>
          <w:spacing w:val="15"/>
        </w:rPr>
        <w:t>］李晓慧</w:t>
      </w:r>
      <w:r>
        <w:rPr>
          <w:sz w:val="15"/>
          <w:szCs w:val="15"/>
          <w:color w:val="231F20"/>
          <w:spacing w:val="15"/>
          <w:position w:val="-1"/>
        </w:rPr>
        <w:t>.</w:t>
      </w:r>
      <w:r>
        <w:rPr>
          <w:sz w:val="14"/>
          <w:szCs w:val="14"/>
          <w:color w:val="231F20"/>
          <w:spacing w:val="15"/>
        </w:rPr>
        <w:t>安儿宁颗粒联合双歧杆菌四联活菌片治疗儿童肺炎继发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2"/>
        </w:rPr>
        <w:t>性腹泻 的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2"/>
        </w:rPr>
        <w:t>临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2"/>
        </w:rPr>
        <w:t>床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2"/>
        </w:rPr>
        <w:t>疗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效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2"/>
        </w:rPr>
        <w:t>分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2"/>
        </w:rPr>
        <w:t>析［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4"/>
          <w:szCs w:val="14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4"/>
          <w:szCs w:val="14"/>
          <w:color w:val="231F20"/>
          <w:spacing w:val="2"/>
        </w:rPr>
        <w:t>现代诊断与治</w:t>
      </w:r>
      <w:r>
        <w:rPr>
          <w:sz w:val="14"/>
          <w:szCs w:val="14"/>
          <w:color w:val="231F20"/>
          <w:spacing w:val="1"/>
        </w:rPr>
        <w:t>疗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1"/>
        </w:rPr>
        <w:t>,2021,32(20):3205</w:t>
      </w:r>
      <w:r>
        <w:rPr>
          <w:sz w:val="13"/>
          <w:szCs w:val="13"/>
          <w:color w:val="231F20"/>
          <w:spacing w:val="1"/>
        </w:rPr>
        <w:t>-</w:t>
      </w:r>
      <w:r>
        <w:rPr>
          <w:sz w:val="13"/>
          <w:szCs w:val="13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3207.</w:t>
      </w:r>
    </w:p>
    <w:p>
      <w:pPr>
        <w:pStyle w:val="BodyText"/>
        <w:ind w:left="277" w:right="6" w:hanging="278"/>
        <w:spacing w:before="23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7</w:t>
      </w:r>
      <w:r>
        <w:rPr>
          <w:sz w:val="14"/>
          <w:szCs w:val="14"/>
          <w:color w:val="231F20"/>
          <w:spacing w:val="15"/>
        </w:rPr>
        <w:t>］谌厚才</w:t>
      </w:r>
      <w:r>
        <w:rPr>
          <w:sz w:val="15"/>
          <w:szCs w:val="15"/>
          <w:color w:val="231F20"/>
          <w:spacing w:val="15"/>
          <w:position w:val="-1"/>
        </w:rPr>
        <w:t>.</w:t>
      </w:r>
      <w:r>
        <w:rPr>
          <w:sz w:val="14"/>
          <w:szCs w:val="14"/>
          <w:color w:val="231F20"/>
          <w:spacing w:val="15"/>
        </w:rPr>
        <w:t>炎琥宁联合头孢硫脒治疗小儿急性支气管炎的临床疗效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3"/>
        </w:rPr>
        <w:t>观察［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4"/>
          <w:szCs w:val="14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4"/>
          <w:szCs w:val="14"/>
          <w:color w:val="231F20"/>
          <w:spacing w:val="-3"/>
        </w:rPr>
        <w:t>现代诊断与治疗</w:t>
      </w:r>
      <w:r>
        <w:rPr>
          <w:sz w:val="15"/>
          <w:szCs w:val="15"/>
          <w:color w:val="231F20"/>
          <w:spacing w:val="-3"/>
        </w:rPr>
        <w:t>,2020,</w:t>
      </w:r>
      <w:r>
        <w:rPr>
          <w:sz w:val="15"/>
          <w:szCs w:val="15"/>
          <w:color w:val="231F20"/>
          <w:spacing w:val="-4"/>
        </w:rPr>
        <w:t>31(23):3748</w:t>
      </w:r>
      <w:r>
        <w:rPr>
          <w:sz w:val="13"/>
          <w:szCs w:val="13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3750.</w:t>
      </w:r>
    </w:p>
    <w:p>
      <w:pPr>
        <w:pStyle w:val="BodyText"/>
        <w:ind w:left="271" w:right="1" w:hanging="271"/>
        <w:spacing w:before="45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8</w:t>
      </w:r>
      <w:r>
        <w:rPr>
          <w:sz w:val="14"/>
          <w:szCs w:val="14"/>
          <w:color w:val="231F20"/>
          <w:spacing w:val="14"/>
        </w:rPr>
        <w:t>］赵旭</w:t>
      </w:r>
      <w:r>
        <w:rPr>
          <w:sz w:val="15"/>
          <w:szCs w:val="15"/>
          <w:color w:val="231F20"/>
          <w:spacing w:val="14"/>
          <w:position w:val="-1"/>
        </w:rPr>
        <w:t>,</w:t>
      </w:r>
      <w:r>
        <w:rPr>
          <w:sz w:val="15"/>
          <w:szCs w:val="15"/>
          <w:color w:val="231F20"/>
          <w:spacing w:val="-19"/>
          <w:position w:val="-1"/>
        </w:rPr>
        <w:t xml:space="preserve"> </w:t>
      </w:r>
      <w:r>
        <w:rPr>
          <w:sz w:val="14"/>
          <w:szCs w:val="14"/>
          <w:color w:val="231F20"/>
          <w:spacing w:val="14"/>
        </w:rPr>
        <w:t>曾朝涛</w:t>
      </w:r>
      <w:r>
        <w:rPr>
          <w:sz w:val="15"/>
          <w:szCs w:val="15"/>
          <w:color w:val="231F20"/>
          <w:spacing w:val="14"/>
          <w:position w:val="-1"/>
        </w:rPr>
        <w:t>,</w:t>
      </w:r>
      <w:r>
        <w:rPr>
          <w:sz w:val="14"/>
          <w:szCs w:val="14"/>
          <w:color w:val="231F20"/>
          <w:spacing w:val="14"/>
        </w:rPr>
        <w:t>张译文</w:t>
      </w:r>
      <w:r>
        <w:rPr>
          <w:sz w:val="15"/>
          <w:szCs w:val="15"/>
          <w:color w:val="231F20"/>
          <w:spacing w:val="14"/>
          <w:position w:val="-1"/>
        </w:rPr>
        <w:t>,</w:t>
      </w:r>
      <w:r>
        <w:rPr>
          <w:sz w:val="14"/>
          <w:szCs w:val="14"/>
          <w:color w:val="231F20"/>
          <w:spacing w:val="14"/>
        </w:rPr>
        <w:t>等</w:t>
      </w:r>
      <w:r>
        <w:rPr>
          <w:sz w:val="14"/>
          <w:szCs w:val="14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4"/>
          <w:position w:val="-1"/>
        </w:rPr>
        <w:t>.</w:t>
      </w:r>
      <w:r>
        <w:rPr>
          <w:sz w:val="14"/>
          <w:szCs w:val="14"/>
          <w:color w:val="231F20"/>
          <w:spacing w:val="14"/>
        </w:rPr>
        <w:t>益生菌作为添加治疗</w:t>
      </w:r>
      <w:r>
        <w:rPr>
          <w:sz w:val="14"/>
          <w:szCs w:val="14"/>
          <w:color w:val="231F20"/>
          <w:spacing w:val="13"/>
        </w:rPr>
        <w:t>急性肠胃炎的疗效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0"/>
        </w:rPr>
        <w:t>和降低急性肠胃炎腹泻时间的研究分析［</w:t>
      </w:r>
      <w:r>
        <w:rPr>
          <w:sz w:val="15"/>
          <w:szCs w:val="15"/>
          <w:color w:val="231F20"/>
          <w:spacing w:val="10"/>
        </w:rPr>
        <w:t>J</w:t>
      </w:r>
      <w:r>
        <w:rPr>
          <w:sz w:val="14"/>
          <w:szCs w:val="14"/>
          <w:color w:val="231F20"/>
          <w:spacing w:val="10"/>
        </w:rPr>
        <w:t>］</w:t>
      </w:r>
      <w:r>
        <w:rPr>
          <w:sz w:val="15"/>
          <w:szCs w:val="15"/>
          <w:color w:val="231F20"/>
          <w:spacing w:val="10"/>
          <w:position w:val="-1"/>
        </w:rPr>
        <w:t>.</w:t>
      </w:r>
      <w:r>
        <w:rPr>
          <w:sz w:val="15"/>
          <w:szCs w:val="15"/>
          <w:color w:val="231F20"/>
          <w:spacing w:val="-23"/>
          <w:position w:val="-1"/>
        </w:rPr>
        <w:t xml:space="preserve"> </w:t>
      </w:r>
      <w:r>
        <w:rPr>
          <w:sz w:val="14"/>
          <w:szCs w:val="14"/>
          <w:color w:val="231F20"/>
          <w:spacing w:val="10"/>
        </w:rPr>
        <w:t>中国临床药理学杂志</w:t>
      </w:r>
      <w:r>
        <w:rPr>
          <w:sz w:val="15"/>
          <w:szCs w:val="15"/>
          <w:color w:val="231F20"/>
          <w:spacing w:val="10"/>
          <w:position w:val="-1"/>
        </w:rPr>
        <w:t>,</w:t>
      </w:r>
      <w:r>
        <w:rPr>
          <w:sz w:val="15"/>
          <w:szCs w:val="15"/>
          <w:color w:val="231F20"/>
          <w:position w:val="-1"/>
        </w:rPr>
        <w:t xml:space="preserve"> </w:t>
      </w:r>
      <w:r>
        <w:rPr>
          <w:sz w:val="15"/>
          <w:szCs w:val="15"/>
          <w:color w:val="231F20"/>
          <w:spacing w:val="-7"/>
        </w:rPr>
        <w:t>2021,37(2):172</w:t>
      </w:r>
      <w:r>
        <w:rPr>
          <w:sz w:val="13"/>
          <w:szCs w:val="13"/>
          <w:color w:val="231F20"/>
          <w:spacing w:val="-7"/>
        </w:rPr>
        <w:t>-</w:t>
      </w:r>
      <w:r>
        <w:rPr>
          <w:sz w:val="15"/>
          <w:szCs w:val="15"/>
          <w:color w:val="231F20"/>
          <w:spacing w:val="-7"/>
        </w:rPr>
        <w:t>174.</w:t>
      </w:r>
    </w:p>
    <w:p>
      <w:pPr>
        <w:pStyle w:val="BodyText"/>
        <w:ind w:left="290" w:right="6" w:hanging="290"/>
        <w:spacing w:before="46" w:line="21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9</w:t>
      </w:r>
      <w:r>
        <w:rPr>
          <w:sz w:val="14"/>
          <w:szCs w:val="14"/>
          <w:color w:val="231F20"/>
          <w:spacing w:val="14"/>
        </w:rPr>
        <w:t>］何翠婷</w:t>
      </w:r>
      <w:r>
        <w:rPr>
          <w:sz w:val="15"/>
          <w:szCs w:val="15"/>
          <w:color w:val="231F20"/>
          <w:spacing w:val="14"/>
          <w:position w:val="-1"/>
        </w:rPr>
        <w:t>,</w:t>
      </w:r>
      <w:r>
        <w:rPr>
          <w:sz w:val="14"/>
          <w:szCs w:val="14"/>
          <w:color w:val="231F20"/>
          <w:spacing w:val="14"/>
        </w:rPr>
        <w:t>郭伟仪</w:t>
      </w:r>
      <w:r>
        <w:rPr>
          <w:sz w:val="15"/>
          <w:szCs w:val="15"/>
          <w:color w:val="231F20"/>
          <w:spacing w:val="14"/>
          <w:position w:val="-1"/>
        </w:rPr>
        <w:t>,</w:t>
      </w:r>
      <w:r>
        <w:rPr>
          <w:sz w:val="14"/>
          <w:szCs w:val="14"/>
          <w:color w:val="231F20"/>
          <w:spacing w:val="14"/>
        </w:rPr>
        <w:t>吴海谊</w:t>
      </w:r>
      <w:r>
        <w:rPr>
          <w:sz w:val="15"/>
          <w:szCs w:val="15"/>
          <w:color w:val="231F20"/>
          <w:spacing w:val="14"/>
          <w:position w:val="-1"/>
        </w:rPr>
        <w:t>,</w:t>
      </w:r>
      <w:r>
        <w:rPr>
          <w:sz w:val="14"/>
          <w:szCs w:val="14"/>
          <w:color w:val="231F20"/>
          <w:spacing w:val="14"/>
        </w:rPr>
        <w:t>等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4"/>
          <w:position w:val="-1"/>
        </w:rPr>
        <w:t>.</w:t>
      </w:r>
      <w:r>
        <w:rPr>
          <w:sz w:val="14"/>
          <w:szCs w:val="14"/>
          <w:color w:val="231F20"/>
          <w:spacing w:val="14"/>
        </w:rPr>
        <w:t>益生菌与阿奇霉素在小儿急性肠胃炎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中的效果［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4"/>
          <w:szCs w:val="14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4"/>
          <w:szCs w:val="14"/>
          <w:color w:val="231F20"/>
          <w:spacing w:val="-2"/>
        </w:rPr>
        <w:t>中国城乡企业卫生</w:t>
      </w:r>
      <w:r>
        <w:rPr>
          <w:sz w:val="15"/>
          <w:szCs w:val="15"/>
          <w:color w:val="231F20"/>
          <w:spacing w:val="-2"/>
        </w:rPr>
        <w:t>,2020,35(2)</w:t>
      </w:r>
      <w:r>
        <w:rPr>
          <w:sz w:val="15"/>
          <w:szCs w:val="15"/>
          <w:color w:val="231F20"/>
          <w:spacing w:val="-3"/>
        </w:rPr>
        <w:t>:144</w:t>
      </w:r>
      <w:r>
        <w:rPr>
          <w:sz w:val="13"/>
          <w:szCs w:val="13"/>
          <w:color w:val="231F20"/>
          <w:spacing w:val="-3"/>
        </w:rPr>
        <w:t>-</w:t>
      </w:r>
      <w:r>
        <w:rPr>
          <w:sz w:val="15"/>
          <w:szCs w:val="15"/>
          <w:color w:val="231F20"/>
          <w:spacing w:val="-3"/>
        </w:rPr>
        <w:t>145.</w:t>
      </w:r>
    </w:p>
    <w:p>
      <w:pPr>
        <w:pStyle w:val="BodyText"/>
        <w:ind w:left="275" w:right="4" w:hanging="275"/>
        <w:spacing w:before="46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10</w:t>
      </w:r>
      <w:r>
        <w:rPr>
          <w:sz w:val="14"/>
          <w:szCs w:val="14"/>
          <w:color w:val="231F20"/>
          <w:spacing w:val="5"/>
        </w:rPr>
        <w:t>］韩小胜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4"/>
          <w:szCs w:val="14"/>
          <w:color w:val="231F20"/>
          <w:spacing w:val="5"/>
        </w:rPr>
        <w:t>黄会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4"/>
          <w:szCs w:val="14"/>
          <w:color w:val="231F20"/>
          <w:spacing w:val="5"/>
        </w:rPr>
        <w:t>魏小斌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</w:rPr>
        <w:t>NLR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</w:rPr>
        <w:t>SAA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</w:rPr>
        <w:t>hs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>CRP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4"/>
          <w:szCs w:val="14"/>
          <w:color w:val="231F20"/>
          <w:spacing w:val="5"/>
        </w:rPr>
        <w:t>对儿童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5"/>
        </w:rPr>
        <w:t>1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4"/>
        </w:rPr>
        <w:t>型糖尿病合并感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染的诊断价值［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4"/>
          <w:szCs w:val="14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4"/>
          <w:szCs w:val="14"/>
          <w:color w:val="231F20"/>
          <w:spacing w:val="-2"/>
        </w:rPr>
        <w:t>现代医学</w:t>
      </w:r>
      <w:r>
        <w:rPr>
          <w:sz w:val="15"/>
          <w:szCs w:val="15"/>
          <w:color w:val="231F20"/>
          <w:spacing w:val="-2"/>
        </w:rPr>
        <w:t>,2020,48(</w:t>
      </w:r>
      <w:r>
        <w:rPr>
          <w:sz w:val="15"/>
          <w:szCs w:val="15"/>
          <w:color w:val="231F20"/>
          <w:spacing w:val="-3"/>
        </w:rPr>
        <w:t>4):427</w:t>
      </w:r>
      <w:r>
        <w:rPr>
          <w:sz w:val="13"/>
          <w:szCs w:val="13"/>
          <w:color w:val="231F20"/>
          <w:spacing w:val="-3"/>
        </w:rPr>
        <w:t>-</w:t>
      </w:r>
      <w:r>
        <w:rPr>
          <w:sz w:val="15"/>
          <w:szCs w:val="15"/>
          <w:color w:val="231F20"/>
          <w:spacing w:val="-3"/>
        </w:rPr>
        <w:t>432.</w:t>
      </w:r>
    </w:p>
    <w:p>
      <w:pPr>
        <w:pStyle w:val="BodyText"/>
        <w:ind w:left="362" w:right="6" w:hanging="362"/>
        <w:spacing w:before="45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11</w:t>
      </w:r>
      <w:r>
        <w:rPr>
          <w:sz w:val="14"/>
          <w:szCs w:val="14"/>
          <w:color w:val="231F20"/>
          <w:spacing w:val="11"/>
        </w:rPr>
        <w:t>］美丽</w:t>
      </w:r>
      <w:r>
        <w:rPr>
          <w:sz w:val="15"/>
          <w:szCs w:val="15"/>
          <w:color w:val="231F20"/>
          <w:spacing w:val="11"/>
          <w:position w:val="-1"/>
        </w:rPr>
        <w:t>,</w:t>
      </w:r>
      <w:r>
        <w:rPr>
          <w:sz w:val="15"/>
          <w:szCs w:val="15"/>
          <w:color w:val="231F20"/>
          <w:spacing w:val="-9"/>
          <w:position w:val="-1"/>
        </w:rPr>
        <w:t xml:space="preserve"> </w:t>
      </w:r>
      <w:r>
        <w:rPr>
          <w:sz w:val="14"/>
          <w:szCs w:val="14"/>
          <w:color w:val="231F20"/>
          <w:spacing w:val="11"/>
        </w:rPr>
        <w:t>图雅</w:t>
      </w:r>
      <w:r>
        <w:rPr>
          <w:sz w:val="15"/>
          <w:szCs w:val="15"/>
          <w:color w:val="231F20"/>
          <w:spacing w:val="11"/>
          <w:position w:val="-1"/>
        </w:rPr>
        <w:t>,</w:t>
      </w:r>
      <w:r>
        <w:rPr>
          <w:sz w:val="14"/>
          <w:szCs w:val="14"/>
          <w:color w:val="231F20"/>
          <w:spacing w:val="11"/>
        </w:rPr>
        <w:t>高鑫</w:t>
      </w:r>
      <w:r>
        <w:rPr>
          <w:sz w:val="15"/>
          <w:szCs w:val="15"/>
          <w:color w:val="231F20"/>
          <w:spacing w:val="11"/>
          <w:position w:val="-1"/>
        </w:rPr>
        <w:t>,</w:t>
      </w:r>
      <w:r>
        <w:rPr>
          <w:sz w:val="14"/>
          <w:szCs w:val="14"/>
          <w:color w:val="231F20"/>
          <w:spacing w:val="11"/>
        </w:rPr>
        <w:t>等</w:t>
      </w:r>
      <w:r>
        <w:rPr>
          <w:sz w:val="15"/>
          <w:szCs w:val="15"/>
          <w:color w:val="231F20"/>
          <w:spacing w:val="11"/>
          <w:position w:val="-1"/>
        </w:rPr>
        <w:t>.</w:t>
      </w:r>
      <w:r>
        <w:rPr>
          <w:sz w:val="14"/>
          <w:szCs w:val="14"/>
          <w:color w:val="231F20"/>
          <w:spacing w:val="11"/>
        </w:rPr>
        <w:t>轻度胃肠炎伴婴幼儿良性惊厥病原学及血清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炎症因子分析［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4"/>
          <w:szCs w:val="14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4"/>
          <w:szCs w:val="14"/>
          <w:color w:val="231F20"/>
          <w:spacing w:val="-2"/>
        </w:rPr>
        <w:t>中国医师杂志</w:t>
      </w:r>
      <w:r>
        <w:rPr>
          <w:sz w:val="15"/>
          <w:szCs w:val="15"/>
          <w:color w:val="231F20"/>
          <w:spacing w:val="-2"/>
        </w:rPr>
        <w:t>,2020,22(8):11</w:t>
      </w:r>
      <w:r>
        <w:rPr>
          <w:sz w:val="15"/>
          <w:szCs w:val="15"/>
          <w:color w:val="231F20"/>
          <w:spacing w:val="-3"/>
        </w:rPr>
        <w:t>43</w:t>
      </w:r>
      <w:r>
        <w:rPr>
          <w:sz w:val="13"/>
          <w:szCs w:val="13"/>
          <w:color w:val="231F20"/>
          <w:spacing w:val="-3"/>
        </w:rPr>
        <w:t>-</w:t>
      </w:r>
      <w:r>
        <w:rPr>
          <w:sz w:val="15"/>
          <w:szCs w:val="15"/>
          <w:color w:val="231F20"/>
          <w:spacing w:val="-3"/>
        </w:rPr>
        <w:t>1147.</w:t>
      </w:r>
    </w:p>
    <w:p>
      <w:pPr>
        <w:pStyle w:val="BodyText"/>
        <w:ind w:left="360" w:hanging="360"/>
        <w:spacing w:before="45" w:line="22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2"/>
        </w:rPr>
        <w:t>［</w:t>
      </w:r>
      <w:r>
        <w:rPr>
          <w:sz w:val="15"/>
          <w:szCs w:val="15"/>
          <w:color w:val="231F20"/>
          <w:spacing w:val="12"/>
        </w:rPr>
        <w:t>12</w:t>
      </w:r>
      <w:r>
        <w:rPr>
          <w:sz w:val="14"/>
          <w:szCs w:val="14"/>
          <w:color w:val="231F20"/>
          <w:spacing w:val="12"/>
        </w:rPr>
        <w:t>］何丽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李红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潘妍</w:t>
      </w:r>
      <w:r>
        <w:rPr>
          <w:sz w:val="15"/>
          <w:szCs w:val="15"/>
          <w:color w:val="231F20"/>
          <w:spacing w:val="12"/>
          <w:position w:val="-1"/>
        </w:rPr>
        <w:t>,</w:t>
      </w:r>
      <w:r>
        <w:rPr>
          <w:sz w:val="14"/>
          <w:szCs w:val="14"/>
          <w:color w:val="231F20"/>
          <w:spacing w:val="12"/>
        </w:rPr>
        <w:t>范瑞娟</w:t>
      </w:r>
      <w:r>
        <w:rPr>
          <w:sz w:val="15"/>
          <w:szCs w:val="15"/>
          <w:color w:val="231F20"/>
          <w:spacing w:val="12"/>
          <w:position w:val="-1"/>
        </w:rPr>
        <w:t>.</w:t>
      </w:r>
      <w:r>
        <w:rPr>
          <w:sz w:val="14"/>
          <w:szCs w:val="14"/>
          <w:color w:val="231F20"/>
          <w:spacing w:val="12"/>
        </w:rPr>
        <w:t>葛根芩连汤加减联合中药热奄包治疗急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4"/>
        </w:rPr>
        <w:t>性肠胃炎临床疗效及对血清 </w:t>
      </w:r>
      <w:r>
        <w:rPr>
          <w:sz w:val="15"/>
          <w:szCs w:val="15"/>
          <w:color w:val="231F20"/>
        </w:rPr>
        <w:t>PCT</w:t>
      </w:r>
      <w:r>
        <w:rPr>
          <w:sz w:val="14"/>
          <w:szCs w:val="14"/>
          <w:color w:val="231F20"/>
          <w:spacing w:val="4"/>
        </w:rPr>
        <w:t>、</w:t>
      </w:r>
      <w:r>
        <w:rPr>
          <w:sz w:val="15"/>
          <w:szCs w:val="15"/>
          <w:color w:val="231F20"/>
        </w:rPr>
        <w:t>hs</w:t>
      </w:r>
      <w:r>
        <w:rPr>
          <w:sz w:val="15"/>
          <w:szCs w:val="15"/>
          <w:color w:val="231F20"/>
          <w:spacing w:val="4"/>
        </w:rPr>
        <w:t>-</w:t>
      </w:r>
      <w:r>
        <w:rPr>
          <w:sz w:val="15"/>
          <w:szCs w:val="15"/>
          <w:color w:val="231F20"/>
        </w:rPr>
        <w:t>CRP</w:t>
      </w:r>
      <w:r>
        <w:rPr>
          <w:sz w:val="14"/>
          <w:szCs w:val="14"/>
          <w:color w:val="231F20"/>
          <w:spacing w:val="4"/>
        </w:rPr>
        <w:t>、</w:t>
      </w:r>
      <w:r>
        <w:rPr>
          <w:sz w:val="15"/>
          <w:szCs w:val="15"/>
          <w:color w:val="231F20"/>
        </w:rPr>
        <w:t>IL</w:t>
      </w:r>
      <w:r>
        <w:rPr>
          <w:sz w:val="15"/>
          <w:szCs w:val="15"/>
          <w:color w:val="231F20"/>
          <w:spacing w:val="4"/>
        </w:rPr>
        <w:t>-6 </w:t>
      </w:r>
      <w:r>
        <w:rPr>
          <w:sz w:val="14"/>
          <w:szCs w:val="14"/>
          <w:color w:val="231F20"/>
          <w:spacing w:val="4"/>
        </w:rPr>
        <w:t>水平的</w:t>
      </w:r>
      <w:r>
        <w:rPr>
          <w:sz w:val="14"/>
          <w:szCs w:val="14"/>
          <w:color w:val="231F20"/>
          <w:spacing w:val="3"/>
        </w:rPr>
        <w:t>影响［</w:t>
      </w:r>
      <w:r>
        <w:rPr>
          <w:sz w:val="15"/>
          <w:szCs w:val="15"/>
          <w:color w:val="231F20"/>
          <w:spacing w:val="3"/>
        </w:rPr>
        <w:t>J</w:t>
      </w:r>
      <w:r>
        <w:rPr>
          <w:sz w:val="14"/>
          <w:szCs w:val="14"/>
          <w:color w:val="231F20"/>
          <w:spacing w:val="3"/>
        </w:rPr>
        <w:t>］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四川中医</w:t>
      </w:r>
      <w:r>
        <w:rPr>
          <w:sz w:val="15"/>
          <w:szCs w:val="15"/>
          <w:color w:val="231F20"/>
          <w:spacing w:val="-3"/>
        </w:rPr>
        <w:t>,2021,39(12):106</w:t>
      </w:r>
      <w:r>
        <w:rPr>
          <w:sz w:val="13"/>
          <w:szCs w:val="13"/>
          <w:color w:val="231F20"/>
          <w:spacing w:val="-3"/>
        </w:rPr>
        <w:t>-</w:t>
      </w:r>
      <w:r>
        <w:rPr>
          <w:sz w:val="15"/>
          <w:szCs w:val="15"/>
          <w:color w:val="231F20"/>
          <w:spacing w:val="-3"/>
        </w:rPr>
        <w:t>108.</w:t>
      </w:r>
    </w:p>
    <w:p>
      <w:pPr>
        <w:pStyle w:val="BodyText"/>
        <w:spacing w:before="49" w:line="190" w:lineRule="auto"/>
        <w:jc w:val="right"/>
        <w:rPr>
          <w:sz w:val="15"/>
          <w:szCs w:val="15"/>
        </w:rPr>
      </w:pPr>
      <w:r>
        <w:rPr>
          <w:sz w:val="14"/>
          <w:szCs w:val="14"/>
          <w:color w:val="231F20"/>
          <w:spacing w:val="-4"/>
        </w:rPr>
        <w:t>收稿日期：</w:t>
      </w:r>
      <w:r>
        <w:rPr>
          <w:sz w:val="15"/>
          <w:szCs w:val="15"/>
          <w:color w:val="231F20"/>
          <w:spacing w:val="-4"/>
        </w:rPr>
        <w:t>2022</w:t>
      </w:r>
      <w:r>
        <w:rPr>
          <w:sz w:val="13"/>
          <w:szCs w:val="13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08</w:t>
      </w:r>
      <w:r>
        <w:rPr>
          <w:sz w:val="13"/>
          <w:szCs w:val="13"/>
          <w:color w:val="231F20"/>
          <w:spacing w:val="-4"/>
        </w:rPr>
        <w:t>-</w:t>
      </w:r>
      <w:r>
        <w:rPr>
          <w:sz w:val="15"/>
          <w:szCs w:val="15"/>
          <w:color w:val="231F20"/>
          <w:spacing w:val="-4"/>
        </w:rPr>
        <w:t>12</w:t>
      </w:r>
    </w:p>
    <w:p>
      <w:pPr>
        <w:spacing w:line="190" w:lineRule="auto"/>
        <w:sectPr>
          <w:type w:val="continuous"/>
          <w:pgSz w:w="12075" w:h="16836"/>
          <w:pgMar w:top="1365" w:right="1271" w:bottom="0" w:left="407" w:header="978" w:footer="0" w:gutter="0"/>
          <w:cols w:equalWidth="0" w:num="2">
            <w:col w:w="5637" w:space="100"/>
            <w:col w:w="4658" w:space="0"/>
          </w:cols>
        </w:sectPr>
        <w:rPr>
          <w:sz w:val="15"/>
          <w:szCs w:val="15"/>
        </w:rPr>
      </w:pP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210" w:right="399" w:firstLine="24"/>
        <w:spacing w:before="177" w:line="183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26"/>
        </w:rPr>
        <w:t>阿昔洛韦乳膏联合维生素</w:t>
      </w:r>
      <w:r>
        <w:rPr>
          <w:sz w:val="41"/>
          <w:szCs w:val="41"/>
          <w:color w:val="231F20"/>
          <w:spacing w:val="52"/>
        </w:rPr>
        <w:t xml:space="preserve"> </w:t>
      </w:r>
      <w:r>
        <w:rPr>
          <w:sz w:val="41"/>
          <w:szCs w:val="41"/>
          <w:color w:val="231F20"/>
          <w:spacing w:val="26"/>
          <w:position w:val="-1"/>
        </w:rPr>
        <w:t>B</w:t>
      </w:r>
      <w:r>
        <w:rPr>
          <w:sz w:val="23"/>
          <w:szCs w:val="23"/>
          <w:color w:val="231F20"/>
          <w:spacing w:val="26"/>
          <w:position w:val="-7"/>
        </w:rPr>
        <w:t>12</w:t>
      </w:r>
      <w:r>
        <w:rPr>
          <w:sz w:val="23"/>
          <w:szCs w:val="23"/>
          <w:color w:val="231F20"/>
          <w:spacing w:val="64"/>
          <w:position w:val="-7"/>
        </w:rPr>
        <w:t xml:space="preserve"> </w:t>
      </w:r>
      <w:r>
        <w:rPr>
          <w:sz w:val="41"/>
          <w:szCs w:val="41"/>
          <w:color w:val="231F20"/>
          <w:spacing w:val="26"/>
        </w:rPr>
        <w:t>治疗带状疱疹的</w:t>
      </w:r>
      <w:r>
        <w:rPr>
          <w:sz w:val="41"/>
          <w:szCs w:val="41"/>
          <w:color w:val="231F20"/>
        </w:rPr>
        <w:t xml:space="preserve"> </w:t>
      </w:r>
      <w:r>
        <w:rPr>
          <w:sz w:val="41"/>
          <w:szCs w:val="41"/>
          <w:color w:val="231F20"/>
          <w:spacing w:val="4"/>
        </w:rPr>
        <w:t>疗效分析</w:t>
      </w:r>
    </w:p>
    <w:p>
      <w:pPr>
        <w:pStyle w:val="BodyText"/>
        <w:ind w:left="1221"/>
        <w:spacing w:before="263" w:line="201" w:lineRule="auto"/>
        <w:rPr/>
      </w:pPr>
      <w:r>
        <w:rPr>
          <w:color w:val="231F20"/>
          <w:spacing w:val="-1"/>
        </w:rPr>
        <w:t>张春发（于都县皮肤病防治所，江西  于都  </w:t>
      </w:r>
      <w:r>
        <w:rPr>
          <w:sz w:val="20"/>
          <w:szCs w:val="20"/>
          <w:color w:val="231F20"/>
          <w:spacing w:val="-1"/>
        </w:rPr>
        <w:t>342300</w:t>
      </w:r>
      <w:r>
        <w:rPr>
          <w:color w:val="231F20"/>
          <w:spacing w:val="-1"/>
        </w:rPr>
        <w:t>）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203" w:right="340" w:firstLine="3"/>
        <w:spacing w:before="73" w:line="229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摘要：目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4"/>
        </w:rPr>
        <w:t>的    探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4"/>
        </w:rPr>
        <w:t>讨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sz w:val="16"/>
          <w:szCs w:val="16"/>
          <w:color w:val="231F20"/>
          <w:spacing w:val="-4"/>
        </w:rPr>
        <w:t>阿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4"/>
        </w:rPr>
        <w:t>昔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4"/>
        </w:rPr>
        <w:t>洛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4"/>
        </w:rPr>
        <w:t>韦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4"/>
        </w:rPr>
        <w:t>乳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4"/>
        </w:rPr>
        <w:t>膏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4"/>
        </w:rPr>
        <w:t>联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4"/>
        </w:rPr>
        <w:t>合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4"/>
        </w:rPr>
        <w:t>维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4"/>
        </w:rPr>
        <w:t>生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-4"/>
        </w:rPr>
        <w:t>素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7"/>
          <w:szCs w:val="17"/>
          <w:color w:val="231F20"/>
          <w:spacing w:val="-4"/>
          <w:position w:val="-1"/>
        </w:rPr>
        <w:t>B</w:t>
      </w:r>
      <w:r>
        <w:rPr>
          <w:sz w:val="10"/>
          <w:szCs w:val="10"/>
          <w:color w:val="231F20"/>
          <w:spacing w:val="-4"/>
          <w:position w:val="-3"/>
        </w:rPr>
        <w:t>12</w:t>
      </w:r>
      <w:r>
        <w:rPr>
          <w:sz w:val="10"/>
          <w:szCs w:val="10"/>
          <w:color w:val="231F20"/>
          <w:spacing w:val="28"/>
          <w:w w:val="101"/>
          <w:position w:val="-3"/>
        </w:rPr>
        <w:t xml:space="preserve"> </w:t>
      </w:r>
      <w:r>
        <w:rPr>
          <w:sz w:val="16"/>
          <w:szCs w:val="16"/>
          <w:color w:val="231F20"/>
          <w:spacing w:val="-4"/>
        </w:rPr>
        <w:t>治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4"/>
        </w:rPr>
        <w:t>疗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4"/>
        </w:rPr>
        <w:t>带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5"/>
        </w:rPr>
        <w:t>状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5"/>
        </w:rPr>
        <w:t>疱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5"/>
        </w:rPr>
        <w:t>疹（</w:t>
      </w:r>
      <w:r>
        <w:rPr>
          <w:sz w:val="17"/>
          <w:szCs w:val="17"/>
          <w:color w:val="231F20"/>
          <w:spacing w:val="-5"/>
        </w:rPr>
        <w:t>HZ</w:t>
      </w:r>
      <w:r>
        <w:rPr>
          <w:sz w:val="16"/>
          <w:szCs w:val="16"/>
          <w:color w:val="231F20"/>
          <w:spacing w:val="-5"/>
        </w:rPr>
        <w:t>）患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5"/>
        </w:rPr>
        <w:t>者 的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5"/>
        </w:rPr>
        <w:t>疗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5"/>
        </w:rPr>
        <w:t>效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5"/>
        </w:rPr>
        <w:t>。方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5"/>
        </w:rPr>
        <w:t>法     回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5"/>
        </w:rPr>
        <w:t>顾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5"/>
        </w:rPr>
        <w:t>性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5"/>
        </w:rPr>
        <w:t>分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-5"/>
        </w:rPr>
        <w:t>析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7"/>
          <w:szCs w:val="17"/>
          <w:color w:val="231F20"/>
          <w:spacing w:val="-5"/>
          <w:position w:val="-1"/>
        </w:rPr>
        <w:t>2019 </w:t>
      </w:r>
      <w:r>
        <w:rPr>
          <w:sz w:val="16"/>
          <w:szCs w:val="16"/>
          <w:color w:val="231F20"/>
          <w:spacing w:val="-5"/>
        </w:rPr>
        <w:t>年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7"/>
          <w:szCs w:val="17"/>
          <w:color w:val="231F20"/>
          <w:spacing w:val="-5"/>
          <w:position w:val="-1"/>
        </w:rPr>
        <w:t>1 </w:t>
      </w:r>
      <w:r>
        <w:rPr>
          <w:sz w:val="16"/>
          <w:szCs w:val="16"/>
          <w:color w:val="231F20"/>
          <w:spacing w:val="-5"/>
        </w:rPr>
        <w:t>月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至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7"/>
          <w:szCs w:val="17"/>
          <w:color w:val="231F20"/>
          <w:spacing w:val="8"/>
          <w:position w:val="-1"/>
        </w:rPr>
        <w:t>11 </w:t>
      </w:r>
      <w:r>
        <w:rPr>
          <w:sz w:val="16"/>
          <w:szCs w:val="16"/>
          <w:color w:val="231F20"/>
          <w:spacing w:val="8"/>
        </w:rPr>
        <w:t>月期间于我院治疗的 </w:t>
      </w:r>
      <w:r>
        <w:rPr>
          <w:sz w:val="17"/>
          <w:szCs w:val="17"/>
          <w:color w:val="231F20"/>
          <w:spacing w:val="8"/>
        </w:rPr>
        <w:t>60 </w:t>
      </w:r>
      <w:r>
        <w:rPr>
          <w:sz w:val="16"/>
          <w:szCs w:val="16"/>
          <w:color w:val="231F20"/>
          <w:spacing w:val="8"/>
        </w:rPr>
        <w:t>例 </w:t>
      </w:r>
      <w:r>
        <w:rPr>
          <w:sz w:val="17"/>
          <w:szCs w:val="17"/>
          <w:color w:val="231F20"/>
        </w:rPr>
        <w:t>HZ</w:t>
      </w:r>
      <w:r>
        <w:rPr>
          <w:sz w:val="17"/>
          <w:szCs w:val="17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8"/>
        </w:rPr>
        <w:t>患者的病历资料，根据患者不同治疗方法将其分为观察组和对照组各 </w:t>
      </w:r>
      <w:r>
        <w:rPr>
          <w:sz w:val="17"/>
          <w:szCs w:val="17"/>
          <w:color w:val="231F20"/>
          <w:spacing w:val="8"/>
        </w:rPr>
        <w:t>30 </w:t>
      </w:r>
      <w:r>
        <w:rPr>
          <w:sz w:val="16"/>
          <w:szCs w:val="16"/>
          <w:color w:val="231F20"/>
          <w:spacing w:val="8"/>
        </w:rPr>
        <w:t>例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8"/>
        </w:rPr>
        <w:t>。观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0"/>
        </w:rPr>
        <w:t>察组接受阿昔洛韦乳膏联合维生素 </w:t>
      </w:r>
      <w:r>
        <w:rPr>
          <w:sz w:val="17"/>
          <w:szCs w:val="17"/>
          <w:color w:val="231F20"/>
          <w:spacing w:val="10"/>
        </w:rPr>
        <w:t>B</w:t>
      </w:r>
      <w:r>
        <w:rPr>
          <w:sz w:val="10"/>
          <w:szCs w:val="10"/>
          <w:color w:val="231F20"/>
          <w:spacing w:val="10"/>
          <w:position w:val="-3"/>
        </w:rPr>
        <w:t>12</w:t>
      </w:r>
      <w:r>
        <w:rPr>
          <w:sz w:val="10"/>
          <w:szCs w:val="10"/>
          <w:color w:val="231F20"/>
          <w:spacing w:val="28"/>
          <w:w w:val="101"/>
          <w:position w:val="-3"/>
        </w:rPr>
        <w:t xml:space="preserve"> </w:t>
      </w:r>
      <w:r>
        <w:rPr>
          <w:sz w:val="16"/>
          <w:szCs w:val="16"/>
          <w:color w:val="231F20"/>
          <w:spacing w:val="10"/>
        </w:rPr>
        <w:t>注射液治疗，对照组接受阿昔洛韦乳膏治疗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10"/>
        </w:rPr>
        <w:t>。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  <w:spacing w:val="10"/>
        </w:rPr>
        <w:t>比较两组治疗后临床症状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10"/>
        </w:rPr>
        <w:t>、免疫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功能、细胞因子水平，并统计治疗 </w:t>
      </w:r>
      <w:r>
        <w:rPr>
          <w:sz w:val="17"/>
          <w:szCs w:val="17"/>
          <w:color w:val="231F20"/>
          <w:spacing w:val="8"/>
        </w:rPr>
        <w:t>2 </w:t>
      </w:r>
      <w:r>
        <w:rPr>
          <w:sz w:val="16"/>
          <w:szCs w:val="16"/>
          <w:color w:val="231F20"/>
          <w:spacing w:val="8"/>
        </w:rPr>
        <w:t>个月内后遗神经痛及不良反应发生情况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8"/>
        </w:rPr>
        <w:t>。结果</w:t>
      </w:r>
      <w:r>
        <w:rPr>
          <w:sz w:val="16"/>
          <w:szCs w:val="16"/>
          <w:color w:val="231F20"/>
          <w:spacing w:val="1"/>
        </w:rPr>
        <w:t xml:space="preserve">    </w:t>
      </w:r>
      <w:r>
        <w:rPr>
          <w:sz w:val="16"/>
          <w:szCs w:val="16"/>
          <w:color w:val="231F20"/>
          <w:spacing w:val="8"/>
        </w:rPr>
        <w:t>观察组止疱时间、完全结痂时间、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1"/>
        </w:rPr>
        <w:t>脱痂时间以及疼痛缓解时间均短于对照组，差异有统计学意义（</w:t>
      </w:r>
      <w:r>
        <w:rPr>
          <w:sz w:val="17"/>
          <w:szCs w:val="17"/>
          <w:color w:val="231F20"/>
          <w:spacing w:val="-1"/>
        </w:rPr>
        <w:t>P＜0.05</w:t>
      </w:r>
      <w:r>
        <w:rPr>
          <w:sz w:val="16"/>
          <w:szCs w:val="16"/>
          <w:color w:val="231F20"/>
          <w:spacing w:val="-22"/>
          <w:w w:val="59"/>
        </w:rPr>
        <w:t>）；</w:t>
      </w:r>
      <w:r>
        <w:rPr>
          <w:sz w:val="16"/>
          <w:szCs w:val="16"/>
          <w:color w:val="231F20"/>
          <w:spacing w:val="-1"/>
        </w:rPr>
        <w:t>治疗后，两组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7"/>
          <w:szCs w:val="17"/>
          <w:color w:val="231F20"/>
          <w:spacing w:val="-1"/>
          <w:position w:val="-1"/>
        </w:rPr>
        <w:t>CD3</w:t>
      </w:r>
      <w:r>
        <w:rPr>
          <w:sz w:val="10"/>
          <w:szCs w:val="10"/>
          <w:color w:val="231F20"/>
          <w:spacing w:val="-1"/>
          <w:position w:val="5"/>
        </w:rPr>
        <w:t>+</w:t>
      </w:r>
      <w:r>
        <w:rPr>
          <w:sz w:val="16"/>
          <w:szCs w:val="16"/>
          <w:color w:val="231F20"/>
          <w:spacing w:val="-2"/>
        </w:rPr>
        <w:t>、</w:t>
      </w:r>
      <w:r>
        <w:rPr>
          <w:sz w:val="17"/>
          <w:szCs w:val="17"/>
          <w:color w:val="231F20"/>
          <w:spacing w:val="-2"/>
          <w:position w:val="-1"/>
        </w:rPr>
        <w:t>CD4</w:t>
      </w:r>
      <w:r>
        <w:rPr>
          <w:sz w:val="10"/>
          <w:szCs w:val="10"/>
          <w:color w:val="231F20"/>
          <w:spacing w:val="-2"/>
          <w:position w:val="5"/>
        </w:rPr>
        <w:t>+</w:t>
      </w:r>
      <w:r>
        <w:rPr>
          <w:sz w:val="16"/>
          <w:szCs w:val="16"/>
          <w:color w:val="231F20"/>
          <w:spacing w:val="-2"/>
        </w:rPr>
        <w:t>及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7"/>
          <w:szCs w:val="17"/>
          <w:color w:val="231F20"/>
          <w:spacing w:val="-2"/>
          <w:position w:val="-1"/>
        </w:rPr>
        <w:t>CD4</w:t>
      </w:r>
      <w:r>
        <w:rPr>
          <w:sz w:val="10"/>
          <w:szCs w:val="10"/>
          <w:color w:val="231F20"/>
          <w:spacing w:val="-2"/>
          <w:position w:val="5"/>
        </w:rPr>
        <w:t>+</w:t>
      </w:r>
      <w:r>
        <w:rPr>
          <w:sz w:val="17"/>
          <w:szCs w:val="17"/>
          <w:color w:val="231F20"/>
          <w:spacing w:val="-2"/>
          <w:position w:val="-1"/>
        </w:rPr>
        <w:t>/CD8</w:t>
      </w:r>
      <w:r>
        <w:rPr>
          <w:sz w:val="10"/>
          <w:szCs w:val="10"/>
          <w:color w:val="231F20"/>
          <w:spacing w:val="-2"/>
          <w:position w:val="5"/>
        </w:rPr>
        <w:t>+</w:t>
      </w:r>
      <w:r>
        <w:rPr>
          <w:sz w:val="16"/>
          <w:szCs w:val="16"/>
          <w:color w:val="231F20"/>
          <w:spacing w:val="-2"/>
        </w:rPr>
        <w:t>水平均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"/>
        </w:rPr>
        <w:t>上升，且观察组高于对照组，差异有统计学意义（</w:t>
      </w:r>
      <w:r>
        <w:rPr>
          <w:sz w:val="17"/>
          <w:szCs w:val="17"/>
          <w:color w:val="231F20"/>
          <w:spacing w:val="2"/>
        </w:rPr>
        <w:t>P</w:t>
      </w:r>
      <w:r>
        <w:rPr>
          <w:sz w:val="17"/>
          <w:szCs w:val="17"/>
          <w:color w:val="231F20"/>
          <w:spacing w:val="1"/>
        </w:rPr>
        <w:t>＜0.05</w:t>
      </w:r>
      <w:r>
        <w:rPr>
          <w:sz w:val="16"/>
          <w:szCs w:val="16"/>
          <w:color w:val="231F20"/>
          <w:spacing w:val="-22"/>
          <w:w w:val="59"/>
        </w:rPr>
        <w:t>）；</w:t>
      </w:r>
      <w:r>
        <w:rPr>
          <w:sz w:val="16"/>
          <w:szCs w:val="16"/>
          <w:color w:val="231F20"/>
          <w:spacing w:val="1"/>
        </w:rPr>
        <w:t>治疗后，两组 </w:t>
      </w:r>
      <w:r>
        <w:rPr>
          <w:sz w:val="17"/>
          <w:szCs w:val="17"/>
          <w:color w:val="231F20"/>
        </w:rPr>
        <w:t>IL</w:t>
      </w:r>
      <w:r>
        <w:rPr>
          <w:sz w:val="17"/>
          <w:szCs w:val="17"/>
          <w:color w:val="231F20"/>
          <w:spacing w:val="1"/>
        </w:rPr>
        <w:t>-2 </w:t>
      </w:r>
      <w:r>
        <w:rPr>
          <w:sz w:val="16"/>
          <w:szCs w:val="16"/>
          <w:color w:val="231F20"/>
          <w:spacing w:val="1"/>
        </w:rPr>
        <w:t>水平上升，</w:t>
      </w:r>
      <w:r>
        <w:rPr>
          <w:sz w:val="17"/>
          <w:szCs w:val="17"/>
          <w:color w:val="231F20"/>
        </w:rPr>
        <w:t>IL</w:t>
      </w:r>
      <w:r>
        <w:rPr>
          <w:sz w:val="17"/>
          <w:szCs w:val="17"/>
          <w:color w:val="231F20"/>
          <w:spacing w:val="1"/>
        </w:rPr>
        <w:t>-6 </w:t>
      </w:r>
      <w:r>
        <w:rPr>
          <w:sz w:val="16"/>
          <w:szCs w:val="16"/>
          <w:color w:val="231F20"/>
          <w:spacing w:val="1"/>
        </w:rPr>
        <w:t>及 </w:t>
      </w:r>
      <w:r>
        <w:rPr>
          <w:sz w:val="17"/>
          <w:szCs w:val="17"/>
          <w:color w:val="231F20"/>
        </w:rPr>
        <w:t>TNF</w:t>
      </w:r>
      <w:r>
        <w:rPr>
          <w:sz w:val="17"/>
          <w:szCs w:val="17"/>
          <w:color w:val="231F20"/>
          <w:spacing w:val="1"/>
        </w:rPr>
        <w:t>-α </w:t>
      </w:r>
      <w:r>
        <w:rPr>
          <w:sz w:val="16"/>
          <w:szCs w:val="16"/>
          <w:color w:val="231F20"/>
          <w:spacing w:val="1"/>
        </w:rPr>
        <w:t>水平均下降，且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观察组 </w:t>
      </w:r>
      <w:r>
        <w:rPr>
          <w:sz w:val="17"/>
          <w:szCs w:val="17"/>
          <w:color w:val="231F20"/>
        </w:rPr>
        <w:t>IL</w:t>
      </w:r>
      <w:r>
        <w:rPr>
          <w:sz w:val="17"/>
          <w:szCs w:val="17"/>
          <w:color w:val="231F20"/>
          <w:spacing w:val="7"/>
        </w:rPr>
        <w:t>-2 </w:t>
      </w:r>
      <w:r>
        <w:rPr>
          <w:sz w:val="16"/>
          <w:szCs w:val="16"/>
          <w:color w:val="231F20"/>
          <w:spacing w:val="7"/>
        </w:rPr>
        <w:t>水平高于对照组，</w:t>
      </w:r>
      <w:r>
        <w:rPr>
          <w:sz w:val="17"/>
          <w:szCs w:val="17"/>
          <w:color w:val="231F20"/>
        </w:rPr>
        <w:t>IL</w:t>
      </w:r>
      <w:r>
        <w:rPr>
          <w:sz w:val="17"/>
          <w:szCs w:val="17"/>
          <w:color w:val="231F20"/>
          <w:spacing w:val="7"/>
        </w:rPr>
        <w:t>-6 </w:t>
      </w:r>
      <w:r>
        <w:rPr>
          <w:sz w:val="16"/>
          <w:szCs w:val="16"/>
          <w:color w:val="231F20"/>
          <w:spacing w:val="7"/>
        </w:rPr>
        <w:t>及 </w:t>
      </w:r>
      <w:r>
        <w:rPr>
          <w:sz w:val="17"/>
          <w:szCs w:val="17"/>
          <w:color w:val="231F20"/>
        </w:rPr>
        <w:t>TNF</w:t>
      </w:r>
      <w:r>
        <w:rPr>
          <w:sz w:val="17"/>
          <w:szCs w:val="17"/>
          <w:color w:val="231F20"/>
          <w:spacing w:val="7"/>
        </w:rPr>
        <w:t>-α </w:t>
      </w:r>
      <w:r>
        <w:rPr>
          <w:sz w:val="16"/>
          <w:szCs w:val="16"/>
          <w:color w:val="231F20"/>
          <w:spacing w:val="7"/>
        </w:rPr>
        <w:t>水平低于对照组，差异有统计学意义（</w:t>
      </w:r>
      <w:r>
        <w:rPr>
          <w:sz w:val="17"/>
          <w:szCs w:val="17"/>
          <w:color w:val="231F20"/>
          <w:spacing w:val="7"/>
        </w:rPr>
        <w:t>P＜0.05</w:t>
      </w:r>
      <w:r>
        <w:rPr>
          <w:sz w:val="16"/>
          <w:szCs w:val="16"/>
          <w:color w:val="231F20"/>
          <w:spacing w:val="-24"/>
          <w:w w:val="63"/>
        </w:rPr>
        <w:t>）；</w:t>
      </w:r>
      <w:r>
        <w:rPr>
          <w:sz w:val="16"/>
          <w:szCs w:val="16"/>
          <w:color w:val="231F20"/>
          <w:spacing w:val="7"/>
        </w:rPr>
        <w:t>观察组后遗神经痛发生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"/>
        </w:rPr>
        <w:t>率低于对照组，差异有统计学意义（</w:t>
      </w:r>
      <w:r>
        <w:rPr>
          <w:sz w:val="17"/>
          <w:szCs w:val="17"/>
          <w:color w:val="231F20"/>
          <w:spacing w:val="2"/>
        </w:rPr>
        <w:t>P＜0.05</w:t>
      </w:r>
      <w:r>
        <w:rPr>
          <w:sz w:val="16"/>
          <w:szCs w:val="16"/>
          <w:color w:val="231F20"/>
          <w:spacing w:val="-23"/>
          <w:w w:val="62"/>
        </w:rPr>
        <w:t>）；</w:t>
      </w:r>
      <w:r>
        <w:rPr>
          <w:sz w:val="16"/>
          <w:szCs w:val="16"/>
          <w:color w:val="231F20"/>
          <w:spacing w:val="2"/>
        </w:rPr>
        <w:t>两组不良反应发生率比较差异无统计学意义（</w:t>
      </w:r>
      <w:r>
        <w:rPr>
          <w:sz w:val="17"/>
          <w:szCs w:val="17"/>
          <w:color w:val="231F20"/>
          <w:spacing w:val="2"/>
        </w:rPr>
        <w:t>P＞0.05</w:t>
      </w:r>
      <w:r>
        <w:rPr>
          <w:sz w:val="16"/>
          <w:szCs w:val="16"/>
          <w:color w:val="231F20"/>
          <w:spacing w:val="2"/>
        </w:rPr>
        <w:t>）。 结论    阿昔洛韦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2"/>
        </w:rPr>
        <w:t>乳膏联合维生素 </w:t>
      </w:r>
      <w:r>
        <w:rPr>
          <w:sz w:val="17"/>
          <w:szCs w:val="17"/>
          <w:color w:val="231F20"/>
          <w:spacing w:val="12"/>
        </w:rPr>
        <w:t>B</w:t>
      </w:r>
      <w:r>
        <w:rPr>
          <w:sz w:val="10"/>
          <w:szCs w:val="10"/>
          <w:color w:val="231F20"/>
          <w:spacing w:val="12"/>
          <w:position w:val="-3"/>
        </w:rPr>
        <w:t>12</w:t>
      </w:r>
      <w:r>
        <w:rPr>
          <w:sz w:val="10"/>
          <w:szCs w:val="10"/>
          <w:color w:val="231F20"/>
          <w:spacing w:val="21"/>
          <w:position w:val="-3"/>
        </w:rPr>
        <w:t xml:space="preserve"> </w:t>
      </w:r>
      <w:r>
        <w:rPr>
          <w:sz w:val="16"/>
          <w:szCs w:val="16"/>
          <w:color w:val="231F20"/>
          <w:spacing w:val="12"/>
        </w:rPr>
        <w:t>注射液可加强对 </w:t>
      </w:r>
      <w:r>
        <w:rPr>
          <w:sz w:val="17"/>
          <w:szCs w:val="17"/>
          <w:color w:val="231F20"/>
        </w:rPr>
        <w:t>HZ</w:t>
      </w:r>
      <w:r>
        <w:rPr>
          <w:sz w:val="17"/>
          <w:szCs w:val="17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12"/>
        </w:rPr>
        <w:t>临</w:t>
      </w:r>
      <w:r>
        <w:rPr>
          <w:sz w:val="16"/>
          <w:szCs w:val="16"/>
          <w:color w:val="231F20"/>
          <w:spacing w:val="11"/>
        </w:rPr>
        <w:t>床症状及免疫功能的改善效果，并减轻后遗神经痛发生风险，且不增加药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3"/>
        </w:rPr>
        <w:t>物不良反应发生风险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3"/>
        </w:rPr>
        <w:t>。</w:t>
      </w:r>
    </w:p>
    <w:p>
      <w:pPr>
        <w:pStyle w:val="BodyText"/>
        <w:ind w:left="1207"/>
        <w:spacing w:before="4" w:line="20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关键词：带状疱疹；阿昔洛韦乳膏；维生素 </w:t>
      </w:r>
      <w:r>
        <w:rPr>
          <w:sz w:val="17"/>
          <w:szCs w:val="17"/>
          <w:color w:val="231F20"/>
          <w:spacing w:val="1"/>
        </w:rPr>
        <w:t>B</w:t>
      </w:r>
      <w:r>
        <w:rPr>
          <w:sz w:val="10"/>
          <w:szCs w:val="10"/>
          <w:color w:val="231F20"/>
          <w:position w:val="-3"/>
        </w:rPr>
        <w:t>12  </w:t>
      </w:r>
      <w:r>
        <w:rPr>
          <w:sz w:val="16"/>
          <w:szCs w:val="16"/>
          <w:color w:val="231F20"/>
        </w:rPr>
        <w:t>注射液；临床症状；免疫功能</w:t>
      </w:r>
    </w:p>
    <w:p>
      <w:pPr>
        <w:pStyle w:val="BodyText"/>
        <w:ind w:left="1221"/>
        <w:spacing w:before="34" w:line="198" w:lineRule="auto"/>
        <w:rPr>
          <w:sz w:val="17"/>
          <w:szCs w:val="17"/>
        </w:rPr>
      </w:pPr>
      <w:r>
        <w:rPr>
          <w:sz w:val="16"/>
          <w:szCs w:val="16"/>
          <w:color w:val="231F20"/>
          <w:spacing w:val="-5"/>
        </w:rPr>
        <w:t>中图分类号：</w:t>
      </w:r>
      <w:r>
        <w:rPr>
          <w:sz w:val="17"/>
          <w:szCs w:val="17"/>
          <w:color w:val="231F20"/>
          <w:spacing w:val="-5"/>
        </w:rPr>
        <w:t>R752.1               </w:t>
      </w:r>
      <w:r>
        <w:rPr>
          <w:sz w:val="16"/>
          <w:szCs w:val="16"/>
          <w:color w:val="231F20"/>
          <w:spacing w:val="-5"/>
        </w:rPr>
        <w:t>文献标志码：</w:t>
      </w:r>
      <w:r>
        <w:rPr>
          <w:sz w:val="17"/>
          <w:szCs w:val="17"/>
          <w:color w:val="231F20"/>
          <w:spacing w:val="-5"/>
        </w:rPr>
        <w:t>B        </w:t>
      </w:r>
      <w:r>
        <w:rPr>
          <w:sz w:val="17"/>
          <w:szCs w:val="17"/>
          <w:color w:val="231F20"/>
          <w:spacing w:val="-6"/>
        </w:rPr>
        <w:t xml:space="preserve">     </w:t>
      </w:r>
      <w:r>
        <w:rPr>
          <w:sz w:val="16"/>
          <w:szCs w:val="16"/>
          <w:color w:val="231F20"/>
          <w:spacing w:val="-6"/>
        </w:rPr>
        <w:t>文章编号：</w:t>
      </w:r>
      <w:r>
        <w:rPr>
          <w:sz w:val="17"/>
          <w:szCs w:val="17"/>
          <w:color w:val="231F20"/>
          <w:spacing w:val="-6"/>
        </w:rPr>
        <w:t>1001</w:t>
      </w:r>
      <w:r>
        <w:rPr>
          <w:sz w:val="16"/>
          <w:szCs w:val="16"/>
          <w:color w:val="231F20"/>
          <w:spacing w:val="-6"/>
        </w:rPr>
        <w:t>-</w:t>
      </w:r>
      <w:r>
        <w:rPr>
          <w:sz w:val="17"/>
          <w:szCs w:val="17"/>
          <w:color w:val="231F20"/>
          <w:spacing w:val="-6"/>
        </w:rPr>
        <w:t>8174</w:t>
      </w:r>
      <w:r>
        <w:rPr>
          <w:sz w:val="16"/>
          <w:szCs w:val="16"/>
          <w:color w:val="231F20"/>
          <w:spacing w:val="-6"/>
        </w:rPr>
        <w:t>（</w:t>
      </w:r>
      <w:r>
        <w:rPr>
          <w:sz w:val="17"/>
          <w:szCs w:val="17"/>
          <w:color w:val="231F20"/>
          <w:spacing w:val="-6"/>
        </w:rPr>
        <w:t>2022</w:t>
      </w:r>
      <w:r>
        <w:rPr>
          <w:sz w:val="16"/>
          <w:szCs w:val="16"/>
          <w:color w:val="231F20"/>
          <w:spacing w:val="-6"/>
        </w:rPr>
        <w:t>）</w:t>
      </w:r>
      <w:r>
        <w:rPr>
          <w:sz w:val="17"/>
          <w:szCs w:val="17"/>
          <w:color w:val="231F20"/>
          <w:spacing w:val="-6"/>
        </w:rPr>
        <w:t>21</w:t>
      </w:r>
      <w:r>
        <w:rPr>
          <w:sz w:val="16"/>
          <w:szCs w:val="16"/>
          <w:color w:val="231F20"/>
          <w:spacing w:val="-6"/>
        </w:rPr>
        <w:t>-</w:t>
      </w:r>
      <w:r>
        <w:rPr>
          <w:sz w:val="17"/>
          <w:szCs w:val="17"/>
          <w:color w:val="231F20"/>
          <w:spacing w:val="-6"/>
        </w:rPr>
        <w:t>3224</w:t>
      </w:r>
      <w:r>
        <w:rPr>
          <w:sz w:val="16"/>
          <w:szCs w:val="16"/>
          <w:color w:val="231F20"/>
          <w:spacing w:val="-6"/>
        </w:rPr>
        <w:t>-</w:t>
      </w:r>
      <w:r>
        <w:rPr>
          <w:sz w:val="17"/>
          <w:szCs w:val="17"/>
          <w:color w:val="231F20"/>
          <w:spacing w:val="-6"/>
        </w:rPr>
        <w:t>03</w:t>
      </w:r>
    </w:p>
    <w:p>
      <w:pPr>
        <w:spacing w:before="89"/>
        <w:rPr/>
      </w:pPr>
      <w:r/>
    </w:p>
    <w:p>
      <w:pPr>
        <w:sectPr>
          <w:type w:val="continuous"/>
          <w:pgSz w:w="12075" w:h="16836"/>
          <w:pgMar w:top="1365" w:right="1271" w:bottom="0" w:left="407" w:header="978" w:footer="0" w:gutter="0"/>
          <w:cols w:equalWidth="0" w:num="1">
            <w:col w:w="10395" w:space="0"/>
          </w:cols>
        </w:sectPr>
        <w:rPr/>
      </w:pPr>
    </w:p>
    <w:p>
      <w:pPr>
        <w:pStyle w:val="BodyText"/>
        <w:ind w:left="754" w:right="325" w:firstLine="415"/>
        <w:spacing w:before="44" w:line="181" w:lineRule="auto"/>
        <w:rPr/>
      </w:pPr>
      <w:r>
        <w:rPr>
          <w:color w:val="231F20"/>
          <w:spacing w:val="5"/>
        </w:rPr>
        <w:t>带状疱疹（</w:t>
      </w:r>
      <w:r>
        <w:rPr>
          <w:sz w:val="20"/>
          <w:szCs w:val="20"/>
          <w:color w:val="231F20"/>
        </w:rPr>
        <w:t>HZ</w:t>
      </w:r>
      <w:r>
        <w:rPr>
          <w:color w:val="231F20"/>
          <w:spacing w:val="5"/>
        </w:rPr>
        <w:t>）为急性感染性皮肤病，其致病原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</w:rPr>
        <w:t>为水痘</w:t>
      </w:r>
      <w:r>
        <w:rPr>
          <w:sz w:val="20"/>
          <w:szCs w:val="20"/>
          <w:color w:val="231F20"/>
          <w:spacing w:val="8"/>
        </w:rPr>
        <w:t>-</w:t>
      </w:r>
      <w:r>
        <w:rPr>
          <w:sz w:val="20"/>
          <w:szCs w:val="20"/>
          <w:color w:val="231F20"/>
        </w:rPr>
        <w:t>HZ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color w:val="231F20"/>
          <w:spacing w:val="8"/>
        </w:rPr>
        <w:t>病毒（</w:t>
      </w:r>
      <w:r>
        <w:rPr>
          <w:sz w:val="20"/>
          <w:szCs w:val="20"/>
          <w:color w:val="231F20"/>
        </w:rPr>
        <w:t>VZV</w:t>
      </w:r>
      <w:r>
        <w:rPr>
          <w:color w:val="231F20"/>
          <w:spacing w:val="-27"/>
          <w:w w:val="81"/>
        </w:rPr>
        <w:t>）</w:t>
      </w:r>
      <w:r>
        <w:rPr>
          <w:sz w:val="10"/>
          <w:szCs w:val="10"/>
          <w:color w:val="231F20"/>
          <w:spacing w:val="-6"/>
          <w:w w:val="30"/>
          <w:position w:val="6"/>
        </w:rPr>
        <w:t>［</w:t>
      </w:r>
      <w:r>
        <w:rPr>
          <w:sz w:val="11"/>
          <w:szCs w:val="11"/>
          <w:color w:val="231F20"/>
          <w:spacing w:val="8"/>
          <w:position w:val="6"/>
        </w:rPr>
        <w:t>1</w:t>
      </w:r>
      <w:r>
        <w:rPr>
          <w:sz w:val="10"/>
          <w:szCs w:val="10"/>
          <w:color w:val="231F20"/>
          <w:spacing w:val="8"/>
          <w:position w:val="6"/>
        </w:rPr>
        <w:t>］</w:t>
      </w:r>
      <w:r>
        <w:rPr>
          <w:color w:val="231F20"/>
          <w:spacing w:val="8"/>
        </w:rPr>
        <w:t>。</w:t>
      </w:r>
      <w:r>
        <w:rPr>
          <w:sz w:val="20"/>
          <w:szCs w:val="20"/>
          <w:color w:val="231F20"/>
          <w:position w:val="-1"/>
        </w:rPr>
        <w:t>VZV</w:t>
      </w:r>
      <w:r>
        <w:rPr>
          <w:sz w:val="20"/>
          <w:szCs w:val="20"/>
          <w:color w:val="231F20"/>
          <w:spacing w:val="8"/>
          <w:position w:val="-1"/>
        </w:rPr>
        <w:t xml:space="preserve"> </w:t>
      </w:r>
      <w:r>
        <w:rPr>
          <w:color w:val="231F20"/>
          <w:spacing w:val="8"/>
        </w:rPr>
        <w:t>进入人体后一般先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" w:firstLine="8"/>
        <w:spacing w:before="43" w:line="194" w:lineRule="auto"/>
        <w:rPr/>
      </w:pPr>
      <w:r>
        <w:rPr>
          <w:color w:val="231F20"/>
          <w:spacing w:val="10"/>
        </w:rPr>
        <w:t>于脊神经、颅脑神经节细胞等处潜伏，当患者</w:t>
      </w:r>
      <w:r>
        <w:rPr>
          <w:color w:val="231F20"/>
          <w:spacing w:val="9"/>
        </w:rPr>
        <w:t>出现抵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抗力下降时，其可立即快速繁殖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、生长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，并通过入侵</w:t>
      </w:r>
    </w:p>
    <w:sectPr>
      <w:type w:val="continuous"/>
      <w:pgSz w:w="12075" w:h="16836"/>
      <w:pgMar w:top="1365" w:right="1271" w:bottom="0" w:left="407" w:header="978" w:footer="0" w:gutter="0"/>
      <w:cols w:equalWidth="0" w:num="2">
        <w:col w:w="5681" w:space="100"/>
        <w:col w:w="461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3"/>
      <w:spacing w:before="47" w:line="194" w:lineRule="auto"/>
      <w:rPr>
        <w:sz w:val="16"/>
        <w:szCs w:val="16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color w:val="231F20"/>
        <w:spacing w:val="-7"/>
        <w:position w:val="-1"/>
      </w:rPr>
      <w:t>·</w:t>
    </w:r>
    <w:r>
      <w:rPr>
        <w:sz w:val="17"/>
        <w:szCs w:val="17"/>
        <w:color w:val="231F20"/>
        <w:spacing w:val="-7"/>
        <w:position w:val="-1"/>
      </w:rPr>
      <w:t>3222</w:t>
    </w:r>
    <w:r>
      <w:rPr>
        <w:color w:val="231F20"/>
        <w:spacing w:val="-7"/>
        <w:position w:val="-1"/>
      </w:rPr>
      <w:t>·                                        </w:t>
    </w:r>
    <w:r>
      <w:rPr>
        <w:sz w:val="17"/>
        <w:szCs w:val="17"/>
        <w:color w:val="231F20"/>
        <w:spacing w:val="-7"/>
      </w:rPr>
      <w:t>Mod</w:t>
    </w:r>
    <w:r>
      <w:rPr>
        <w:sz w:val="17"/>
        <w:szCs w:val="17"/>
        <w:color w:val="231F20"/>
        <w:spacing w:val="16"/>
        <w:w w:val="101"/>
      </w:rPr>
      <w:t xml:space="preserve"> </w:t>
    </w:r>
    <w:r>
      <w:rPr>
        <w:sz w:val="17"/>
        <w:szCs w:val="17"/>
        <w:color w:val="231F20"/>
        <w:spacing w:val="-7"/>
      </w:rPr>
      <w:t>Diagn</w:t>
    </w:r>
    <w:r>
      <w:rPr>
        <w:sz w:val="17"/>
        <w:szCs w:val="17"/>
        <w:color w:val="231F20"/>
        <w:spacing w:val="10"/>
      </w:rPr>
      <w:t xml:space="preserve"> </w:t>
    </w:r>
    <w:r>
      <w:rPr>
        <w:sz w:val="17"/>
        <w:szCs w:val="17"/>
        <w:color w:val="231F20"/>
        <w:spacing w:val="-7"/>
      </w:rPr>
      <w:t>Treat      </w:t>
    </w:r>
    <w:r>
      <w:rPr>
        <w:sz w:val="16"/>
        <w:szCs w:val="16"/>
        <w:color w:val="231F20"/>
        <w:spacing w:val="-7"/>
        <w:position w:val="1"/>
      </w:rPr>
      <w:t>现代诊断与治疗      </w:t>
    </w:r>
    <w:r>
      <w:rPr>
        <w:sz w:val="17"/>
        <w:szCs w:val="17"/>
        <w:color w:val="231F20"/>
        <w:spacing w:val="-7"/>
      </w:rPr>
      <w:t>2022</w:t>
    </w:r>
    <w:r>
      <w:rPr>
        <w:sz w:val="17"/>
        <w:szCs w:val="17"/>
        <w:color w:val="231F20"/>
        <w:spacing w:val="14"/>
        <w:w w:val="101"/>
      </w:rPr>
      <w:t xml:space="preserve"> </w:t>
    </w:r>
    <w:r>
      <w:rPr>
        <w:sz w:val="17"/>
        <w:szCs w:val="17"/>
        <w:color w:val="231F20"/>
        <w:spacing w:val="-7"/>
      </w:rPr>
      <w:t>Nov</w:t>
    </w:r>
    <w:r>
      <w:rPr>
        <w:sz w:val="17"/>
        <w:szCs w:val="17"/>
        <w:color w:val="231F20"/>
        <w:spacing w:val="16"/>
      </w:rPr>
      <w:t xml:space="preserve"> </w:t>
    </w:r>
    <w:r>
      <w:rPr>
        <w:sz w:val="17"/>
        <w:szCs w:val="17"/>
        <w:color w:val="231F20"/>
        <w:spacing w:val="-7"/>
      </w:rPr>
      <w:t>33</w:t>
    </w:r>
    <w:r>
      <w:rPr>
        <w:sz w:val="16"/>
        <w:szCs w:val="16"/>
        <w:color w:val="231F20"/>
        <w:spacing w:val="-7"/>
      </w:rPr>
      <w:t>（</w:t>
    </w:r>
    <w:r>
      <w:rPr>
        <w:sz w:val="17"/>
        <w:szCs w:val="17"/>
        <w:color w:val="231F20"/>
        <w:spacing w:val="-7"/>
      </w:rPr>
      <w:t>21</w:t>
    </w:r>
    <w:r>
      <w:rPr>
        <w:sz w:val="16"/>
        <w:szCs w:val="16"/>
        <w:color w:val="231F20"/>
        <w:spacing w:val="-7"/>
      </w:rPr>
      <w:t>）</w:t>
    </w:r>
  </w:p>
  <w:p>
    <w:pPr>
      <w:ind w:firstLine="753"/>
      <w:spacing w:before="10" w:line="56" w:lineRule="exact"/>
      <w:rPr/>
    </w:pPr>
    <w:r>
      <w:rPr>
        <w:position w:val="-1"/>
      </w:rPr>
      <w:drawing>
        <wp:inline distT="0" distB="0" distL="0" distR="0">
          <wp:extent cx="6120129" cy="35560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35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591"/>
      <w:spacing w:before="50" w:line="175" w:lineRule="auto"/>
      <w:rPr/>
    </w:pPr>
    <w:r>
      <w:pict>
        <v:shape id="WordPictureWatermark4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17"/>
        <w:szCs w:val="17"/>
        <w:color w:val="231F20"/>
        <w:spacing w:val="-6"/>
      </w:rPr>
      <w:t>Mod</w:t>
    </w:r>
    <w:r>
      <w:rPr>
        <w:sz w:val="17"/>
        <w:szCs w:val="17"/>
        <w:color w:val="231F20"/>
        <w:spacing w:val="15"/>
      </w:rPr>
      <w:t xml:space="preserve"> </w:t>
    </w:r>
    <w:r>
      <w:rPr>
        <w:sz w:val="17"/>
        <w:szCs w:val="17"/>
        <w:color w:val="231F20"/>
        <w:spacing w:val="-6"/>
      </w:rPr>
      <w:t>Diagn</w:t>
    </w:r>
    <w:r>
      <w:rPr>
        <w:sz w:val="17"/>
        <w:szCs w:val="17"/>
        <w:color w:val="231F20"/>
        <w:spacing w:val="10"/>
      </w:rPr>
      <w:t xml:space="preserve"> </w:t>
    </w:r>
    <w:r>
      <w:rPr>
        <w:sz w:val="17"/>
        <w:szCs w:val="17"/>
        <w:color w:val="231F20"/>
        <w:spacing w:val="-6"/>
      </w:rPr>
      <w:t>Treat     </w:t>
    </w:r>
    <w:r>
      <w:rPr>
        <w:sz w:val="16"/>
        <w:szCs w:val="16"/>
        <w:color w:val="231F20"/>
        <w:spacing w:val="-6"/>
      </w:rPr>
      <w:t>现代诊断与治疗      </w:t>
    </w:r>
    <w:r>
      <w:rPr>
        <w:sz w:val="17"/>
        <w:szCs w:val="17"/>
        <w:color w:val="231F20"/>
        <w:spacing w:val="-6"/>
      </w:rPr>
      <w:t>2022</w:t>
    </w:r>
    <w:r>
      <w:rPr>
        <w:sz w:val="17"/>
        <w:szCs w:val="17"/>
        <w:color w:val="231F20"/>
        <w:spacing w:val="14"/>
        <w:w w:val="101"/>
      </w:rPr>
      <w:t xml:space="preserve"> </w:t>
    </w:r>
    <w:r>
      <w:rPr>
        <w:sz w:val="17"/>
        <w:szCs w:val="17"/>
        <w:color w:val="231F20"/>
        <w:spacing w:val="-6"/>
      </w:rPr>
      <w:t>Nov</w:t>
    </w:r>
    <w:r>
      <w:rPr>
        <w:sz w:val="17"/>
        <w:szCs w:val="17"/>
        <w:color w:val="231F20"/>
        <w:spacing w:val="16"/>
      </w:rPr>
      <w:t xml:space="preserve"> </w:t>
    </w:r>
    <w:r>
      <w:rPr>
        <w:sz w:val="17"/>
        <w:szCs w:val="17"/>
        <w:color w:val="231F20"/>
        <w:spacing w:val="-6"/>
      </w:rPr>
      <w:t>33</w:t>
    </w:r>
    <w:r>
      <w:rPr>
        <w:sz w:val="16"/>
        <w:szCs w:val="16"/>
        <w:color w:val="231F20"/>
        <w:spacing w:val="-6"/>
      </w:rPr>
      <w:t>（</w:t>
    </w:r>
    <w:r>
      <w:rPr>
        <w:sz w:val="17"/>
        <w:szCs w:val="17"/>
        <w:color w:val="231F20"/>
        <w:spacing w:val="-6"/>
      </w:rPr>
      <w:t>21</w:t>
    </w:r>
    <w:r>
      <w:rPr>
        <w:sz w:val="16"/>
        <w:szCs w:val="16"/>
        <w:color w:val="231F20"/>
        <w:spacing w:val="-6"/>
      </w:rPr>
      <w:t>）                                           </w:t>
    </w:r>
    <w:r>
      <w:rPr>
        <w:sz w:val="16"/>
        <w:szCs w:val="16"/>
        <w:color w:val="231F20"/>
        <w:spacing w:val="-7"/>
      </w:rPr>
      <w:t xml:space="preserve">   </w:t>
    </w:r>
    <w:r>
      <w:rPr>
        <w:color w:val="231F20"/>
        <w:spacing w:val="-7"/>
        <w:position w:val="1"/>
      </w:rPr>
      <w:t>·</w:t>
    </w:r>
    <w:r>
      <w:rPr>
        <w:sz w:val="17"/>
        <w:szCs w:val="17"/>
        <w:color w:val="231F20"/>
        <w:spacing w:val="-7"/>
        <w:position w:val="1"/>
      </w:rPr>
      <w:t>3223</w:t>
    </w:r>
    <w:r>
      <w:rPr>
        <w:color w:val="231F20"/>
        <w:spacing w:val="-7"/>
      </w:rPr>
      <w:t>·</w:t>
    </w:r>
  </w:p>
  <w:p>
    <w:pPr>
      <w:ind w:firstLine="868"/>
      <w:spacing w:before="13" w:line="50" w:lineRule="exact"/>
      <w:rPr/>
    </w:pPr>
    <w:r>
      <w:rPr>
        <w:position w:val="-1"/>
      </w:rPr>
      <w:drawing>
        <wp:inline distT="0" distB="0" distL="0" distR="0">
          <wp:extent cx="6120129" cy="31750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31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3"/>
      <w:spacing w:before="47" w:line="194" w:lineRule="auto"/>
      <w:rPr>
        <w:sz w:val="16"/>
        <w:szCs w:val="16"/>
      </w:rPr>
    </w:pPr>
    <w:r>
      <w:pict>
        <v:shape id="WordPictureWatermark12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color w:val="231F20"/>
        <w:spacing w:val="-7"/>
        <w:position w:val="-1"/>
      </w:rPr>
      <w:t>·</w:t>
    </w:r>
    <w:r>
      <w:rPr>
        <w:sz w:val="17"/>
        <w:szCs w:val="17"/>
        <w:color w:val="231F20"/>
        <w:spacing w:val="-7"/>
        <w:position w:val="-1"/>
      </w:rPr>
      <w:t>3224</w:t>
    </w:r>
    <w:r>
      <w:rPr>
        <w:color w:val="231F20"/>
        <w:spacing w:val="-7"/>
        <w:position w:val="-1"/>
      </w:rPr>
      <w:t>·                                        </w:t>
    </w:r>
    <w:r>
      <w:rPr>
        <w:sz w:val="17"/>
        <w:szCs w:val="17"/>
        <w:color w:val="231F20"/>
        <w:spacing w:val="-7"/>
      </w:rPr>
      <w:t>Mod</w:t>
    </w:r>
    <w:r>
      <w:rPr>
        <w:sz w:val="17"/>
        <w:szCs w:val="17"/>
        <w:color w:val="231F20"/>
        <w:spacing w:val="16"/>
        <w:w w:val="101"/>
      </w:rPr>
      <w:t xml:space="preserve"> </w:t>
    </w:r>
    <w:r>
      <w:rPr>
        <w:sz w:val="17"/>
        <w:szCs w:val="17"/>
        <w:color w:val="231F20"/>
        <w:spacing w:val="-7"/>
      </w:rPr>
      <w:t>Diagn</w:t>
    </w:r>
    <w:r>
      <w:rPr>
        <w:sz w:val="17"/>
        <w:szCs w:val="17"/>
        <w:color w:val="231F20"/>
        <w:spacing w:val="10"/>
      </w:rPr>
      <w:t xml:space="preserve"> </w:t>
    </w:r>
    <w:r>
      <w:rPr>
        <w:sz w:val="17"/>
        <w:szCs w:val="17"/>
        <w:color w:val="231F20"/>
        <w:spacing w:val="-7"/>
      </w:rPr>
      <w:t>Treat      </w:t>
    </w:r>
    <w:r>
      <w:rPr>
        <w:sz w:val="16"/>
        <w:szCs w:val="16"/>
        <w:color w:val="231F20"/>
        <w:spacing w:val="-7"/>
        <w:position w:val="1"/>
      </w:rPr>
      <w:t>现代诊断与治疗      </w:t>
    </w:r>
    <w:r>
      <w:rPr>
        <w:sz w:val="17"/>
        <w:szCs w:val="17"/>
        <w:color w:val="231F20"/>
        <w:spacing w:val="-7"/>
      </w:rPr>
      <w:t>2022</w:t>
    </w:r>
    <w:r>
      <w:rPr>
        <w:sz w:val="17"/>
        <w:szCs w:val="17"/>
        <w:color w:val="231F20"/>
        <w:spacing w:val="14"/>
        <w:w w:val="101"/>
      </w:rPr>
      <w:t xml:space="preserve"> </w:t>
    </w:r>
    <w:r>
      <w:rPr>
        <w:sz w:val="17"/>
        <w:szCs w:val="17"/>
        <w:color w:val="231F20"/>
        <w:spacing w:val="-7"/>
      </w:rPr>
      <w:t>Nov</w:t>
    </w:r>
    <w:r>
      <w:rPr>
        <w:sz w:val="17"/>
        <w:szCs w:val="17"/>
        <w:color w:val="231F20"/>
        <w:spacing w:val="16"/>
      </w:rPr>
      <w:t xml:space="preserve"> </w:t>
    </w:r>
    <w:r>
      <w:rPr>
        <w:sz w:val="17"/>
        <w:szCs w:val="17"/>
        <w:color w:val="231F20"/>
        <w:spacing w:val="-7"/>
      </w:rPr>
      <w:t>33</w:t>
    </w:r>
    <w:r>
      <w:rPr>
        <w:sz w:val="16"/>
        <w:szCs w:val="16"/>
        <w:color w:val="231F20"/>
        <w:spacing w:val="-7"/>
      </w:rPr>
      <w:t>（</w:t>
    </w:r>
    <w:r>
      <w:rPr>
        <w:sz w:val="17"/>
        <w:szCs w:val="17"/>
        <w:color w:val="231F20"/>
        <w:spacing w:val="-7"/>
      </w:rPr>
      <w:t>21</w:t>
    </w:r>
    <w:r>
      <w:rPr>
        <w:sz w:val="16"/>
        <w:szCs w:val="16"/>
        <w:color w:val="231F20"/>
        <w:spacing w:val="-7"/>
      </w:rPr>
      <w:t>）</w:t>
    </w:r>
  </w:p>
  <w:p>
    <w:pPr>
      <w:ind w:firstLine="753"/>
      <w:spacing w:before="10" w:line="56" w:lineRule="exact"/>
      <w:rPr/>
    </w:pPr>
    <w:r>
      <w:rPr>
        <w:position w:val="-1"/>
      </w:rPr>
      <w:drawing>
        <wp:inline distT="0" distB="0" distL="0" distR="0">
          <wp:extent cx="6120129" cy="35560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20129" cy="35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2023-03-21T00:15:08Z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2025-10-28T21:31:28</vt:filetime>
  </property>
</Properties>
</file>