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21"/>
        <w:spacing w:before="343" w:line="242" w:lineRule="auto"/>
        <w:rPr>
          <w:rFonts w:ascii="SimHei" w:hAnsi="SimHei" w:eastAsia="SimHei" w:cs="SimHei"/>
          <w:sz w:val="32"/>
          <w:szCs w:val="32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7236003</wp:posOffset>
            </wp:positionH>
            <wp:positionV relativeFrom="page">
              <wp:posOffset>0</wp:posOffset>
            </wp:positionV>
            <wp:extent cx="324001" cy="1069200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001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color w:val="E96F2E"/>
          <w:spacing w:val="-2"/>
        </w:rPr>
        <w:t>妇si健康导刊</w:t>
      </w:r>
      <w:r>
        <w:rPr>
          <w:rFonts w:ascii="Microsoft YaHei" w:hAnsi="Microsoft YaHei" w:eastAsia="Microsoft YaHei" w:cs="Microsoft YaHei"/>
          <w:sz w:val="24"/>
          <w:szCs w:val="24"/>
          <w:color w:val="E96F2E"/>
          <w:spacing w:val="-2"/>
        </w:rPr>
        <w:t xml:space="preserve">      </w:t>
      </w:r>
      <w:r>
        <w:rPr>
          <w:sz w:val="17"/>
          <w:szCs w:val="17"/>
          <w:color w:val="231F20"/>
          <w:spacing w:val="-2"/>
          <w:position w:val="1"/>
        </w:rPr>
        <w:t>2024年6月 第3卷 第12期</w:t>
      </w:r>
      <w:r>
        <w:rPr>
          <w:sz w:val="17"/>
          <w:szCs w:val="17"/>
          <w:color w:val="231F20"/>
          <w:spacing w:val="37"/>
          <w:position w:val="1"/>
        </w:rPr>
        <w:t xml:space="preserve"> </w:t>
      </w:r>
      <w:r>
        <w:rPr>
          <w:sz w:val="17"/>
          <w:szCs w:val="17"/>
          <w:strike/>
          <w:color w:val="231F20"/>
          <w:spacing w:val="-2"/>
          <w:position w:val="1"/>
        </w:rPr>
        <w:t xml:space="preserve">   </w:t>
      </w:r>
      <w:r>
        <w:rPr>
          <w:sz w:val="17"/>
          <w:szCs w:val="17"/>
          <w:strike/>
          <w:color w:val="231F20"/>
          <w:spacing w:val="-3"/>
          <w:position w:val="1"/>
        </w:rPr>
        <w:t xml:space="preserve">                                          </w:t>
      </w:r>
      <w:r>
        <w:rPr>
          <w:sz w:val="17"/>
          <w:szCs w:val="17"/>
          <w:color w:val="231F20"/>
          <w:spacing w:val="-3"/>
          <w:position w:val="1"/>
        </w:rPr>
        <w:t xml:space="preserve">        </w:t>
      </w:r>
      <w:r>
        <w:rPr>
          <w:rFonts w:ascii="SimHei" w:hAnsi="SimHei" w:eastAsia="SimHei" w:cs="SimHei"/>
          <w:sz w:val="32"/>
          <w:szCs w:val="32"/>
          <w:color w:val="231F20"/>
          <w:spacing w:val="-3"/>
          <w:position w:val="-1"/>
        </w:rPr>
        <w:t>·</w:t>
      </w:r>
      <w:r>
        <w:rPr>
          <w:rFonts w:ascii="SimHei" w:hAnsi="SimHei" w:eastAsia="SimHei" w:cs="SimHei"/>
          <w:sz w:val="32"/>
          <w:szCs w:val="32"/>
          <w:color w:val="41A467"/>
          <w:spacing w:val="-3"/>
          <w:position w:val="-1"/>
        </w:rPr>
        <w:t>药物研究</w:t>
      </w:r>
      <w:r>
        <w:rPr>
          <w:rFonts w:ascii="SimHei" w:hAnsi="SimHei" w:eastAsia="SimHei" w:cs="SimHei"/>
          <w:sz w:val="32"/>
          <w:szCs w:val="32"/>
          <w:color w:val="41A467"/>
          <w:spacing w:val="-30"/>
          <w:position w:val="-1"/>
        </w:rPr>
        <w:t xml:space="preserve"> </w:t>
      </w:r>
      <w:r>
        <w:rPr>
          <w:rFonts w:ascii="SimHei" w:hAnsi="SimHei" w:eastAsia="SimHei" w:cs="SimHei"/>
          <w:sz w:val="32"/>
          <w:szCs w:val="32"/>
          <w:color w:val="231F20"/>
          <w:spacing w:val="-3"/>
          <w:position w:val="-1"/>
        </w:rPr>
        <w:t>·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485"/>
        <w:spacing w:before="149" w:line="607" w:lineRule="exact"/>
        <w:rPr>
          <w:sz w:val="46"/>
          <w:szCs w:val="46"/>
        </w:rPr>
      </w:pPr>
      <w:r>
        <w:rPr>
          <w:sz w:val="46"/>
          <w:szCs w:val="46"/>
          <w:b/>
          <w:bCs/>
          <w:color w:val="0085FF"/>
          <w:spacing w:val="-6"/>
          <w:position w:val="2"/>
        </w:rPr>
        <w:t>益生菌联合阿奇霉素</w:t>
      </w:r>
    </w:p>
    <w:p>
      <w:pPr>
        <w:pStyle w:val="BodyText"/>
        <w:ind w:left="2332"/>
        <w:spacing w:before="147" w:line="604" w:lineRule="exact"/>
        <w:outlineLvl w:val="0"/>
        <w:rPr>
          <w:sz w:val="46"/>
          <w:szCs w:val="46"/>
        </w:rPr>
      </w:pPr>
      <w:r>
        <w:rPr>
          <w:sz w:val="46"/>
          <w:szCs w:val="46"/>
          <w:b/>
          <w:bCs/>
          <w:color w:val="0085FF"/>
          <w:spacing w:val="-6"/>
          <w:position w:val="2"/>
        </w:rPr>
        <w:t>治疗小儿急性肠胃炎的临床效果</w:t>
      </w:r>
    </w:p>
    <w:p>
      <w:pPr>
        <w:pStyle w:val="BodyText"/>
        <w:ind w:left="5273"/>
        <w:spacing w:before="259" w:line="23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刘立清</w:t>
      </w:r>
    </w:p>
    <w:p>
      <w:pPr>
        <w:pStyle w:val="BodyText"/>
        <w:ind w:left="3733"/>
        <w:spacing w:before="96" w:line="254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7"/>
          <w:position w:val="1"/>
        </w:rPr>
        <w:t>青岛市即墨区大信卫生院，山东青岛</w:t>
      </w:r>
      <w:r>
        <w:rPr>
          <w:sz w:val="19"/>
          <w:szCs w:val="19"/>
          <w:color w:val="231F20"/>
          <w:spacing w:val="73"/>
          <w:w w:val="101"/>
          <w:position w:val="1"/>
        </w:rPr>
        <w:t xml:space="preserve"> </w:t>
      </w:r>
      <w:r>
        <w:rPr>
          <w:sz w:val="19"/>
          <w:szCs w:val="19"/>
          <w:color w:val="231F20"/>
          <w:spacing w:val="-7"/>
          <w:position w:val="1"/>
        </w:rPr>
        <w:t>266229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962" w:right="1412" w:firstLine="511"/>
        <w:spacing w:before="62" w:line="291" w:lineRule="auto"/>
        <w:tabs>
          <w:tab w:val="left" w:pos="1076"/>
        </w:tabs>
        <w:rPr>
          <w:rFonts w:ascii="FangSong" w:hAnsi="FangSong" w:eastAsia="FangSong" w:cs="FangSong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>[</w:t>
      </w:r>
      <w:r>
        <w:rPr>
          <w:rFonts w:ascii="SimHei" w:hAnsi="SimHei" w:eastAsia="SimHei" w:cs="SimHei"/>
          <w:sz w:val="19"/>
          <w:szCs w:val="19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>摘要</w:t>
      </w:r>
      <w:r>
        <w:rPr>
          <w:rFonts w:ascii="SimHei" w:hAnsi="SimHei" w:eastAsia="SimHei" w:cs="SimHei"/>
          <w:sz w:val="19"/>
          <w:szCs w:val="19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>]</w:t>
      </w: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>目的</w:t>
      </w: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"/>
        </w:rPr>
        <w:t>探讨益生菌联合阿奇霉素治疗小</w:t>
      </w:r>
      <w:r>
        <w:rPr>
          <w:rFonts w:ascii="FangSong" w:hAnsi="FangSong" w:eastAsia="FangSong" w:cs="FangSong"/>
          <w:sz w:val="19"/>
          <w:szCs w:val="19"/>
          <w:color w:val="231F20"/>
          <w:spacing w:val="-2"/>
        </w:rPr>
        <w:t>儿急性肠胃炎的临床效果。</w:t>
      </w:r>
      <w:r>
        <w:rPr>
          <w:rFonts w:ascii="FangSong" w:hAnsi="FangSong" w:eastAsia="FangSong" w:cs="FangSong"/>
          <w:sz w:val="19"/>
          <w:szCs w:val="19"/>
          <w:color w:val="231F20"/>
          <w:spacing w:val="37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2"/>
        </w:rPr>
        <w:t>方法</w:t>
      </w:r>
      <w:r>
        <w:rPr>
          <w:rFonts w:ascii="SimHei" w:hAnsi="SimHei" w:eastAsia="SimHei" w:cs="SimHei"/>
          <w:sz w:val="19"/>
          <w:szCs w:val="19"/>
          <w:color w:val="231F20"/>
          <w:spacing w:val="33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2"/>
        </w:rPr>
        <w:t>选取</w:t>
      </w:r>
      <w:r>
        <w:rPr>
          <w:rFonts w:ascii="FangSong" w:hAnsi="FangSong" w:eastAsia="FangSong" w:cs="FangSong"/>
          <w:sz w:val="19"/>
          <w:szCs w:val="19"/>
          <w:color w:val="231F20"/>
          <w:spacing w:val="-33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2"/>
        </w:rPr>
        <w:t>2022</w:t>
      </w:r>
      <w:r>
        <w:rPr>
          <w:rFonts w:ascii="FangSong" w:hAnsi="FangSong" w:eastAsia="FangSong" w:cs="FangSong"/>
          <w:sz w:val="19"/>
          <w:szCs w:val="19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2"/>
        </w:rPr>
        <w:t>年</w:t>
      </w:r>
      <w:r>
        <w:rPr>
          <w:rFonts w:ascii="FangSong" w:hAnsi="FangSong" w:eastAsia="FangSong" w:cs="FangSong"/>
          <w:sz w:val="19"/>
          <w:szCs w:val="19"/>
          <w:color w:val="231F20"/>
          <w:spacing w:val="-19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2"/>
        </w:rPr>
        <w:t>11</w:t>
      </w:r>
      <w:r>
        <w:rPr>
          <w:rFonts w:ascii="FangSong" w:hAnsi="FangSong" w:eastAsia="FangSong" w:cs="FangSong"/>
          <w:sz w:val="19"/>
          <w:szCs w:val="19"/>
          <w:color w:val="231F20"/>
          <w:spacing w:val="-27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2"/>
        </w:rPr>
        <w:t>月至</w:t>
      </w:r>
      <w:r>
        <w:rPr>
          <w:rFonts w:ascii="FangSong" w:hAnsi="FangSong" w:eastAsia="FangSong" w:cs="FangSong"/>
          <w:sz w:val="19"/>
          <w:szCs w:val="19"/>
          <w:color w:val="231F2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</w:rPr>
        <w:tab/>
      </w:r>
      <w:r>
        <w:rPr>
          <w:rFonts w:ascii="FangSong" w:hAnsi="FangSong" w:eastAsia="FangSong" w:cs="FangSong"/>
          <w:sz w:val="19"/>
          <w:szCs w:val="19"/>
          <w:color w:val="231F20"/>
        </w:rPr>
        <w:t>2023</w:t>
      </w:r>
      <w:r>
        <w:rPr>
          <w:rFonts w:ascii="FangSong" w:hAnsi="FangSong" w:eastAsia="FangSong" w:cs="FangSong"/>
          <w:sz w:val="19"/>
          <w:szCs w:val="19"/>
          <w:color w:val="231F20"/>
          <w:spacing w:val="-37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</w:rPr>
        <w:t>年</w:t>
      </w:r>
      <w:r>
        <w:rPr>
          <w:rFonts w:ascii="FangSong" w:hAnsi="FangSong" w:eastAsia="FangSong" w:cs="FangSong"/>
          <w:sz w:val="19"/>
          <w:szCs w:val="19"/>
          <w:color w:val="231F20"/>
          <w:spacing w:val="-22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</w:rPr>
        <w:t>11</w:t>
      </w:r>
      <w:r>
        <w:rPr>
          <w:rFonts w:ascii="FangSong" w:hAnsi="FangSong" w:eastAsia="FangSong" w:cs="FangSong"/>
          <w:sz w:val="19"/>
          <w:szCs w:val="19"/>
          <w:color w:val="231F20"/>
          <w:spacing w:val="-3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</w:rPr>
        <w:t>月青岛市即墨区大信卫生院治疗</w:t>
      </w:r>
      <w:r>
        <w:rPr>
          <w:rFonts w:ascii="FangSong" w:hAnsi="FangSong" w:eastAsia="FangSong" w:cs="FangSong"/>
          <w:sz w:val="19"/>
          <w:szCs w:val="19"/>
          <w:color w:val="231F20"/>
          <w:spacing w:val="-1"/>
        </w:rPr>
        <w:t>的</w:t>
      </w:r>
      <w:r>
        <w:rPr>
          <w:rFonts w:ascii="FangSong" w:hAnsi="FangSong" w:eastAsia="FangSong" w:cs="FangSong"/>
          <w:sz w:val="19"/>
          <w:szCs w:val="19"/>
          <w:color w:val="231F20"/>
          <w:spacing w:val="-22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"/>
        </w:rPr>
        <w:t>134</w:t>
      </w:r>
      <w:r>
        <w:rPr>
          <w:rFonts w:ascii="FangSong" w:hAnsi="FangSong" w:eastAsia="FangSong" w:cs="FangSong"/>
          <w:sz w:val="19"/>
          <w:szCs w:val="19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"/>
        </w:rPr>
        <w:t>例急性肠胃炎患儿作为研究对象，采用抽签法分为参照组</w:t>
      </w:r>
      <w:r>
        <w:rPr>
          <w:rFonts w:ascii="FangSong" w:hAnsi="FangSong" w:eastAsia="FangSong" w:cs="FangSong"/>
          <w:sz w:val="19"/>
          <w:szCs w:val="19"/>
          <w:color w:val="231F2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</w:rPr>
        <w:t>与研究组，每组各</w:t>
      </w:r>
      <w:r>
        <w:rPr>
          <w:rFonts w:ascii="FangSong" w:hAnsi="FangSong" w:eastAsia="FangSong" w:cs="FangSong"/>
          <w:sz w:val="19"/>
          <w:szCs w:val="19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</w:rPr>
        <w:t>67</w:t>
      </w:r>
      <w:r>
        <w:rPr>
          <w:rFonts w:ascii="FangSong" w:hAnsi="FangSong" w:eastAsia="FangSong" w:cs="FangSong"/>
          <w:sz w:val="19"/>
          <w:szCs w:val="19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</w:rPr>
        <w:t>例。参照组采用阿奇霉素治疗，研究组在参照组基础上联合益生菌治疗。比较</w:t>
      </w:r>
      <w:r>
        <w:rPr>
          <w:rFonts w:ascii="FangSong" w:hAnsi="FangSong" w:eastAsia="FangSong" w:cs="FangSong"/>
          <w:sz w:val="19"/>
          <w:szCs w:val="19"/>
          <w:color w:val="231F20"/>
          <w:spacing w:val="-1"/>
        </w:rPr>
        <w:t>两组临床</w:t>
      </w:r>
      <w:r>
        <w:rPr>
          <w:rFonts w:ascii="FangSong" w:hAnsi="FangSong" w:eastAsia="FangSong" w:cs="FangSong"/>
          <w:sz w:val="19"/>
          <w:szCs w:val="19"/>
          <w:color w:val="231F2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6"/>
        </w:rPr>
        <w:t>疗效、临床症状消失时间、不良反应发生情况及C</w:t>
      </w:r>
      <w:r>
        <w:rPr>
          <w:rFonts w:ascii="FangSong" w:hAnsi="FangSong" w:eastAsia="FangSong" w:cs="FangSong"/>
          <w:sz w:val="19"/>
          <w:szCs w:val="19"/>
          <w:color w:val="231F20"/>
          <w:spacing w:val="-55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6"/>
        </w:rPr>
        <w:t>反应蛋白（CRP）水平。</w:t>
      </w:r>
      <w:r>
        <w:rPr>
          <w:rFonts w:ascii="SimHei" w:hAnsi="SimHei" w:eastAsia="SimHei" w:cs="SimHei"/>
          <w:sz w:val="19"/>
          <w:szCs w:val="19"/>
          <w:color w:val="231F20"/>
          <w:spacing w:val="-6"/>
        </w:rPr>
        <w:t>结果</w:t>
      </w:r>
      <w:r>
        <w:rPr>
          <w:rFonts w:ascii="SimHei" w:hAnsi="SimHei" w:eastAsia="SimHei" w:cs="SimHei"/>
          <w:sz w:val="19"/>
          <w:szCs w:val="19"/>
          <w:color w:val="231F20"/>
          <w:spacing w:val="-6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6"/>
        </w:rPr>
        <w:t>研究组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临床总有效率高于参照组，</w:t>
      </w:r>
      <w:r>
        <w:rPr>
          <w:rFonts w:ascii="FangSong" w:hAnsi="FangSong" w:eastAsia="FangSong" w:cs="FangSong"/>
          <w:sz w:val="19"/>
          <w:szCs w:val="19"/>
          <w:color w:val="231F2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差异有统计学意义（</w:t>
      </w:r>
      <w:r>
        <w:rPr>
          <w:rFonts w:ascii="FangSong" w:hAnsi="FangSong" w:eastAsia="FangSong" w:cs="FangSong"/>
          <w:sz w:val="19"/>
          <w:szCs w:val="19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19"/>
          <w:szCs w:val="19"/>
          <w:i/>
          <w:iCs/>
          <w:color w:val="231F20"/>
          <w:spacing w:val="-7"/>
        </w:rPr>
        <w:t>P</w:t>
      </w:r>
      <w:r>
        <w:rPr>
          <w:rFonts w:ascii="FangSong" w:hAnsi="FangSong" w:eastAsia="FangSong" w:cs="FangSong"/>
          <w:sz w:val="19"/>
          <w:szCs w:val="19"/>
          <w:color w:val="231F20"/>
          <w:spacing w:val="35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&lt;</w:t>
      </w:r>
      <w:r>
        <w:rPr>
          <w:rFonts w:ascii="FangSong" w:hAnsi="FangSong" w:eastAsia="FangSong" w:cs="FangSong"/>
          <w:sz w:val="19"/>
          <w:szCs w:val="19"/>
          <w:color w:val="231F20"/>
          <w:spacing w:val="31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7"/>
        </w:rPr>
        <w:t>0.05）。研究组腹痛、腹泻、发热及呕吐的消失时间均短于参照组，差异有统计</w:t>
      </w:r>
      <w:r>
        <w:rPr>
          <w:rFonts w:ascii="FangSong" w:hAnsi="FangSong" w:eastAsia="FangSong" w:cs="FangSong"/>
          <w:sz w:val="19"/>
          <w:szCs w:val="19"/>
          <w:color w:val="231F20"/>
          <w:spacing w:val="-8"/>
        </w:rPr>
        <w:t>学意义</w:t>
      </w:r>
      <w:r>
        <w:rPr>
          <w:rFonts w:ascii="FangSong" w:hAnsi="FangSong" w:eastAsia="FangSong" w:cs="FangSong"/>
          <w:sz w:val="19"/>
          <w:szCs w:val="19"/>
          <w:color w:val="231F2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2"/>
        </w:rPr>
        <w:t>（</w:t>
      </w:r>
      <w:r>
        <w:rPr>
          <w:rFonts w:ascii="FangSong" w:hAnsi="FangSong" w:eastAsia="FangSong" w:cs="FangSong"/>
          <w:sz w:val="19"/>
          <w:szCs w:val="19"/>
          <w:color w:val="231F20"/>
          <w:spacing w:val="-52"/>
        </w:rPr>
        <w:t xml:space="preserve"> </w:t>
      </w:r>
      <w:r>
        <w:rPr>
          <w:rFonts w:ascii="FangSong" w:hAnsi="FangSong" w:eastAsia="FangSong" w:cs="FangSong"/>
          <w:sz w:val="19"/>
          <w:szCs w:val="19"/>
          <w:i/>
          <w:iCs/>
          <w:color w:val="231F20"/>
          <w:spacing w:val="-12"/>
        </w:rPr>
        <w:t>P</w:t>
      </w:r>
      <w:r>
        <w:rPr>
          <w:rFonts w:ascii="FangSong" w:hAnsi="FangSong" w:eastAsia="FangSong" w:cs="FangSong"/>
          <w:sz w:val="19"/>
          <w:szCs w:val="19"/>
          <w:color w:val="231F20"/>
          <w:spacing w:val="25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2"/>
        </w:rPr>
        <w:t>&lt;</w:t>
      </w:r>
      <w:r>
        <w:rPr>
          <w:rFonts w:ascii="FangSong" w:hAnsi="FangSong" w:eastAsia="FangSong" w:cs="FangSong"/>
          <w:sz w:val="19"/>
          <w:szCs w:val="19"/>
          <w:color w:val="231F20"/>
          <w:spacing w:val="21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2"/>
        </w:rPr>
        <w:t>0.05）。研究组不良反应总发生率低于参照组，差异有统计学意义（</w:t>
      </w:r>
      <w:r>
        <w:rPr>
          <w:rFonts w:ascii="FangSong" w:hAnsi="FangSong" w:eastAsia="FangSong" w:cs="FangSong"/>
          <w:sz w:val="19"/>
          <w:szCs w:val="19"/>
          <w:color w:val="231F20"/>
          <w:spacing w:val="-52"/>
        </w:rPr>
        <w:t xml:space="preserve"> </w:t>
      </w:r>
      <w:r>
        <w:rPr>
          <w:rFonts w:ascii="FangSong" w:hAnsi="FangSong" w:eastAsia="FangSong" w:cs="FangSong"/>
          <w:sz w:val="19"/>
          <w:szCs w:val="19"/>
          <w:i/>
          <w:iCs/>
          <w:color w:val="231F20"/>
          <w:spacing w:val="-12"/>
        </w:rPr>
        <w:t>P</w:t>
      </w:r>
      <w:r>
        <w:rPr>
          <w:rFonts w:ascii="FangSong" w:hAnsi="FangSong" w:eastAsia="FangSong" w:cs="FangSong"/>
          <w:sz w:val="19"/>
          <w:szCs w:val="19"/>
          <w:color w:val="231F20"/>
          <w:spacing w:val="24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3"/>
        </w:rPr>
        <w:t>&lt;</w:t>
      </w:r>
      <w:r>
        <w:rPr>
          <w:rFonts w:ascii="FangSong" w:hAnsi="FangSong" w:eastAsia="FangSong" w:cs="FangSong"/>
          <w:sz w:val="19"/>
          <w:szCs w:val="19"/>
          <w:color w:val="231F20"/>
          <w:spacing w:val="21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3"/>
        </w:rPr>
        <w:t>0.05）。治疗</w:t>
      </w:r>
      <w:r>
        <w:rPr>
          <w:rFonts w:ascii="FangSong" w:hAnsi="FangSong" w:eastAsia="FangSong" w:cs="FangSong"/>
          <w:sz w:val="19"/>
          <w:szCs w:val="19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3"/>
        </w:rPr>
        <w:t>1</w:t>
      </w:r>
      <w:r>
        <w:rPr>
          <w:rFonts w:ascii="FangSong" w:hAnsi="FangSong" w:eastAsia="FangSong" w:cs="FangSong"/>
          <w:sz w:val="19"/>
          <w:szCs w:val="19"/>
          <w:color w:val="231F20"/>
          <w:spacing w:val="2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3"/>
        </w:rPr>
        <w:t>d</w:t>
      </w:r>
      <w:r>
        <w:rPr>
          <w:rFonts w:ascii="FangSong" w:hAnsi="FangSong" w:eastAsia="FangSong" w:cs="FangSong"/>
          <w:sz w:val="19"/>
          <w:szCs w:val="19"/>
          <w:color w:val="231F20"/>
          <w:spacing w:val="-38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3"/>
        </w:rPr>
        <w:t>及治疗</w:t>
      </w:r>
      <w:r>
        <w:rPr>
          <w:rFonts w:ascii="FangSong" w:hAnsi="FangSong" w:eastAsia="FangSong" w:cs="FangSong"/>
          <w:sz w:val="19"/>
          <w:szCs w:val="19"/>
          <w:color w:val="231F20"/>
          <w:spacing w:val="-38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3"/>
        </w:rPr>
        <w:t>3</w:t>
      </w:r>
      <w:r>
        <w:rPr>
          <w:rFonts w:ascii="FangSong" w:hAnsi="FangSong" w:eastAsia="FangSong" w:cs="FangSong"/>
          <w:sz w:val="19"/>
          <w:szCs w:val="19"/>
          <w:color w:val="231F20"/>
          <w:spacing w:val="21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3"/>
        </w:rPr>
        <w:t>d</w:t>
      </w:r>
      <w:r>
        <w:rPr>
          <w:rFonts w:ascii="FangSong" w:hAnsi="FangSong" w:eastAsia="FangSong" w:cs="FangSong"/>
          <w:sz w:val="19"/>
          <w:szCs w:val="19"/>
          <w:color w:val="231F20"/>
          <w:spacing w:val="-32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13"/>
        </w:rPr>
        <w:t>后，</w:t>
      </w:r>
      <w:r>
        <w:rPr>
          <w:rFonts w:ascii="FangSong" w:hAnsi="FangSong" w:eastAsia="FangSong" w:cs="FangSong"/>
          <w:sz w:val="19"/>
          <w:szCs w:val="19"/>
          <w:color w:val="231F2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8"/>
        </w:rPr>
        <w:t>两组</w:t>
      </w:r>
      <w:r>
        <w:rPr>
          <w:rFonts w:ascii="FangSong" w:hAnsi="FangSong" w:eastAsia="FangSong" w:cs="FangSong"/>
          <w:sz w:val="19"/>
          <w:szCs w:val="19"/>
          <w:color w:val="231F20"/>
          <w:spacing w:val="-38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8"/>
        </w:rPr>
        <w:t>CRP</w:t>
      </w:r>
      <w:r>
        <w:rPr>
          <w:rFonts w:ascii="FangSong" w:hAnsi="FangSong" w:eastAsia="FangSong" w:cs="FangSong"/>
          <w:sz w:val="19"/>
          <w:szCs w:val="19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8"/>
        </w:rPr>
        <w:t>水平均降低，且研究组水平低于参照组，差异有统计学意义（</w:t>
      </w:r>
      <w:r>
        <w:rPr>
          <w:rFonts w:ascii="FangSong" w:hAnsi="FangSong" w:eastAsia="FangSong" w:cs="FangSong"/>
          <w:sz w:val="19"/>
          <w:szCs w:val="19"/>
          <w:color w:val="231F20"/>
          <w:spacing w:val="-52"/>
        </w:rPr>
        <w:t xml:space="preserve"> </w:t>
      </w:r>
      <w:r>
        <w:rPr>
          <w:rFonts w:ascii="FangSong" w:hAnsi="FangSong" w:eastAsia="FangSong" w:cs="FangSong"/>
          <w:sz w:val="19"/>
          <w:szCs w:val="19"/>
          <w:i/>
          <w:iCs/>
          <w:color w:val="231F20"/>
          <w:spacing w:val="-8"/>
        </w:rPr>
        <w:t>P</w:t>
      </w:r>
      <w:r>
        <w:rPr>
          <w:rFonts w:ascii="FangSong" w:hAnsi="FangSong" w:eastAsia="FangSong" w:cs="FangSong"/>
          <w:sz w:val="19"/>
          <w:szCs w:val="19"/>
          <w:color w:val="231F20"/>
          <w:spacing w:val="27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8"/>
        </w:rPr>
        <w:t>&lt;</w:t>
      </w:r>
      <w:r>
        <w:rPr>
          <w:rFonts w:ascii="FangSong" w:hAnsi="FangSong" w:eastAsia="FangSong" w:cs="FangSong"/>
          <w:sz w:val="19"/>
          <w:szCs w:val="19"/>
          <w:color w:val="231F20"/>
          <w:spacing w:val="23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8"/>
        </w:rPr>
        <w:t>0.0</w:t>
      </w:r>
      <w:r>
        <w:rPr>
          <w:rFonts w:ascii="FangSong" w:hAnsi="FangSong" w:eastAsia="FangSong" w:cs="FangSong"/>
          <w:sz w:val="19"/>
          <w:szCs w:val="19"/>
          <w:color w:val="231F20"/>
          <w:spacing w:val="-9"/>
        </w:rPr>
        <w:t>5）。</w:t>
      </w:r>
      <w:r>
        <w:rPr>
          <w:rFonts w:ascii="FangSong" w:hAnsi="FangSong" w:eastAsia="FangSong" w:cs="FangSong"/>
          <w:sz w:val="19"/>
          <w:szCs w:val="19"/>
          <w:color w:val="231F20"/>
          <w:spacing w:val="23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9"/>
        </w:rPr>
        <w:t>结论</w:t>
      </w:r>
      <w:r>
        <w:rPr>
          <w:rFonts w:ascii="SimHei" w:hAnsi="SimHei" w:eastAsia="SimHei" w:cs="SimHei"/>
          <w:sz w:val="19"/>
          <w:szCs w:val="19"/>
          <w:color w:val="231F20"/>
          <w:spacing w:val="33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9"/>
        </w:rPr>
        <w:t>益生菌联合阿奇霉素</w:t>
      </w:r>
      <w:r>
        <w:rPr>
          <w:rFonts w:ascii="FangSong" w:hAnsi="FangSong" w:eastAsia="FangSong" w:cs="FangSong"/>
          <w:sz w:val="19"/>
          <w:szCs w:val="19"/>
          <w:color w:val="231F20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5"/>
        </w:rPr>
        <w:t>治疗小儿急性肠胃炎的临床效果较好，可有效缓解临床症状，降低不良反应发生风险及</w:t>
      </w:r>
      <w:r>
        <w:rPr>
          <w:rFonts w:ascii="FangSong" w:hAnsi="FangSong" w:eastAsia="FangSong" w:cs="FangSong"/>
          <w:sz w:val="19"/>
          <w:szCs w:val="19"/>
          <w:color w:val="231F20"/>
          <w:spacing w:val="-23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5"/>
        </w:rPr>
        <w:t>CRP</w:t>
      </w:r>
      <w:r>
        <w:rPr>
          <w:rFonts w:ascii="FangSong" w:hAnsi="FangSong" w:eastAsia="FangSong" w:cs="FangSong"/>
          <w:sz w:val="19"/>
          <w:szCs w:val="19"/>
          <w:color w:val="231F20"/>
          <w:spacing w:val="-36"/>
        </w:rPr>
        <w:t xml:space="preserve"> </w:t>
      </w:r>
      <w:r>
        <w:rPr>
          <w:rFonts w:ascii="FangSong" w:hAnsi="FangSong" w:eastAsia="FangSong" w:cs="FangSong"/>
          <w:sz w:val="19"/>
          <w:szCs w:val="19"/>
          <w:color w:val="231F20"/>
          <w:spacing w:val="-5"/>
        </w:rPr>
        <w:t>水平，值得推广。</w:t>
      </w:r>
    </w:p>
    <w:p>
      <w:pPr>
        <w:pStyle w:val="BodyText"/>
        <w:ind w:left="1474"/>
        <w:spacing w:before="301" w:line="242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8"/>
        </w:rPr>
        <w:t>[</w:t>
      </w:r>
      <w:r>
        <w:rPr>
          <w:rFonts w:ascii="SimHei" w:hAnsi="SimHei" w:eastAsia="SimHei" w:cs="SimHei"/>
          <w:sz w:val="19"/>
          <w:szCs w:val="19"/>
          <w:color w:val="231F20"/>
          <w:spacing w:val="-22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8"/>
        </w:rPr>
        <w:t>关键词</w:t>
      </w:r>
      <w:r>
        <w:rPr>
          <w:rFonts w:ascii="SimHei" w:hAnsi="SimHei" w:eastAsia="SimHei" w:cs="SimHei"/>
          <w:sz w:val="19"/>
          <w:szCs w:val="19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-8"/>
        </w:rPr>
        <w:t>]</w:t>
      </w:r>
      <w:r>
        <w:rPr>
          <w:rFonts w:ascii="SimHei" w:hAnsi="SimHei" w:eastAsia="SimHei" w:cs="SimHei"/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8"/>
        </w:rPr>
        <w:t>益生菌；阿奇霉素；小儿急性肠胃炎</w:t>
      </w:r>
    </w:p>
    <w:p>
      <w:pPr>
        <w:ind w:left="1474"/>
        <w:spacing w:before="51" w:line="24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[</w:t>
      </w:r>
      <w:r>
        <w:rPr>
          <w:rFonts w:ascii="SimHei" w:hAnsi="SimHei" w:eastAsia="SimHei" w:cs="SimHei"/>
          <w:sz w:val="19"/>
          <w:szCs w:val="19"/>
          <w:color w:val="231F20"/>
          <w:spacing w:val="-21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中图分类号</w:t>
      </w:r>
      <w:r>
        <w:rPr>
          <w:rFonts w:ascii="SimHei" w:hAnsi="SimHei" w:eastAsia="SimHei" w:cs="SimHei"/>
          <w:sz w:val="19"/>
          <w:szCs w:val="19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]</w:t>
      </w:r>
      <w:r>
        <w:rPr>
          <w:rFonts w:ascii="SimHei" w:hAnsi="SimHei" w:eastAsia="SimHei" w:cs="SimHei"/>
          <w:sz w:val="19"/>
          <w:szCs w:val="19"/>
          <w:color w:val="231F20"/>
          <w:spacing w:val="-20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R725.7</w:t>
      </w:r>
      <w:r>
        <w:rPr>
          <w:rFonts w:ascii="SimHei" w:hAnsi="SimHei" w:eastAsia="SimHei" w:cs="SimHei"/>
          <w:sz w:val="19"/>
          <w:szCs w:val="19"/>
          <w:color w:val="231F20"/>
          <w:spacing w:val="19"/>
        </w:rPr>
        <w:t xml:space="preserve">    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[</w:t>
      </w:r>
      <w:r>
        <w:rPr>
          <w:rFonts w:ascii="SimHei" w:hAnsi="SimHei" w:eastAsia="SimHei" w:cs="SimHei"/>
          <w:sz w:val="19"/>
          <w:szCs w:val="19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文献标识码</w:t>
      </w:r>
      <w:r>
        <w:rPr>
          <w:rFonts w:ascii="SimHei" w:hAnsi="SimHei" w:eastAsia="SimHei" w:cs="SimHei"/>
          <w:sz w:val="19"/>
          <w:szCs w:val="19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]</w:t>
      </w:r>
      <w:r>
        <w:rPr>
          <w:rFonts w:ascii="SimHei" w:hAnsi="SimHei" w:eastAsia="SimHei" w:cs="SimHei"/>
          <w:sz w:val="19"/>
          <w:szCs w:val="19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A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 xml:space="preserve">     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[</w:t>
      </w:r>
      <w:r>
        <w:rPr>
          <w:rFonts w:ascii="SimHei" w:hAnsi="SimHei" w:eastAsia="SimHei" w:cs="SimHei"/>
          <w:sz w:val="19"/>
          <w:szCs w:val="19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文章编号</w:t>
      </w:r>
      <w:r>
        <w:rPr>
          <w:rFonts w:ascii="SimHei" w:hAnsi="SimHei" w:eastAsia="SimHei" w:cs="SimHei"/>
          <w:sz w:val="19"/>
          <w:szCs w:val="19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]</w:t>
      </w:r>
      <w:r>
        <w:rPr>
          <w:rFonts w:ascii="SimHei" w:hAnsi="SimHei" w:eastAsia="SimHei" w:cs="SimHei"/>
          <w:sz w:val="19"/>
          <w:szCs w:val="19"/>
          <w:color w:val="231F20"/>
          <w:spacing w:val="-32"/>
        </w:rPr>
        <w:t xml:space="preserve"> </w:t>
      </w:r>
      <w:r>
        <w:rPr>
          <w:rFonts w:ascii="SimHei" w:hAnsi="SimHei" w:eastAsia="SimHei" w:cs="SimHei"/>
          <w:sz w:val="19"/>
          <w:szCs w:val="19"/>
          <w:color w:val="231F20"/>
          <w:spacing w:val="1"/>
        </w:rPr>
        <w:t>2097-115X（2</w:t>
      </w:r>
      <w:r>
        <w:rPr>
          <w:rFonts w:ascii="SimHei" w:hAnsi="SimHei" w:eastAsia="SimHei" w:cs="SimHei"/>
          <w:sz w:val="19"/>
          <w:szCs w:val="19"/>
          <w:color w:val="231F20"/>
        </w:rPr>
        <w:t>024）12-0071-04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1070" w:right="1475" w:firstLine="7"/>
        <w:spacing w:before="76" w:line="254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9"/>
          <w:w w:val="121"/>
        </w:rPr>
        <w:t>Clinical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9"/>
          <w:w w:val="121"/>
        </w:rPr>
        <w:t>effect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9"/>
          <w:w w:val="121"/>
        </w:rPr>
        <w:t>of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9"/>
          <w:w w:val="121"/>
        </w:rPr>
        <w:t>Probiotics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9"/>
          <w:w w:val="121"/>
        </w:rPr>
        <w:t>combined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9"/>
          <w:w w:val="121"/>
        </w:rPr>
        <w:t>with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6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9"/>
          <w:w w:val="121"/>
        </w:rPr>
        <w:t>Azithromycin</w:t>
      </w:r>
      <w:r>
        <w:rPr>
          <w:rFonts w:ascii="Times New Roman" w:hAnsi="Times New Roman" w:eastAsia="Times New Roman" w:cs="Times New Roman"/>
          <w:sz w:val="26"/>
          <w:szCs w:val="2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9"/>
          <w:w w:val="121"/>
        </w:rPr>
        <w:t>in</w:t>
      </w:r>
      <w:r>
        <w:rPr>
          <w:rFonts w:ascii="Times New Roman" w:hAnsi="Times New Roman" w:eastAsia="Times New Roman" w:cs="Times New Roman"/>
          <w:sz w:val="26"/>
          <w:szCs w:val="2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9"/>
          <w:w w:val="121"/>
        </w:rPr>
        <w:t>the</w:t>
      </w:r>
      <w:r>
        <w:rPr>
          <w:rFonts w:ascii="Times New Roman" w:hAnsi="Times New Roman" w:eastAsia="Times New Roman" w:cs="Times New Roman"/>
          <w:sz w:val="26"/>
          <w:szCs w:val="2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25"/>
        </w:rPr>
        <w:t>treatment of</w:t>
      </w:r>
      <w:r>
        <w:rPr>
          <w:rFonts w:ascii="Times New Roman" w:hAnsi="Times New Roman" w:eastAsia="Times New Roman" w:cs="Times New Roman"/>
          <w:sz w:val="26"/>
          <w:szCs w:val="2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color w:val="231F20"/>
          <w:spacing w:val="25"/>
        </w:rPr>
        <w:t>children with acute gastroenteritis</w:t>
      </w:r>
    </w:p>
    <w:p>
      <w:pPr>
        <w:ind w:left="1057"/>
        <w:spacing w:before="75" w:line="18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LIU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Liqing</w:t>
      </w:r>
    </w:p>
    <w:p>
      <w:pPr>
        <w:pStyle w:val="BodyText"/>
        <w:ind w:left="1073"/>
        <w:spacing w:before="70" w:line="241" w:lineRule="auto"/>
        <w:rPr/>
      </w:pPr>
      <w:r>
        <w:rPr>
          <w:color w:val="231F20"/>
          <w:spacing w:val="-11"/>
        </w:rPr>
        <w:t>Daxin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Health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1"/>
        </w:rPr>
        <w:t>Center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11"/>
        </w:rPr>
        <w:t>Jimo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1"/>
        </w:rPr>
        <w:t>District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1"/>
        </w:rPr>
        <w:t>Qingdao,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1"/>
        </w:rPr>
        <w:t>Shandong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1"/>
        </w:rPr>
        <w:t>Province,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1"/>
        </w:rPr>
        <w:t>Qingdao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-11"/>
        </w:rPr>
        <w:t>266229,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1"/>
        </w:rPr>
        <w:t>China</w:t>
      </w:r>
    </w:p>
    <w:p>
      <w:pPr>
        <w:pStyle w:val="BodyText"/>
        <w:ind w:left="1071" w:right="1465" w:firstLine="8"/>
        <w:spacing w:before="43" w:line="286" w:lineRule="auto"/>
        <w:rPr/>
      </w:pPr>
      <w:r>
        <w:rPr>
          <w:rFonts w:ascii="Times New Roman" w:hAnsi="Times New Roman" w:eastAsia="Times New Roman" w:cs="Times New Roman"/>
          <w:color w:val="231F20"/>
          <w:spacing w:val="-6"/>
        </w:rPr>
        <w:t>[Abstract]  Objective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color w:val="231F20"/>
          <w:spacing w:val="-6"/>
        </w:rPr>
        <w:t>To explore the </w:t>
      </w:r>
      <w:r>
        <w:rPr>
          <w:color w:val="231F20"/>
          <w:spacing w:val="-7"/>
        </w:rPr>
        <w:t>clinical effect of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Probiotics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combined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Azithromycin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treatment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children with acute gastroen</w:t>
      </w:r>
      <w:r>
        <w:rPr>
          <w:color w:val="231F20"/>
          <w:spacing w:val="-11"/>
        </w:rPr>
        <w:t>teritis. </w:t>
      </w:r>
      <w:r>
        <w:rPr>
          <w:rFonts w:ascii="Times New Roman" w:hAnsi="Times New Roman" w:eastAsia="Times New Roman" w:cs="Times New Roman"/>
          <w:color w:val="231F20"/>
          <w:spacing w:val="-11"/>
        </w:rPr>
        <w:t>Methods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color w:val="231F20"/>
          <w:spacing w:val="-11"/>
        </w:rPr>
        <w:t>A total of 134 children with acute gastroenteritis admitted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to Daxin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Health Center of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9"/>
        </w:rPr>
        <w:t>Jimo District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Qingdao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from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November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2022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Novemb</w:t>
      </w:r>
      <w:r>
        <w:rPr>
          <w:color w:val="231F20"/>
          <w:spacing w:val="-10"/>
        </w:rPr>
        <w:t>er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2023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were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selected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as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study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objects.</w:t>
      </w:r>
    </w:p>
    <w:p>
      <w:pPr>
        <w:pStyle w:val="BodyText"/>
        <w:ind w:left="1069" w:right="1464"/>
        <w:spacing w:before="8" w:line="286" w:lineRule="auto"/>
        <w:jc w:val="both"/>
        <w:rPr/>
      </w:pPr>
      <w:r>
        <w:rPr>
          <w:color w:val="231F20"/>
          <w:spacing w:val="-11"/>
        </w:rPr>
        <w:t>All the children were divided into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reference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1"/>
        </w:rPr>
        <w:t>group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the study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1"/>
        </w:rPr>
        <w:t>group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by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lottery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1"/>
        </w:rPr>
        <w:t>met</w:t>
      </w:r>
      <w:r>
        <w:rPr>
          <w:color w:val="231F20"/>
          <w:spacing w:val="-12"/>
        </w:rPr>
        <w:t>hod,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with 67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2"/>
        </w:rPr>
        <w:t>cases in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each group.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reference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group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was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treated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with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Azithromycin,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a</w:t>
      </w:r>
      <w:r>
        <w:rPr>
          <w:color w:val="231F20"/>
          <w:spacing w:val="-12"/>
        </w:rPr>
        <w:t>nd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study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group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was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treated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with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Probiotics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on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basis of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2"/>
        </w:rPr>
        <w:t>the reference group.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The clinical efficiency,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2"/>
        </w:rPr>
        <w:t>disappearance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3"/>
        </w:rPr>
        <w:t>time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clinical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3"/>
        </w:rPr>
        <w:t>symptoms,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3"/>
        </w:rPr>
        <w:t>incidence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3"/>
        </w:rPr>
        <w:t>adverse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reactions,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9"/>
        </w:rPr>
        <w:t>level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9"/>
        </w:rPr>
        <w:t>C-reactive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9"/>
        </w:rPr>
        <w:t>protein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(CRP)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9"/>
        </w:rPr>
        <w:t>were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compared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b</w:t>
      </w:r>
      <w:r>
        <w:rPr>
          <w:color w:val="231F20"/>
          <w:spacing w:val="-10"/>
        </w:rPr>
        <w:t>etween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two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groups.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Results</w:t>
      </w:r>
      <w:r>
        <w:rPr>
          <w:rFonts w:ascii="Times New Roman" w:hAnsi="Times New Roman" w:eastAsia="Times New Roman" w:cs="Times New Roman"/>
          <w:color w:val="231F20"/>
          <w:spacing w:val="12"/>
          <w:w w:val="102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total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0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efficiency rate 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the study grou</w:t>
      </w:r>
      <w:r>
        <w:rPr>
          <w:color w:val="231F20"/>
          <w:spacing w:val="-13"/>
        </w:rPr>
        <w:t>p was higher than that of the reference group, and the difference was statistically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significant (</w:t>
      </w:r>
      <w:r>
        <w:rPr>
          <w:rFonts w:ascii="Times New Roman" w:hAnsi="Times New Roman" w:eastAsia="Times New Roman" w:cs="Times New Roman"/>
          <w:i/>
          <w:iCs/>
          <w:color w:val="231F20"/>
          <w:spacing w:val="-12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3"/>
        </w:rPr>
        <w:t xml:space="preserve"> </w:t>
      </w:r>
      <w:r>
        <w:rPr>
          <w:color w:val="231F20"/>
          <w:spacing w:val="-12"/>
        </w:rPr>
        <w:t>&lt;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0.05).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disappearance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2"/>
        </w:rPr>
        <w:t>time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abdominal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3"/>
        </w:rPr>
        <w:t>pain,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diarrhea,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fever,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vomiting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study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group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shorter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than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6"/>
        </w:rPr>
        <w:t>that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6"/>
        </w:rPr>
        <w:t>reference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6"/>
        </w:rPr>
        <w:t>group,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6"/>
        </w:rPr>
        <w:t>difference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was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6"/>
        </w:rPr>
        <w:t>statistically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6"/>
        </w:rPr>
        <w:t>significant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6"/>
        </w:rPr>
        <w:t>(</w:t>
      </w:r>
      <w:r>
        <w:rPr>
          <w:rFonts w:ascii="Times New Roman" w:hAnsi="Times New Roman" w:eastAsia="Times New Roman" w:cs="Times New Roman"/>
          <w:i/>
          <w:iCs/>
          <w:color w:val="231F20"/>
          <w:spacing w:val="-16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16"/>
        </w:rPr>
        <w:t xml:space="preserve"> </w:t>
      </w:r>
      <w:r>
        <w:rPr>
          <w:color w:val="231F20"/>
          <w:spacing w:val="-16"/>
        </w:rPr>
        <w:t>&lt;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6"/>
        </w:rPr>
        <w:t>0.05).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6"/>
        </w:rPr>
        <w:t>Th</w:t>
      </w:r>
      <w:r>
        <w:rPr>
          <w:color w:val="231F20"/>
          <w:spacing w:val="-17"/>
        </w:rPr>
        <w:t>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7"/>
        </w:rPr>
        <w:t>total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7"/>
        </w:rPr>
        <w:t>incidence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adverse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3"/>
        </w:rPr>
        <w:t>reactions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study group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lower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than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that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reference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3"/>
        </w:rPr>
        <w:t>group,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3"/>
        </w:rPr>
        <w:t>difference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3"/>
        </w:rPr>
        <w:t>statistically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significant (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P  </w:t>
      </w:r>
      <w:r>
        <w:rPr>
          <w:color w:val="231F20"/>
          <w:spacing w:val="-8"/>
        </w:rPr>
        <w:t>&lt; 0.05). After t</w:t>
      </w:r>
      <w:r>
        <w:rPr>
          <w:color w:val="231F20"/>
          <w:spacing w:val="-9"/>
        </w:rPr>
        <w:t>reatment for 1 day and 3 days, the levels of CRP in both groups were decreased,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and the level in the </w:t>
      </w:r>
      <w:r>
        <w:rPr>
          <w:color w:val="231F20"/>
          <w:spacing w:val="-11"/>
        </w:rPr>
        <w:t>study group was lower than that in the reference group, and the difference was statistically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significant (</w:t>
      </w:r>
      <w:r>
        <w:rPr>
          <w:rFonts w:ascii="Times New Roman" w:hAnsi="Times New Roman" w:eastAsia="Times New Roman" w:cs="Times New Roman"/>
          <w:i/>
          <w:iCs/>
          <w:color w:val="231F20"/>
          <w:spacing w:val="-10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9"/>
          <w:w w:val="101"/>
        </w:rPr>
        <w:t xml:space="preserve"> </w:t>
      </w:r>
      <w:r>
        <w:rPr>
          <w:color w:val="231F20"/>
          <w:spacing w:val="-10"/>
        </w:rPr>
        <w:t>&lt; 0.05). </w:t>
      </w:r>
      <w:r>
        <w:rPr>
          <w:rFonts w:ascii="Times New Roman" w:hAnsi="Times New Roman" w:eastAsia="Times New Roman" w:cs="Times New Roman"/>
          <w:color w:val="231F20"/>
          <w:spacing w:val="-10"/>
        </w:rPr>
        <w:t>Co</w:t>
      </w:r>
      <w:r>
        <w:rPr>
          <w:rFonts w:ascii="Times New Roman" w:hAnsi="Times New Roman" w:eastAsia="Times New Roman" w:cs="Times New Roman"/>
          <w:color w:val="231F20"/>
          <w:spacing w:val="-11"/>
        </w:rPr>
        <w:t>nclusion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color w:val="231F20"/>
          <w:spacing w:val="-11"/>
        </w:rPr>
        <w:t>The clinical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effect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Probiotics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combined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with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Azithromycin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treatment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children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5"/>
        </w:rPr>
        <w:t>with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5"/>
        </w:rPr>
        <w:t>acute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5"/>
        </w:rPr>
        <w:t>gastroenteritis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5"/>
        </w:rPr>
        <w:t>is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5"/>
        </w:rPr>
        <w:t>better,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which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can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effectively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6"/>
        </w:rPr>
        <w:t>alleviate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clinical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symptoms,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6"/>
        </w:rPr>
        <w:t>reduce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6"/>
        </w:rPr>
        <w:t>risk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6"/>
        </w:rPr>
        <w:t>adverse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reactions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1"/>
        </w:rPr>
        <w:t>level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1"/>
        </w:rPr>
        <w:t>CRP,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is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2"/>
        </w:rPr>
        <w:t>worthy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2"/>
        </w:rPr>
        <w:t>promotion.</w:t>
      </w:r>
    </w:p>
    <w:p>
      <w:pPr>
        <w:pStyle w:val="BodyText"/>
        <w:ind w:left="1080"/>
        <w:spacing w:before="1" w:line="235" w:lineRule="auto"/>
        <w:rPr/>
      </w:pPr>
      <w:r>
        <w:rPr>
          <w:rFonts w:ascii="Times New Roman" w:hAnsi="Times New Roman" w:eastAsia="Times New Roman" w:cs="Times New Roman"/>
          <w:color w:val="231F20"/>
          <w:spacing w:val="-10"/>
        </w:rPr>
        <w:t>[Key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words]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color w:val="231F20"/>
          <w:spacing w:val="-10"/>
        </w:rPr>
        <w:t>Probiotics;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0"/>
        </w:rPr>
        <w:t>Azithromycin;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Children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0"/>
        </w:rPr>
        <w:t>acute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0"/>
        </w:rPr>
        <w:t>gastroenteritis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ind w:left="5830"/>
        <w:spacing w:before="53" w:line="226" w:lineRule="exact"/>
        <w:rPr>
          <w:rFonts w:ascii="Arial" w:hAnsi="Arial" w:eastAsia="Arial" w:cs="Arial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E96F2E"/>
          <w:spacing w:val="13"/>
          <w:position w:val="1"/>
        </w:rPr>
        <w:t>FUER</w:t>
      </w:r>
      <w:r>
        <w:rPr>
          <w:rFonts w:ascii="SimHei" w:hAnsi="SimHei" w:eastAsia="SimHei" w:cs="SimHei"/>
          <w:sz w:val="16"/>
          <w:szCs w:val="16"/>
          <w:color w:val="E96F2E"/>
          <w:spacing w:val="-34"/>
          <w:position w:val="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E96F2E"/>
          <w:spacing w:val="13"/>
          <w:position w:val="1"/>
        </w:rPr>
        <w:t>JIANKANG</w:t>
      </w:r>
      <w:r>
        <w:rPr>
          <w:rFonts w:ascii="SimHei" w:hAnsi="SimHei" w:eastAsia="SimHei" w:cs="SimHei"/>
          <w:sz w:val="16"/>
          <w:szCs w:val="16"/>
          <w:color w:val="E96F2E"/>
          <w:spacing w:val="-23"/>
          <w:position w:val="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E96F2E"/>
          <w:spacing w:val="13"/>
          <w:position w:val="1"/>
        </w:rPr>
        <w:t>DAOKAN</w:t>
      </w:r>
      <w:r>
        <w:rPr>
          <w:rFonts w:ascii="SimHei" w:hAnsi="SimHei" w:eastAsia="SimHei" w:cs="SimHei"/>
          <w:sz w:val="16"/>
          <w:szCs w:val="16"/>
          <w:color w:val="E96F2E"/>
          <w:spacing w:val="2"/>
          <w:position w:val="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3"/>
          <w:position w:val="1"/>
        </w:rPr>
        <w:t>Vol</w:t>
      </w:r>
      <w:r>
        <w:rPr>
          <w:rFonts w:ascii="SimHei" w:hAnsi="SimHei" w:eastAsia="SimHei" w:cs="SimHei"/>
          <w:sz w:val="16"/>
          <w:szCs w:val="16"/>
          <w:color w:val="231F20"/>
          <w:spacing w:val="12"/>
          <w:position w:val="1"/>
        </w:rPr>
        <w:t>.3</w:t>
      </w:r>
      <w:r>
        <w:rPr>
          <w:rFonts w:ascii="SimHei" w:hAnsi="SimHei" w:eastAsia="SimHei" w:cs="SimHei"/>
          <w:sz w:val="16"/>
          <w:szCs w:val="16"/>
          <w:color w:val="231F20"/>
          <w:spacing w:val="6"/>
          <w:position w:val="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2"/>
          <w:position w:val="1"/>
        </w:rPr>
        <w:t>No.12</w:t>
      </w:r>
      <w:r>
        <w:rPr>
          <w:rFonts w:ascii="SimHei" w:hAnsi="SimHei" w:eastAsia="SimHei" w:cs="SimHei"/>
          <w:sz w:val="16"/>
          <w:szCs w:val="16"/>
          <w:color w:val="231F20"/>
          <w:spacing w:val="1"/>
          <w:position w:val="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2"/>
          <w:position w:val="1"/>
        </w:rPr>
        <w:t>June</w:t>
      </w:r>
      <w:r>
        <w:rPr>
          <w:rFonts w:ascii="SimHei" w:hAnsi="SimHei" w:eastAsia="SimHei" w:cs="SimHei"/>
          <w:sz w:val="16"/>
          <w:szCs w:val="16"/>
          <w:color w:val="231F20"/>
          <w:spacing w:val="2"/>
          <w:position w:val="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2"/>
          <w:position w:val="1"/>
        </w:rPr>
        <w:t>2024</w:t>
      </w:r>
      <w:r>
        <w:rPr>
          <w:rFonts w:ascii="SimHei" w:hAnsi="SimHei" w:eastAsia="SimHei" w:cs="SimHei"/>
          <w:sz w:val="16"/>
          <w:szCs w:val="16"/>
          <w:color w:val="231F20"/>
          <w:spacing w:val="67"/>
          <w:position w:val="1"/>
        </w:rPr>
        <w:t xml:space="preserve"> </w:t>
      </w:r>
      <w:r>
        <w:rPr>
          <w:shd w:val="clear" w:fill="ED8C58"/>
          <w:rFonts w:ascii="SimHei" w:hAnsi="SimHei" w:eastAsia="SimHei" w:cs="SimHei"/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hd w:val="clear" w:fill="ED8C58"/>
          <w:rFonts w:ascii="Arial" w:hAnsi="Arial" w:eastAsia="Arial" w:cs="Arial"/>
          <w:sz w:val="16"/>
          <w:szCs w:val="16"/>
          <w:color w:val="231F20"/>
          <w:spacing w:val="12"/>
          <w:position w:val="1"/>
        </w:rPr>
        <w:t>71</w:t>
      </w:r>
      <w:r>
        <w:rPr>
          <w:shd w:val="clear" w:fill="ED8C58"/>
          <w:rFonts w:ascii="Arial" w:hAnsi="Arial" w:eastAsia="Arial" w:cs="Arial"/>
          <w:sz w:val="16"/>
          <w:szCs w:val="16"/>
          <w:color w:val="231F20"/>
          <w:position w:val="1"/>
        </w:rPr>
        <w:t xml:space="preserve">   </w:t>
      </w:r>
    </w:p>
    <w:p>
      <w:pPr>
        <w:spacing w:line="226" w:lineRule="exact"/>
        <w:sectPr>
          <w:headerReference w:type="default" r:id="rId1"/>
          <w:pgSz w:w="11906" w:h="16838"/>
          <w:pgMar w:top="400" w:right="0" w:bottom="0" w:left="407" w:header="0" w:footer="0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612"/>
        <w:spacing w:before="104" w:line="242" w:lineRule="auto"/>
        <w:rPr>
          <w:sz w:val="17"/>
          <w:szCs w:val="17"/>
        </w:rPr>
      </w:pPr>
      <w:r>
        <w:rPr>
          <w:rFonts w:ascii="SimHei" w:hAnsi="SimHei" w:eastAsia="SimHei" w:cs="SimHei"/>
          <w:sz w:val="32"/>
          <w:szCs w:val="32"/>
          <w:color w:val="231F20"/>
          <w:spacing w:val="-44"/>
          <w:position w:val="-2"/>
        </w:rPr>
        <w:t>·</w:t>
      </w:r>
      <w:r>
        <w:rPr>
          <w:rFonts w:ascii="SimHei" w:hAnsi="SimHei" w:eastAsia="SimHei" w:cs="SimHei"/>
          <w:sz w:val="32"/>
          <w:szCs w:val="32"/>
          <w:color w:val="41A467"/>
          <w:spacing w:val="-44"/>
          <w:position w:val="-2"/>
        </w:rPr>
        <w:t>药物研究</w:t>
      </w:r>
      <w:r>
        <w:rPr>
          <w:rFonts w:ascii="SimHei" w:hAnsi="SimHei" w:eastAsia="SimHei" w:cs="SimHei"/>
          <w:sz w:val="32"/>
          <w:szCs w:val="32"/>
          <w:color w:val="41A467"/>
          <w:spacing w:val="-18"/>
          <w:position w:val="-2"/>
        </w:rPr>
        <w:t xml:space="preserve"> </w:t>
      </w:r>
      <w:r>
        <w:rPr>
          <w:rFonts w:ascii="SimHei" w:hAnsi="SimHei" w:eastAsia="SimHei" w:cs="SimHei"/>
          <w:sz w:val="32"/>
          <w:szCs w:val="32"/>
          <w:color w:val="231F20"/>
          <w:spacing w:val="-44"/>
          <w:position w:val="-2"/>
        </w:rPr>
        <w:t>·</w:t>
      </w:r>
      <w:r>
        <w:rPr>
          <w:rFonts w:ascii="SimHei" w:hAnsi="SimHei" w:eastAsia="SimHei" w:cs="SimHei"/>
          <w:sz w:val="32"/>
          <w:szCs w:val="32"/>
          <w:color w:val="231F20"/>
          <w:spacing w:val="8"/>
          <w:position w:val="-2"/>
        </w:rPr>
        <w:t xml:space="preserve">   </w:t>
      </w:r>
      <w:r>
        <w:rPr>
          <w:rFonts w:ascii="SimHei" w:hAnsi="SimHei" w:eastAsia="SimHei" w:cs="SimHei"/>
          <w:sz w:val="32"/>
          <w:szCs w:val="32"/>
          <w:strike/>
          <w:color w:val="231F20"/>
          <w:spacing w:val="4"/>
          <w:position w:val="-2"/>
        </w:rPr>
        <w:t xml:space="preserve">                       </w:t>
      </w:r>
      <w:r>
        <w:rPr>
          <w:rFonts w:ascii="SimHei" w:hAnsi="SimHei" w:eastAsia="SimHei" w:cs="SimHei"/>
          <w:sz w:val="32"/>
          <w:szCs w:val="32"/>
          <w:color w:val="231F20"/>
          <w:spacing w:val="-20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E96F2E"/>
          <w:spacing w:val="10"/>
          <w:position w:val="2"/>
        </w:rPr>
        <w:t>妇</w:t>
      </w:r>
      <w:r>
        <w:rPr>
          <w:sz w:val="19"/>
          <w:szCs w:val="19"/>
          <w:position w:val="1"/>
        </w:rPr>
        <w:drawing>
          <wp:inline distT="0" distB="0" distL="0" distR="0">
            <wp:extent cx="123683" cy="11262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683" cy="11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E96F2E"/>
          <w:spacing w:val="10"/>
          <w:position w:val="2"/>
        </w:rPr>
        <w:t>健康</w:t>
      </w:r>
      <w:r>
        <w:rPr>
          <w:sz w:val="19"/>
          <w:szCs w:val="19"/>
          <w:position w:val="1"/>
        </w:rPr>
        <w:drawing>
          <wp:inline distT="0" distB="0" distL="0" distR="0">
            <wp:extent cx="121505" cy="11153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505" cy="11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E96F2E"/>
          <w:spacing w:val="10"/>
          <w:position w:val="2"/>
        </w:rPr>
        <w:t>刊</w:t>
      </w:r>
      <w:r>
        <w:rPr>
          <w:rFonts w:ascii="Microsoft YaHei" w:hAnsi="Microsoft YaHei" w:eastAsia="Microsoft YaHei" w:cs="Microsoft YaHei"/>
          <w:sz w:val="19"/>
          <w:szCs w:val="19"/>
          <w:color w:val="E96F2E"/>
          <w:spacing w:val="2"/>
          <w:position w:val="2"/>
        </w:rPr>
        <w:t xml:space="preserve">       </w:t>
      </w:r>
      <w:r>
        <w:rPr>
          <w:sz w:val="17"/>
          <w:szCs w:val="17"/>
          <w:color w:val="231F20"/>
          <w:spacing w:val="10"/>
          <w:position w:val="2"/>
        </w:rPr>
        <w:t>2024年6月 第3卷 第12期</w:t>
      </w:r>
    </w:p>
    <w:p>
      <w:pPr>
        <w:spacing w:before="40"/>
        <w:rPr/>
      </w:pPr>
      <w:r/>
    </w:p>
    <w:p>
      <w:pPr>
        <w:spacing w:before="39"/>
        <w:rPr/>
      </w:pPr>
      <w:r/>
    </w:p>
    <w:p>
      <w:pPr>
        <w:sectPr>
          <w:headerReference w:type="default" r:id="rId3"/>
          <w:pgSz w:w="11906" w:h="16838"/>
          <w:pgMar w:top="400" w:right="903" w:bottom="0" w:left="407" w:header="0" w:footer="0" w:gutter="0"/>
          <w:cols w:equalWidth="0" w:num="1">
            <w:col w:w="10595" w:space="0"/>
          </w:cols>
        </w:sectPr>
        <w:rPr/>
      </w:pPr>
    </w:p>
    <w:p>
      <w:pPr>
        <w:pStyle w:val="BodyText"/>
        <w:ind w:left="614" w:right="130"/>
        <w:spacing w:before="130" w:line="324" w:lineRule="auto"/>
        <w:tabs>
          <w:tab w:val="left" w:pos="1236"/>
        </w:tabs>
        <w:rPr>
          <w:sz w:val="20"/>
          <w:szCs w:val="20"/>
        </w:rPr>
      </w:pPr>
      <w:r>
        <w:pict>
          <v:shape id="_x0000_s6" style="position:absolute;margin-left:30.332pt;margin-top:4.49265pt;mso-position-vertical-relative:text;mso-position-horizontal-relative:text;width:32.1pt;height:36.8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1" w:lineRule="auto"/>
                    <w:rPr>
                      <w:sz w:val="61"/>
                      <w:szCs w:val="61"/>
                    </w:rPr>
                  </w:pPr>
                  <w:r>
                    <w:rPr>
                      <w:sz w:val="61"/>
                      <w:szCs w:val="61"/>
                      <w:color w:val="E96F2E"/>
                    </w:rPr>
                    <w:t>小</w:t>
                  </w:r>
                </w:p>
              </w:txbxContent>
            </v:textbox>
          </v:shape>
        </w:pic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4"/>
        </w:rPr>
        <w:t>儿急性肠胃炎在消化内科中较常见，儿童免疫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4"/>
        </w:rPr>
        <w:t>及消化系统功能尚未发育完全，对外界病毒及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5"/>
        </w:rPr>
        <w:t>细菌的抵抗能力较弱，故急性肠胃炎在儿童中的发病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1"/>
        </w:rPr>
        <w:t>率较高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-1"/>
          <w:position w:val="7"/>
        </w:rPr>
        <w:t>[1]</w:t>
      </w:r>
      <w:r>
        <w:rPr>
          <w:sz w:val="20"/>
          <w:szCs w:val="20"/>
          <w:color w:val="231F20"/>
          <w:spacing w:val="-1"/>
        </w:rPr>
        <w:t>。小儿急性肠胃炎的主要症状为腹痛、腹泻、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恶心及呕吐等，若未及时采用有效的治疗措施，会导致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患儿电解质紊乱、脱水，严重者甚至会导致休克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-4"/>
          <w:position w:val="7"/>
        </w:rPr>
        <w:t>[2</w:t>
      </w:r>
      <w:r>
        <w:rPr>
          <w:sz w:val="11"/>
          <w:szCs w:val="11"/>
          <w:color w:val="231F20"/>
          <w:spacing w:val="-5"/>
          <w:position w:val="7"/>
        </w:rPr>
        <w:t>]</w:t>
      </w:r>
      <w:r>
        <w:rPr>
          <w:sz w:val="20"/>
          <w:szCs w:val="20"/>
          <w:color w:val="231F20"/>
          <w:spacing w:val="-5"/>
        </w:rPr>
        <w:t>。临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</w:rPr>
        <w:t>床多采用抗生素类药物治疗小儿急性肠胃炎，然而抗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5"/>
        </w:rPr>
        <w:t>生素类药物种类较多，故选择合适的治疗药物尤为重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8"/>
        </w:rPr>
        <w:t>要。大部分抗生素类药物长期使用的预后效果较差，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5"/>
        </w:rPr>
        <w:t>易对机体造成额外负担，甚至产生耐药性，不利于后 </w:t>
      </w:r>
      <w:r>
        <w:rPr>
          <w:sz w:val="20"/>
          <w:szCs w:val="20"/>
          <w:color w:val="231F20"/>
          <w:spacing w:val="-1"/>
        </w:rPr>
        <w:t>期的疾病治疗，因此需联合应用其他药物进行治疗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-1"/>
          <w:position w:val="7"/>
        </w:rPr>
        <w:t>[3]</w:t>
      </w:r>
      <w:r>
        <w:rPr>
          <w:sz w:val="20"/>
          <w:szCs w:val="20"/>
          <w:color w:val="231F20"/>
          <w:spacing w:val="-1"/>
        </w:rPr>
        <w:t>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本研究选取青岛市即墨区大信卫生院治疗的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3"/>
        </w:rPr>
        <w:t>134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3"/>
        </w:rPr>
        <w:t>例急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</w:rPr>
        <w:t>性肠胃炎患儿作为研究对象，探讨益生菌联合阿奇霉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2"/>
        </w:rPr>
        <w:t>素治疗小儿急性肠胃炎的临床效果。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627"/>
        <w:spacing w:before="75" w:line="318" w:lineRule="exact"/>
        <w:rPr>
          <w:sz w:val="23"/>
          <w:szCs w:val="23"/>
        </w:rPr>
      </w:pPr>
      <w:r>
        <w:rPr>
          <w:sz w:val="23"/>
          <w:szCs w:val="23"/>
          <w:color w:val="E96F2E"/>
          <w:spacing w:val="-2"/>
          <w:position w:val="1"/>
        </w:rPr>
        <w:t>1</w:t>
      </w:r>
      <w:r>
        <w:rPr>
          <w:sz w:val="23"/>
          <w:szCs w:val="23"/>
          <w:color w:val="E96F2E"/>
          <w:spacing w:val="-48"/>
          <w:position w:val="1"/>
        </w:rPr>
        <w:t xml:space="preserve"> </w:t>
      </w:r>
      <w:r>
        <w:rPr>
          <w:sz w:val="23"/>
          <w:szCs w:val="23"/>
          <w:color w:val="E96F2E"/>
          <w:spacing w:val="-2"/>
          <w:position w:val="1"/>
        </w:rPr>
        <w:t>资料与方法</w:t>
      </w:r>
    </w:p>
    <w:p>
      <w:pPr>
        <w:ind w:left="633"/>
        <w:spacing w:before="43" w:line="24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>1.1</w:t>
      </w:r>
      <w:r>
        <w:rPr>
          <w:rFonts w:ascii="SimHei" w:hAnsi="SimHei" w:eastAsia="SimHei" w:cs="SimHei"/>
          <w:sz w:val="21"/>
          <w:szCs w:val="21"/>
          <w:color w:val="231F20"/>
          <w:spacing w:val="-30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>一般资料</w:t>
      </w:r>
    </w:p>
    <w:p>
      <w:pPr>
        <w:pStyle w:val="BodyText"/>
        <w:ind w:left="614" w:right="135" w:firstLine="443"/>
        <w:spacing w:before="99" w:line="33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选取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2"/>
        </w:rPr>
        <w:t>2022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2"/>
        </w:rPr>
        <w:t>年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2"/>
        </w:rPr>
        <w:t>11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2"/>
        </w:rPr>
        <w:t>月至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2"/>
        </w:rPr>
        <w:t>2023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2"/>
        </w:rPr>
        <w:t>年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2"/>
        </w:rPr>
        <w:t>11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2"/>
        </w:rPr>
        <w:t>月青岛市即墨区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大信卫生院治疗的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3"/>
        </w:rPr>
        <w:t>134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3"/>
        </w:rPr>
        <w:t>例急性肠胃炎患儿作为研究对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象，按照抽签法分为参照组（67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3"/>
        </w:rPr>
        <w:t>例）与研究组（67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3"/>
        </w:rPr>
        <w:t>例）。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参照组男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7"/>
        </w:rPr>
        <w:t>32</w:t>
      </w:r>
      <w:r>
        <w:rPr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  <w:spacing w:val="-7"/>
        </w:rPr>
        <w:t>例，女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7"/>
        </w:rPr>
        <w:t>35</w:t>
      </w:r>
      <w:r>
        <w:rPr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  <w:spacing w:val="-7"/>
        </w:rPr>
        <w:t>例；年龄</w:t>
      </w:r>
      <w:r>
        <w:rPr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  <w:spacing w:val="-7"/>
        </w:rPr>
        <w:t>4~13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7"/>
        </w:rPr>
        <w:t>岁，平均（7.83±</w:t>
      </w:r>
    </w:p>
    <w:p>
      <w:pPr>
        <w:pStyle w:val="BodyText"/>
        <w:ind w:left="617"/>
        <w:spacing w:line="267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1"/>
          <w:position w:val="1"/>
        </w:rPr>
        <w:t>2.57）岁；病程 1~4 d，平均（2.25±0.54）d。研究组男</w:t>
      </w:r>
    </w:p>
    <w:p>
      <w:pPr>
        <w:pStyle w:val="BodyText"/>
        <w:ind w:left="614" w:right="94" w:firstLine="6"/>
        <w:spacing w:before="95" w:line="31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34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9"/>
        </w:rPr>
        <w:t>例，女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9"/>
        </w:rPr>
        <w:t>33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9"/>
        </w:rPr>
        <w:t>例；年龄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9"/>
        </w:rPr>
        <w:t>3~12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9"/>
        </w:rPr>
        <w:t>岁，平均（7.</w:t>
      </w:r>
      <w:r>
        <w:rPr>
          <w:sz w:val="20"/>
          <w:szCs w:val="20"/>
          <w:color w:val="231F20"/>
          <w:spacing w:val="-10"/>
        </w:rPr>
        <w:t>79±2.13）岁；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病程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8"/>
        </w:rPr>
        <w:t>1~3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8"/>
        </w:rPr>
        <w:t>d，平均（2.12±0.31）d。两组一般资料比较，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差异无统计学意义（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5"/>
        </w:rPr>
        <w:t>P  </w:t>
      </w:r>
      <w:r>
        <w:rPr>
          <w:sz w:val="20"/>
          <w:szCs w:val="20"/>
          <w:color w:val="231F20"/>
          <w:spacing w:val="5"/>
        </w:rPr>
        <w:t>&gt; 0.05</w:t>
      </w:r>
      <w:r>
        <w:rPr>
          <w:sz w:val="20"/>
          <w:szCs w:val="20"/>
          <w:color w:val="231F20"/>
          <w:spacing w:val="-41"/>
        </w:rPr>
        <w:t>），</w:t>
      </w:r>
      <w:r>
        <w:rPr>
          <w:sz w:val="20"/>
          <w:szCs w:val="20"/>
          <w:color w:val="231F20"/>
          <w:spacing w:val="5"/>
        </w:rPr>
        <w:t>具有可</w:t>
      </w:r>
      <w:r>
        <w:rPr>
          <w:sz w:val="20"/>
          <w:szCs w:val="20"/>
          <w:color w:val="231F20"/>
          <w:spacing w:val="-52"/>
        </w:rPr>
        <w:t xml:space="preserve"> </w:t>
      </w:r>
      <w:r>
        <w:rPr>
          <w:sz w:val="20"/>
          <w:szCs w:val="20"/>
          <w:color w:val="231F20"/>
          <w:spacing w:val="5"/>
        </w:rPr>
        <w:t>比性。本研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8"/>
        </w:rPr>
        <w:t>究经青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18"/>
        </w:rPr>
        <w:t>岛市即墨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  <w:spacing w:val="18"/>
        </w:rPr>
        <w:t>区大信卫生</w:t>
      </w:r>
      <w:r>
        <w:rPr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  <w:spacing w:val="18"/>
        </w:rPr>
        <w:t>院医学伦理委员会审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2"/>
        </w:rPr>
        <w:t>查批准，患儿家属对本研究知情同意并签署知情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12"/>
        </w:rPr>
        <w:t>同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2"/>
        </w:rPr>
        <w:t>意书。</w:t>
      </w:r>
    </w:p>
    <w:p>
      <w:pPr>
        <w:ind w:left="633"/>
        <w:spacing w:before="122" w:line="24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1.2</w:t>
      </w:r>
      <w:r>
        <w:rPr>
          <w:rFonts w:ascii="SimHei" w:hAnsi="SimHei" w:eastAsia="SimHei" w:cs="SimHei"/>
          <w:sz w:val="21"/>
          <w:szCs w:val="21"/>
          <w:color w:val="231F20"/>
          <w:spacing w:val="-31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纳入、排除标准</w:t>
      </w:r>
    </w:p>
    <w:p>
      <w:pPr>
        <w:pStyle w:val="BodyText"/>
        <w:ind w:left="614" w:right="210" w:firstLine="446"/>
        <w:spacing w:before="90" w:line="32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纳入标准：①均确诊为急性肠胃炎；②在接受本研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8"/>
        </w:rPr>
        <w:t>究治疗前未曾用药；③年龄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8"/>
        </w:rPr>
        <w:t>3~13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-8"/>
        </w:rPr>
        <w:t>岁。排除标准：①合并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脏器功能障碍者；②对本研究所用药物过敏者；③合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14"/>
        </w:rPr>
        <w:t>并其他病症不适宜参与本研究者；④治疗依从性较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3"/>
        </w:rPr>
        <w:t>低者。</w:t>
      </w:r>
    </w:p>
    <w:p>
      <w:pPr>
        <w:ind w:left="633"/>
        <w:spacing w:before="13" w:line="24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10"/>
        </w:rPr>
        <w:t>1.3</w:t>
      </w:r>
      <w:r>
        <w:rPr>
          <w:rFonts w:ascii="SimHei" w:hAnsi="SimHei" w:eastAsia="SimHei" w:cs="SimHei"/>
          <w:sz w:val="21"/>
          <w:szCs w:val="21"/>
          <w:color w:val="231F20"/>
          <w:spacing w:val="-37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10"/>
        </w:rPr>
        <w:t>方法</w:t>
      </w:r>
    </w:p>
    <w:p>
      <w:pPr>
        <w:pStyle w:val="BodyText"/>
        <w:ind w:left="614" w:right="211" w:firstLine="442"/>
        <w:spacing w:before="97" w:line="34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参照组采用阿奇霉素分散片（广东彼迪药业有限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公司，国药准字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4"/>
        </w:rPr>
        <w:t>H20065816，生产</w:t>
      </w:r>
      <w:r>
        <w:rPr>
          <w:sz w:val="20"/>
          <w:szCs w:val="20"/>
          <w:color w:val="231F20"/>
          <w:spacing w:val="-5"/>
        </w:rPr>
        <w:t>批号：274200305，规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7"/>
        </w:rPr>
        <w:t>格：0.25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17"/>
        </w:rPr>
        <w:t>g）口服治疗，餐前用药，3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17"/>
        </w:rPr>
        <w:t>次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17"/>
        </w:rPr>
        <w:t>/d，0</w:t>
      </w:r>
      <w:r>
        <w:rPr>
          <w:sz w:val="20"/>
          <w:szCs w:val="20"/>
          <w:color w:val="231F20"/>
          <w:spacing w:val="-18"/>
        </w:rPr>
        <w:t>.5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18"/>
        </w:rPr>
        <w:t>g/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18"/>
        </w:rPr>
        <w:t>次。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53"/>
        <w:spacing w:before="130" w:line="33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研究组在参照组基础上联合双歧杆菌四联活菌片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（杭州远大生物制药有限公司，国药准字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5"/>
        </w:rPr>
        <w:t>S20060010，生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8"/>
        </w:rPr>
        <w:t>产批号： 180306，规格：0.5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18"/>
        </w:rPr>
        <w:t>g）口服治疗，3次/d，1.5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18"/>
        </w:rPr>
        <w:t>g/次；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阿奇霉素分散片用药剂量为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4"/>
        </w:rPr>
        <w:t>0.25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4"/>
        </w:rPr>
        <w:t>g/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5"/>
        </w:rPr>
        <w:t>次，3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5"/>
        </w:rPr>
        <w:t>次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5"/>
        </w:rPr>
        <w:t>/d。</w:t>
      </w:r>
    </w:p>
    <w:p>
      <w:pPr>
        <w:pStyle w:val="BodyText"/>
        <w:ind w:left="556"/>
        <w:spacing w:line="268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2"/>
          <w:position w:val="1"/>
        </w:rPr>
        <w:t>两组均治疗</w:t>
      </w:r>
      <w:r>
        <w:rPr>
          <w:sz w:val="20"/>
          <w:szCs w:val="20"/>
          <w:color w:val="231F20"/>
          <w:spacing w:val="-36"/>
          <w:position w:val="1"/>
        </w:rPr>
        <w:t xml:space="preserve"> </w:t>
      </w:r>
      <w:r>
        <w:rPr>
          <w:sz w:val="20"/>
          <w:szCs w:val="20"/>
          <w:color w:val="231F20"/>
          <w:spacing w:val="-2"/>
          <w:position w:val="1"/>
        </w:rPr>
        <w:t>3</w:t>
      </w:r>
      <w:r>
        <w:rPr>
          <w:sz w:val="20"/>
          <w:szCs w:val="20"/>
          <w:color w:val="231F20"/>
          <w:spacing w:val="-38"/>
          <w:position w:val="1"/>
        </w:rPr>
        <w:t xml:space="preserve"> </w:t>
      </w:r>
      <w:r>
        <w:rPr>
          <w:sz w:val="20"/>
          <w:szCs w:val="20"/>
          <w:color w:val="231F20"/>
          <w:spacing w:val="-2"/>
          <w:position w:val="1"/>
        </w:rPr>
        <w:t>d。</w:t>
      </w:r>
    </w:p>
    <w:p>
      <w:pPr>
        <w:ind w:left="129"/>
        <w:spacing w:before="84" w:line="24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5"/>
        </w:rPr>
        <w:t>1.4</w:t>
      </w:r>
      <w:r>
        <w:rPr>
          <w:rFonts w:ascii="SimHei" w:hAnsi="SimHei" w:eastAsia="SimHei" w:cs="SimHei"/>
          <w:sz w:val="21"/>
          <w:szCs w:val="21"/>
          <w:color w:val="231F20"/>
          <w:spacing w:val="-32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5"/>
        </w:rPr>
        <w:t>观察指标及评价标准</w:t>
      </w:r>
    </w:p>
    <w:p>
      <w:pPr>
        <w:pStyle w:val="BodyText"/>
        <w:ind w:left="110" w:right="116" w:firstLine="443"/>
        <w:spacing w:before="89" w:line="32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①临床疗效：分为显效、有效和无效。相关症状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4"/>
        </w:rPr>
        <w:t>均消失，且排便次数及大便性状均恢复正常为显效；相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5"/>
        </w:rPr>
        <w:t>关症状均有所改善，且排便次数及大便性状逐渐恢复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5"/>
        </w:rPr>
        <w:t>正常为有效；相关症状均未见改善，且排便次数及大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4"/>
        </w:rPr>
        <w:t>便性状均未见变化或加重为无效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11"/>
          <w:szCs w:val="11"/>
          <w:color w:val="231F20"/>
          <w:spacing w:val="4"/>
          <w:position w:val="7"/>
        </w:rPr>
        <w:t>[4]</w:t>
      </w:r>
      <w:r>
        <w:rPr>
          <w:sz w:val="11"/>
          <w:szCs w:val="11"/>
          <w:color w:val="231F20"/>
          <w:spacing w:val="-30"/>
          <w:position w:val="7"/>
        </w:rPr>
        <w:t xml:space="preserve"> </w:t>
      </w:r>
      <w:r>
        <w:rPr>
          <w:sz w:val="20"/>
          <w:szCs w:val="20"/>
          <w:color w:val="231F20"/>
          <w:spacing w:val="4"/>
        </w:rPr>
        <w:t>。总有效率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4"/>
        </w:rPr>
        <w:t>=（显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效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1"/>
        </w:rPr>
        <w:t>+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"/>
        </w:rPr>
        <w:t>有效）例数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1"/>
        </w:rPr>
        <w:t>/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-1"/>
        </w:rPr>
        <w:t>总例数 ×100%。②临床症状消失时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间：包括腹痛、腹泻、发热及呕吐的消失时间。③不良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4"/>
        </w:rPr>
        <w:t>反应发生情况：包括嗜睡、高热及皮疹。④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4"/>
        </w:rPr>
        <w:t>C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4"/>
        </w:rPr>
        <w:t>反应蛋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白（C-reactive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0"/>
        </w:rPr>
        <w:t>protein，CRP）水平：</w:t>
      </w:r>
      <w:r>
        <w:rPr>
          <w:sz w:val="20"/>
          <w:szCs w:val="20"/>
          <w:color w:val="231F20"/>
          <w:spacing w:val="-11"/>
        </w:rPr>
        <w:t>采用免疫荧光法检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测治疗前、治疗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4"/>
        </w:rPr>
        <w:t>1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4"/>
        </w:rPr>
        <w:t>d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4"/>
        </w:rPr>
        <w:t>后及治疗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4"/>
        </w:rPr>
        <w:t>3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4"/>
        </w:rPr>
        <w:t>d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4"/>
        </w:rPr>
        <w:t>后的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4"/>
        </w:rPr>
        <w:t>CRP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-4"/>
        </w:rPr>
        <w:t>水平。</w:t>
      </w:r>
    </w:p>
    <w:p>
      <w:pPr>
        <w:ind w:left="129"/>
        <w:spacing w:before="119" w:line="24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7"/>
        </w:rPr>
        <w:t>1.5</w:t>
      </w:r>
      <w:r>
        <w:rPr>
          <w:rFonts w:ascii="SimHei" w:hAnsi="SimHei" w:eastAsia="SimHei" w:cs="SimHei"/>
          <w:sz w:val="21"/>
          <w:szCs w:val="21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7"/>
        </w:rPr>
        <w:t>统计学方法</w:t>
      </w:r>
    </w:p>
    <w:p>
      <w:pPr>
        <w:pStyle w:val="BodyText"/>
        <w:ind w:left="112" w:right="116" w:firstLine="442"/>
        <w:spacing w:before="94" w:line="324" w:lineRule="auto"/>
        <w:jc w:val="both"/>
        <w:rPr>
          <w:sz w:val="20"/>
          <w:szCs w:val="20"/>
        </w:rPr>
      </w:pPr>
      <w:r>
        <w:pict>
          <v:shape id="_x0000_s8" style="position:absolute;margin-left:107.76pt;margin-top:25.1924pt;mso-position-vertical-relative:text;mso-position-horizontal-relative:text;width:6.05pt;height:0.45pt;z-index:-251657216;" filled="false" strokecolor="#000000" strokeweight="0.47pt" coordsize="121,8" coordorigin="0,0" path="m5,4l115,4e">
            <v:stroke endcap="square" joinstyle="miter" miterlimit="10"/>
          </v:shape>
        </w:pict>
      </w:r>
      <w:r>
        <w:rPr>
          <w:sz w:val="20"/>
          <w:szCs w:val="20"/>
          <w:color w:val="231F20"/>
          <w:spacing w:val="3"/>
        </w:rPr>
        <w:t>采用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3"/>
        </w:rPr>
        <w:t>26.0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3"/>
        </w:rPr>
        <w:t>统计学软件进行数据分析。计量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资料用均数±标准差（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spacing w:val="-4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i/>
          <w:iCs/>
        </w:rPr>
        <w:t xml:space="preserve"> </w:t>
      </w:r>
      <w:r>
        <w:rPr>
          <w:sz w:val="20"/>
          <w:szCs w:val="20"/>
          <w:color w:val="231F20"/>
          <w:spacing w:val="-4"/>
        </w:rPr>
        <w:t>±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4"/>
        </w:rPr>
        <w:t>s</w:t>
      </w:r>
      <w:r>
        <w:rPr>
          <w:sz w:val="20"/>
          <w:szCs w:val="20"/>
          <w:color w:val="231F20"/>
          <w:spacing w:val="-4"/>
        </w:rPr>
        <w:t>）表示，两组间比较采用独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立样本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t </w:t>
      </w:r>
      <w:r>
        <w:rPr>
          <w:sz w:val="20"/>
          <w:szCs w:val="20"/>
          <w:color w:val="231F20"/>
          <w:spacing w:val="-1"/>
        </w:rPr>
        <w:t>检验，组内比较采用配对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t </w:t>
      </w:r>
      <w:r>
        <w:rPr>
          <w:sz w:val="20"/>
          <w:szCs w:val="20"/>
          <w:color w:val="231F20"/>
          <w:spacing w:val="-1"/>
        </w:rPr>
        <w:t>检验；计数资料采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用率表示，组间比较采用</w:t>
      </w:r>
      <w:r>
        <w:rPr>
          <w:sz w:val="20"/>
          <w:szCs w:val="20"/>
          <w:color w:val="231F2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χ</w:t>
      </w:r>
      <w:r>
        <w:rPr>
          <w:sz w:val="11"/>
          <w:szCs w:val="11"/>
          <w:color w:val="231F20"/>
          <w:spacing w:val="-1"/>
          <w:position w:val="7"/>
        </w:rPr>
        <w:t>2 </w:t>
      </w:r>
      <w:r>
        <w:rPr>
          <w:sz w:val="20"/>
          <w:szCs w:val="20"/>
          <w:color w:val="231F20"/>
          <w:spacing w:val="-1"/>
        </w:rPr>
        <w:t>检验。以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"/>
        </w:rPr>
        <w:t>&lt;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"/>
        </w:rPr>
        <w:t>0.05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"/>
        </w:rPr>
        <w:t>为差异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有统计学意义。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12"/>
        <w:spacing w:before="75" w:line="318" w:lineRule="exact"/>
        <w:rPr>
          <w:sz w:val="23"/>
          <w:szCs w:val="23"/>
        </w:rPr>
      </w:pPr>
      <w:r>
        <w:rPr>
          <w:sz w:val="23"/>
          <w:szCs w:val="23"/>
          <w:color w:val="E96F2E"/>
          <w:spacing w:val="-3"/>
          <w:position w:val="1"/>
        </w:rPr>
        <w:t>2</w:t>
      </w:r>
      <w:r>
        <w:rPr>
          <w:sz w:val="23"/>
          <w:szCs w:val="23"/>
          <w:color w:val="E96F2E"/>
          <w:spacing w:val="-44"/>
          <w:position w:val="1"/>
        </w:rPr>
        <w:t xml:space="preserve"> </w:t>
      </w:r>
      <w:r>
        <w:rPr>
          <w:sz w:val="23"/>
          <w:szCs w:val="23"/>
          <w:color w:val="E96F2E"/>
          <w:spacing w:val="-3"/>
          <w:position w:val="1"/>
        </w:rPr>
        <w:t>结果</w:t>
      </w:r>
    </w:p>
    <w:p>
      <w:pPr>
        <w:ind w:left="114"/>
        <w:spacing w:before="44" w:line="24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2.1</w:t>
      </w:r>
      <w:r>
        <w:rPr>
          <w:rFonts w:ascii="SimHei" w:hAnsi="SimHei" w:eastAsia="SimHei" w:cs="SimHei"/>
          <w:sz w:val="21"/>
          <w:szCs w:val="21"/>
          <w:color w:val="231F20"/>
          <w:spacing w:val="-32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4"/>
        </w:rPr>
        <w:t>两组临床疗效比较</w:t>
      </w:r>
    </w:p>
    <w:p>
      <w:pPr>
        <w:pStyle w:val="BodyText"/>
        <w:ind w:left="116" w:right="115" w:firstLine="436"/>
        <w:spacing w:before="95" w:line="35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研究组临床总有效率高于参照组，差异有统计学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6"/>
        </w:rPr>
        <w:t>意义（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6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6"/>
        </w:rPr>
        <w:t>&lt;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16"/>
        </w:rPr>
        <w:t>0.05）。见表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16"/>
        </w:rPr>
        <w:t>1。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ind w:left="1253"/>
        <w:spacing w:before="52" w:line="241" w:lineRule="auto"/>
        <w:outlineLvl w:val="2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1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两组临床疗效比较</w:t>
      </w:r>
      <w:r>
        <w:rPr>
          <w:rFonts w:ascii="SimHei" w:hAnsi="SimHei" w:eastAsia="SimHei" w:cs="SimHei"/>
          <w:sz w:val="16"/>
          <w:szCs w:val="16"/>
          <w:color w:val="231F20"/>
          <w:spacing w:val="-28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[</w:t>
      </w:r>
      <w:r>
        <w:rPr>
          <w:rFonts w:ascii="SimHei" w:hAnsi="SimHei" w:eastAsia="SimHei" w:cs="SimHei"/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3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（%）]</w:t>
      </w:r>
    </w:p>
    <w:p>
      <w:pPr>
        <w:spacing w:line="14" w:lineRule="exact"/>
        <w:rPr/>
      </w:pPr>
      <w:r/>
    </w:p>
    <w:tbl>
      <w:tblPr>
        <w:tblStyle w:val="TableNormal"/>
        <w:tblW w:w="4722" w:type="dxa"/>
        <w:tblInd w:w="10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54"/>
        <w:gridCol w:w="447"/>
        <w:gridCol w:w="910"/>
        <w:gridCol w:w="912"/>
        <w:gridCol w:w="899"/>
        <w:gridCol w:w="900"/>
      </w:tblGrid>
      <w:tr>
        <w:trPr>
          <w:trHeight w:val="275" w:hRule="atLeast"/>
        </w:trPr>
        <w:tc>
          <w:tcPr>
            <w:shd w:val="clear" w:fill="F4B796"/>
            <w:tcW w:w="65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6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shd w:val="clear" w:fill="F4B796"/>
            <w:tcW w:w="44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62" w:line="212" w:lineRule="auto"/>
              <w:rPr/>
            </w:pPr>
            <w:r>
              <w:rPr>
                <w:color w:val="231F20"/>
                <w:spacing w:val="-1"/>
              </w:rPr>
              <w:t>例数</w:t>
            </w:r>
          </w:p>
        </w:tc>
        <w:tc>
          <w:tcPr>
            <w:shd w:val="clear" w:fill="F4B796"/>
            <w:tcW w:w="91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94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显效</w:t>
            </w:r>
          </w:p>
        </w:tc>
        <w:tc>
          <w:tcPr>
            <w:shd w:val="clear" w:fill="F4B796"/>
            <w:tcW w:w="91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89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有效</w:t>
            </w:r>
          </w:p>
        </w:tc>
        <w:tc>
          <w:tcPr>
            <w:shd w:val="clear" w:fill="F4B796"/>
            <w:tcW w:w="89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81"/>
              <w:spacing w:before="63" w:line="211" w:lineRule="auto"/>
              <w:rPr/>
            </w:pPr>
            <w:r>
              <w:rPr>
                <w:color w:val="231F20"/>
              </w:rPr>
              <w:t>无效</w:t>
            </w:r>
          </w:p>
        </w:tc>
        <w:tc>
          <w:tcPr>
            <w:shd w:val="clear" w:fill="F4B796"/>
            <w:tcW w:w="9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总有效</w:t>
            </w:r>
          </w:p>
        </w:tc>
      </w:tr>
      <w:tr>
        <w:trPr>
          <w:trHeight w:val="275" w:hRule="atLeast"/>
        </w:trPr>
        <w:tc>
          <w:tcPr>
            <w:tcW w:w="6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5"/>
              <w:spacing w:before="65" w:line="208" w:lineRule="auto"/>
              <w:rPr/>
            </w:pPr>
            <w:r>
              <w:rPr>
                <w:color w:val="231F20"/>
              </w:rPr>
              <w:t>研究组</w:t>
            </w:r>
          </w:p>
        </w:tc>
        <w:tc>
          <w:tcPr>
            <w:tcW w:w="4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3"/>
              <w:spacing w:before="61" w:line="235" w:lineRule="auto"/>
              <w:rPr/>
            </w:pPr>
            <w:r>
              <w:rPr>
                <w:color w:val="231F20"/>
                <w:spacing w:val="-1"/>
              </w:rPr>
              <w:t>67</w:t>
            </w:r>
          </w:p>
        </w:tc>
        <w:tc>
          <w:tcPr>
            <w:tcW w:w="91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61" w:line="235" w:lineRule="auto"/>
              <w:jc w:val="right"/>
              <w:rPr/>
            </w:pPr>
            <w:r>
              <w:rPr>
                <w:color w:val="231F20"/>
                <w:spacing w:val="-5"/>
              </w:rPr>
              <w:t>39（58.21）</w:t>
            </w:r>
          </w:p>
        </w:tc>
        <w:tc>
          <w:tcPr>
            <w:tcW w:w="9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61" w:line="235" w:lineRule="auto"/>
              <w:jc w:val="right"/>
              <w:rPr/>
            </w:pPr>
            <w:r>
              <w:rPr>
                <w:color w:val="231F20"/>
                <w:spacing w:val="-4"/>
              </w:rPr>
              <w:t>24（35.82）</w:t>
            </w:r>
          </w:p>
        </w:tc>
        <w:tc>
          <w:tcPr>
            <w:tcW w:w="8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7"/>
              <w:spacing w:before="61" w:line="235" w:lineRule="auto"/>
              <w:rPr/>
            </w:pPr>
            <w:r>
              <w:rPr>
                <w:color w:val="231F20"/>
                <w:spacing w:val="-4"/>
              </w:rPr>
              <w:t>4（5.97）</w:t>
            </w:r>
          </w:p>
        </w:tc>
        <w:tc>
          <w:tcPr>
            <w:tcW w:w="9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61" w:line="235" w:lineRule="auto"/>
              <w:jc w:val="right"/>
              <w:rPr/>
            </w:pPr>
            <w:r>
              <w:rPr>
                <w:color w:val="231F20"/>
                <w:spacing w:val="-6"/>
              </w:rPr>
              <w:t>63（94.03）</w:t>
            </w:r>
          </w:p>
        </w:tc>
      </w:tr>
      <w:tr>
        <w:trPr>
          <w:trHeight w:val="278" w:hRule="atLeast"/>
        </w:trPr>
        <w:tc>
          <w:tcPr>
            <w:tcW w:w="654" w:type="dxa"/>
            <w:vAlign w:val="top"/>
          </w:tcPr>
          <w:p>
            <w:pPr>
              <w:pStyle w:val="TableText"/>
              <w:ind w:left="115"/>
              <w:spacing w:before="70" w:line="213" w:lineRule="auto"/>
              <w:rPr/>
            </w:pPr>
            <w:r>
              <w:rPr>
                <w:color w:val="231F20"/>
              </w:rPr>
              <w:t>参照组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143"/>
              <w:spacing w:before="67" w:line="231" w:lineRule="auto"/>
              <w:rPr/>
            </w:pPr>
            <w:r>
              <w:rPr>
                <w:color w:val="231F20"/>
                <w:spacing w:val="-1"/>
              </w:rPr>
              <w:t>67</w:t>
            </w:r>
          </w:p>
        </w:tc>
        <w:tc>
          <w:tcPr>
            <w:tcW w:w="910" w:type="dxa"/>
            <w:vAlign w:val="top"/>
          </w:tcPr>
          <w:p>
            <w:pPr>
              <w:pStyle w:val="TableText"/>
              <w:spacing w:before="67" w:line="231" w:lineRule="auto"/>
              <w:jc w:val="right"/>
              <w:rPr/>
            </w:pPr>
            <w:r>
              <w:rPr>
                <w:color w:val="231F20"/>
                <w:spacing w:val="-5"/>
              </w:rPr>
              <w:t>25（37.31）</w:t>
            </w:r>
          </w:p>
        </w:tc>
        <w:tc>
          <w:tcPr>
            <w:tcW w:w="912" w:type="dxa"/>
            <w:vAlign w:val="top"/>
          </w:tcPr>
          <w:p>
            <w:pPr>
              <w:pStyle w:val="TableText"/>
              <w:spacing w:before="67" w:line="231" w:lineRule="auto"/>
              <w:jc w:val="right"/>
              <w:rPr/>
            </w:pPr>
            <w:r>
              <w:rPr>
                <w:color w:val="231F20"/>
                <w:spacing w:val="-4"/>
              </w:rPr>
              <w:t>29（43.28）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before="67" w:line="231" w:lineRule="auto"/>
              <w:jc w:val="right"/>
              <w:rPr/>
            </w:pPr>
            <w:r>
              <w:rPr>
                <w:color w:val="231F20"/>
                <w:spacing w:val="-6"/>
              </w:rPr>
              <w:t>13（19.40）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spacing w:before="67" w:line="231" w:lineRule="auto"/>
              <w:jc w:val="right"/>
              <w:rPr/>
            </w:pPr>
            <w:r>
              <w:rPr>
                <w:color w:val="231F20"/>
                <w:spacing w:val="-5"/>
              </w:rPr>
              <w:t>54（85.60）</w:t>
            </w:r>
          </w:p>
        </w:tc>
      </w:tr>
      <w:tr>
        <w:trPr>
          <w:trHeight w:val="284" w:hRule="atLeast"/>
        </w:trPr>
        <w:tc>
          <w:tcPr>
            <w:tcW w:w="654" w:type="dxa"/>
            <w:vAlign w:val="top"/>
          </w:tcPr>
          <w:p>
            <w:pPr>
              <w:pStyle w:val="TableText"/>
              <w:ind w:left="98"/>
              <w:spacing w:before="71" w:line="210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6"/>
                <w:position w:val="-1"/>
              </w:rPr>
              <w:t>χ</w:t>
            </w:r>
            <w:r>
              <w:rPr>
                <w:sz w:val="9"/>
                <w:szCs w:val="9"/>
                <w:color w:val="231F20"/>
                <w:spacing w:val="6"/>
                <w:position w:val="3"/>
              </w:rPr>
              <w:t>2</w:t>
            </w:r>
            <w:r>
              <w:rPr>
                <w:sz w:val="9"/>
                <w:szCs w:val="9"/>
                <w:color w:val="231F20"/>
                <w:spacing w:val="-2"/>
                <w:position w:val="3"/>
              </w:rPr>
              <w:t xml:space="preserve"> </w:t>
            </w:r>
            <w:r>
              <w:rPr>
                <w:color w:val="231F20"/>
                <w:spacing w:val="6"/>
                <w:position w:val="-1"/>
              </w:rPr>
              <w:t>值</w:t>
            </w:r>
          </w:p>
        </w:tc>
        <w:tc>
          <w:tcPr>
            <w:tcW w:w="4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0" w:type="dxa"/>
            <w:vAlign w:val="top"/>
          </w:tcPr>
          <w:p>
            <w:pPr>
              <w:pStyle w:val="TableText"/>
              <w:ind w:left="268"/>
              <w:spacing w:before="73" w:line="231" w:lineRule="auto"/>
              <w:rPr/>
            </w:pPr>
            <w:r>
              <w:rPr>
                <w:color w:val="231F20"/>
                <w:spacing w:val="-7"/>
              </w:rPr>
              <w:t>5.457</w:t>
            </w:r>
          </w:p>
        </w:tc>
      </w:tr>
      <w:tr>
        <w:trPr>
          <w:trHeight w:val="290" w:hRule="atLeast"/>
        </w:trPr>
        <w:tc>
          <w:tcPr>
            <w:tcW w:w="65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9"/>
              <w:spacing w:before="66" w:line="214" w:lineRule="auto"/>
              <w:rPr/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2"/>
              </w:rPr>
              <w:t>P </w:t>
            </w:r>
            <w:r>
              <w:rPr>
                <w:color w:val="231F20"/>
                <w:spacing w:val="2"/>
              </w:rPr>
              <w:t>值</w:t>
            </w:r>
          </w:p>
        </w:tc>
        <w:tc>
          <w:tcPr>
            <w:tcW w:w="447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0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7"/>
              <w:spacing w:before="67" w:line="212" w:lineRule="exact"/>
              <w:rPr/>
            </w:pPr>
            <w:r>
              <w:rPr>
                <w:color w:val="231F20"/>
                <w:spacing w:val="-6"/>
                <w:position w:val="1"/>
              </w:rPr>
              <w:t>0.019</w:t>
            </w:r>
          </w:p>
        </w:tc>
      </w:tr>
    </w:tbl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114"/>
        <w:spacing w:before="68" w:line="24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2.2</w:t>
      </w:r>
      <w:r>
        <w:rPr>
          <w:rFonts w:ascii="SimHei" w:hAnsi="SimHei" w:eastAsia="SimHei" w:cs="SimHei"/>
          <w:sz w:val="21"/>
          <w:szCs w:val="21"/>
          <w:color w:val="231F20"/>
          <w:spacing w:val="-32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两组临床症状消失时间比较</w:t>
      </w:r>
    </w:p>
    <w:p>
      <w:pPr>
        <w:pStyle w:val="BodyText"/>
        <w:ind w:left="110" w:right="117" w:firstLine="442"/>
        <w:spacing w:before="93" w:line="33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研究组腹痛、腹泻、发热及呕吐的消失时间均短于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2"/>
        </w:rPr>
        <w:t>参照组，差异有统计学意义（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2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2"/>
        </w:rPr>
        <w:t>&lt;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12"/>
        </w:rPr>
        <w:t>0.05）。见表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2"/>
        </w:rPr>
        <w:t>2。</w:t>
      </w:r>
    </w:p>
    <w:p>
      <w:pPr>
        <w:spacing w:line="332" w:lineRule="auto"/>
        <w:sectPr>
          <w:type w:val="continuous"/>
          <w:pgSz w:w="11906" w:h="16838"/>
          <w:pgMar w:top="400" w:right="903" w:bottom="0" w:left="407" w:header="0" w:footer="0" w:gutter="0"/>
          <w:cols w:equalWidth="0" w:num="2">
            <w:col w:w="5547" w:space="100"/>
            <w:col w:w="4949" w:space="0"/>
          </w:cols>
        </w:sectPr>
        <w:rPr>
          <w:sz w:val="20"/>
          <w:szCs w:val="20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ind w:left="612"/>
        <w:spacing w:before="52" w:line="208" w:lineRule="auto"/>
        <w:tabs>
          <w:tab w:val="left" w:pos="725"/>
        </w:tabs>
        <w:rPr>
          <w:rFonts w:ascii="SimHei" w:hAnsi="SimHei" w:eastAsia="SimHei" w:cs="SimHei"/>
          <w:sz w:val="16"/>
          <w:szCs w:val="16"/>
        </w:rPr>
      </w:pPr>
      <w:r>
        <w:rPr>
          <w:shd w:val="clear" w:fill="ED8C58"/>
          <w:rFonts w:ascii="Arial" w:hAnsi="Arial" w:eastAsia="Arial" w:cs="Arial"/>
          <w:sz w:val="16"/>
          <w:szCs w:val="16"/>
          <w:color w:val="231F20"/>
        </w:rPr>
        <w:tab/>
      </w:r>
      <w:r>
        <w:rPr>
          <w:shd w:val="clear" w:fill="ED8C58"/>
          <w:rFonts w:ascii="Arial" w:hAnsi="Arial" w:eastAsia="Arial" w:cs="Arial"/>
          <w:sz w:val="16"/>
          <w:szCs w:val="16"/>
          <w:color w:val="231F20"/>
          <w:spacing w:val="12"/>
        </w:rPr>
        <w:t>72  </w:t>
      </w:r>
      <w:r>
        <w:rPr>
          <w:rFonts w:ascii="Arial" w:hAnsi="Arial" w:eastAsia="Arial" w:cs="Arial"/>
          <w:sz w:val="16"/>
          <w:szCs w:val="16"/>
          <w:color w:val="231F20"/>
          <w:spacing w:val="12"/>
        </w:rPr>
        <w:t xml:space="preserve">   </w:t>
      </w:r>
      <w:r>
        <w:rPr>
          <w:rFonts w:ascii="SimHei" w:hAnsi="SimHei" w:eastAsia="SimHei" w:cs="SimHei"/>
          <w:sz w:val="16"/>
          <w:szCs w:val="16"/>
          <w:color w:val="E96F2E"/>
          <w:spacing w:val="12"/>
        </w:rPr>
        <w:t>FUER</w:t>
      </w:r>
      <w:r>
        <w:rPr>
          <w:rFonts w:ascii="SimHei" w:hAnsi="SimHei" w:eastAsia="SimHei" w:cs="SimHei"/>
          <w:sz w:val="16"/>
          <w:szCs w:val="16"/>
          <w:color w:val="E96F2E"/>
          <w:spacing w:val="-3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E96F2E"/>
          <w:spacing w:val="12"/>
        </w:rPr>
        <w:t>JIANKANG</w:t>
      </w:r>
      <w:r>
        <w:rPr>
          <w:rFonts w:ascii="SimHei" w:hAnsi="SimHei" w:eastAsia="SimHei" w:cs="SimHei"/>
          <w:sz w:val="16"/>
          <w:szCs w:val="16"/>
          <w:color w:val="E96F2E"/>
          <w:spacing w:val="-2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E96F2E"/>
          <w:spacing w:val="12"/>
        </w:rPr>
        <w:t>DAOKAN</w:t>
      </w:r>
      <w:r>
        <w:rPr>
          <w:rFonts w:ascii="SimHei" w:hAnsi="SimHei" w:eastAsia="SimHei" w:cs="SimHei"/>
          <w:sz w:val="16"/>
          <w:szCs w:val="16"/>
          <w:color w:val="E96F2E"/>
          <w:spacing w:val="1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1"/>
        </w:rPr>
        <w:t>Vol.3</w:t>
      </w:r>
      <w:r>
        <w:rPr>
          <w:rFonts w:ascii="SimHei" w:hAnsi="SimHei" w:eastAsia="SimHei" w:cs="SimHei"/>
          <w:sz w:val="16"/>
          <w:szCs w:val="16"/>
          <w:color w:val="231F20"/>
          <w:spacing w:val="6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1"/>
        </w:rPr>
        <w:t>No.12</w:t>
      </w:r>
      <w:r>
        <w:rPr>
          <w:rFonts w:ascii="SimHei" w:hAnsi="SimHei" w:eastAsia="SimHei" w:cs="SimHei"/>
          <w:sz w:val="16"/>
          <w:szCs w:val="16"/>
          <w:color w:val="231F20"/>
          <w:spacing w:val="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1"/>
        </w:rPr>
        <w:t>June</w:t>
      </w:r>
      <w:r>
        <w:rPr>
          <w:rFonts w:ascii="SimHei" w:hAnsi="SimHei" w:eastAsia="SimHei" w:cs="SimHei"/>
          <w:sz w:val="16"/>
          <w:szCs w:val="16"/>
          <w:color w:val="231F20"/>
          <w:spacing w:val="2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1"/>
        </w:rPr>
        <w:t>2024</w:t>
      </w:r>
    </w:p>
    <w:p>
      <w:pPr>
        <w:spacing w:line="208" w:lineRule="auto"/>
        <w:sectPr>
          <w:type w:val="continuous"/>
          <w:pgSz w:w="11906" w:h="16838"/>
          <w:pgMar w:top="400" w:right="903" w:bottom="0" w:left="407" w:header="0" w:footer="0" w:gutter="0"/>
          <w:cols w:equalWidth="0" w:num="1">
            <w:col w:w="10595" w:space="0"/>
          </w:cols>
        </w:sectPr>
        <w:rPr>
          <w:rFonts w:ascii="SimHei" w:hAnsi="SimHei" w:eastAsia="SimHei" w:cs="SimHei"/>
          <w:sz w:val="16"/>
          <w:szCs w:val="16"/>
        </w:rPr>
      </w:pPr>
    </w:p>
    <w:p>
      <w:pPr>
        <w:pStyle w:val="BodyText"/>
        <w:ind w:left="621"/>
        <w:spacing w:before="343" w:line="242" w:lineRule="auto"/>
        <w:rPr>
          <w:rFonts w:ascii="SimHei" w:hAnsi="SimHei" w:eastAsia="SimHei" w:cs="SimHei"/>
          <w:sz w:val="32"/>
          <w:szCs w:val="32"/>
        </w:rPr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7236003</wp:posOffset>
            </wp:positionH>
            <wp:positionV relativeFrom="page">
              <wp:posOffset>0</wp:posOffset>
            </wp:positionV>
            <wp:extent cx="324001" cy="1069200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001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color w:val="E96F2E"/>
          <w:spacing w:val="-2"/>
        </w:rPr>
        <w:t>妇si健康导刊</w:t>
      </w:r>
      <w:r>
        <w:rPr>
          <w:rFonts w:ascii="Microsoft YaHei" w:hAnsi="Microsoft YaHei" w:eastAsia="Microsoft YaHei" w:cs="Microsoft YaHei"/>
          <w:sz w:val="24"/>
          <w:szCs w:val="24"/>
          <w:color w:val="E96F2E"/>
          <w:spacing w:val="-2"/>
        </w:rPr>
        <w:t xml:space="preserve">      </w:t>
      </w:r>
      <w:r>
        <w:rPr>
          <w:sz w:val="17"/>
          <w:szCs w:val="17"/>
          <w:color w:val="231F20"/>
          <w:spacing w:val="-2"/>
          <w:position w:val="1"/>
        </w:rPr>
        <w:t>2024年6月 第3卷 第12期</w:t>
      </w:r>
      <w:r>
        <w:rPr>
          <w:sz w:val="17"/>
          <w:szCs w:val="17"/>
          <w:color w:val="231F20"/>
          <w:spacing w:val="37"/>
          <w:position w:val="1"/>
        </w:rPr>
        <w:t xml:space="preserve"> </w:t>
      </w:r>
      <w:r>
        <w:rPr>
          <w:sz w:val="17"/>
          <w:szCs w:val="17"/>
          <w:strike/>
          <w:color w:val="231F20"/>
          <w:spacing w:val="-2"/>
          <w:position w:val="1"/>
        </w:rPr>
        <w:t xml:space="preserve">   </w:t>
      </w:r>
      <w:r>
        <w:rPr>
          <w:sz w:val="17"/>
          <w:szCs w:val="17"/>
          <w:strike/>
          <w:color w:val="231F20"/>
          <w:spacing w:val="-3"/>
          <w:position w:val="1"/>
        </w:rPr>
        <w:t xml:space="preserve">                                          </w:t>
      </w:r>
      <w:r>
        <w:rPr>
          <w:sz w:val="17"/>
          <w:szCs w:val="17"/>
          <w:color w:val="231F20"/>
          <w:spacing w:val="-3"/>
          <w:position w:val="1"/>
        </w:rPr>
        <w:t xml:space="preserve">        </w:t>
      </w:r>
      <w:r>
        <w:rPr>
          <w:rFonts w:ascii="SimHei" w:hAnsi="SimHei" w:eastAsia="SimHei" w:cs="SimHei"/>
          <w:sz w:val="32"/>
          <w:szCs w:val="32"/>
          <w:color w:val="231F20"/>
          <w:spacing w:val="-3"/>
          <w:position w:val="-1"/>
        </w:rPr>
        <w:t>·</w:t>
      </w:r>
      <w:r>
        <w:rPr>
          <w:rFonts w:ascii="SimHei" w:hAnsi="SimHei" w:eastAsia="SimHei" w:cs="SimHei"/>
          <w:sz w:val="32"/>
          <w:szCs w:val="32"/>
          <w:color w:val="41A467"/>
          <w:spacing w:val="-3"/>
          <w:position w:val="-1"/>
        </w:rPr>
        <w:t>药物研究</w:t>
      </w:r>
      <w:r>
        <w:rPr>
          <w:rFonts w:ascii="SimHei" w:hAnsi="SimHei" w:eastAsia="SimHei" w:cs="SimHei"/>
          <w:sz w:val="32"/>
          <w:szCs w:val="32"/>
          <w:color w:val="41A467"/>
          <w:spacing w:val="-30"/>
          <w:position w:val="-1"/>
        </w:rPr>
        <w:t xml:space="preserve"> </w:t>
      </w:r>
      <w:r>
        <w:rPr>
          <w:rFonts w:ascii="SimHei" w:hAnsi="SimHei" w:eastAsia="SimHei" w:cs="SimHei"/>
          <w:sz w:val="32"/>
          <w:szCs w:val="32"/>
          <w:color w:val="231F20"/>
          <w:spacing w:val="-3"/>
          <w:position w:val="-1"/>
        </w:rPr>
        <w:t>·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5757" w:right="954"/>
        <w:spacing w:before="65" w:line="331" w:lineRule="auto"/>
        <w:jc w:val="both"/>
        <w:rPr>
          <w:sz w:val="20"/>
          <w:szCs w:val="20"/>
        </w:rPr>
      </w:pPr>
      <w:r>
        <w:pict>
          <v:shape id="_x0000_s10" style="position:absolute;margin-left:69.7393pt;margin-top:2.42721pt;mso-position-vertical-relative:text;mso-position-horizontal-relative:text;width:162.55pt;height:12.1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33" w:lineRule="auto"/>
                    <w:jc w:val="right"/>
                    <w:rPr>
                      <w:rFonts w:ascii="SimHei" w:hAnsi="SimHei" w:eastAsia="SimHei" w:cs="SimHei"/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5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5"/>
                    </w:rPr>
                    <w:t>2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5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5"/>
                    </w:rPr>
                    <w:t>两组临床症状消失时间比较（d，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i/>
                      <w:iCs/>
                      <w:spacing w:val="-5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i/>
                      <w:iCs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</w:rPr>
                    <w:t>±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i/>
                      <w:iCs/>
                      <w:color w:val="231F20"/>
                      <w:spacing w:val="-5"/>
                    </w:rPr>
                    <w:t>s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5"/>
                    </w:rPr>
                    <w:t>）</w:t>
                  </w:r>
                </w:p>
              </w:txbxContent>
            </v:textbox>
          </v:shape>
        </w:pict>
      </w:r>
      <w:r>
        <w:pict>
          <v:shape id="_x0000_s12" style="position:absolute;margin-left:29.6236pt;margin-top:13.571pt;mso-position-vertical-relative:text;mso-position-horizontal-relative:text;width:238.15pt;height:73.9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722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682"/>
                    <w:gridCol w:w="507"/>
                    <w:gridCol w:w="900"/>
                    <w:gridCol w:w="879"/>
                    <w:gridCol w:w="877"/>
                    <w:gridCol w:w="877"/>
                  </w:tblGrid>
                  <w:tr>
                    <w:trPr>
                      <w:trHeight w:val="275" w:hRule="atLeast"/>
                    </w:trPr>
                    <w:tc>
                      <w:tcPr>
                        <w:shd w:val="clear" w:fill="F4B796"/>
                        <w:tcW w:w="682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63" w:line="211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组别</w:t>
                        </w:r>
                      </w:p>
                    </w:tc>
                    <w:tc>
                      <w:tcPr>
                        <w:shd w:val="clear" w:fill="F4B796"/>
                        <w:tcW w:w="507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91"/>
                          <w:spacing w:before="62" w:line="212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例数</w:t>
                        </w:r>
                      </w:p>
                    </w:tc>
                    <w:tc>
                      <w:tcPr>
                        <w:shd w:val="clear" w:fill="F4B796"/>
                        <w:tcW w:w="900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304"/>
                          <w:spacing w:before="64" w:line="209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腹痛</w:t>
                        </w:r>
                      </w:p>
                    </w:tc>
                    <w:tc>
                      <w:tcPr>
                        <w:shd w:val="clear" w:fill="F4B796"/>
                        <w:tcW w:w="879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81"/>
                          <w:spacing w:before="66" w:line="206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腹泻</w:t>
                        </w:r>
                      </w:p>
                    </w:tc>
                    <w:tc>
                      <w:tcPr>
                        <w:shd w:val="clear" w:fill="F4B796"/>
                        <w:tcW w:w="877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81"/>
                          <w:spacing w:before="59" w:line="237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发热</w:t>
                        </w:r>
                      </w:p>
                    </w:tc>
                    <w:tc>
                      <w:tcPr>
                        <w:shd w:val="clear" w:fill="F4B796"/>
                        <w:tcW w:w="877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88"/>
                          <w:spacing w:before="71" w:line="200" w:lineRule="auto"/>
                          <w:rPr/>
                        </w:pPr>
                        <w:r>
                          <w:rPr>
                            <w:color w:val="231F20"/>
                            <w:spacing w:val="-3"/>
                          </w:rPr>
                          <w:t>呕吐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682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5"/>
                          <w:spacing w:before="65" w:line="208" w:lineRule="auto"/>
                          <w:rPr/>
                        </w:pPr>
                        <w:r>
                          <w:rPr>
                            <w:color w:val="231F20"/>
                          </w:rPr>
                          <w:t>研究组</w:t>
                        </w:r>
                      </w:p>
                    </w:tc>
                    <w:tc>
                      <w:tcPr>
                        <w:tcW w:w="507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72"/>
                          <w:spacing w:before="61" w:line="235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67</w:t>
                        </w:r>
                      </w:p>
                    </w:tc>
                    <w:tc>
                      <w:tcPr>
                        <w:tcW w:w="900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00"/>
                          <w:spacing w:before="61" w:line="235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2.47±0.65</w:t>
                        </w:r>
                      </w:p>
                    </w:tc>
                    <w:tc>
                      <w:tcPr>
                        <w:tcW w:w="879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77"/>
                          <w:spacing w:before="61" w:line="235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2.15±0.62</w:t>
                        </w:r>
                      </w:p>
                    </w:tc>
                    <w:tc>
                      <w:tcPr>
                        <w:tcW w:w="877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88"/>
                          <w:spacing w:before="61" w:line="235" w:lineRule="auto"/>
                          <w:rPr/>
                        </w:pPr>
                        <w:r>
                          <w:rPr>
                            <w:color w:val="231F20"/>
                            <w:spacing w:val="-10"/>
                          </w:rPr>
                          <w:t>1.31±0.26</w:t>
                        </w:r>
                      </w:p>
                    </w:tc>
                    <w:tc>
                      <w:tcPr>
                        <w:tcW w:w="877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89"/>
                          <w:spacing w:before="61" w:line="235" w:lineRule="auto"/>
                          <w:rPr/>
                        </w:pPr>
                        <w:r>
                          <w:rPr>
                            <w:color w:val="231F20"/>
                            <w:spacing w:val="-10"/>
                          </w:rPr>
                          <w:t>1.21±0.14</w:t>
                        </w:r>
                      </w:p>
                    </w:tc>
                  </w:tr>
                  <w:tr>
                    <w:trPr>
                      <w:trHeight w:val="277" w:hRule="atLeast"/>
                    </w:trPr>
                    <w:tc>
                      <w:tcPr>
                        <w:tcW w:w="682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70" w:line="213" w:lineRule="auto"/>
                          <w:rPr/>
                        </w:pPr>
                        <w:r>
                          <w:rPr>
                            <w:color w:val="231F20"/>
                          </w:rPr>
                          <w:t>参照组</w:t>
                        </w:r>
                      </w:p>
                    </w:tc>
                    <w:tc>
                      <w:tcPr>
                        <w:tcW w:w="507" w:type="dxa"/>
                        <w:vAlign w:val="top"/>
                      </w:tcPr>
                      <w:p>
                        <w:pPr>
                          <w:pStyle w:val="TableText"/>
                          <w:ind w:left="172"/>
                          <w:spacing w:before="67" w:line="230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67</w:t>
                        </w:r>
                      </w:p>
                    </w:tc>
                    <w:tc>
                      <w:tcPr>
                        <w:tcW w:w="900" w:type="dxa"/>
                        <w:vAlign w:val="top"/>
                      </w:tcPr>
                      <w:p>
                        <w:pPr>
                          <w:pStyle w:val="TableText"/>
                          <w:ind w:left="103"/>
                          <w:spacing w:before="67" w:line="230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3.72±0.87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pStyle w:val="TableText"/>
                          <w:ind w:left="80"/>
                          <w:spacing w:before="67" w:line="230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3.39±0.85</w:t>
                        </w:r>
                      </w:p>
                    </w:tc>
                    <w:tc>
                      <w:tcPr>
                        <w:tcW w:w="877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67" w:line="230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2.47±0.45</w:t>
                        </w:r>
                      </w:p>
                    </w:tc>
                    <w:tc>
                      <w:tcPr>
                        <w:tcW w:w="877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67" w:line="230" w:lineRule="auto"/>
                          <w:rPr/>
                        </w:pPr>
                        <w:r>
                          <w:rPr>
                            <w:color w:val="231F20"/>
                            <w:spacing w:val="-8"/>
                          </w:rPr>
                          <w:t>2.16±0.45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682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72" w:line="214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  <w:spacing w:val="-1"/>
                          </w:rPr>
                          <w:t>t </w:t>
                        </w:r>
                        <w:r>
                          <w:rPr>
                            <w:color w:val="231F20"/>
                            <w:spacing w:val="-1"/>
                          </w:rPr>
                          <w:t>值</w:t>
                        </w:r>
                      </w:p>
                    </w:tc>
                    <w:tc>
                      <w:tcPr>
                        <w:tcW w:w="50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00" w:type="dxa"/>
                        <w:vAlign w:val="top"/>
                      </w:tcPr>
                      <w:p>
                        <w:pPr>
                          <w:pStyle w:val="TableText"/>
                          <w:ind w:left="285"/>
                          <w:spacing w:before="74" w:line="223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6.135</w:t>
                        </w:r>
                      </w:p>
                    </w:tc>
                    <w:tc>
                      <w:tcPr>
                        <w:tcW w:w="879" w:type="dxa"/>
                        <w:vAlign w:val="top"/>
                      </w:tcPr>
                      <w:p>
                        <w:pPr>
                          <w:pStyle w:val="TableText"/>
                          <w:ind w:left="260"/>
                          <w:spacing w:before="74" w:line="223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7.315</w:t>
                        </w:r>
                      </w:p>
                    </w:tc>
                    <w:tc>
                      <w:tcPr>
                        <w:tcW w:w="877" w:type="dxa"/>
                        <w:vAlign w:val="top"/>
                      </w:tcPr>
                      <w:p>
                        <w:pPr>
                          <w:pStyle w:val="TableText"/>
                          <w:ind w:left="260"/>
                          <w:spacing w:before="74" w:line="223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6.527</w:t>
                        </w:r>
                      </w:p>
                    </w:tc>
                    <w:tc>
                      <w:tcPr>
                        <w:tcW w:w="877" w:type="dxa"/>
                        <w:vAlign w:val="top"/>
                      </w:tcPr>
                      <w:p>
                        <w:pPr>
                          <w:pStyle w:val="TableText"/>
                          <w:ind w:left="232"/>
                          <w:spacing w:before="74" w:line="223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10.128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682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09"/>
                          <w:spacing w:before="73" w:line="214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  <w:spacing w:val="2"/>
                          </w:rPr>
                          <w:t>P </w:t>
                        </w:r>
                        <w:r>
                          <w:rPr>
                            <w:color w:val="231F20"/>
                            <w:spacing w:val="2"/>
                          </w:rPr>
                          <w:t>值</w:t>
                        </w:r>
                      </w:p>
                    </w:tc>
                    <w:tc>
                      <w:tcPr>
                        <w:tcW w:w="507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900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21"/>
                          <w:spacing w:before="74" w:line="212" w:lineRule="exact"/>
                          <w:rPr/>
                        </w:pP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&lt;</w:t>
                        </w:r>
                        <w:r>
                          <w:rPr>
                            <w:color w:val="231F20"/>
                            <w:spacing w:val="-33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0.001</w:t>
                        </w:r>
                      </w:p>
                    </w:tc>
                    <w:tc>
                      <w:tcPr>
                        <w:tcW w:w="879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98"/>
                          <w:spacing w:before="74" w:line="212" w:lineRule="exact"/>
                          <w:rPr/>
                        </w:pP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&lt;</w:t>
                        </w:r>
                        <w:r>
                          <w:rPr>
                            <w:color w:val="231F20"/>
                            <w:spacing w:val="-33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0.001</w:t>
                        </w:r>
                      </w:p>
                    </w:tc>
                    <w:tc>
                      <w:tcPr>
                        <w:tcW w:w="877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96"/>
                          <w:spacing w:before="74" w:line="212" w:lineRule="exact"/>
                          <w:rPr/>
                        </w:pP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&lt;</w:t>
                        </w:r>
                        <w:r>
                          <w:rPr>
                            <w:color w:val="231F20"/>
                            <w:spacing w:val="-33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0.001</w:t>
                        </w:r>
                      </w:p>
                    </w:tc>
                    <w:tc>
                      <w:tcPr>
                        <w:tcW w:w="877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96"/>
                          <w:spacing w:before="74" w:line="212" w:lineRule="exact"/>
                          <w:rPr/>
                        </w:pP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&lt;</w:t>
                        </w:r>
                        <w:r>
                          <w:rPr>
                            <w:color w:val="231F20"/>
                            <w:spacing w:val="-33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position w:val="1"/>
                          </w:rPr>
                          <w:t>0.001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4" style="position:absolute;margin-left:29.7436pt;margin-top:112.11pt;mso-position-vertical-relative:text;mso-position-horizontal-relative:text;width:238.1pt;height:49.7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/>
                    <w:spacing w:before="20" w:line="241" w:lineRule="auto"/>
                    <w:outlineLvl w:val="1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color w:val="231F20"/>
                      <w:spacing w:val="-3"/>
                    </w:rPr>
                    <w:t>2.3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color w:val="231F20"/>
                      <w:spacing w:val="-3"/>
                    </w:rPr>
                    <w:t>两组不良反应发生情况比较</w:t>
                  </w:r>
                </w:p>
                <w:p>
                  <w:pPr>
                    <w:pStyle w:val="BodyText"/>
                    <w:ind w:left="20" w:right="20" w:firstLine="442"/>
                    <w:spacing w:before="76" w:line="28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3"/>
                    </w:rPr>
                    <w:t>研究组不良反应总发生率低于参照组，差异有统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</w:rPr>
                    <w:t>计学意义（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i/>
                      <w:iCs/>
                      <w:color w:val="231F20"/>
                      <w:spacing w:val="-13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i/>
                      <w:iCs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</w:rPr>
                    <w:t>&lt;</w:t>
                  </w:r>
                  <w:r>
                    <w:rPr>
                      <w:sz w:val="20"/>
                      <w:szCs w:val="20"/>
                      <w:color w:val="231F20"/>
                      <w:spacing w:val="-4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</w:rPr>
                    <w:t>0.05）。见表</w:t>
                  </w:r>
                  <w:r>
                    <w:rPr>
                      <w:sz w:val="20"/>
                      <w:szCs w:val="20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3"/>
                    </w:rPr>
                    <w:t>3。</w:t>
                  </w:r>
                </w:p>
              </w:txbxContent>
            </v:textbox>
          </v:shape>
        </w:pict>
      </w:r>
      <w:r>
        <w:pict>
          <v:shape id="_x0000_s16" style="position:absolute;margin-left:70.6072pt;margin-top:182.459pt;mso-position-vertical-relative:text;mso-position-horizontal-relative:text;width:155.95pt;height:12.4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1" w:lineRule="auto"/>
                    <w:outlineLvl w:val="2"/>
                    <w:rPr>
                      <w:rFonts w:ascii="SimHei" w:hAnsi="SimHei" w:eastAsia="SimHei" w:cs="SimHei"/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1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1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1"/>
                    </w:rPr>
                    <w:t>两组不良反应发生情况比较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1"/>
                    </w:rPr>
                    <w:t>[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i/>
                      <w:iCs/>
                      <w:color w:val="231F20"/>
                      <w:spacing w:val="-1"/>
                    </w:rPr>
                    <w:t>n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1"/>
                    </w:rPr>
                    <w:t>（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2"/>
                    </w:rPr>
                    <w:t>%）]</w:t>
                  </w:r>
                </w:p>
              </w:txbxContent>
            </v:textbox>
          </v:shape>
        </w:pict>
      </w:r>
      <w:r>
        <w:pict>
          <v:shape id="_x0000_s18" style="position:absolute;margin-left:221.36pt;margin-top:195.098pt;mso-position-vertical-relative:text;mso-position-horizontal-relative:text;width:4.45pt;height:1pt;z-index:251673600;" filled="false" strokecolor="#231F20" strokeweight="0.99pt" coordsize="88,20" coordorigin="0,0" path="m0,9l88,9e">
            <v:stroke joinstyle="miter" miterlimit="10"/>
          </v:shape>
        </w:pict>
      </w:r>
      <w:r>
        <w:pict>
          <v:rect id="_x0000_s20" style="position:absolute;margin-left:220.864pt;margin-top:265.469pt;mso-position-vertical-relative:text;mso-position-horizontal-relative:text;width:4.45pt;height:1pt;z-index:251672576;" fillcolor="#231F20" filled="true" stroked="false"/>
        </w:pict>
      </w:r>
      <w:r>
        <w:pict>
          <v:shape id="_x0000_s22" style="position:absolute;margin-left:29.6236pt;margin-top:193.602pt;mso-position-vertical-relative:text;mso-position-horizontal-relative:text;width:238.15pt;height:73.9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722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702"/>
                    <w:gridCol w:w="551"/>
                    <w:gridCol w:w="857"/>
                    <w:gridCol w:w="850"/>
                    <w:gridCol w:w="867"/>
                    <w:gridCol w:w="895"/>
                  </w:tblGrid>
                  <w:tr>
                    <w:trPr>
                      <w:trHeight w:val="275" w:hRule="atLeast"/>
                    </w:trPr>
                    <w:tc>
                      <w:tcPr>
                        <w:shd w:val="clear" w:fill="F4B796"/>
                        <w:tcW w:w="702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63" w:line="211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组别</w:t>
                        </w:r>
                      </w:p>
                    </w:tc>
                    <w:tc>
                      <w:tcPr>
                        <w:shd w:val="clear" w:fill="F4B796"/>
                        <w:tcW w:w="551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11"/>
                          <w:spacing w:before="62" w:line="212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例数</w:t>
                        </w:r>
                      </w:p>
                    </w:tc>
                    <w:tc>
                      <w:tcPr>
                        <w:shd w:val="clear" w:fill="F4B796"/>
                        <w:tcW w:w="857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76"/>
                          <w:spacing w:before="64" w:line="211" w:lineRule="auto"/>
                          <w:rPr/>
                        </w:pPr>
                        <w:r>
                          <w:rPr>
                            <w:color w:val="231F20"/>
                            <w:spacing w:val="-3"/>
                          </w:rPr>
                          <w:t>嗜睡</w:t>
                        </w:r>
                      </w:p>
                    </w:tc>
                    <w:tc>
                      <w:tcPr>
                        <w:shd w:val="clear" w:fill="F4B796"/>
                        <w:tcW w:w="850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64"/>
                          <w:spacing w:before="59" w:line="237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高热</w:t>
                        </w:r>
                      </w:p>
                    </w:tc>
                    <w:tc>
                      <w:tcPr>
                        <w:shd w:val="clear" w:fill="F4B796"/>
                        <w:tcW w:w="867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61"/>
                          <w:spacing w:before="63" w:line="212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皮疹</w:t>
                        </w:r>
                      </w:p>
                    </w:tc>
                    <w:tc>
                      <w:tcPr>
                        <w:shd w:val="clear" w:fill="F4B796"/>
                        <w:tcW w:w="895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02"/>
                          <w:spacing w:before="65" w:line="207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总发生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702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5"/>
                          <w:spacing w:before="65" w:line="208" w:lineRule="auto"/>
                          <w:rPr/>
                        </w:pPr>
                        <w:r>
                          <w:rPr>
                            <w:color w:val="231F20"/>
                          </w:rPr>
                          <w:t>研究组</w:t>
                        </w:r>
                      </w:p>
                    </w:tc>
                    <w:tc>
                      <w:tcPr>
                        <w:tcW w:w="551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92"/>
                          <w:spacing w:before="61" w:line="235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67</w:t>
                        </w:r>
                      </w:p>
                    </w:tc>
                    <w:tc>
                      <w:tcPr>
                        <w:tcW w:w="857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7"/>
                          <w:spacing w:before="61" w:line="235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1（1.49）</w:t>
                        </w:r>
                      </w:p>
                    </w:tc>
                    <w:tc>
                      <w:tcPr>
                        <w:tcW w:w="850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383"/>
                          <w:spacing w:before="61" w:line="235" w:lineRule="auto"/>
                          <w:rPr/>
                        </w:pPr>
                        <w:r>
                          <w:rPr>
                            <w:color w:val="231F20"/>
                          </w:rPr>
                          <w:t>0</w:t>
                        </w:r>
                      </w:p>
                    </w:tc>
                    <w:tc>
                      <w:tcPr>
                        <w:tcW w:w="867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1"/>
                          <w:spacing w:before="61" w:line="235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1（1.49）</w:t>
                        </w:r>
                      </w:p>
                    </w:tc>
                    <w:tc>
                      <w:tcPr>
                        <w:tcW w:w="895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35"/>
                          <w:spacing w:before="61" w:line="235" w:lineRule="auto"/>
                          <w:rPr/>
                        </w:pPr>
                        <w:r>
                          <w:rPr>
                            <w:color w:val="231F20"/>
                            <w:spacing w:val="-4"/>
                          </w:rPr>
                          <w:t>2（2.99）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702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70" w:line="213" w:lineRule="auto"/>
                          <w:rPr/>
                        </w:pPr>
                        <w:r>
                          <w:rPr>
                            <w:color w:val="231F20"/>
                          </w:rPr>
                          <w:t>参照组</w:t>
                        </w:r>
                      </w:p>
                    </w:tc>
                    <w:tc>
                      <w:tcPr>
                        <w:tcW w:w="551" w:type="dxa"/>
                        <w:vAlign w:val="top"/>
                      </w:tcPr>
                      <w:p>
                        <w:pPr>
                          <w:pStyle w:val="TableText"/>
                          <w:ind w:left="192"/>
                          <w:spacing w:before="67" w:line="231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67</w:t>
                        </w:r>
                      </w:p>
                    </w:tc>
                    <w:tc>
                      <w:tcPr>
                        <w:tcW w:w="857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67" w:line="231" w:lineRule="auto"/>
                          <w:rPr/>
                        </w:pPr>
                        <w:r>
                          <w:rPr>
                            <w:color w:val="231F20"/>
                            <w:spacing w:val="-4"/>
                          </w:rPr>
                          <w:t>5（7.46）</w:t>
                        </w:r>
                      </w:p>
                    </w:tc>
                    <w:tc>
                      <w:tcPr>
                        <w:tcW w:w="850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67" w:line="231" w:lineRule="auto"/>
                          <w:rPr/>
                        </w:pPr>
                        <w:r>
                          <w:rPr>
                            <w:color w:val="231F20"/>
                            <w:spacing w:val="-4"/>
                          </w:rPr>
                          <w:t>2（2.99）</w:t>
                        </w:r>
                      </w:p>
                    </w:tc>
                    <w:tc>
                      <w:tcPr>
                        <w:tcW w:w="867" w:type="dxa"/>
                        <w:vAlign w:val="top"/>
                      </w:tcPr>
                      <w:p>
                        <w:pPr>
                          <w:pStyle w:val="TableText"/>
                          <w:ind w:left="118"/>
                          <w:spacing w:before="67" w:line="231" w:lineRule="auto"/>
                          <w:rPr/>
                        </w:pPr>
                        <w:r>
                          <w:rPr>
                            <w:color w:val="231F20"/>
                            <w:spacing w:val="-4"/>
                          </w:rPr>
                          <w:t>2（2.99）</w:t>
                        </w:r>
                      </w:p>
                    </w:tc>
                    <w:tc>
                      <w:tcPr>
                        <w:tcW w:w="895" w:type="dxa"/>
                        <w:vAlign w:val="top"/>
                      </w:tcPr>
                      <w:p>
                        <w:pPr>
                          <w:pStyle w:val="TableText"/>
                          <w:spacing w:before="67" w:line="231" w:lineRule="auto"/>
                          <w:jc w:val="right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9（13.43）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702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71" w:line="210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  <w:spacing w:val="6"/>
                            <w:position w:val="-1"/>
                          </w:rPr>
                          <w:t>χ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6"/>
                            <w:position w:val="3"/>
                          </w:rPr>
                          <w:t>2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-2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6"/>
                            <w:position w:val="-1"/>
                          </w:rPr>
                          <w:t>值</w:t>
                        </w:r>
                      </w:p>
                    </w:tc>
                    <w:tc>
                      <w:tcPr>
                        <w:tcW w:w="551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5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5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6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95" w:type="dxa"/>
                        <w:vAlign w:val="top"/>
                      </w:tcPr>
                      <w:p>
                        <w:pPr>
                          <w:pStyle w:val="TableText"/>
                          <w:ind w:left="356"/>
                          <w:spacing w:before="73" w:line="231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4.853</w:t>
                        </w:r>
                      </w:p>
                    </w:tc>
                  </w:tr>
                  <w:tr>
                    <w:trPr>
                      <w:trHeight w:val="290" w:hRule="atLeast"/>
                    </w:trPr>
                    <w:tc>
                      <w:tcPr>
                        <w:tcW w:w="702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09"/>
                          <w:spacing w:before="66" w:line="214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  <w:spacing w:val="2"/>
                          </w:rPr>
                          <w:t>P </w:t>
                        </w:r>
                        <w:r>
                          <w:rPr>
                            <w:color w:val="231F20"/>
                            <w:spacing w:val="2"/>
                          </w:rPr>
                          <w:t>值</w:t>
                        </w:r>
                      </w:p>
                    </w:tc>
                    <w:tc>
                      <w:tcPr>
                        <w:tcW w:w="551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57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50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67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95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358"/>
                          <w:spacing w:before="67" w:line="212" w:lineRule="exact"/>
                          <w:rPr/>
                        </w:pP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0.028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4" style="position:absolute;margin-left:24.1936pt;margin-top:293.142pt;mso-position-vertical-relative:text;mso-position-horizontal-relative:text;width:243.6pt;height:83.7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4"/>
                    <w:spacing w:before="19" w:line="242" w:lineRule="auto"/>
                    <w:outlineLvl w:val="1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color w:val="231F20"/>
                      <w:spacing w:val="6"/>
                    </w:rPr>
                    <w:t>2.4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color w:val="231F20"/>
                      <w:spacing w:val="6"/>
                    </w:rPr>
                    <w:t>两组治疗前后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color w:val="231F20"/>
                    </w:rPr>
                    <w:t>CRP</w:t>
                  </w:r>
                  <w:r>
                    <w:rPr>
                      <w:rFonts w:ascii="SimHei" w:hAnsi="SimHei" w:eastAsia="SimHei" w:cs="SimHei"/>
                      <w:sz w:val="21"/>
                      <w:szCs w:val="21"/>
                      <w:color w:val="231F20"/>
                      <w:spacing w:val="6"/>
                    </w:rPr>
                    <w:t>水平比较</w:t>
                  </w:r>
                </w:p>
                <w:p>
                  <w:pPr>
                    <w:pStyle w:val="BodyText"/>
                    <w:ind w:left="20" w:right="20" w:firstLine="557"/>
                    <w:spacing w:before="75" w:line="301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>治疗前，两组</w:t>
                  </w:r>
                  <w:r>
                    <w:rPr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</w:rPr>
                    <w:t>CRP</w:t>
                  </w:r>
                  <w:r>
                    <w:rPr>
                      <w:sz w:val="20"/>
                      <w:szCs w:val="20"/>
                      <w:color w:val="231F20"/>
                      <w:spacing w:val="-4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>水平比较，差异无统计学意义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（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i/>
                      <w:iCs/>
                      <w:color w:val="231F20"/>
                      <w:spacing w:val="-6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i/>
                      <w:iCs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&gt;</w:t>
                  </w:r>
                  <w:r>
                    <w:rPr>
                      <w:sz w:val="20"/>
                      <w:szCs w:val="20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0.05）。治疗</w:t>
                  </w:r>
                  <w:r>
                    <w:rPr>
                      <w:sz w:val="20"/>
                      <w:szCs w:val="20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1</w:t>
                  </w:r>
                  <w:r>
                    <w:rPr>
                      <w:sz w:val="20"/>
                      <w:szCs w:val="20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d</w:t>
                  </w:r>
                  <w:r>
                    <w:rPr>
                      <w:sz w:val="20"/>
                      <w:szCs w:val="20"/>
                      <w:color w:val="231F20"/>
                      <w:spacing w:val="-4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及治疗</w:t>
                  </w:r>
                  <w:r>
                    <w:rPr>
                      <w:sz w:val="20"/>
                      <w:szCs w:val="20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3</w:t>
                  </w:r>
                  <w:r>
                    <w:rPr>
                      <w:sz w:val="20"/>
                      <w:szCs w:val="20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d</w:t>
                  </w:r>
                  <w:r>
                    <w:rPr>
                      <w:sz w:val="20"/>
                      <w:szCs w:val="20"/>
                      <w:color w:val="231F20"/>
                      <w:spacing w:val="-4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后，两组</w:t>
                  </w:r>
                  <w:r>
                    <w:rPr>
                      <w:sz w:val="20"/>
                      <w:szCs w:val="20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CRP</w:t>
                  </w:r>
                  <w:r>
                    <w:rPr>
                      <w:sz w:val="20"/>
                      <w:szCs w:val="20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6"/>
                    </w:rPr>
                    <w:t>水平均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10"/>
                    </w:rPr>
                    <w:t>降低，且研究组水平低于参照组，差异有统计学意义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（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i/>
                      <w:iCs/>
                      <w:color w:val="231F20"/>
                      <w:spacing w:val="-11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i/>
                      <w:iCs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&lt;</w:t>
                  </w:r>
                  <w:r>
                    <w:rPr>
                      <w:sz w:val="20"/>
                      <w:szCs w:val="20"/>
                      <w:color w:val="231F20"/>
                      <w:spacing w:val="-41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0.05）。见表</w:t>
                  </w:r>
                  <w:r>
                    <w:rPr>
                      <w:sz w:val="20"/>
                      <w:szCs w:val="20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4。</w:t>
                  </w:r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5"/>
        </w:rPr>
        <w:t>水等症状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11"/>
          <w:szCs w:val="11"/>
          <w:color w:val="231F20"/>
          <w:spacing w:val="5"/>
          <w:position w:val="7"/>
        </w:rPr>
        <w:t>[6-7]</w:t>
      </w:r>
      <w:r>
        <w:rPr>
          <w:sz w:val="11"/>
          <w:szCs w:val="11"/>
          <w:color w:val="231F20"/>
          <w:spacing w:val="-28"/>
          <w:position w:val="7"/>
        </w:rPr>
        <w:t xml:space="preserve"> </w:t>
      </w:r>
      <w:r>
        <w:rPr>
          <w:sz w:val="20"/>
          <w:szCs w:val="20"/>
          <w:color w:val="231F20"/>
          <w:spacing w:val="5"/>
        </w:rPr>
        <w:t>。治疗小儿急性肠胃炎时需最大限度地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降低用药风险，尽量减少因药物治疗对患儿机体造成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"/>
        </w:rPr>
        <w:t>的损伤。相关研究显示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-1"/>
          <w:position w:val="7"/>
        </w:rPr>
        <w:t>[8-9]</w:t>
      </w:r>
      <w:r>
        <w:rPr>
          <w:sz w:val="20"/>
          <w:szCs w:val="20"/>
          <w:color w:val="231F20"/>
          <w:spacing w:val="-1"/>
        </w:rPr>
        <w:t>，益生菌、奥</w:t>
      </w:r>
      <w:r>
        <w:rPr>
          <w:sz w:val="20"/>
          <w:szCs w:val="20"/>
          <w:color w:val="231F20"/>
          <w:spacing w:val="-2"/>
        </w:rPr>
        <w:t>美拉唑、阿奇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4"/>
        </w:rPr>
        <w:t>霉素及蒙脱石散等药物联合治疗小儿急性肠胃炎可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14"/>
        </w:rPr>
        <w:t>发挥出较理想的治疗效果。阿奇霉素可阻碍细菌转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5"/>
        </w:rPr>
        <w:t>肽过程，其作用机制与红霉素一致，可与细菌核糖体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1"/>
        </w:rPr>
        <w:t>内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1"/>
        </w:rPr>
        <w:t>50 S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1"/>
        </w:rPr>
        <w:t>亚单位结合，抑制依赖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RNA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1"/>
        </w:rPr>
        <w:t>的蛋白合</w:t>
      </w:r>
      <w:r>
        <w:rPr>
          <w:sz w:val="20"/>
          <w:szCs w:val="20"/>
          <w:color w:val="231F20"/>
        </w:rPr>
        <w:t>成过程， </w:t>
      </w:r>
      <w:r>
        <w:rPr>
          <w:sz w:val="20"/>
          <w:szCs w:val="20"/>
          <w:color w:val="231F20"/>
          <w:spacing w:val="14"/>
        </w:rPr>
        <w:t>发挥抗菌效果。但阿奇霉素长期使用会对机体造成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5"/>
        </w:rPr>
        <w:t>一定的负面影响，存在一定的用药风险，且单一用药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8"/>
          <w:position w:val="-1"/>
        </w:rPr>
        <w:t>的治疗效果难以达到预期</w:t>
      </w:r>
      <w:r>
        <w:rPr>
          <w:sz w:val="20"/>
          <w:szCs w:val="20"/>
          <w:color w:val="231F20"/>
          <w:spacing w:val="-21"/>
          <w:position w:val="-1"/>
        </w:rPr>
        <w:t xml:space="preserve"> </w:t>
      </w:r>
      <w:r>
        <w:rPr>
          <w:sz w:val="11"/>
          <w:szCs w:val="11"/>
          <w:color w:val="231F20"/>
          <w:spacing w:val="8"/>
          <w:position w:val="6"/>
        </w:rPr>
        <w:t>[10-11]</w:t>
      </w:r>
      <w:r>
        <w:rPr>
          <w:sz w:val="11"/>
          <w:szCs w:val="11"/>
          <w:color w:val="231F20"/>
          <w:spacing w:val="-29"/>
          <w:position w:val="6"/>
        </w:rPr>
        <w:t xml:space="preserve"> </w:t>
      </w:r>
      <w:r>
        <w:rPr>
          <w:sz w:val="20"/>
          <w:szCs w:val="20"/>
          <w:color w:val="231F20"/>
          <w:spacing w:val="8"/>
          <w:position w:val="-1"/>
        </w:rPr>
        <w:t>。双歧杆菌四联菌活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5"/>
        </w:rPr>
        <w:t>片为益生菌类药物，含有粪肠球菌、婴儿双歧杆菌及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5"/>
        </w:rPr>
        <w:t>嗜酸乳杆菌等，可及时补充肠道内部正常菌群，抑制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5"/>
        </w:rPr>
        <w:t>部分致病菌群，维持正常的肠道蠕动，保持胃肠道的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14"/>
        </w:rPr>
        <w:t>菌群平衡。双歧杆菌四联菌活片中的蜡样芽孢杆菌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5"/>
        </w:rPr>
        <w:t>可在肠道中定植，消耗定植环境中的氧气，为双歧杆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5"/>
        </w:rPr>
        <w:t>菌等厌氧菌提供厌氧环境，使此类有益菌可有效地增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14"/>
        </w:rPr>
        <w:t>长与繁殖。双歧杆菌四联菌活片联合阿奇霉素可在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5"/>
        </w:rPr>
        <w:t>抵抗致病菌的基础上增加胃肠道中的有益菌群，降低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3"/>
        </w:rPr>
        <w:t>因使用阿奇霉素治疗产生的不良反应发生概率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3"/>
          <w:position w:val="7"/>
        </w:rPr>
        <w:t>[12-13]</w:t>
      </w:r>
      <w:r>
        <w:rPr>
          <w:sz w:val="20"/>
          <w:szCs w:val="20"/>
          <w:color w:val="231F20"/>
          <w:spacing w:val="3"/>
        </w:rPr>
        <w:t>。</w:t>
      </w:r>
    </w:p>
    <w:p>
      <w:pPr>
        <w:pStyle w:val="BodyText"/>
        <w:ind w:left="5757" w:right="955" w:firstLine="443"/>
        <w:spacing w:before="12" w:line="329" w:lineRule="auto"/>
        <w:jc w:val="both"/>
        <w:rPr>
          <w:sz w:val="20"/>
          <w:szCs w:val="20"/>
        </w:rPr>
      </w:pPr>
      <w:r>
        <w:pict>
          <v:shape id="_x0000_s26" style="position:absolute;margin-left:60.4525pt;margin-top:56.1798pt;mso-position-vertical-relative:text;mso-position-horizontal-relative:text;width:181.1pt;height:12.1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33" w:lineRule="auto"/>
                    <w:jc w:val="right"/>
                    <w:rPr>
                      <w:rFonts w:ascii="SimHei" w:hAnsi="SimHei" w:eastAsia="SimHei" w:cs="SimHei"/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</w:rPr>
                    <w:t>4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</w:rPr>
                    <w:t>两组治疗前后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</w:rPr>
                    <w:t>CRP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</w:rPr>
                    <w:t>水平比较（mg/L，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i/>
                      <w:iCs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i/>
                      <w:iCs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±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i/>
                      <w:iCs/>
                      <w:color w:val="231F20"/>
                    </w:rPr>
                    <w:t>s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</w:rPr>
                    <w:t>）</w:t>
                  </w:r>
                </w:p>
              </w:txbxContent>
            </v:textbox>
          </v:shape>
        </w:pict>
      </w:r>
      <w:r>
        <w:pict>
          <v:shape id="_x0000_s28" style="position:absolute;margin-left:29.6236pt;margin-top:67.3235pt;mso-position-vertical-relative:text;mso-position-horizontal-relative:text;width:238.15pt;height:73.9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722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727"/>
                    <w:gridCol w:w="580"/>
                    <w:gridCol w:w="1093"/>
                    <w:gridCol w:w="1185"/>
                    <w:gridCol w:w="1137"/>
                  </w:tblGrid>
                  <w:tr>
                    <w:trPr>
                      <w:trHeight w:val="275" w:hRule="atLeast"/>
                    </w:trPr>
                    <w:tc>
                      <w:tcPr>
                        <w:shd w:val="clear" w:fill="F4B796"/>
                        <w:tcW w:w="727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16"/>
                          <w:spacing w:before="63" w:line="211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组别</w:t>
                        </w:r>
                      </w:p>
                    </w:tc>
                    <w:tc>
                      <w:tcPr>
                        <w:shd w:val="clear" w:fill="F4B796"/>
                        <w:tcW w:w="580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36"/>
                          <w:spacing w:before="62" w:line="212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例数</w:t>
                        </w:r>
                      </w:p>
                    </w:tc>
                    <w:tc>
                      <w:tcPr>
                        <w:shd w:val="clear" w:fill="F4B796"/>
                        <w:tcW w:w="1093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81"/>
                          <w:spacing w:before="64" w:line="212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治疗前</w:t>
                        </w:r>
                      </w:p>
                    </w:tc>
                    <w:tc>
                      <w:tcPr>
                        <w:shd w:val="clear" w:fill="F4B796"/>
                        <w:tcW w:w="1185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204"/>
                          <w:spacing w:before="64" w:line="212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治疗</w:t>
                        </w:r>
                        <w:r>
                          <w:rPr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1</w:t>
                        </w:r>
                        <w:r>
                          <w:rPr>
                            <w:color w:val="231F20"/>
                            <w:spacing w:val="-3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d</w:t>
                        </w:r>
                        <w:r>
                          <w:rPr>
                            <w:color w:val="231F20"/>
                            <w:spacing w:val="-3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</w:rPr>
                          <w:t>后</w:t>
                        </w:r>
                      </w:p>
                    </w:tc>
                    <w:tc>
                      <w:tcPr>
                        <w:shd w:val="clear" w:fill="F4B796"/>
                        <w:tcW w:w="1137" w:type="dxa"/>
                        <w:vAlign w:val="top"/>
                        <w:tcBorders>
                          <w:bottom w:val="single" w:color="231F20" w:sz="2" w:space="0"/>
                          <w:top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78"/>
                          <w:spacing w:before="64" w:line="212" w:lineRule="auto"/>
                          <w:rPr/>
                        </w:pPr>
                        <w:r>
                          <w:rPr>
                            <w:color w:val="231F20"/>
                            <w:spacing w:val="-4"/>
                          </w:rPr>
                          <w:t>治疗</w:t>
                        </w:r>
                        <w:r>
                          <w:rPr>
                            <w:color w:val="231F20"/>
                            <w:spacing w:val="-28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3</w:t>
                        </w:r>
                        <w:r>
                          <w:rPr>
                            <w:color w:val="231F20"/>
                            <w:spacing w:val="-3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d</w:t>
                        </w:r>
                        <w:r>
                          <w:rPr>
                            <w:color w:val="231F20"/>
                            <w:spacing w:val="-35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</w:rPr>
                          <w:t>后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727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15"/>
                          <w:spacing w:before="65" w:line="208" w:lineRule="auto"/>
                          <w:rPr/>
                        </w:pPr>
                        <w:r>
                          <w:rPr>
                            <w:color w:val="231F20"/>
                          </w:rPr>
                          <w:t>研究组</w:t>
                        </w:r>
                      </w:p>
                    </w:tc>
                    <w:tc>
                      <w:tcPr>
                        <w:tcW w:w="580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217"/>
                          <w:spacing w:before="61" w:line="235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67</w:t>
                        </w:r>
                      </w:p>
                    </w:tc>
                    <w:tc>
                      <w:tcPr>
                        <w:tcW w:w="1093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28"/>
                          <w:spacing w:before="61" w:line="235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15.26±1.51</w:t>
                        </w:r>
                      </w:p>
                    </w:tc>
                    <w:tc>
                      <w:tcPr>
                        <w:tcW w:w="1185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72"/>
                          <w:spacing w:before="54" w:line="211" w:lineRule="exact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color w:val="231F20"/>
                            <w:spacing w:val="-9"/>
                            <w:position w:val="1"/>
                          </w:rPr>
                          <w:t>10.39±0.76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7"/>
                            <w:position w:val="7"/>
                          </w:rPr>
                          <w:t>a</w:t>
                        </w:r>
                      </w:p>
                    </w:tc>
                    <w:tc>
                      <w:tcPr>
                        <w:tcW w:w="1137" w:type="dxa"/>
                        <w:vAlign w:val="top"/>
                        <w:tcBorders>
                          <w:top w:val="single" w:color="231F20" w:sz="2" w:space="0"/>
                        </w:tcBorders>
                      </w:tcPr>
                      <w:p>
                        <w:pPr>
                          <w:pStyle w:val="TableText"/>
                          <w:ind w:left="171"/>
                          <w:spacing w:before="54" w:line="211" w:lineRule="exact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color w:val="231F20"/>
                            <w:spacing w:val="-8"/>
                            <w:position w:val="1"/>
                          </w:rPr>
                          <w:t>4.50±0.18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3"/>
                            <w:position w:val="7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277" w:hRule="atLeast"/>
                    </w:trPr>
                    <w:tc>
                      <w:tcPr>
                        <w:tcW w:w="727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70" w:line="213" w:lineRule="auto"/>
                          <w:rPr/>
                        </w:pPr>
                        <w:r>
                          <w:rPr>
                            <w:color w:val="231F20"/>
                          </w:rPr>
                          <w:t>参照组</w:t>
                        </w:r>
                      </w:p>
                    </w:tc>
                    <w:tc>
                      <w:tcPr>
                        <w:tcW w:w="580" w:type="dxa"/>
                        <w:vAlign w:val="top"/>
                      </w:tcPr>
                      <w:p>
                        <w:pPr>
                          <w:pStyle w:val="TableText"/>
                          <w:ind w:left="217"/>
                          <w:spacing w:before="67" w:line="230" w:lineRule="auto"/>
                          <w:rPr/>
                        </w:pPr>
                        <w:r>
                          <w:rPr>
                            <w:color w:val="231F20"/>
                            <w:spacing w:val="-1"/>
                          </w:rPr>
                          <w:t>67</w:t>
                        </w:r>
                      </w:p>
                    </w:tc>
                    <w:tc>
                      <w:tcPr>
                        <w:tcW w:w="1093" w:type="dxa"/>
                        <w:vAlign w:val="top"/>
                      </w:tcPr>
                      <w:p>
                        <w:pPr>
                          <w:pStyle w:val="TableText"/>
                          <w:ind w:left="128"/>
                          <w:spacing w:before="67" w:line="230" w:lineRule="auto"/>
                          <w:rPr/>
                        </w:pPr>
                        <w:r>
                          <w:rPr>
                            <w:color w:val="231F20"/>
                            <w:spacing w:val="-9"/>
                          </w:rPr>
                          <w:t>15.30±1.48</w:t>
                        </w:r>
                      </w:p>
                    </w:tc>
                    <w:tc>
                      <w:tcPr>
                        <w:tcW w:w="1185" w:type="dxa"/>
                        <w:vAlign w:val="top"/>
                      </w:tcPr>
                      <w:p>
                        <w:pPr>
                          <w:pStyle w:val="TableText"/>
                          <w:ind w:left="172"/>
                          <w:spacing w:before="61" w:line="237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color w:val="231F20"/>
                            <w:spacing w:val="-9"/>
                          </w:rPr>
                          <w:t>12.89±1.04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spacing w:val="7"/>
                            <w:position w:val="6"/>
                          </w:rPr>
                          <w:t>a</w:t>
                        </w:r>
                      </w:p>
                    </w:tc>
                    <w:tc>
                      <w:tcPr>
                        <w:tcW w:w="1137" w:type="dxa"/>
                        <w:vAlign w:val="top"/>
                      </w:tcPr>
                      <w:p>
                        <w:pPr>
                          <w:pStyle w:val="TableText"/>
                          <w:ind w:left="174"/>
                          <w:spacing w:before="61" w:line="237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color w:val="231F20"/>
                            <w:spacing w:val="-8"/>
                          </w:rPr>
                          <w:t>6.21±0.29</w:t>
                        </w:r>
                        <w:r>
                          <w:rPr>
                            <w:sz w:val="9"/>
                            <w:szCs w:val="9"/>
                            <w:color w:val="231F20"/>
                            <w:position w:val="6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727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72" w:line="214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  <w:spacing w:val="-1"/>
                          </w:rPr>
                          <w:t>t </w:t>
                        </w:r>
                        <w:r>
                          <w:rPr>
                            <w:color w:val="231F20"/>
                            <w:spacing w:val="-1"/>
                          </w:rPr>
                          <w:t>值</w:t>
                        </w:r>
                      </w:p>
                    </w:tc>
                    <w:tc>
                      <w:tcPr>
                        <w:tcW w:w="58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093" w:type="dxa"/>
                        <w:vAlign w:val="top"/>
                      </w:tcPr>
                      <w:p>
                        <w:pPr>
                          <w:pStyle w:val="TableText"/>
                          <w:ind w:left="339"/>
                          <w:spacing w:before="74" w:line="223" w:lineRule="auto"/>
                          <w:rPr/>
                        </w:pPr>
                        <w:r>
                          <w:rPr>
                            <w:color w:val="231F20"/>
                            <w:spacing w:val="-6"/>
                          </w:rPr>
                          <w:t>0.481</w:t>
                        </w:r>
                      </w:p>
                    </w:tc>
                    <w:tc>
                      <w:tcPr>
                        <w:tcW w:w="1185" w:type="dxa"/>
                        <w:vAlign w:val="top"/>
                      </w:tcPr>
                      <w:p>
                        <w:pPr>
                          <w:pStyle w:val="TableText"/>
                          <w:ind w:left="378"/>
                          <w:spacing w:before="74" w:line="223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12.341</w:t>
                        </w:r>
                      </w:p>
                    </w:tc>
                    <w:tc>
                      <w:tcPr>
                        <w:tcW w:w="1137" w:type="dxa"/>
                        <w:vAlign w:val="top"/>
                      </w:tcPr>
                      <w:p>
                        <w:pPr>
                          <w:pStyle w:val="TableText"/>
                          <w:ind w:left="351"/>
                          <w:spacing w:before="74" w:line="223" w:lineRule="auto"/>
                          <w:rPr/>
                        </w:pPr>
                        <w:r>
                          <w:rPr>
                            <w:color w:val="231F20"/>
                            <w:spacing w:val="-7"/>
                          </w:rPr>
                          <w:t>11.973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727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109"/>
                          <w:spacing w:before="73" w:line="214" w:lineRule="auto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color w:val="231F20"/>
                            <w:spacing w:val="2"/>
                          </w:rPr>
                          <w:t>P </w:t>
                        </w:r>
                        <w:r>
                          <w:rPr>
                            <w:color w:val="231F20"/>
                            <w:spacing w:val="2"/>
                          </w:rPr>
                          <w:t>值</w:t>
                        </w:r>
                      </w:p>
                    </w:tc>
                    <w:tc>
                      <w:tcPr>
                        <w:tcW w:w="580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093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339"/>
                          <w:spacing w:before="74" w:line="213" w:lineRule="exact"/>
                          <w:rPr/>
                        </w:pP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0.696</w:t>
                        </w:r>
                      </w:p>
                    </w:tc>
                    <w:tc>
                      <w:tcPr>
                        <w:tcW w:w="1185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405"/>
                          <w:spacing w:before="74" w:line="213" w:lineRule="exact"/>
                          <w:rPr/>
                        </w:pP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0.001</w:t>
                        </w:r>
                      </w:p>
                    </w:tc>
                    <w:tc>
                      <w:tcPr>
                        <w:tcW w:w="1137" w:type="dxa"/>
                        <w:vAlign w:val="top"/>
                        <w:tcBorders>
                          <w:bottom w:val="single" w:color="231F20" w:sz="6" w:space="0"/>
                        </w:tcBorders>
                      </w:tcPr>
                      <w:p>
                        <w:pPr>
                          <w:pStyle w:val="TableText"/>
                          <w:ind w:left="378"/>
                          <w:spacing w:before="74" w:line="213" w:lineRule="exact"/>
                          <w:rPr/>
                        </w:pPr>
                        <w:r>
                          <w:rPr>
                            <w:color w:val="231F20"/>
                            <w:spacing w:val="-6"/>
                            <w:position w:val="1"/>
                          </w:rPr>
                          <w:t>0.001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0" style="position:absolute;margin-left:41.3063pt;margin-top:142.918pt;mso-position-vertical-relative:text;mso-position-horizontal-relative:text;width:118.05pt;height:13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4"/>
                      <w:position w:val="1"/>
                    </w:rPr>
                    <w:t>注  与本组治疗前比较，</w:t>
                  </w:r>
                  <w:r>
                    <w:rPr>
                      <w:sz w:val="9"/>
                      <w:szCs w:val="9"/>
                      <w:color w:val="231F20"/>
                      <w:spacing w:val="-4"/>
                      <w:position w:val="7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i/>
                      <w:iCs/>
                      <w:color w:val="231F20"/>
                      <w:spacing w:val="-4"/>
                      <w:position w:val="1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i/>
                      <w:iCs/>
                      <w:color w:val="231F20"/>
                      <w:spacing w:val="14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  <w:position w:val="1"/>
                    </w:rPr>
                    <w:t>&lt;</w:t>
                  </w:r>
                  <w:r>
                    <w:rPr>
                      <w:sz w:val="16"/>
                      <w:szCs w:val="16"/>
                      <w:color w:val="231F20"/>
                      <w:spacing w:val="-33"/>
                      <w:position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  <w:position w:val="1"/>
                    </w:rPr>
                    <w:t>0.05</w:t>
                  </w:r>
                </w:p>
              </w:txbxContent>
            </v:textbox>
          </v:shape>
        </w:pict>
      </w:r>
      <w:r>
        <w:pict>
          <v:shape id="_x0000_s32" style="position:absolute;margin-left:29.7037pt;margin-top:177.778pt;mso-position-vertical-relative:text;mso-position-horizontal-relative:text;width:242.05pt;height:157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319" w:lineRule="exac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E96F2E"/>
                      <w:spacing w:val="-2"/>
                      <w:position w:val="1"/>
                    </w:rPr>
                    <w:t>3</w:t>
                  </w:r>
                  <w:r>
                    <w:rPr>
                      <w:sz w:val="23"/>
                      <w:szCs w:val="23"/>
                      <w:color w:val="E96F2E"/>
                      <w:spacing w:val="-49"/>
                      <w:position w:val="1"/>
                    </w:rPr>
                    <w:t xml:space="preserve"> </w:t>
                  </w:r>
                  <w:r>
                    <w:rPr>
                      <w:sz w:val="23"/>
                      <w:szCs w:val="23"/>
                      <w:color w:val="E96F2E"/>
                      <w:spacing w:val="-2"/>
                      <w:position w:val="1"/>
                    </w:rPr>
                    <w:t>讨论</w:t>
                  </w:r>
                </w:p>
                <w:p>
                  <w:pPr>
                    <w:pStyle w:val="BodyText"/>
                    <w:ind w:left="20" w:right="20" w:firstLine="445"/>
                    <w:spacing w:before="53" w:line="31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231F20"/>
                      <w:spacing w:val="3"/>
                    </w:rPr>
                    <w:t>小儿急性肠胃炎在临床上较常见，其致病因素较</w:t>
                  </w:r>
                  <w:r>
                    <w:rPr>
                      <w:sz w:val="20"/>
                      <w:szCs w:val="20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11"/>
                    </w:rPr>
                    <w:t>复杂，多表现为恶心、呕吐及腹痛、腹泻等症</w:t>
                  </w:r>
                  <w:r>
                    <w:rPr>
                      <w:sz w:val="20"/>
                      <w:szCs w:val="20"/>
                      <w:color w:val="231F20"/>
                      <w:spacing w:val="-12"/>
                    </w:rPr>
                    <w:t>状，严重影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8"/>
                    </w:rPr>
                    <w:t>响患儿的健康生活。小儿急性肠胃炎若未得到及时、</w:t>
                  </w:r>
                  <w:r>
                    <w:rPr>
                      <w:sz w:val="20"/>
                      <w:szCs w:val="20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-4"/>
                    </w:rPr>
                    <w:t>有效的治疗，体内电解质水平会出现紊乱，严重者甚至</w:t>
                  </w:r>
                  <w:r>
                    <w:rPr>
                      <w:sz w:val="20"/>
                      <w:szCs w:val="20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>会出现脱水症状，威胁患儿的生命健康安全</w:t>
                  </w:r>
                  <w:r>
                    <w:rPr>
                      <w:sz w:val="20"/>
                      <w:szCs w:val="20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2"/>
                      <w:position w:val="7"/>
                    </w:rPr>
                    <w:t>[5]</w:t>
                  </w:r>
                  <w:r>
                    <w:rPr>
                      <w:sz w:val="11"/>
                      <w:szCs w:val="11"/>
                      <w:color w:val="231F20"/>
                      <w:spacing w:val="-30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color w:val="231F20"/>
                      <w:spacing w:val="2"/>
                    </w:rPr>
                    <w:t>。小儿</w:t>
                  </w:r>
                  <w:r>
                    <w:rPr>
                      <w:sz w:val="20"/>
                      <w:szCs w:val="20"/>
                      <w:color w:val="231F20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5"/>
                    </w:rPr>
                    <w:t>急性肠胃炎多选用抗生素进行消炎治疗，治疗过程中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5"/>
                    </w:rPr>
                    <w:t>需结合相应的辅助措施补充体内电解质，发热患儿需</w:t>
                  </w:r>
                  <w:r>
                    <w:rPr>
                      <w:sz w:val="20"/>
                      <w:szCs w:val="20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20"/>
                      <w:szCs w:val="20"/>
                      <w:color w:val="231F20"/>
                      <w:spacing w:val="5"/>
                    </w:rPr>
                    <w:t>采取有效的降温措施，以尽可能缓解电解质紊乱及脱</w:t>
                  </w:r>
                </w:p>
              </w:txbxContent>
            </v:textbox>
          </v:shape>
        </w:pict>
      </w:r>
      <w:r>
        <w:rPr>
          <w:sz w:val="20"/>
          <w:szCs w:val="20"/>
          <w:color w:val="231F20"/>
          <w:spacing w:val="3"/>
        </w:rPr>
        <w:t>本研究结果显示，研究组临床总有效率高于参照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组，差异有统计学意义（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&lt;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3"/>
        </w:rPr>
        <w:t>0.05）。提示益生菌联合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阿奇霉素治疗急性肠胃炎患儿可取得较理想的治疗效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4"/>
        </w:rPr>
        <w:t>果。研究组腹痛、腹泻、发热及呕吐的消失时间均短于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参照组，差异有统计学意义（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&lt;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0"/>
        </w:rPr>
        <w:t>0.05）。提示益生菌联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合阿奇霉素治疗急性肠胃炎患儿可缩短腹痛、腹泻、发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4"/>
        </w:rPr>
        <w:t>热及呕吐的消失时间。两药联用可在短时间内发挥药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效，恢复免疫系统及消化系统功能，在较短时间内缓解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发热、呕吐及腹痛、腹泻等症状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spacing w:val="-7"/>
          <w:position w:val="7"/>
        </w:rPr>
        <w:t>[14]</w:t>
      </w:r>
      <w:r>
        <w:rPr>
          <w:sz w:val="11"/>
          <w:szCs w:val="11"/>
          <w:color w:val="231F20"/>
          <w:spacing w:val="-30"/>
          <w:position w:val="7"/>
        </w:rPr>
        <w:t xml:space="preserve"> </w:t>
      </w:r>
      <w:r>
        <w:rPr>
          <w:sz w:val="20"/>
          <w:szCs w:val="20"/>
          <w:color w:val="231F20"/>
          <w:spacing w:val="-7"/>
        </w:rPr>
        <w:t>。研</w:t>
      </w:r>
      <w:r>
        <w:rPr>
          <w:sz w:val="20"/>
          <w:szCs w:val="20"/>
          <w:color w:val="231F20"/>
          <w:spacing w:val="-8"/>
        </w:rPr>
        <w:t>究组不良反应总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发生率低于参照组，差异有统计学意义（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&lt;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0"/>
        </w:rPr>
        <w:t>0.05）。联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合用药后阿奇霉素的用药剂量减少，产生的副作用随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4"/>
        </w:rPr>
        <w:t>之减少，且益生菌可有效补充受损的肠道菌群，维持胃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5"/>
        </w:rPr>
        <w:t>肠道的菌群平衡，降低因阿奇霉素产生的不良反应发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3"/>
        </w:rPr>
        <w:t>生风险，保障治疗效果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11"/>
          <w:szCs w:val="11"/>
          <w:color w:val="231F20"/>
          <w:spacing w:val="-3"/>
          <w:position w:val="7"/>
        </w:rPr>
        <w:t>[15-16]</w:t>
      </w:r>
      <w:r>
        <w:rPr>
          <w:sz w:val="11"/>
          <w:szCs w:val="11"/>
          <w:color w:val="231F20"/>
          <w:spacing w:val="-31"/>
          <w:position w:val="7"/>
        </w:rPr>
        <w:t xml:space="preserve"> </w:t>
      </w:r>
      <w:r>
        <w:rPr>
          <w:sz w:val="20"/>
          <w:szCs w:val="20"/>
          <w:color w:val="231F20"/>
          <w:spacing w:val="-3"/>
        </w:rPr>
        <w:t>。此外，本研究结果显示，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治疗后，两组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4"/>
        </w:rPr>
        <w:t>水平均降低，且研究组水平低于参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照组，差异有统计学意义（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-10"/>
        </w:rPr>
        <w:t>P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&lt;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0"/>
        </w:rPr>
        <w:t>0.05）。阿奇霉素可有效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抑制胃肠道中的致病菌，发挥一定的抗炎作用</w:t>
      </w:r>
      <w:r>
        <w:rPr>
          <w:sz w:val="20"/>
          <w:szCs w:val="20"/>
          <w:color w:val="231F20"/>
          <w:spacing w:val="4"/>
        </w:rPr>
        <w:t>。联合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用药可减轻对肝脏及胃肠道功能的不利影响，在治疗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8"/>
        </w:rPr>
        <w:t>小儿急性肠胃炎的基础上抑制免疫蛋白的合成反</w:t>
      </w:r>
      <w:r>
        <w:rPr>
          <w:sz w:val="20"/>
          <w:szCs w:val="20"/>
          <w:color w:val="231F20"/>
          <w:spacing w:val="7"/>
        </w:rPr>
        <w:t>应，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ind w:left="5830"/>
        <w:spacing w:before="52" w:line="225" w:lineRule="exact"/>
        <w:rPr>
          <w:rFonts w:ascii="Arial" w:hAnsi="Arial" w:eastAsia="Arial" w:cs="Arial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E96F2E"/>
          <w:spacing w:val="13"/>
          <w:position w:val="1"/>
        </w:rPr>
        <w:t>FUER</w:t>
      </w:r>
      <w:r>
        <w:rPr>
          <w:rFonts w:ascii="SimHei" w:hAnsi="SimHei" w:eastAsia="SimHei" w:cs="SimHei"/>
          <w:sz w:val="16"/>
          <w:szCs w:val="16"/>
          <w:color w:val="E96F2E"/>
          <w:spacing w:val="-34"/>
          <w:position w:val="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E96F2E"/>
          <w:spacing w:val="13"/>
          <w:position w:val="1"/>
        </w:rPr>
        <w:t>JIANKANG</w:t>
      </w:r>
      <w:r>
        <w:rPr>
          <w:rFonts w:ascii="SimHei" w:hAnsi="SimHei" w:eastAsia="SimHei" w:cs="SimHei"/>
          <w:sz w:val="16"/>
          <w:szCs w:val="16"/>
          <w:color w:val="E96F2E"/>
          <w:spacing w:val="-23"/>
          <w:position w:val="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E96F2E"/>
          <w:spacing w:val="13"/>
          <w:position w:val="1"/>
        </w:rPr>
        <w:t>DAOKAN</w:t>
      </w:r>
      <w:r>
        <w:rPr>
          <w:rFonts w:ascii="SimHei" w:hAnsi="SimHei" w:eastAsia="SimHei" w:cs="SimHei"/>
          <w:sz w:val="16"/>
          <w:szCs w:val="16"/>
          <w:color w:val="E96F2E"/>
          <w:spacing w:val="2"/>
          <w:position w:val="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3"/>
          <w:position w:val="1"/>
        </w:rPr>
        <w:t>Vol</w:t>
      </w:r>
      <w:r>
        <w:rPr>
          <w:rFonts w:ascii="SimHei" w:hAnsi="SimHei" w:eastAsia="SimHei" w:cs="SimHei"/>
          <w:sz w:val="16"/>
          <w:szCs w:val="16"/>
          <w:color w:val="231F20"/>
          <w:spacing w:val="12"/>
          <w:position w:val="1"/>
        </w:rPr>
        <w:t>.3</w:t>
      </w:r>
      <w:r>
        <w:rPr>
          <w:rFonts w:ascii="SimHei" w:hAnsi="SimHei" w:eastAsia="SimHei" w:cs="SimHei"/>
          <w:sz w:val="16"/>
          <w:szCs w:val="16"/>
          <w:color w:val="231F20"/>
          <w:spacing w:val="6"/>
          <w:position w:val="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2"/>
          <w:position w:val="1"/>
        </w:rPr>
        <w:t>No.12</w:t>
      </w:r>
      <w:r>
        <w:rPr>
          <w:rFonts w:ascii="SimHei" w:hAnsi="SimHei" w:eastAsia="SimHei" w:cs="SimHei"/>
          <w:sz w:val="16"/>
          <w:szCs w:val="16"/>
          <w:color w:val="231F20"/>
          <w:spacing w:val="1"/>
          <w:position w:val="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2"/>
          <w:position w:val="1"/>
        </w:rPr>
        <w:t>June</w:t>
      </w:r>
      <w:r>
        <w:rPr>
          <w:rFonts w:ascii="SimHei" w:hAnsi="SimHei" w:eastAsia="SimHei" w:cs="SimHei"/>
          <w:sz w:val="16"/>
          <w:szCs w:val="16"/>
          <w:color w:val="231F20"/>
          <w:spacing w:val="2"/>
          <w:position w:val="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12"/>
          <w:position w:val="1"/>
        </w:rPr>
        <w:t>2024</w:t>
      </w:r>
      <w:r>
        <w:rPr>
          <w:rFonts w:ascii="SimHei" w:hAnsi="SimHei" w:eastAsia="SimHei" w:cs="SimHei"/>
          <w:sz w:val="16"/>
          <w:szCs w:val="16"/>
          <w:color w:val="231F20"/>
          <w:spacing w:val="67"/>
          <w:position w:val="1"/>
        </w:rPr>
        <w:t xml:space="preserve"> </w:t>
      </w:r>
      <w:r>
        <w:rPr>
          <w:shd w:val="clear" w:fill="ED8C58"/>
          <w:rFonts w:ascii="SimHei" w:hAnsi="SimHei" w:eastAsia="SimHei" w:cs="SimHei"/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hd w:val="clear" w:fill="ED8C58"/>
          <w:rFonts w:ascii="Arial" w:hAnsi="Arial" w:eastAsia="Arial" w:cs="Arial"/>
          <w:sz w:val="16"/>
          <w:szCs w:val="16"/>
          <w:color w:val="231F20"/>
          <w:spacing w:val="12"/>
          <w:position w:val="1"/>
        </w:rPr>
        <w:t>73</w:t>
      </w:r>
      <w:r>
        <w:rPr>
          <w:shd w:val="clear" w:fill="ED8C58"/>
          <w:rFonts w:ascii="Arial" w:hAnsi="Arial" w:eastAsia="Arial" w:cs="Arial"/>
          <w:sz w:val="16"/>
          <w:szCs w:val="16"/>
          <w:color w:val="231F20"/>
          <w:position w:val="1"/>
        </w:rPr>
        <w:t xml:space="preserve">   </w:t>
      </w:r>
    </w:p>
    <w:p>
      <w:pPr>
        <w:spacing w:line="225" w:lineRule="exact"/>
        <w:sectPr>
          <w:headerReference w:type="default" r:id="rId1"/>
          <w:pgSz w:w="11906" w:h="16838"/>
          <w:pgMar w:top="400" w:right="0" w:bottom="0" w:left="407" w:header="0" w:footer="0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before="77"/>
        <w:rPr/>
      </w:pPr>
      <w:r/>
    </w:p>
    <w:p>
      <w:pPr>
        <w:spacing w:before="77"/>
        <w:rPr/>
      </w:pPr>
      <w:r/>
    </w:p>
    <w:p>
      <w:pPr>
        <w:sectPr>
          <w:headerReference w:type="default" r:id="rId7"/>
          <w:footerReference w:type="default" r:id="rId8"/>
          <w:pgSz w:w="11906" w:h="16838"/>
          <w:pgMar w:top="1183" w:right="912" w:bottom="974" w:left="407" w:header="691" w:footer="748" w:gutter="0"/>
          <w:cols w:equalWidth="0" w:num="1">
            <w:col w:w="10586" w:space="0"/>
          </w:cols>
        </w:sectPr>
        <w:rPr/>
      </w:pPr>
    </w:p>
    <w:p>
      <w:pPr>
        <w:pStyle w:val="BodyText"/>
        <w:ind w:left="617"/>
        <w:spacing w:before="40" w:line="22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快速、有效地缓解小儿急性肠胃炎的症状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11"/>
          <w:szCs w:val="11"/>
          <w:color w:val="231F20"/>
          <w:spacing w:val="-4"/>
          <w:position w:val="7"/>
        </w:rPr>
        <w:t>[</w:t>
      </w:r>
      <w:r>
        <w:rPr>
          <w:sz w:val="11"/>
          <w:szCs w:val="11"/>
          <w:color w:val="231F20"/>
          <w:spacing w:val="-5"/>
          <w:position w:val="7"/>
        </w:rPr>
        <w:t>17]</w:t>
      </w:r>
      <w:r>
        <w:rPr>
          <w:sz w:val="20"/>
          <w:szCs w:val="20"/>
          <w:color w:val="231F20"/>
          <w:spacing w:val="-5"/>
        </w:rPr>
        <w:t>。</w:t>
      </w:r>
    </w:p>
    <w:p>
      <w:pPr>
        <w:pStyle w:val="BodyText"/>
        <w:ind w:left="619" w:right="327" w:firstLine="437"/>
        <w:spacing w:before="131" w:line="33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综上所述，益生菌联合阿奇霉素治疗小儿急性肠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5"/>
        </w:rPr>
        <w:t>胃炎可较好地缓解相关症状，降低不良反应的发生风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险，保障整体治疗效果，值得在临床治疗过程中推广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实施。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2552"/>
        <w:spacing w:before="62" w:line="24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-15"/>
        </w:rPr>
        <w:t>[参考文献]</w:t>
      </w:r>
    </w:p>
    <w:p>
      <w:pPr>
        <w:pStyle w:val="BodyText"/>
        <w:ind w:left="900" w:right="328" w:hanging="279"/>
        <w:spacing w:before="116" w:line="29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9"/>
        </w:rPr>
        <w:t>[1]</w:t>
      </w:r>
      <w:r>
        <w:rPr>
          <w:sz w:val="19"/>
          <w:szCs w:val="19"/>
          <w:color w:val="231F20"/>
          <w:spacing w:val="-4"/>
        </w:rPr>
        <w:t xml:space="preserve"> </w:t>
      </w:r>
      <w:r>
        <w:rPr>
          <w:sz w:val="19"/>
          <w:szCs w:val="19"/>
          <w:color w:val="231F20"/>
          <w:spacing w:val="-9"/>
        </w:rPr>
        <w:t>崔小慧，李香莹，史长松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-9"/>
        </w:rPr>
        <w:t>.</w:t>
      </w:r>
      <w:r>
        <w:rPr>
          <w:sz w:val="19"/>
          <w:szCs w:val="19"/>
          <w:color w:val="231F20"/>
          <w:spacing w:val="-41"/>
        </w:rPr>
        <w:t xml:space="preserve"> </w:t>
      </w:r>
      <w:r>
        <w:rPr>
          <w:sz w:val="19"/>
          <w:szCs w:val="19"/>
          <w:color w:val="231F20"/>
          <w:spacing w:val="-9"/>
        </w:rPr>
        <w:t>益生菌在儿童急性感染性腹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9"/>
        </w:rPr>
        <w:t>泻中的作用机制研究进展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-9"/>
        </w:rPr>
        <w:t>[J].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9"/>
        </w:rPr>
        <w:t>中国当代医药，2023，30</w:t>
      </w:r>
    </w:p>
    <w:p>
      <w:pPr>
        <w:pStyle w:val="BodyText"/>
        <w:ind w:left="792"/>
        <w:spacing w:before="108" w:line="266" w:lineRule="exact"/>
        <w:rPr>
          <w:sz w:val="19"/>
          <w:szCs w:val="19"/>
        </w:rPr>
      </w:pPr>
      <w:r>
        <w:rPr>
          <w:sz w:val="19"/>
          <w:szCs w:val="19"/>
          <w:color w:val="231F20"/>
          <w:spacing w:val="-5"/>
          <w:position w:val="1"/>
        </w:rPr>
        <w:t>（11</w:t>
      </w:r>
      <w:r>
        <w:rPr>
          <w:sz w:val="19"/>
          <w:szCs w:val="19"/>
          <w:color w:val="231F20"/>
          <w:spacing w:val="-26"/>
          <w:position w:val="1"/>
        </w:rPr>
        <w:t>）：</w:t>
      </w:r>
      <w:r>
        <w:rPr>
          <w:sz w:val="19"/>
          <w:szCs w:val="19"/>
          <w:color w:val="231F20"/>
          <w:spacing w:val="-5"/>
          <w:position w:val="1"/>
        </w:rPr>
        <w:t>47-51.</w:t>
      </w:r>
    </w:p>
    <w:p>
      <w:pPr>
        <w:pStyle w:val="BodyText"/>
        <w:ind w:left="903" w:right="221" w:hanging="282"/>
        <w:spacing w:before="93" w:line="32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8"/>
        </w:rPr>
        <w:t>[2]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8"/>
        </w:rPr>
        <w:t>周敏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8"/>
        </w:rPr>
        <w:t>.</w:t>
      </w:r>
      <w:r>
        <w:rPr>
          <w:sz w:val="19"/>
          <w:szCs w:val="19"/>
          <w:color w:val="231F20"/>
          <w:spacing w:val="-41"/>
        </w:rPr>
        <w:t xml:space="preserve"> </w:t>
      </w:r>
      <w:r>
        <w:rPr>
          <w:sz w:val="19"/>
          <w:szCs w:val="19"/>
          <w:color w:val="231F20"/>
          <w:spacing w:val="-8"/>
        </w:rPr>
        <w:t>炎琥宁与蒙脱石散、益生菌联合治疗小儿</w:t>
      </w:r>
      <w:r>
        <w:rPr>
          <w:sz w:val="19"/>
          <w:szCs w:val="19"/>
          <w:color w:val="231F20"/>
          <w:spacing w:val="-9"/>
        </w:rPr>
        <w:t>急性肠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0"/>
        </w:rPr>
        <w:t>胃炎的效果分析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10"/>
        </w:rPr>
        <w:t>[J].</w:t>
      </w:r>
      <w:r>
        <w:rPr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-10"/>
        </w:rPr>
        <w:t>现代诊断与治疗，20</w:t>
      </w:r>
      <w:r>
        <w:rPr>
          <w:sz w:val="19"/>
          <w:szCs w:val="19"/>
          <w:color w:val="231F20"/>
          <w:spacing w:val="-11"/>
        </w:rPr>
        <w:t>22，33（21</w:t>
      </w:r>
      <w:r>
        <w:rPr>
          <w:sz w:val="19"/>
          <w:szCs w:val="19"/>
          <w:color w:val="231F20"/>
          <w:spacing w:val="-16"/>
        </w:rPr>
        <w:t>）：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"/>
        </w:rPr>
        <w:t>3222-3224.</w:t>
      </w:r>
    </w:p>
    <w:p>
      <w:pPr>
        <w:pStyle w:val="BodyText"/>
        <w:ind w:left="897" w:right="328" w:hanging="276"/>
        <w:spacing w:before="86" w:line="31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[3]</w:t>
      </w:r>
      <w:r>
        <w:rPr>
          <w:sz w:val="19"/>
          <w:szCs w:val="19"/>
          <w:color w:val="231F20"/>
          <w:spacing w:val="-7"/>
        </w:rPr>
        <w:t xml:space="preserve"> </w:t>
      </w:r>
      <w:r>
        <w:rPr>
          <w:sz w:val="19"/>
          <w:szCs w:val="19"/>
          <w:color w:val="231F20"/>
          <w:spacing w:val="-2"/>
        </w:rPr>
        <w:t>谢敏华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-2"/>
        </w:rPr>
        <w:t>.</w:t>
      </w:r>
      <w:r>
        <w:rPr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  <w:spacing w:val="-2"/>
        </w:rPr>
        <w:t>蒙脱石散结合双歧杆菌乳杆菌三联活菌片治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3"/>
        </w:rPr>
        <w:t>疗小儿急性肠胃炎的临床效果观察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3"/>
        </w:rPr>
        <w:t>[J].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3"/>
        </w:rPr>
        <w:t>中国现代药物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4"/>
        </w:rPr>
        <w:t>应用，2023，17（21</w:t>
      </w:r>
      <w:r>
        <w:rPr>
          <w:sz w:val="19"/>
          <w:szCs w:val="19"/>
          <w:color w:val="231F20"/>
          <w:spacing w:val="-18"/>
        </w:rPr>
        <w:t>）：</w:t>
      </w:r>
      <w:r>
        <w:rPr>
          <w:sz w:val="19"/>
          <w:szCs w:val="19"/>
          <w:color w:val="231F20"/>
          <w:spacing w:val="-14"/>
        </w:rPr>
        <w:t>90-93.</w:t>
      </w:r>
    </w:p>
    <w:p>
      <w:pPr>
        <w:pStyle w:val="BodyText"/>
        <w:ind w:left="900" w:right="328" w:hanging="279"/>
        <w:spacing w:before="103" w:line="32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[4] 范娟，李茂军，吴青，等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-3"/>
        </w:rPr>
        <w:t>.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-3"/>
        </w:rPr>
        <w:t>门诊儿科急性胃肠炎的管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理——美国华盛顿特区国际儿童医学中心《门诊儿科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sz w:val="19"/>
          <w:szCs w:val="19"/>
          <w:color w:val="231F20"/>
          <w:spacing w:val="-3"/>
        </w:rPr>
        <w:t>急性胃肠炎治疗指南》简介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-3"/>
        </w:rPr>
        <w:t>[J].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3"/>
        </w:rPr>
        <w:t>中华实用儿科临床杂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3"/>
        </w:rPr>
        <w:t>志，2017，32（19</w:t>
      </w:r>
      <w:r>
        <w:rPr>
          <w:sz w:val="19"/>
          <w:szCs w:val="19"/>
          <w:color w:val="231F20"/>
          <w:spacing w:val="-11"/>
        </w:rPr>
        <w:t>）：</w:t>
      </w:r>
      <w:r>
        <w:rPr>
          <w:sz w:val="19"/>
          <w:szCs w:val="19"/>
          <w:color w:val="231F20"/>
          <w:spacing w:val="-13"/>
        </w:rPr>
        <w:t>1459-1462.</w:t>
      </w:r>
    </w:p>
    <w:p>
      <w:pPr>
        <w:pStyle w:val="BodyText"/>
        <w:ind w:left="899" w:right="268" w:hanging="278"/>
        <w:spacing w:before="97" w:line="31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6"/>
        </w:rPr>
        <w:t>[5] 宫晨，杨琍琦，程雁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-6"/>
        </w:rPr>
        <w:t>.</w:t>
      </w:r>
      <w:r>
        <w:rPr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  <w:spacing w:val="-6"/>
        </w:rPr>
        <w:t>益生菌对</w:t>
      </w:r>
      <w:r>
        <w:rPr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-6"/>
        </w:rPr>
        <w:t>NICU</w:t>
      </w:r>
      <w:r>
        <w:rPr>
          <w:sz w:val="19"/>
          <w:szCs w:val="19"/>
          <w:color w:val="231F20"/>
          <w:spacing w:val="-42"/>
        </w:rPr>
        <w:t xml:space="preserve"> </w:t>
      </w:r>
      <w:r>
        <w:rPr>
          <w:sz w:val="19"/>
          <w:szCs w:val="19"/>
          <w:color w:val="231F20"/>
          <w:spacing w:val="-6"/>
        </w:rPr>
        <w:t>早产儿的肠道菌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7"/>
        </w:rPr>
        <w:t>群代谢功能及临床疾病的影响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-7"/>
        </w:rPr>
        <w:t>[J].</w:t>
      </w:r>
      <w:r>
        <w:rPr>
          <w:sz w:val="19"/>
          <w:szCs w:val="19"/>
          <w:color w:val="231F20"/>
          <w:spacing w:val="-43"/>
        </w:rPr>
        <w:t xml:space="preserve"> </w:t>
      </w:r>
      <w:r>
        <w:rPr>
          <w:sz w:val="19"/>
          <w:szCs w:val="19"/>
          <w:color w:val="231F20"/>
          <w:spacing w:val="-7"/>
        </w:rPr>
        <w:t>安徽医科大学学报，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0"/>
        </w:rPr>
        <w:t>2021，56（7</w:t>
      </w:r>
      <w:r>
        <w:rPr>
          <w:sz w:val="19"/>
          <w:szCs w:val="19"/>
          <w:color w:val="231F20"/>
          <w:spacing w:val="-11"/>
        </w:rPr>
        <w:t>）：</w:t>
      </w:r>
      <w:r>
        <w:rPr>
          <w:sz w:val="19"/>
          <w:szCs w:val="19"/>
          <w:color w:val="231F20"/>
          <w:spacing w:val="-10"/>
        </w:rPr>
        <w:t>1132-1136.</w:t>
      </w:r>
    </w:p>
    <w:p>
      <w:pPr>
        <w:pStyle w:val="BodyText"/>
        <w:ind w:left="898" w:right="267" w:hanging="277"/>
        <w:spacing w:before="95" w:line="31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[6]</w:t>
      </w:r>
      <w:r>
        <w:rPr>
          <w:sz w:val="19"/>
          <w:szCs w:val="19"/>
          <w:color w:val="231F20"/>
          <w:spacing w:val="-6"/>
        </w:rPr>
        <w:t xml:space="preserve"> </w:t>
      </w:r>
      <w:r>
        <w:rPr>
          <w:sz w:val="19"/>
          <w:szCs w:val="19"/>
          <w:color w:val="231F20"/>
          <w:spacing w:val="-2"/>
        </w:rPr>
        <w:t>胡淑娟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-2"/>
        </w:rPr>
        <w:t>.</w:t>
      </w:r>
      <w:r>
        <w:rPr>
          <w:sz w:val="19"/>
          <w:szCs w:val="19"/>
          <w:color w:val="231F20"/>
          <w:spacing w:val="-41"/>
        </w:rPr>
        <w:t xml:space="preserve"> </w:t>
      </w:r>
      <w:r>
        <w:rPr>
          <w:sz w:val="19"/>
          <w:szCs w:val="19"/>
          <w:color w:val="231F20"/>
          <w:spacing w:val="-2"/>
        </w:rPr>
        <w:t>益生菌联合奥美拉唑对小儿急性肠胃炎的效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果及对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</w:rPr>
        <w:t>CD3</w:t>
      </w:r>
      <w:r>
        <w:rPr>
          <w:sz w:val="11"/>
          <w:szCs w:val="11"/>
          <w:color w:val="231F20"/>
          <w:position w:val="8"/>
        </w:rPr>
        <w:t>+</w:t>
      </w:r>
      <w:r>
        <w:rPr>
          <w:sz w:val="19"/>
          <w:szCs w:val="19"/>
          <w:color w:val="231F20"/>
        </w:rPr>
        <w:t>、CD4</w:t>
      </w:r>
      <w:r>
        <w:rPr>
          <w:sz w:val="11"/>
          <w:szCs w:val="11"/>
          <w:color w:val="231F20"/>
          <w:position w:val="8"/>
        </w:rPr>
        <w:t>+</w:t>
      </w:r>
      <w:r>
        <w:rPr>
          <w:sz w:val="19"/>
          <w:szCs w:val="19"/>
          <w:color w:val="231F20"/>
        </w:rPr>
        <w:t>、CD8</w:t>
      </w:r>
      <w:r>
        <w:rPr>
          <w:sz w:val="11"/>
          <w:szCs w:val="11"/>
          <w:color w:val="231F20"/>
          <w:position w:val="8"/>
        </w:rPr>
        <w:t>+ </w:t>
      </w:r>
      <w:r>
        <w:rPr>
          <w:sz w:val="19"/>
          <w:szCs w:val="19"/>
          <w:color w:val="231F20"/>
        </w:rPr>
        <w:t>水平的影响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</w:rPr>
        <w:t>[J].</w:t>
      </w:r>
      <w:r>
        <w:rPr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</w:rPr>
        <w:t>河北医药， </w:t>
      </w:r>
      <w:r>
        <w:rPr>
          <w:sz w:val="19"/>
          <w:szCs w:val="19"/>
          <w:color w:val="231F20"/>
          <w:spacing w:val="-13"/>
        </w:rPr>
        <w:t>2023，45（4</w:t>
      </w:r>
      <w:r>
        <w:rPr>
          <w:sz w:val="19"/>
          <w:szCs w:val="19"/>
          <w:color w:val="231F20"/>
          <w:spacing w:val="-16"/>
        </w:rPr>
        <w:t>）：</w:t>
      </w:r>
      <w:r>
        <w:rPr>
          <w:sz w:val="19"/>
          <w:szCs w:val="19"/>
          <w:color w:val="231F20"/>
          <w:spacing w:val="-13"/>
        </w:rPr>
        <w:t>555-557，561.</w:t>
      </w:r>
    </w:p>
    <w:p>
      <w:pPr>
        <w:pStyle w:val="BodyText"/>
        <w:ind w:left="898" w:right="268" w:hanging="277"/>
        <w:spacing w:before="95" w:line="31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2"/>
        </w:rPr>
        <w:t>[7]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-2"/>
        </w:rPr>
        <w:t>谢晶晶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-2"/>
        </w:rPr>
        <w:t>.</w:t>
      </w:r>
      <w:r>
        <w:rPr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-2"/>
        </w:rPr>
        <w:t>酪酸棱菌活菌片联合奥美拉唑治疗小儿急性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7"/>
        </w:rPr>
        <w:t>肠胃炎的效果及对炎性因子水平的影响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-7"/>
        </w:rPr>
        <w:t>[J].</w:t>
      </w:r>
      <w:r>
        <w:rPr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  <w:spacing w:val="-7"/>
        </w:rPr>
        <w:t>吉林医学，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9"/>
        </w:rPr>
        <w:t>2022，43（11</w:t>
      </w:r>
      <w:r>
        <w:rPr>
          <w:sz w:val="19"/>
          <w:szCs w:val="19"/>
          <w:color w:val="231F20"/>
          <w:spacing w:val="-15"/>
        </w:rPr>
        <w:t>）：</w:t>
      </w:r>
      <w:r>
        <w:rPr>
          <w:sz w:val="19"/>
          <w:szCs w:val="19"/>
          <w:color w:val="231F20"/>
          <w:spacing w:val="-9"/>
        </w:rPr>
        <w:t>3023-3025.</w:t>
      </w:r>
    </w:p>
    <w:p>
      <w:pPr>
        <w:pStyle w:val="BodyText"/>
        <w:ind w:left="621"/>
        <w:spacing w:before="94" w:line="21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5"/>
        </w:rPr>
        <w:t>[8] 罗洪霞，李波，李洪刚，等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15"/>
        </w:rPr>
        <w:t>.</w:t>
      </w:r>
      <w:r>
        <w:rPr>
          <w:sz w:val="19"/>
          <w:szCs w:val="19"/>
          <w:color w:val="231F20"/>
          <w:spacing w:val="-41"/>
        </w:rPr>
        <w:t xml:space="preserve"> </w:t>
      </w:r>
      <w:r>
        <w:rPr>
          <w:sz w:val="19"/>
          <w:szCs w:val="19"/>
          <w:color w:val="231F20"/>
          <w:spacing w:val="-15"/>
        </w:rPr>
        <w:t>双歧杆菌三联活菌肠溶胶囊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8" w:right="47"/>
        <w:spacing w:before="49" w:line="34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2"/>
        </w:rPr>
        <w:t>联合阿奇霉素序贯疗法治疗对肺炎支原体肺炎腹泻患</w:t>
      </w:r>
      <w:r>
        <w:rPr>
          <w:sz w:val="19"/>
          <w:szCs w:val="19"/>
          <w:color w:val="231F20"/>
          <w:spacing w:val="18"/>
        </w:rPr>
        <w:t xml:space="preserve"> </w:t>
      </w:r>
      <w:r>
        <w:rPr>
          <w:sz w:val="19"/>
          <w:szCs w:val="19"/>
          <w:color w:val="231F20"/>
          <w:spacing w:val="-7"/>
        </w:rPr>
        <w:t>儿胃肠炎症的调节作用</w:t>
      </w:r>
      <w:r>
        <w:rPr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-7"/>
        </w:rPr>
        <w:t>[J].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7"/>
        </w:rPr>
        <w:t>中南医学科学杂志，2023，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7"/>
        </w:rPr>
        <w:t>51（1</w:t>
      </w:r>
      <w:r>
        <w:rPr>
          <w:sz w:val="19"/>
          <w:szCs w:val="19"/>
          <w:color w:val="231F20"/>
          <w:spacing w:val="-14"/>
        </w:rPr>
        <w:t>）：</w:t>
      </w:r>
      <w:r>
        <w:rPr>
          <w:sz w:val="19"/>
          <w:szCs w:val="19"/>
          <w:color w:val="231F20"/>
          <w:spacing w:val="-7"/>
        </w:rPr>
        <w:t>139-141.</w:t>
      </w:r>
    </w:p>
    <w:p>
      <w:pPr>
        <w:pStyle w:val="BodyText"/>
        <w:ind w:left="280" w:right="107" w:hanging="280"/>
        <w:spacing w:before="3" w:line="31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8"/>
        </w:rPr>
        <w:t>[9]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8"/>
        </w:rPr>
        <w:t>邓添，张娜，刘祎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-8"/>
        </w:rPr>
        <w:t>.</w:t>
      </w:r>
      <w:r>
        <w:rPr>
          <w:sz w:val="19"/>
          <w:szCs w:val="19"/>
          <w:color w:val="231F20"/>
          <w:spacing w:val="-39"/>
        </w:rPr>
        <w:t xml:space="preserve"> </w:t>
      </w:r>
      <w:r>
        <w:rPr>
          <w:sz w:val="19"/>
          <w:szCs w:val="19"/>
          <w:color w:val="231F20"/>
          <w:spacing w:val="-8"/>
        </w:rPr>
        <w:t>赖氨葡锌颗粒联</w:t>
      </w:r>
      <w:r>
        <w:rPr>
          <w:sz w:val="19"/>
          <w:szCs w:val="19"/>
          <w:color w:val="231F20"/>
          <w:spacing w:val="-9"/>
        </w:rPr>
        <w:t>合双歧杆菌四联活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1"/>
        </w:rPr>
        <w:t>菌治疗小儿急性腹泻的疗效及对患者胃肠激素的影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7"/>
        </w:rPr>
        <w:t>响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-17"/>
        </w:rPr>
        <w:t>[J].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-17"/>
        </w:rPr>
        <w:t>当代医学，2022，28（22</w:t>
      </w:r>
      <w:r>
        <w:rPr>
          <w:sz w:val="19"/>
          <w:szCs w:val="19"/>
          <w:color w:val="231F20"/>
          <w:spacing w:val="-20"/>
        </w:rPr>
        <w:t>）：</w:t>
      </w:r>
      <w:r>
        <w:rPr>
          <w:sz w:val="19"/>
          <w:szCs w:val="19"/>
          <w:color w:val="231F20"/>
          <w:spacing w:val="-18"/>
        </w:rPr>
        <w:t>90-93.</w:t>
      </w:r>
    </w:p>
    <w:p>
      <w:pPr>
        <w:pStyle w:val="BodyText"/>
        <w:ind w:left="335" w:right="47" w:hanging="335"/>
        <w:spacing w:before="106" w:line="320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2"/>
        </w:rPr>
        <w:t>[10] 赵昌会，陈华海，胡云霏，等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-12"/>
        </w:rPr>
        <w:t>.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-12"/>
        </w:rPr>
        <w:t>阿奇霉素</w:t>
      </w:r>
      <w:r>
        <w:rPr>
          <w:sz w:val="19"/>
          <w:szCs w:val="19"/>
          <w:color w:val="231F20"/>
          <w:spacing w:val="-13"/>
        </w:rPr>
        <w:t>与人体肠道菌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9"/>
        </w:rPr>
        <w:t>群体外相互作用的初步研究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9"/>
        </w:rPr>
        <w:t>[J].</w:t>
      </w:r>
      <w:r>
        <w:rPr>
          <w:sz w:val="19"/>
          <w:szCs w:val="19"/>
          <w:color w:val="231F20"/>
          <w:spacing w:val="-41"/>
        </w:rPr>
        <w:t xml:space="preserve"> </w:t>
      </w:r>
      <w:r>
        <w:rPr>
          <w:sz w:val="19"/>
          <w:szCs w:val="19"/>
          <w:color w:val="231F20"/>
          <w:spacing w:val="-9"/>
        </w:rPr>
        <w:t>生态毒理学报，2023，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18（4</w:t>
      </w:r>
      <w:r>
        <w:rPr>
          <w:sz w:val="19"/>
          <w:szCs w:val="19"/>
          <w:color w:val="231F20"/>
          <w:spacing w:val="-26"/>
        </w:rPr>
        <w:t>）：</w:t>
      </w:r>
      <w:r>
        <w:rPr>
          <w:sz w:val="19"/>
          <w:szCs w:val="19"/>
          <w:color w:val="231F20"/>
          <w:spacing w:val="-5"/>
        </w:rPr>
        <w:t>439-449.</w:t>
      </w:r>
    </w:p>
    <w:p>
      <w:pPr>
        <w:pStyle w:val="BodyText"/>
        <w:ind w:left="335" w:right="109" w:hanging="336"/>
        <w:spacing w:before="92" w:line="298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5"/>
        </w:rPr>
        <w:t>[11]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5"/>
        </w:rPr>
        <w:t>杜鹃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-5"/>
        </w:rPr>
        <w:t>.</w:t>
      </w:r>
      <w:r>
        <w:rPr>
          <w:sz w:val="19"/>
          <w:szCs w:val="19"/>
          <w:color w:val="231F20"/>
          <w:spacing w:val="-43"/>
        </w:rPr>
        <w:t xml:space="preserve"> </w:t>
      </w:r>
      <w:r>
        <w:rPr>
          <w:sz w:val="19"/>
          <w:szCs w:val="19"/>
          <w:color w:val="231F20"/>
          <w:spacing w:val="-5"/>
        </w:rPr>
        <w:t>益生菌联合阿奇霉素治疗小儿急性肠胃炎的临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6"/>
        </w:rPr>
        <w:t>床效果</w:t>
      </w:r>
      <w:r>
        <w:rPr>
          <w:sz w:val="19"/>
          <w:szCs w:val="19"/>
          <w:color w:val="231F20"/>
          <w:spacing w:val="-38"/>
        </w:rPr>
        <w:t xml:space="preserve"> </w:t>
      </w:r>
      <w:r>
        <w:rPr>
          <w:sz w:val="19"/>
          <w:szCs w:val="19"/>
          <w:color w:val="231F20"/>
          <w:spacing w:val="-16"/>
        </w:rPr>
        <w:t>[J].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16"/>
        </w:rPr>
        <w:t>中国医药指南，2021，19（4</w:t>
      </w:r>
      <w:r>
        <w:rPr>
          <w:sz w:val="19"/>
          <w:szCs w:val="19"/>
          <w:color w:val="231F20"/>
          <w:spacing w:val="-14"/>
        </w:rPr>
        <w:t>）：</w:t>
      </w:r>
      <w:r>
        <w:rPr>
          <w:sz w:val="19"/>
          <w:szCs w:val="19"/>
          <w:color w:val="231F20"/>
          <w:spacing w:val="-16"/>
        </w:rPr>
        <w:t>55-57.</w:t>
      </w:r>
    </w:p>
    <w:p>
      <w:pPr>
        <w:pStyle w:val="BodyText"/>
        <w:ind w:left="335" w:right="107" w:hanging="335"/>
        <w:spacing w:before="109" w:line="31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1"/>
        </w:rPr>
        <w:t>[12]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11"/>
        </w:rPr>
        <w:t>李明，苏维，马士恒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11"/>
        </w:rPr>
        <w:t>.</w:t>
      </w:r>
      <w:r>
        <w:rPr>
          <w:sz w:val="19"/>
          <w:szCs w:val="19"/>
          <w:color w:val="231F20"/>
          <w:spacing w:val="-43"/>
        </w:rPr>
        <w:t xml:space="preserve"> </w:t>
      </w:r>
      <w:r>
        <w:rPr>
          <w:sz w:val="19"/>
          <w:szCs w:val="19"/>
          <w:color w:val="231F20"/>
          <w:spacing w:val="-11"/>
        </w:rPr>
        <w:t>基于肠道免疫理论分析双歧</w:t>
      </w:r>
      <w:r>
        <w:rPr>
          <w:sz w:val="19"/>
          <w:szCs w:val="19"/>
          <w:color w:val="231F20"/>
          <w:spacing w:val="-12"/>
        </w:rPr>
        <w:t>杆菌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辅助治疗肺部感染所致脓毒症的应用价值</w:t>
      </w:r>
      <w:r>
        <w:rPr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-4"/>
        </w:rPr>
        <w:t>[J</w:t>
      </w:r>
      <w:r>
        <w:rPr>
          <w:sz w:val="19"/>
          <w:szCs w:val="19"/>
          <w:color w:val="231F20"/>
          <w:spacing w:val="-5"/>
        </w:rPr>
        <w:t>].</w:t>
      </w:r>
      <w:r>
        <w:rPr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  <w:spacing w:val="-5"/>
        </w:rPr>
        <w:t>实用医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1"/>
        </w:rPr>
        <w:t>学杂志，2023，39（18</w:t>
      </w:r>
      <w:r>
        <w:rPr>
          <w:sz w:val="19"/>
          <w:szCs w:val="19"/>
          <w:color w:val="231F20"/>
          <w:spacing w:val="-20"/>
        </w:rPr>
        <w:t>）：</w:t>
      </w:r>
      <w:r>
        <w:rPr>
          <w:sz w:val="19"/>
          <w:szCs w:val="19"/>
          <w:color w:val="231F20"/>
          <w:spacing w:val="-11"/>
        </w:rPr>
        <w:t>2384-238</w:t>
      </w:r>
      <w:r>
        <w:rPr>
          <w:sz w:val="19"/>
          <w:szCs w:val="19"/>
          <w:color w:val="231F20"/>
          <w:spacing w:val="-12"/>
        </w:rPr>
        <w:t>8.</w:t>
      </w:r>
    </w:p>
    <w:p>
      <w:pPr>
        <w:pStyle w:val="BodyText"/>
        <w:ind w:left="334" w:right="108" w:hanging="334"/>
        <w:spacing w:before="105" w:line="316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2"/>
        </w:rPr>
        <w:t>[13]</w:t>
      </w:r>
      <w:r>
        <w:rPr>
          <w:sz w:val="19"/>
          <w:szCs w:val="19"/>
          <w:color w:val="231F20"/>
          <w:spacing w:val="-5"/>
        </w:rPr>
        <w:t xml:space="preserve"> </w:t>
      </w:r>
      <w:r>
        <w:rPr>
          <w:sz w:val="19"/>
          <w:szCs w:val="19"/>
          <w:color w:val="231F20"/>
          <w:spacing w:val="-12"/>
        </w:rPr>
        <w:t>顾新红，王亚民，蔡海建，等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-12"/>
        </w:rPr>
        <w:t>.</w:t>
      </w:r>
      <w:r>
        <w:rPr>
          <w:sz w:val="19"/>
          <w:szCs w:val="19"/>
          <w:color w:val="231F20"/>
          <w:spacing w:val="-42"/>
        </w:rPr>
        <w:t xml:space="preserve"> </w:t>
      </w:r>
      <w:r>
        <w:rPr>
          <w:sz w:val="19"/>
          <w:szCs w:val="19"/>
          <w:color w:val="231F20"/>
          <w:spacing w:val="-12"/>
        </w:rPr>
        <w:t>早期肠内营养和益生菌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对急性胰腺炎肠黏膜屏障功能和免疫功能的影响</w:t>
      </w:r>
      <w:r>
        <w:rPr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-2"/>
        </w:rPr>
        <w:t>[J</w:t>
      </w:r>
      <w:r>
        <w:rPr>
          <w:sz w:val="19"/>
          <w:szCs w:val="19"/>
          <w:color w:val="231F20"/>
          <w:spacing w:val="-3"/>
        </w:rPr>
        <w:t>].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1"/>
        </w:rPr>
        <w:t>安徽医药，2022，26（10</w:t>
      </w:r>
      <w:r>
        <w:rPr>
          <w:sz w:val="19"/>
          <w:szCs w:val="19"/>
          <w:color w:val="231F20"/>
          <w:spacing w:val="-12"/>
        </w:rPr>
        <w:t>）：</w:t>
      </w:r>
      <w:r>
        <w:rPr>
          <w:sz w:val="19"/>
          <w:szCs w:val="19"/>
          <w:color w:val="231F20"/>
          <w:spacing w:val="-11"/>
        </w:rPr>
        <w:t>1977</w:t>
      </w:r>
      <w:r>
        <w:rPr>
          <w:sz w:val="19"/>
          <w:szCs w:val="19"/>
          <w:color w:val="231F20"/>
          <w:spacing w:val="-12"/>
        </w:rPr>
        <w:t>-1980.</w:t>
      </w:r>
    </w:p>
    <w:p>
      <w:pPr>
        <w:pStyle w:val="BodyText"/>
        <w:ind w:left="334" w:right="106" w:hanging="334"/>
        <w:spacing w:before="105" w:line="31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2"/>
        </w:rPr>
        <w:t>[14]</w:t>
      </w:r>
      <w:r>
        <w:rPr>
          <w:sz w:val="19"/>
          <w:szCs w:val="19"/>
          <w:color w:val="231F20"/>
          <w:spacing w:val="-13"/>
        </w:rPr>
        <w:t xml:space="preserve"> </w:t>
      </w:r>
      <w:r>
        <w:rPr>
          <w:sz w:val="19"/>
          <w:szCs w:val="19"/>
          <w:color w:val="231F20"/>
          <w:spacing w:val="-12"/>
        </w:rPr>
        <w:t>赵旭，曾朝涛，张译文，等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-12"/>
        </w:rPr>
        <w:t>.</w:t>
      </w:r>
      <w:r>
        <w:rPr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-12"/>
        </w:rPr>
        <w:t>益生菌作为添加治疗急性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肠胃炎的疗效和降低急性肠胃炎腹泻时间的研究分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-13"/>
        </w:rPr>
        <w:t>析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-13"/>
        </w:rPr>
        <w:t>[J]. 中国临床药理学杂志，2021，3</w:t>
      </w:r>
      <w:r>
        <w:rPr>
          <w:sz w:val="19"/>
          <w:szCs w:val="19"/>
          <w:color w:val="231F20"/>
          <w:spacing w:val="-14"/>
        </w:rPr>
        <w:t>7（2</w:t>
      </w:r>
      <w:r>
        <w:rPr>
          <w:sz w:val="19"/>
          <w:szCs w:val="19"/>
          <w:color w:val="231F20"/>
          <w:spacing w:val="-7"/>
        </w:rPr>
        <w:t>）：</w:t>
      </w:r>
      <w:r>
        <w:rPr>
          <w:sz w:val="19"/>
          <w:szCs w:val="19"/>
          <w:color w:val="231F20"/>
          <w:spacing w:val="-14"/>
        </w:rPr>
        <w:t>172-174.</w:t>
      </w:r>
    </w:p>
    <w:p>
      <w:pPr>
        <w:pStyle w:val="BodyText"/>
        <w:ind w:left="335" w:right="108" w:hanging="336"/>
        <w:spacing w:before="108" w:line="31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5"/>
        </w:rPr>
        <w:t>[15]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5"/>
        </w:rPr>
        <w:t>周长波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5"/>
        </w:rPr>
        <w:t>.</w:t>
      </w:r>
      <w:r>
        <w:rPr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  <w:spacing w:val="-5"/>
        </w:rPr>
        <w:t>双歧杆菌四联活菌片联合锌制剂治疗小儿腹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9"/>
        </w:rPr>
        <w:t>泻的临床效果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-9"/>
        </w:rPr>
        <w:t>[J].</w:t>
      </w:r>
      <w:r>
        <w:rPr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-9"/>
        </w:rPr>
        <w:t>实用临床医学，2020，21（1</w:t>
      </w:r>
      <w:r>
        <w:rPr>
          <w:sz w:val="19"/>
          <w:szCs w:val="19"/>
          <w:color w:val="231F20"/>
          <w:spacing w:val="-21"/>
        </w:rPr>
        <w:t>）：</w:t>
      </w:r>
      <w:r>
        <w:rPr>
          <w:sz w:val="19"/>
          <w:szCs w:val="19"/>
          <w:color w:val="231F20"/>
          <w:spacing w:val="-9"/>
        </w:rPr>
        <w:t>6</w:t>
      </w:r>
      <w:r>
        <w:rPr>
          <w:sz w:val="19"/>
          <w:szCs w:val="19"/>
          <w:color w:val="231F20"/>
          <w:spacing w:val="-10"/>
        </w:rPr>
        <w:t>2-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6"/>
        </w:rPr>
        <w:t>63，69.</w:t>
      </w:r>
    </w:p>
    <w:p>
      <w:pPr>
        <w:pStyle w:val="BodyText"/>
        <w:ind w:left="334" w:hanging="334"/>
        <w:spacing w:before="94" w:line="32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5"/>
        </w:rPr>
        <w:t>[16]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5"/>
        </w:rPr>
        <w:t>马晔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5"/>
        </w:rPr>
        <w:t>.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-5"/>
        </w:rPr>
        <w:t>阿奇霉素联合益生菌治疗小儿</w:t>
      </w:r>
      <w:r>
        <w:rPr>
          <w:sz w:val="19"/>
          <w:szCs w:val="19"/>
          <w:color w:val="231F20"/>
          <w:spacing w:val="-6"/>
        </w:rPr>
        <w:t>支原体肺炎合并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3"/>
        </w:rPr>
        <w:t>腹泻的临床疗效</w:t>
      </w:r>
      <w:r>
        <w:rPr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-13"/>
        </w:rPr>
        <w:t>[J].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13"/>
        </w:rPr>
        <w:t>中国现代药物应用，2021，1</w:t>
      </w:r>
      <w:r>
        <w:rPr>
          <w:sz w:val="19"/>
          <w:szCs w:val="19"/>
          <w:color w:val="231F20"/>
          <w:spacing w:val="-14"/>
        </w:rPr>
        <w:t>5（9</w:t>
      </w:r>
      <w:r>
        <w:rPr>
          <w:sz w:val="19"/>
          <w:szCs w:val="19"/>
          <w:color w:val="231F20"/>
          <w:spacing w:val="-50"/>
          <w:w w:val="98"/>
        </w:rPr>
        <w:t>）：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167-169.</w:t>
      </w:r>
    </w:p>
    <w:p>
      <w:pPr>
        <w:pStyle w:val="BodyText"/>
        <w:ind w:left="227" w:right="107" w:hanging="228"/>
        <w:spacing w:before="88" w:line="315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6"/>
        </w:rPr>
        <w:t>[17] 陆海迪，梅士兰，张志巧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6"/>
        </w:rPr>
        <w:t>.</w:t>
      </w:r>
      <w:r>
        <w:rPr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  <w:spacing w:val="-6"/>
        </w:rPr>
        <w:t>小儿肠胃康颗粒联合蒙脱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5"/>
        </w:rPr>
        <w:t>石散、益生菌治疗轮状病毒感染性腹泻患儿的临床疗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7"/>
        </w:rPr>
        <w:t>效及对炎症指标的影响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7"/>
        </w:rPr>
        <w:t>[J].</w:t>
      </w:r>
      <w:r>
        <w:rPr>
          <w:sz w:val="19"/>
          <w:szCs w:val="19"/>
          <w:color w:val="231F20"/>
          <w:spacing w:val="-42"/>
        </w:rPr>
        <w:t xml:space="preserve"> </w:t>
      </w:r>
      <w:r>
        <w:rPr>
          <w:sz w:val="19"/>
          <w:szCs w:val="19"/>
          <w:color w:val="231F20"/>
          <w:spacing w:val="-7"/>
        </w:rPr>
        <w:t>川北医学院学报，2023，38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（11</w:t>
      </w:r>
      <w:r>
        <w:rPr>
          <w:sz w:val="19"/>
          <w:szCs w:val="19"/>
          <w:color w:val="231F20"/>
          <w:spacing w:val="-18"/>
        </w:rPr>
        <w:t>）：</w:t>
      </w:r>
      <w:r>
        <w:rPr>
          <w:sz w:val="19"/>
          <w:szCs w:val="19"/>
          <w:color w:val="231F20"/>
          <w:spacing w:val="-5"/>
        </w:rPr>
        <w:t>1555-1558.</w:t>
      </w:r>
    </w:p>
    <w:sectPr>
      <w:type w:val="continuous"/>
      <w:pgSz w:w="11906" w:h="16838"/>
      <w:pgMar w:top="1183" w:right="912" w:bottom="974" w:left="407" w:header="691" w:footer="748" w:gutter="0"/>
      <w:cols w:equalWidth="0" w:num="2">
        <w:col w:w="5664" w:space="100"/>
        <w:col w:w="482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2"/>
      <w:spacing w:line="215" w:lineRule="exact"/>
      <w:tabs>
        <w:tab w:val="left" w:pos="725"/>
      </w:tabs>
      <w:rPr>
        <w:rFonts w:ascii="SimHei" w:hAnsi="SimHei" w:eastAsia="SimHei" w:cs="SimHei"/>
        <w:sz w:val="16"/>
        <w:szCs w:val="16"/>
      </w:rPr>
    </w:pPr>
    <w:r>
      <w:rPr>
        <w:shd w:val="clear" w:fill="ED8C58"/>
        <w:rFonts w:ascii="Arial" w:hAnsi="Arial" w:eastAsia="Arial" w:cs="Arial"/>
        <w:sz w:val="16"/>
        <w:szCs w:val="16"/>
        <w:color w:val="231F20"/>
        <w:position w:val="1"/>
      </w:rPr>
      <w:tab/>
    </w:r>
    <w:r>
      <w:rPr>
        <w:shd w:val="clear" w:fill="ED8C58"/>
        <w:rFonts w:ascii="Arial" w:hAnsi="Arial" w:eastAsia="Arial" w:cs="Arial"/>
        <w:sz w:val="16"/>
        <w:szCs w:val="16"/>
        <w:color w:val="231F20"/>
        <w:spacing w:val="12"/>
        <w:position w:val="1"/>
      </w:rPr>
      <w:t>74  </w:t>
    </w:r>
    <w:r>
      <w:rPr>
        <w:rFonts w:ascii="Arial" w:hAnsi="Arial" w:eastAsia="Arial" w:cs="Arial"/>
        <w:sz w:val="16"/>
        <w:szCs w:val="16"/>
        <w:color w:val="231F20"/>
        <w:spacing w:val="12"/>
        <w:position w:val="1"/>
      </w:rPr>
      <w:t xml:space="preserve">   </w:t>
    </w:r>
    <w:r>
      <w:rPr>
        <w:rFonts w:ascii="SimHei" w:hAnsi="SimHei" w:eastAsia="SimHei" w:cs="SimHei"/>
        <w:sz w:val="16"/>
        <w:szCs w:val="16"/>
        <w:color w:val="E96F2E"/>
        <w:spacing w:val="12"/>
        <w:position w:val="1"/>
      </w:rPr>
      <w:t>FUER</w:t>
    </w:r>
    <w:r>
      <w:rPr>
        <w:rFonts w:ascii="SimHei" w:hAnsi="SimHei" w:eastAsia="SimHei" w:cs="SimHei"/>
        <w:sz w:val="16"/>
        <w:szCs w:val="16"/>
        <w:color w:val="E96F2E"/>
        <w:spacing w:val="-33"/>
        <w:position w:val="1"/>
      </w:rPr>
      <w:t xml:space="preserve"> </w:t>
    </w:r>
    <w:r>
      <w:rPr>
        <w:rFonts w:ascii="SimHei" w:hAnsi="SimHei" w:eastAsia="SimHei" w:cs="SimHei"/>
        <w:sz w:val="16"/>
        <w:szCs w:val="16"/>
        <w:color w:val="E96F2E"/>
        <w:spacing w:val="12"/>
        <w:position w:val="1"/>
      </w:rPr>
      <w:t>JIANKANG</w:t>
    </w:r>
    <w:r>
      <w:rPr>
        <w:rFonts w:ascii="SimHei" w:hAnsi="SimHei" w:eastAsia="SimHei" w:cs="SimHei"/>
        <w:sz w:val="16"/>
        <w:szCs w:val="16"/>
        <w:color w:val="E96F2E"/>
        <w:spacing w:val="-23"/>
        <w:position w:val="1"/>
      </w:rPr>
      <w:t xml:space="preserve"> </w:t>
    </w:r>
    <w:r>
      <w:rPr>
        <w:rFonts w:ascii="SimHei" w:hAnsi="SimHei" w:eastAsia="SimHei" w:cs="SimHei"/>
        <w:sz w:val="16"/>
        <w:szCs w:val="16"/>
        <w:color w:val="E96F2E"/>
        <w:spacing w:val="12"/>
        <w:position w:val="1"/>
      </w:rPr>
      <w:t>DAOKAN</w:t>
    </w:r>
    <w:r>
      <w:rPr>
        <w:rFonts w:ascii="SimHei" w:hAnsi="SimHei" w:eastAsia="SimHei" w:cs="SimHei"/>
        <w:sz w:val="16"/>
        <w:szCs w:val="16"/>
        <w:color w:val="E96F2E"/>
        <w:spacing w:val="12"/>
        <w:position w:val="1"/>
      </w:rPr>
      <w:t xml:space="preserve">  </w:t>
    </w:r>
    <w:r>
      <w:rPr>
        <w:rFonts w:ascii="SimHei" w:hAnsi="SimHei" w:eastAsia="SimHei" w:cs="SimHei"/>
        <w:sz w:val="16"/>
        <w:szCs w:val="16"/>
        <w:color w:val="231F20"/>
        <w:spacing w:val="11"/>
        <w:position w:val="1"/>
      </w:rPr>
      <w:t>Vol.3</w:t>
    </w:r>
    <w:r>
      <w:rPr>
        <w:rFonts w:ascii="SimHei" w:hAnsi="SimHei" w:eastAsia="SimHei" w:cs="SimHei"/>
        <w:sz w:val="16"/>
        <w:szCs w:val="16"/>
        <w:color w:val="231F20"/>
        <w:spacing w:val="6"/>
        <w:position w:val="1"/>
      </w:rPr>
      <w:t xml:space="preserve">  </w:t>
    </w:r>
    <w:r>
      <w:rPr>
        <w:rFonts w:ascii="SimHei" w:hAnsi="SimHei" w:eastAsia="SimHei" w:cs="SimHei"/>
        <w:sz w:val="16"/>
        <w:szCs w:val="16"/>
        <w:color w:val="231F20"/>
        <w:spacing w:val="11"/>
        <w:position w:val="1"/>
      </w:rPr>
      <w:t>No.12</w:t>
    </w:r>
    <w:r>
      <w:rPr>
        <w:rFonts w:ascii="SimHei" w:hAnsi="SimHei" w:eastAsia="SimHei" w:cs="SimHei"/>
        <w:sz w:val="16"/>
        <w:szCs w:val="16"/>
        <w:color w:val="231F20"/>
        <w:spacing w:val="1"/>
        <w:position w:val="1"/>
      </w:rPr>
      <w:t xml:space="preserve">  </w:t>
    </w:r>
    <w:r>
      <w:rPr>
        <w:rFonts w:ascii="SimHei" w:hAnsi="SimHei" w:eastAsia="SimHei" w:cs="SimHei"/>
        <w:sz w:val="16"/>
        <w:szCs w:val="16"/>
        <w:color w:val="231F20"/>
        <w:spacing w:val="11"/>
        <w:position w:val="1"/>
      </w:rPr>
      <w:t>June</w:t>
    </w:r>
    <w:r>
      <w:rPr>
        <w:rFonts w:ascii="SimHei" w:hAnsi="SimHei" w:eastAsia="SimHei" w:cs="SimHei"/>
        <w:sz w:val="16"/>
        <w:szCs w:val="16"/>
        <w:color w:val="231F20"/>
        <w:spacing w:val="2"/>
        <w:position w:val="1"/>
      </w:rPr>
      <w:t xml:space="preserve">  </w:t>
    </w:r>
    <w:r>
      <w:rPr>
        <w:rFonts w:ascii="SimHei" w:hAnsi="SimHei" w:eastAsia="SimHei" w:cs="SimHei"/>
        <w:sz w:val="16"/>
        <w:szCs w:val="16"/>
        <w:color w:val="231F20"/>
        <w:spacing w:val="11"/>
        <w:position w:val="1"/>
      </w:rPr>
      <w:t>2024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2"/>
      <w:spacing w:before="66"/>
      <w:rPr>
        <w:sz w:val="17"/>
        <w:szCs w:val="17"/>
      </w:rPr>
    </w:pPr>
    <w:r>
      <w:pict>
        <v:shape id="WordPictureWatermark34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Hei" w:hAnsi="SimHei" w:eastAsia="SimHei" w:cs="SimHei"/>
        <w:sz w:val="32"/>
        <w:szCs w:val="32"/>
        <w:color w:val="231F20"/>
        <w:spacing w:val="-44"/>
        <w:position w:val="-2"/>
      </w:rPr>
      <w:t>·</w:t>
    </w:r>
    <w:r>
      <w:rPr>
        <w:rFonts w:ascii="SimHei" w:hAnsi="SimHei" w:eastAsia="SimHei" w:cs="SimHei"/>
        <w:sz w:val="32"/>
        <w:szCs w:val="32"/>
        <w:color w:val="41A467"/>
        <w:spacing w:val="-44"/>
        <w:position w:val="-2"/>
      </w:rPr>
      <w:t>药物研究</w:t>
    </w:r>
    <w:r>
      <w:rPr>
        <w:rFonts w:ascii="SimHei" w:hAnsi="SimHei" w:eastAsia="SimHei" w:cs="SimHei"/>
        <w:sz w:val="32"/>
        <w:szCs w:val="32"/>
        <w:color w:val="41A467"/>
        <w:spacing w:val="-18"/>
        <w:position w:val="-2"/>
      </w:rPr>
      <w:t xml:space="preserve"> </w:t>
    </w:r>
    <w:r>
      <w:rPr>
        <w:rFonts w:ascii="SimHei" w:hAnsi="SimHei" w:eastAsia="SimHei" w:cs="SimHei"/>
        <w:sz w:val="32"/>
        <w:szCs w:val="32"/>
        <w:color w:val="231F20"/>
        <w:spacing w:val="-44"/>
        <w:position w:val="-2"/>
      </w:rPr>
      <w:t>·</w:t>
    </w:r>
    <w:r>
      <w:rPr>
        <w:rFonts w:ascii="SimHei" w:hAnsi="SimHei" w:eastAsia="SimHei" w:cs="SimHei"/>
        <w:sz w:val="32"/>
        <w:szCs w:val="32"/>
        <w:color w:val="231F20"/>
        <w:spacing w:val="8"/>
        <w:position w:val="-2"/>
      </w:rPr>
      <w:t xml:space="preserve">   </w:t>
    </w:r>
    <w:r>
      <w:rPr>
        <w:rFonts w:ascii="SimHei" w:hAnsi="SimHei" w:eastAsia="SimHei" w:cs="SimHei"/>
        <w:sz w:val="32"/>
        <w:szCs w:val="32"/>
        <w:strike/>
        <w:color w:val="231F20"/>
        <w:spacing w:val="4"/>
        <w:position w:val="-2"/>
      </w:rPr>
      <w:t xml:space="preserve">                       </w:t>
    </w:r>
    <w:r>
      <w:rPr>
        <w:rFonts w:ascii="SimHei" w:hAnsi="SimHei" w:eastAsia="SimHei" w:cs="SimHei"/>
        <w:sz w:val="32"/>
        <w:szCs w:val="32"/>
        <w:color w:val="231F20"/>
        <w:spacing w:val="-20"/>
        <w:position w:val="-2"/>
      </w:rPr>
      <w:t xml:space="preserve"> </w:t>
    </w:r>
    <w:r>
      <w:rPr>
        <w:rFonts w:ascii="Microsoft YaHei" w:hAnsi="Microsoft YaHei" w:eastAsia="Microsoft YaHei" w:cs="Microsoft YaHei"/>
        <w:sz w:val="19"/>
        <w:szCs w:val="19"/>
        <w:color w:val="E96F2E"/>
        <w:spacing w:val="10"/>
        <w:position w:val="2"/>
      </w:rPr>
      <w:t>妇</w:t>
    </w:r>
    <w:r>
      <w:rPr>
        <w:sz w:val="19"/>
        <w:szCs w:val="19"/>
        <w:position w:val="1"/>
      </w:rPr>
      <w:drawing>
        <wp:inline distT="0" distB="0" distL="0" distR="0">
          <wp:extent cx="123683" cy="112623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3683" cy="1126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9"/>
        <w:szCs w:val="19"/>
        <w:color w:val="E96F2E"/>
        <w:spacing w:val="10"/>
        <w:position w:val="2"/>
      </w:rPr>
      <w:t>健康</w:t>
    </w:r>
    <w:r>
      <w:rPr>
        <w:sz w:val="19"/>
        <w:szCs w:val="19"/>
        <w:position w:val="1"/>
      </w:rPr>
      <w:drawing>
        <wp:inline distT="0" distB="0" distL="0" distR="0">
          <wp:extent cx="121505" cy="111531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21505" cy="1115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icrosoft YaHei" w:hAnsi="Microsoft YaHei" w:eastAsia="Microsoft YaHei" w:cs="Microsoft YaHei"/>
        <w:sz w:val="19"/>
        <w:szCs w:val="19"/>
        <w:color w:val="E96F2E"/>
        <w:spacing w:val="10"/>
        <w:position w:val="2"/>
      </w:rPr>
      <w:t>刊</w:t>
    </w:r>
    <w:r>
      <w:rPr>
        <w:rFonts w:ascii="Microsoft YaHei" w:hAnsi="Microsoft YaHei" w:eastAsia="Microsoft YaHei" w:cs="Microsoft YaHei"/>
        <w:sz w:val="19"/>
        <w:szCs w:val="19"/>
        <w:color w:val="E96F2E"/>
        <w:spacing w:val="2"/>
        <w:position w:val="2"/>
      </w:rPr>
      <w:t xml:space="preserve">       </w:t>
    </w:r>
    <w:r>
      <w:rPr>
        <w:sz w:val="17"/>
        <w:szCs w:val="17"/>
        <w:color w:val="231F20"/>
        <w:spacing w:val="10"/>
        <w:position w:val="2"/>
      </w:rPr>
      <w:t>2024年6月 第3卷 第12期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2024-07-05T21:24:59Z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2025-10-28T21:31:28</vt:filetime>
  </property>
</Properties>
</file>