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556" w:right="5301" w:firstLine="31"/>
        <w:spacing w:before="95" w:line="208" w:lineRule="auto"/>
        <w:rPr>
          <w:sz w:val="16"/>
          <w:szCs w:val="16"/>
        </w:rPr>
      </w:pPr>
      <w:r>
        <w:rPr>
          <w:sz w:val="22"/>
          <w:szCs w:val="22"/>
          <w:color w:val="231F20"/>
          <w:spacing w:val="2"/>
        </w:rPr>
        <w:t>山西卫生健康职业学院学报</w:t>
      </w:r>
      <w:r>
        <w:rPr>
          <w:sz w:val="22"/>
          <w:szCs w:val="22"/>
          <w:color w:val="231F20"/>
          <w:spacing w:val="5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2023 年  第 33</w:t>
      </w:r>
      <w:r>
        <w:rPr>
          <w:sz w:val="16"/>
          <w:szCs w:val="16"/>
          <w:color w:val="231F20"/>
          <w:spacing w:val="1"/>
        </w:rPr>
        <w:t xml:space="preserve"> 卷  第 6 期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Journal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Shanxi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Health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Vocational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College   Vol.33   No.6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-11"/>
        </w:rPr>
        <w:t>2023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569"/>
        <w:spacing w:before="176" w:line="190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16"/>
        </w:rPr>
        <w:t>耳穴压豆配合中药热庵包在急性肠胃炎护理中的应用价值</w:t>
      </w:r>
    </w:p>
    <w:p>
      <w:pPr>
        <w:pStyle w:val="BodyText"/>
        <w:ind w:left="564"/>
        <w:spacing w:before="289" w:line="19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谢芳芳</w:t>
      </w:r>
    </w:p>
    <w:p>
      <w:pPr>
        <w:pStyle w:val="BodyText"/>
        <w:ind w:left="486"/>
        <w:spacing w:before="48" w:line="196" w:lineRule="auto"/>
        <w:rPr/>
      </w:pPr>
      <w:r>
        <w:rPr>
          <w:color w:val="231F20"/>
          <w:spacing w:val="-4"/>
        </w:rPr>
        <w:t>（沙县区中医医院，福建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4"/>
        </w:rPr>
        <w:t>三明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4"/>
        </w:rPr>
        <w:t>365500）</w:t>
      </w:r>
    </w:p>
    <w:p>
      <w:pPr>
        <w:pStyle w:val="BodyText"/>
        <w:ind w:left="565" w:right="57" w:hanging="61"/>
        <w:spacing w:before="122" w:line="22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［摘    要］   </w:t>
      </w:r>
      <w:r>
        <w:rPr>
          <w:color w:val="231F20"/>
          <w:spacing w:val="8"/>
        </w:rPr>
        <w:t>目的：</w:t>
      </w:r>
      <w:r>
        <w:rPr>
          <w:sz w:val="16"/>
          <w:szCs w:val="16"/>
          <w:color w:val="231F20"/>
          <w:spacing w:val="8"/>
        </w:rPr>
        <w:t>探讨分析耳穴压豆配合中药热庵包在急性肠胃炎护理中的应用价值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8"/>
        </w:rPr>
        <w:t>。</w:t>
      </w:r>
      <w:r>
        <w:rPr>
          <w:color w:val="231F20"/>
          <w:spacing w:val="8"/>
        </w:rPr>
        <w:t>方法：</w:t>
      </w:r>
      <w:r>
        <w:rPr>
          <w:sz w:val="16"/>
          <w:szCs w:val="16"/>
          <w:color w:val="231F20"/>
          <w:spacing w:val="8"/>
        </w:rPr>
        <w:t>选取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color w:val="231F20"/>
          <w:spacing w:val="8"/>
        </w:rPr>
        <w:t>130 </w:t>
      </w:r>
      <w:r>
        <w:rPr>
          <w:sz w:val="16"/>
          <w:szCs w:val="16"/>
          <w:color w:val="231F20"/>
          <w:spacing w:val="8"/>
        </w:rPr>
        <w:t>例急性肠胃炎患者，随机分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为试验组（</w:t>
      </w:r>
      <w:r>
        <w:rPr>
          <w:color w:val="231F20"/>
          <w:spacing w:val="7"/>
        </w:rPr>
        <w:t>65</w:t>
      </w:r>
      <w:r>
        <w:rPr>
          <w:sz w:val="16"/>
          <w:szCs w:val="16"/>
          <w:color w:val="231F20"/>
          <w:spacing w:val="7"/>
        </w:rPr>
        <w:t>）以及参考组（</w:t>
      </w:r>
      <w:r>
        <w:rPr>
          <w:color w:val="231F20"/>
          <w:spacing w:val="7"/>
        </w:rPr>
        <w:t>65</w:t>
      </w:r>
      <w:r>
        <w:rPr>
          <w:sz w:val="16"/>
          <w:szCs w:val="16"/>
          <w:color w:val="231F20"/>
          <w:spacing w:val="7"/>
        </w:rPr>
        <w:t>）。其中参考组给予常规护理干预，试验组在参考组基础上给予耳穴压豆配合中药热庵包护理干</w:t>
      </w:r>
      <w:r>
        <w:rPr>
          <w:sz w:val="16"/>
          <w:szCs w:val="16"/>
          <w:color w:val="231F20"/>
          <w:spacing w:val="6"/>
        </w:rPr>
        <w:t>预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6"/>
        </w:rPr>
        <w:t>。比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较两组临床疗效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6"/>
        </w:rPr>
        <w:t>、症状消失时间，腹痛程度变化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6"/>
        </w:rPr>
        <w:t>、生活能力和不良反应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6"/>
        </w:rPr>
        <w:t>。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color w:val="231F20"/>
          <w:spacing w:val="6"/>
        </w:rPr>
        <w:t>结果：</w:t>
      </w:r>
      <w:r>
        <w:rPr>
          <w:sz w:val="16"/>
          <w:szCs w:val="16"/>
          <w:color w:val="231F20"/>
          <w:spacing w:val="6"/>
        </w:rPr>
        <w:t>试验组治疗有效率高于参考组；腹痛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6"/>
        </w:rPr>
        <w:t>、腹</w:t>
      </w:r>
      <w:r>
        <w:rPr>
          <w:sz w:val="16"/>
          <w:szCs w:val="16"/>
          <w:color w:val="231F20"/>
          <w:spacing w:val="5"/>
        </w:rPr>
        <w:t>泻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5"/>
        </w:rPr>
        <w:t>、呕吐消失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时间低于参考组（</w:t>
      </w:r>
      <w:r>
        <w:rPr>
          <w:color w:val="231F20"/>
          <w:spacing w:val="2"/>
        </w:rPr>
        <w:t>P＜0.05</w:t>
      </w:r>
      <w:r>
        <w:rPr>
          <w:sz w:val="16"/>
          <w:szCs w:val="16"/>
          <w:color w:val="231F20"/>
          <w:spacing w:val="2"/>
        </w:rPr>
        <w:t>）。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2"/>
        </w:rPr>
        <w:t>护理后，两组 </w:t>
      </w:r>
      <w:r>
        <w:rPr>
          <w:color w:val="231F20"/>
        </w:rPr>
        <w:t>VAS</w:t>
      </w:r>
      <w:r>
        <w:rPr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2"/>
        </w:rPr>
        <w:t>评分下降，且试验组小于参考组；两组 </w:t>
      </w:r>
      <w:r>
        <w:rPr>
          <w:color w:val="231F20"/>
        </w:rPr>
        <w:t>ADL</w:t>
      </w:r>
      <w:r>
        <w:rPr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2"/>
        </w:rPr>
        <w:t>评分提高，且试验组大于参考组，以上差异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均有统计学意义（</w:t>
      </w:r>
      <w:r>
        <w:rPr>
          <w:color w:val="231F20"/>
          <w:spacing w:val="2"/>
        </w:rPr>
        <w:t>P＞0.05</w:t>
      </w:r>
      <w:r>
        <w:rPr>
          <w:sz w:val="16"/>
          <w:szCs w:val="16"/>
          <w:color w:val="231F20"/>
          <w:spacing w:val="2"/>
        </w:rPr>
        <w:t>）。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2"/>
        </w:rPr>
        <w:t>两组不良反应发生率比较差异无统计学意义（</w:t>
      </w:r>
      <w:r>
        <w:rPr>
          <w:color w:val="231F20"/>
          <w:spacing w:val="2"/>
        </w:rPr>
        <w:t>P＞0.05</w:t>
      </w:r>
      <w:r>
        <w:rPr>
          <w:sz w:val="16"/>
          <w:szCs w:val="16"/>
          <w:color w:val="231F20"/>
          <w:spacing w:val="2"/>
        </w:rPr>
        <w:t>）。 </w:t>
      </w:r>
      <w:r>
        <w:rPr>
          <w:color w:val="231F20"/>
          <w:spacing w:val="2"/>
        </w:rPr>
        <w:t>结论：</w:t>
      </w:r>
      <w:r>
        <w:rPr>
          <w:sz w:val="16"/>
          <w:szCs w:val="16"/>
          <w:color w:val="231F20"/>
          <w:spacing w:val="2"/>
        </w:rPr>
        <w:t>耳穴压豆配合中药热庵包在急性肠胃炎护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理中的应用效果良好，能有效改善患者临床症状，降低疼痛，提高其 日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常生活能力，推广价值高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7"/>
        </w:rPr>
        <w:t>。</w:t>
      </w:r>
    </w:p>
    <w:p>
      <w:pPr>
        <w:pStyle w:val="BodyText"/>
        <w:ind w:left="504"/>
        <w:spacing w:before="1" w:line="19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［关键词］</w:t>
      </w:r>
      <w:r>
        <w:rPr>
          <w:sz w:val="16"/>
          <w:szCs w:val="16"/>
          <w:color w:val="231F20"/>
          <w:spacing w:val="26"/>
          <w:w w:val="101"/>
        </w:rPr>
        <w:t xml:space="preserve">  </w:t>
      </w:r>
      <w:r>
        <w:rPr>
          <w:sz w:val="16"/>
          <w:szCs w:val="16"/>
          <w:color w:val="231F20"/>
          <w:spacing w:val="3"/>
        </w:rPr>
        <w:t>急性肠胃炎；疼痛；耳穴压豆；中药热庵包</w:t>
      </w:r>
    </w:p>
    <w:p>
      <w:pPr>
        <w:pStyle w:val="BodyText"/>
        <w:ind w:left="504"/>
        <w:spacing w:before="43" w:line="197" w:lineRule="auto"/>
        <w:rPr/>
      </w:pPr>
      <w:r>
        <w:rPr>
          <w:sz w:val="16"/>
          <w:szCs w:val="16"/>
          <w:color w:val="231F20"/>
          <w:spacing w:val="-1"/>
        </w:rPr>
        <w:t>［中图分类号］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R256       </w:t>
      </w:r>
      <w:r>
        <w:rPr>
          <w:sz w:val="16"/>
          <w:szCs w:val="16"/>
          <w:color w:val="231F20"/>
          <w:spacing w:val="-1"/>
        </w:rPr>
        <w:t>［文献标识码］   </w:t>
      </w:r>
      <w:r>
        <w:rPr>
          <w:color w:val="231F20"/>
          <w:spacing w:val="-1"/>
        </w:rPr>
        <w:t>B         </w:t>
      </w:r>
      <w:r>
        <w:rPr>
          <w:sz w:val="16"/>
          <w:szCs w:val="16"/>
          <w:color w:val="231F20"/>
          <w:spacing w:val="-1"/>
        </w:rPr>
        <w:t>［文章编号］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color w:val="231F20"/>
          <w:spacing w:val="-1"/>
        </w:rPr>
        <w:t>2096-756X（2023</w:t>
      </w:r>
      <w:r>
        <w:rPr>
          <w:color w:val="231F20"/>
          <w:spacing w:val="-2"/>
        </w:rPr>
        <w:t>）06-0141-02</w:t>
      </w:r>
    </w:p>
    <w:p>
      <w:pPr>
        <w:spacing w:line="65" w:lineRule="exact"/>
        <w:rPr/>
      </w:pPr>
      <w:r/>
    </w:p>
    <w:p>
      <w:pPr>
        <w:spacing w:line="65" w:lineRule="exact"/>
        <w:sectPr>
          <w:headerReference w:type="default" r:id="rId1"/>
          <w:footerReference w:type="default" r:id="rId2"/>
          <w:pgSz w:w="11905" w:h="16836"/>
          <w:pgMar w:top="400" w:right="905" w:bottom="1026" w:left="407" w:header="0" w:footer="740" w:gutter="0"/>
          <w:cols w:equalWidth="0" w:num="1">
            <w:col w:w="10591" w:space="0"/>
          </w:cols>
        </w:sectPr>
        <w:rPr/>
      </w:pPr>
    </w:p>
    <w:p>
      <w:pPr>
        <w:pStyle w:val="BodyText"/>
        <w:ind w:left="558" w:right="224" w:firstLine="360"/>
        <w:spacing w:before="50" w:line="222" w:lineRule="auto"/>
        <w:jc w:val="both"/>
        <w:rPr/>
      </w:pPr>
      <w:r>
        <w:rPr>
          <w:color w:val="231F20"/>
          <w:spacing w:val="6"/>
        </w:rPr>
        <w:t>急性胃肠炎是一种常见的消化道疾病，主要是细菌侵入肠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道，破坏肠道菌群，引起胃肠粘膜的急性炎症，可引起呕吐以及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腹泻腹痛等症状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sz w:val="10"/>
          <w:szCs w:val="10"/>
          <w:color w:val="231F20"/>
          <w:spacing w:val="-2"/>
          <w:position w:val="6"/>
        </w:rPr>
        <w:t>1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。对急性胃肠炎进行积极的治疗，有利于提高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患者的身体和心理健康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目前，临床对急性</w:t>
      </w:r>
      <w:r>
        <w:rPr>
          <w:color w:val="231F20"/>
          <w:spacing w:val="4"/>
        </w:rPr>
        <w:t>胃肠炎的治疗主要</w:t>
      </w:r>
      <w:r>
        <w:rPr>
          <w:color w:val="231F20"/>
        </w:rPr>
        <w:t xml:space="preserve">  </w:t>
      </w:r>
      <w:r>
        <w:rPr>
          <w:color w:val="231F20"/>
        </w:rPr>
        <w:t>是药物护理、饮食指导、心理疏导等，但疗效并不理想，故需寻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求一种可以迅速改善患者症状的方法，缓解患</w:t>
      </w:r>
      <w:r>
        <w:rPr>
          <w:color w:val="231F20"/>
          <w:spacing w:val="6"/>
        </w:rPr>
        <w:t>者的痛苦，促进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患者的身体和心理的恢复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。中医理论中，急性胃肠炎没</w:t>
      </w:r>
      <w:r>
        <w:rPr>
          <w:color w:val="231F20"/>
          <w:spacing w:val="5"/>
        </w:rPr>
        <w:t>有明确</w:t>
      </w:r>
      <w:r>
        <w:rPr>
          <w:color w:val="231F20"/>
        </w:rPr>
        <w:t xml:space="preserve">  </w:t>
      </w:r>
      <w:r>
        <w:rPr>
          <w:color w:val="231F20"/>
        </w:rPr>
        <w:t>的病因，根据临床症状可归为“泄泻”，而结直肠的传导失调是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其发病的重要原因</w:t>
      </w:r>
      <w:r>
        <w:rPr>
          <w:sz w:val="9"/>
          <w:szCs w:val="9"/>
          <w:color w:val="231F20"/>
          <w:position w:val="6"/>
        </w:rPr>
        <w:t>［</w:t>
      </w:r>
      <w:r>
        <w:rPr>
          <w:sz w:val="10"/>
          <w:szCs w:val="10"/>
          <w:color w:val="231F20"/>
          <w:position w:val="6"/>
        </w:rPr>
        <w:t>2</w:t>
      </w:r>
      <w:r>
        <w:rPr>
          <w:sz w:val="9"/>
          <w:szCs w:val="9"/>
          <w:color w:val="231F20"/>
          <w:position w:val="6"/>
        </w:rPr>
        <w:t>，</w:t>
      </w:r>
      <w:r>
        <w:rPr>
          <w:sz w:val="10"/>
          <w:szCs w:val="10"/>
          <w:color w:val="231F20"/>
          <w:position w:val="6"/>
        </w:rPr>
        <w:t>3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。中药热庵包等是中医特色的护理方法，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与传统的护理方法相比，具有简便、方便、价格低廉等优点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。耳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穴压豆是中医疗法，对缓解疼痛有较好的效果</w:t>
      </w:r>
      <w:r>
        <w:rPr>
          <w:color w:val="231F20"/>
          <w:spacing w:val="6"/>
        </w:rPr>
        <w:t>，但对于急性胃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肠炎的治疗却很少见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sz w:val="10"/>
          <w:szCs w:val="10"/>
          <w:color w:val="231F20"/>
          <w:spacing w:val="4"/>
          <w:position w:val="6"/>
        </w:rPr>
        <w:t>4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。而目前临床对于二者联合治疗</w:t>
      </w:r>
      <w:r>
        <w:rPr>
          <w:color w:val="231F20"/>
          <w:spacing w:val="3"/>
        </w:rPr>
        <w:t>研究较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少。基于此本文就耳穴压豆配合中药热庵包在</w:t>
      </w:r>
      <w:r>
        <w:rPr>
          <w:color w:val="231F20"/>
          <w:spacing w:val="6"/>
        </w:rPr>
        <w:t>急性肠胃炎护理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中的应用价值开展分析探讨，现报告如下。</w:t>
      </w:r>
    </w:p>
    <w:p>
      <w:pPr>
        <w:pStyle w:val="BodyText"/>
        <w:ind w:left="575"/>
        <w:spacing w:before="1" w:line="188" w:lineRule="auto"/>
        <w:rPr>
          <w:sz w:val="16"/>
          <w:szCs w:val="16"/>
        </w:rPr>
      </w:pPr>
      <w:r>
        <w:rPr>
          <w:color w:val="231F20"/>
          <w:spacing w:val="6"/>
        </w:rPr>
        <w:t>1</w:t>
      </w:r>
      <w:r>
        <w:rPr>
          <w:color w:val="231F20"/>
          <w:spacing w:val="15"/>
        </w:rPr>
        <w:t xml:space="preserve">   </w:t>
      </w:r>
      <w:r>
        <w:rPr>
          <w:sz w:val="16"/>
          <w:szCs w:val="16"/>
          <w:color w:val="231F20"/>
          <w:spacing w:val="6"/>
        </w:rPr>
        <w:t>资料与方法</w:t>
      </w:r>
    </w:p>
    <w:p>
      <w:pPr>
        <w:pStyle w:val="BodyText"/>
        <w:ind w:left="575"/>
        <w:spacing w:before="40" w:line="195" w:lineRule="auto"/>
        <w:rPr>
          <w:sz w:val="16"/>
          <w:szCs w:val="16"/>
        </w:rPr>
      </w:pPr>
      <w:r>
        <w:rPr>
          <w:color w:val="231F20"/>
          <w:spacing w:val="2"/>
        </w:rPr>
        <w:t>1.1</w:t>
      </w:r>
      <w:r>
        <w:rPr>
          <w:color w:val="231F20"/>
          <w:spacing w:val="14"/>
        </w:rPr>
        <w:t xml:space="preserve">   </w:t>
      </w:r>
      <w:r>
        <w:rPr>
          <w:sz w:val="16"/>
          <w:szCs w:val="16"/>
          <w:color w:val="231F20"/>
          <w:spacing w:val="2"/>
        </w:rPr>
        <w:t>一般资料</w:t>
      </w:r>
    </w:p>
    <w:p>
      <w:pPr>
        <w:pStyle w:val="BodyText"/>
        <w:ind w:left="560" w:right="278" w:firstLine="355"/>
        <w:spacing w:before="26" w:line="222" w:lineRule="auto"/>
        <w:rPr/>
      </w:pPr>
      <w:r>
        <w:rPr>
          <w:color w:val="231F20"/>
          <w:spacing w:val="1"/>
        </w:rPr>
        <w:t>选取 2019 年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1月～2022 年 3 月间于沙县区中医医院消化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内科收治的急性肠胃炎患者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130 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，按数字随机表法分组，试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验组以及参考组，各 65 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。试验组，男25 例，女 40 例，年龄</w:t>
      </w:r>
    </w:p>
    <w:p>
      <w:pPr>
        <w:pStyle w:val="BodyText"/>
        <w:ind w:left="486" w:right="224" w:firstLine="74"/>
        <w:spacing w:before="3" w:line="223" w:lineRule="auto"/>
        <w:rPr/>
      </w:pPr>
      <w:r>
        <w:rPr>
          <w:color w:val="231F20"/>
          <w:spacing w:val="-2"/>
        </w:rPr>
        <w:t>21～62 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，平均（32.38±4.46）岁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；病程</w:t>
      </w:r>
      <w:r>
        <w:rPr>
          <w:color w:val="231F20"/>
          <w:spacing w:val="-3"/>
        </w:rPr>
        <w:t xml:space="preserve"> 20～210min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，平均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（66.71±7.05）min。参考组，男 26 例，女 39 例，年龄 20～61 岁，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平均（31.41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±4.52）岁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；病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程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30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～220min，平均（6</w:t>
      </w:r>
      <w:r>
        <w:rPr>
          <w:color w:val="231F20"/>
          <w:spacing w:val="-10"/>
        </w:rPr>
        <w:t>6.62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±8.06）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。两组患者的一般资料相比，差异无统计学意义（P＞0.05</w:t>
      </w:r>
      <w:r>
        <w:rPr>
          <w:color w:val="231F20"/>
          <w:spacing w:val="-38"/>
          <w:w w:val="94"/>
        </w:rPr>
        <w:t>），</w:t>
      </w:r>
      <w:r>
        <w:rPr>
          <w:color w:val="231F20"/>
        </w:rPr>
        <w:t xml:space="preserve"> </w:t>
      </w:r>
      <w:r>
        <w:rPr>
          <w:color w:val="231F20"/>
        </w:rPr>
        <w:t>具有可比性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。本研究经伦理委员会批准，审批编号为：225548。</w:t>
      </w:r>
    </w:p>
    <w:p>
      <w:pPr>
        <w:pStyle w:val="BodyText"/>
        <w:ind w:left="575"/>
        <w:spacing w:before="1" w:line="188" w:lineRule="auto"/>
        <w:rPr>
          <w:sz w:val="16"/>
          <w:szCs w:val="16"/>
        </w:rPr>
      </w:pPr>
      <w:r>
        <w:rPr>
          <w:color w:val="231F20"/>
          <w:spacing w:val="-4"/>
        </w:rPr>
        <w:t>1.2    </w:t>
      </w:r>
      <w:r>
        <w:rPr>
          <w:sz w:val="16"/>
          <w:szCs w:val="16"/>
          <w:color w:val="231F20"/>
          <w:spacing w:val="-4"/>
        </w:rPr>
        <w:t>方法</w:t>
      </w:r>
    </w:p>
    <w:p>
      <w:pPr>
        <w:pStyle w:val="BodyText"/>
        <w:ind w:left="561" w:right="278" w:firstLine="356"/>
        <w:spacing w:before="31" w:line="222" w:lineRule="auto"/>
        <w:rPr/>
      </w:pPr>
      <w:r>
        <w:rPr>
          <w:color w:val="231F20"/>
          <w:spacing w:val="6"/>
        </w:rPr>
        <w:t>两组患者住院期间，接受抑酸护胃以及抗感染等常规药物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。参考组采取常规的护理措施。</w:t>
      </w:r>
    </w:p>
    <w:p>
      <w:pPr>
        <w:pStyle w:val="BodyText"/>
        <w:ind w:left="559" w:right="278" w:firstLine="374"/>
        <w:spacing w:before="2" w:line="222" w:lineRule="auto"/>
        <w:jc w:val="both"/>
        <w:rPr/>
      </w:pPr>
      <w:r>
        <w:rPr>
          <w:color w:val="231F20"/>
          <w:spacing w:val="1"/>
        </w:rPr>
        <w:t>中药热奄包病方：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取 25</w:t>
      </w:r>
      <w:r>
        <w:rPr>
          <w:color w:val="231F20"/>
        </w:rPr>
        <w:t>cm</w:t>
      </w:r>
      <w:r>
        <w:rPr>
          <w:color w:val="231F20"/>
          <w:spacing w:val="1"/>
        </w:rPr>
        <w:t>×20</w:t>
      </w:r>
      <w:r>
        <w:rPr>
          <w:color w:val="231F20"/>
        </w:rPr>
        <w:t>cm</w:t>
      </w:r>
      <w:r>
        <w:rPr>
          <w:color w:val="231F20"/>
          <w:spacing w:val="1"/>
        </w:rPr>
        <w:t xml:space="preserve"> 厚的双层棉布袋子，将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中药 50 克黄芪、薏苡仁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100 克、半夏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100</w:t>
      </w:r>
      <w:r>
        <w:rPr>
          <w:color w:val="231F20"/>
          <w:spacing w:val="-10"/>
        </w:rPr>
        <w:t xml:space="preserve"> 克、葛根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100 克、粗盐</w:t>
      </w:r>
      <w:r>
        <w:rPr>
          <w:color w:val="231F20"/>
        </w:rPr>
        <w:t xml:space="preserve"> </w:t>
      </w:r>
      <w:r>
        <w:rPr>
          <w:color w:val="231F20"/>
        </w:rPr>
        <w:t>500 克倒入袋中，搅拌喷水，将袋子包好，在微波炉内高温加热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2 分钟，取出，待温度降到 45℃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再用纱布包裹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。患者采用平躺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姿势，将病囊置于腹部正中，覆盖天枢、中脘、神阙三大穴位，每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次 30min 后再热敷，连续 3d。</w:t>
      </w:r>
    </w:p>
    <w:p>
      <w:pPr>
        <w:pStyle w:val="BodyText"/>
        <w:ind w:left="573" w:right="277" w:firstLine="342"/>
        <w:spacing w:before="1" w:line="230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439490</wp:posOffset>
            </wp:positionV>
            <wp:extent cx="172719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1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</w:rPr>
        <w:t>耳穴压豆：选择脾、胃以及大肠、交感穴等穴位，先用 75%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的酒精清洗、消毒，再将王不留行籽放在贴膜上，然后</w:t>
      </w:r>
      <w:r>
        <w:rPr>
          <w:color w:val="231F20"/>
          <w:spacing w:val="-1"/>
        </w:rPr>
        <w:t>在耳郭穴</w:t>
      </w:r>
    </w:p>
    <w:p>
      <w:pPr>
        <w:spacing w:line="1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" w:right="53" w:hanging="3"/>
        <w:spacing w:before="38" w:line="226" w:lineRule="auto"/>
        <w:rPr/>
      </w:pPr>
      <w:r>
        <w:rPr>
          <w:color w:val="231F20"/>
        </w:rPr>
        <w:t>位上按压以及揉捏，直至耳郭有发胀热感，一次揉</w:t>
      </w:r>
      <w:r>
        <w:rPr>
          <w:color w:val="231F20"/>
          <w:spacing w:val="-1"/>
        </w:rPr>
        <w:t>按 3 分钟，每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天两次，连续 3d。</w:t>
      </w:r>
    </w:p>
    <w:p>
      <w:pPr>
        <w:pStyle w:val="BodyText"/>
        <w:ind w:left="58"/>
        <w:spacing w:line="194" w:lineRule="auto"/>
        <w:rPr>
          <w:sz w:val="16"/>
          <w:szCs w:val="16"/>
        </w:rPr>
      </w:pPr>
      <w:r>
        <w:rPr>
          <w:color w:val="231F20"/>
          <w:spacing w:val="9"/>
        </w:rPr>
        <w:t>1.3</w:t>
      </w:r>
      <w:r>
        <w:rPr>
          <w:color w:val="231F20"/>
          <w:spacing w:val="16"/>
          <w:w w:val="101"/>
        </w:rPr>
        <w:t xml:space="preserve">   </w:t>
      </w:r>
      <w:r>
        <w:rPr>
          <w:sz w:val="16"/>
          <w:szCs w:val="16"/>
          <w:color w:val="231F20"/>
          <w:spacing w:val="9"/>
        </w:rPr>
        <w:t>观察指标以及疗效标准</w:t>
      </w:r>
    </w:p>
    <w:p>
      <w:pPr>
        <w:pStyle w:val="BodyText"/>
        <w:ind w:left="43" w:right="53" w:firstLine="359"/>
        <w:spacing w:before="26" w:line="222" w:lineRule="auto"/>
        <w:jc w:val="both"/>
        <w:rPr/>
      </w:pPr>
      <w:r>
        <w:rPr>
          <w:color w:val="231F20"/>
          <w:spacing w:val="3"/>
        </w:rPr>
        <w:t>预后指标：采用疼痛视觉模拟法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sz w:val="10"/>
          <w:szCs w:val="10"/>
          <w:color w:val="231F20"/>
          <w:spacing w:val="3"/>
          <w:position w:val="6"/>
        </w:rPr>
        <w:t>6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sz w:val="16"/>
          <w:szCs w:val="16"/>
          <w:color w:val="231F20"/>
          <w:spacing w:val="-9"/>
          <w:w w:val="32"/>
        </w:rPr>
        <w:t>（</w:t>
      </w:r>
      <w:r>
        <w:rPr>
          <w:color w:val="231F20"/>
        </w:rPr>
        <w:t>VAS</w:t>
      </w:r>
      <w:r>
        <w:rPr>
          <w:color w:val="231F20"/>
          <w:spacing w:val="3"/>
        </w:rPr>
        <w:t>）评估两组疼痛情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况，以 0~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10 为标准，0 分为无痛，1 分 ~3 分为轻微反应，4~6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为中度，7~10 为重度反应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。以日常生活能力量表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sz w:val="10"/>
          <w:szCs w:val="10"/>
          <w:color w:val="231F20"/>
          <w:spacing w:val="-2"/>
          <w:position w:val="6"/>
        </w:rPr>
        <w:t>7</w:t>
      </w:r>
      <w:r>
        <w:rPr>
          <w:sz w:val="9"/>
          <w:szCs w:val="9"/>
          <w:color w:val="231F20"/>
          <w:spacing w:val="-11"/>
          <w:position w:val="6"/>
        </w:rPr>
        <w:t>］</w:t>
      </w:r>
      <w:r>
        <w:rPr>
          <w:sz w:val="16"/>
          <w:szCs w:val="16"/>
          <w:color w:val="231F20"/>
          <w:spacing w:val="-9"/>
          <w:w w:val="32"/>
        </w:rPr>
        <w:t>（</w:t>
      </w:r>
      <w:r>
        <w:rPr>
          <w:color w:val="231F20"/>
          <w:spacing w:val="-2"/>
        </w:rPr>
        <w:t>ADL）评估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两组护理前后日常生活独立能力，总分为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100 分，其包</w:t>
      </w:r>
      <w:r>
        <w:rPr>
          <w:color w:val="231F20"/>
          <w:spacing w:val="3"/>
        </w:rPr>
        <w:t>括床椅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转移、进食、穿衣、洗澡、排大小便等，分</w:t>
      </w:r>
      <w:r>
        <w:rPr>
          <w:color w:val="231F20"/>
          <w:spacing w:val="-8"/>
        </w:rPr>
        <w:t>值越高生活能力越强。</w:t>
      </w:r>
    </w:p>
    <w:p>
      <w:pPr>
        <w:pStyle w:val="BodyText"/>
        <w:ind w:left="41" w:firstLine="357"/>
        <w:spacing w:before="5" w:line="221" w:lineRule="auto"/>
        <w:jc w:val="both"/>
        <w:rPr/>
      </w:pPr>
      <w:r>
        <w:rPr>
          <w:color w:val="231F20"/>
          <w:spacing w:val="-9"/>
        </w:rPr>
        <w:t>疗效标准参考《HICPIC 指南》，治愈：腹痛、泻等症状及体征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消失，或腹痛、泻等症状、体征明显好转或基本消失；有效：腹泻，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泻下等症状，体征好转；无效：腹痛、泄泻等症状及体征均无明显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好转或恶化。总有效率</w:t>
      </w:r>
      <w:r>
        <w:rPr>
          <w:color w:val="231F20"/>
          <w:spacing w:val="-58"/>
          <w:w w:val="98"/>
        </w:rPr>
        <w:t>＝（</w:t>
      </w:r>
      <w:r>
        <w:rPr>
          <w:color w:val="231F20"/>
          <w:spacing w:val="3"/>
        </w:rPr>
        <w:t>显效＋有效</w:t>
      </w:r>
      <w:r>
        <w:rPr>
          <w:color w:val="231F20"/>
          <w:spacing w:val="-58"/>
          <w:w w:val="98"/>
        </w:rPr>
        <w:t>）／</w:t>
      </w:r>
      <w:r>
        <w:rPr>
          <w:color w:val="231F20"/>
          <w:spacing w:val="3"/>
        </w:rPr>
        <w:t>总例数× 100%。</w:t>
      </w:r>
    </w:p>
    <w:p>
      <w:pPr>
        <w:pStyle w:val="BodyText"/>
        <w:ind w:left="41" w:right="53" w:firstLine="355"/>
        <w:spacing w:before="2" w:line="225" w:lineRule="auto"/>
        <w:rPr/>
      </w:pPr>
      <w:r>
        <w:rPr>
          <w:color w:val="231F20"/>
        </w:rPr>
        <w:t>记录两组患者腹痛、腹泻、呕吐消失时间。记录两组不良反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应，包括呕吐、疼痛以及皮疹。</w:t>
      </w:r>
    </w:p>
    <w:p>
      <w:pPr>
        <w:pStyle w:val="BodyText"/>
        <w:ind w:left="58"/>
        <w:spacing w:before="1" w:line="194" w:lineRule="auto"/>
        <w:rPr>
          <w:sz w:val="16"/>
          <w:szCs w:val="16"/>
        </w:rPr>
      </w:pPr>
      <w:r>
        <w:rPr>
          <w:color w:val="231F20"/>
          <w:spacing w:val="4"/>
        </w:rPr>
        <w:t>1.4</w:t>
      </w:r>
      <w:r>
        <w:rPr>
          <w:color w:val="231F20"/>
          <w:spacing w:val="14"/>
        </w:rPr>
        <w:t xml:space="preserve">   </w:t>
      </w:r>
      <w:r>
        <w:rPr>
          <w:sz w:val="16"/>
          <w:szCs w:val="16"/>
          <w:color w:val="231F20"/>
          <w:spacing w:val="4"/>
        </w:rPr>
        <w:t>统计学方法</w:t>
      </w:r>
    </w:p>
    <w:p>
      <w:pPr>
        <w:pStyle w:val="BodyText"/>
        <w:ind w:left="41" w:firstLine="357"/>
        <w:spacing w:before="24" w:line="225" w:lineRule="auto"/>
        <w:jc w:val="both"/>
        <w:rPr/>
      </w:pPr>
      <w:r>
        <w:pict>
          <v:shape id="_x0000_s4" style="position:absolute;margin-left:200.597pt;margin-top:1.7031pt;mso-position-vertical-relative:text;mso-position-horizontal-relative:text;width:3.35pt;height:0.2pt;z-index:-251658240;" filled="false" strokecolor="#231F20" strokeweight="0.19pt" coordsize="66,4" coordorigin="0,0" path="m0,1l66,1e">
            <v:stroke joinstyle="miter" miterlimit="10"/>
          </v:shape>
        </w:pict>
      </w:r>
      <w:r>
        <w:rPr>
          <w:color w:val="231F20"/>
          <w:spacing w:val="-1"/>
        </w:rPr>
        <w:t>数据以SPSS18.0 统计学软件分析，计量资料以 </w:t>
      </w:r>
      <w:r>
        <w:rPr>
          <w:color w:val="231F20"/>
          <w:spacing w:val="-1"/>
        </w:rPr>
        <w:t>x</w:t>
      </w:r>
      <w:r>
        <w:rPr>
          <w:color w:val="231F20"/>
          <w:spacing w:val="-1"/>
        </w:rPr>
        <w:t xml:space="preserve"> ±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s 描述，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 检验；计数资料以%描述，比较经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χ</w:t>
      </w:r>
      <w:r>
        <w:rPr>
          <w:sz w:val="10"/>
          <w:szCs w:val="10"/>
          <w:color w:val="231F20"/>
          <w:spacing w:val="-2"/>
          <w:position w:val="6"/>
        </w:rPr>
        <w:t>2</w:t>
      </w:r>
      <w:r>
        <w:rPr>
          <w:sz w:val="10"/>
          <w:szCs w:val="10"/>
          <w:color w:val="231F20"/>
          <w:spacing w:val="22"/>
          <w:w w:val="102"/>
          <w:position w:val="6"/>
        </w:rPr>
        <w:t xml:space="preserve"> </w:t>
      </w:r>
      <w:r>
        <w:rPr>
          <w:color w:val="231F20"/>
          <w:spacing w:val="-3"/>
        </w:rPr>
        <w:t>检验，多项进行 Wilcoxon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秩和检验，以 P&lt;0.05 表示差异有统计学意义。</w:t>
      </w:r>
    </w:p>
    <w:p>
      <w:pPr>
        <w:pStyle w:val="BodyText"/>
        <w:ind w:left="43"/>
        <w:spacing w:line="189" w:lineRule="auto"/>
        <w:outlineLvl w:val="0"/>
        <w:rPr>
          <w:sz w:val="16"/>
          <w:szCs w:val="16"/>
        </w:rPr>
      </w:pPr>
      <w:r>
        <w:rPr>
          <w:color w:val="231F20"/>
          <w:spacing w:val="-1"/>
        </w:rPr>
        <w:t>2</w:t>
      </w:r>
      <w:r>
        <w:rPr>
          <w:color w:val="231F20"/>
          <w:spacing w:val="14"/>
          <w:w w:val="101"/>
        </w:rPr>
        <w:t xml:space="preserve">   </w:t>
      </w:r>
      <w:r>
        <w:rPr>
          <w:sz w:val="16"/>
          <w:szCs w:val="16"/>
          <w:color w:val="231F20"/>
          <w:spacing w:val="-1"/>
        </w:rPr>
        <w:t>结果</w:t>
      </w:r>
    </w:p>
    <w:p>
      <w:pPr>
        <w:pStyle w:val="BodyText"/>
        <w:ind w:left="43"/>
        <w:spacing w:before="40" w:line="190" w:lineRule="auto"/>
        <w:rPr>
          <w:sz w:val="16"/>
          <w:szCs w:val="16"/>
        </w:rPr>
      </w:pPr>
      <w:r>
        <w:pict>
          <v:shape id="_x0000_s6" style="position:absolute;margin-left:176.397pt;margin-top:15.4777pt;mso-position-vertical-relative:text;mso-position-horizontal-relative:text;width:3.25pt;height:0.2pt;z-index:-251657216;" filled="false" strokecolor="#231F20" strokeweight="0.19pt" coordsize="65,4" coordorigin="0,0" path="m0,1l64,1e">
            <v:stroke joinstyle="miter" miterlimit="10"/>
          </v:shape>
        </w:pict>
      </w:r>
      <w:r>
        <w:rPr>
          <w:color w:val="231F20"/>
          <w:spacing w:val="1"/>
        </w:rPr>
        <w:t>2.1</w:t>
      </w:r>
      <w:r>
        <w:rPr>
          <w:color w:val="231F20"/>
          <w:spacing w:val="3"/>
        </w:rPr>
        <w:t xml:space="preserve">    </w:t>
      </w:r>
      <w:r>
        <w:rPr>
          <w:sz w:val="16"/>
          <w:szCs w:val="16"/>
          <w:color w:val="231F20"/>
          <w:spacing w:val="1"/>
        </w:rPr>
        <w:t>两组预后指标比较（见表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color w:val="231F20"/>
          <w:spacing w:val="1"/>
        </w:rPr>
        <w:t>1</w:t>
      </w:r>
      <w:r>
        <w:rPr>
          <w:sz w:val="16"/>
          <w:szCs w:val="16"/>
          <w:color w:val="231F20"/>
          <w:spacing w:val="1"/>
        </w:rPr>
        <w:t>）</w:t>
      </w:r>
    </w:p>
    <w:p>
      <w:pPr>
        <w:pStyle w:val="BodyText"/>
        <w:ind w:left="1521"/>
        <w:spacing w:before="39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表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15"/>
        </w:rPr>
        <w:t xml:space="preserve">   </w:t>
      </w:r>
      <w:r>
        <w:rPr>
          <w:sz w:val="16"/>
          <w:szCs w:val="16"/>
          <w:color w:val="231F20"/>
          <w:spacing w:val="1"/>
        </w:rPr>
        <w:t>两组预后指标比较（</w:t>
      </w:r>
      <w:r>
        <w:rPr>
          <w:color w:val="231F20"/>
          <w:spacing w:val="1"/>
        </w:rPr>
        <w:t>x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±s</w:t>
      </w:r>
      <w:r>
        <w:rPr>
          <w:sz w:val="16"/>
          <w:szCs w:val="16"/>
          <w:color w:val="231F20"/>
          <w:spacing w:val="1"/>
        </w:rPr>
        <w:t>）</w:t>
      </w:r>
      <w:r>
        <w:rPr>
          <w:sz w:val="16"/>
          <w:szCs w:val="16"/>
          <w:color w:val="231F20"/>
          <w:spacing w:val="3"/>
        </w:rPr>
        <w:t xml:space="preserve">             </w:t>
      </w:r>
      <w:r>
        <w:rPr>
          <w:sz w:val="16"/>
          <w:szCs w:val="16"/>
          <w:color w:val="231F20"/>
          <w:spacing w:val="1"/>
        </w:rPr>
        <w:t>分</w:t>
      </w:r>
    </w:p>
    <w:p>
      <w:pPr>
        <w:spacing w:line="24" w:lineRule="exact"/>
        <w:rPr/>
      </w:pPr>
      <w:r/>
    </w:p>
    <w:tbl>
      <w:tblPr>
        <w:tblStyle w:val="TableNormal"/>
        <w:tblW w:w="482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1"/>
        <w:gridCol w:w="1153"/>
        <w:gridCol w:w="1216"/>
        <w:gridCol w:w="1124"/>
      </w:tblGrid>
      <w:tr>
        <w:trPr>
          <w:trHeight w:val="242" w:hRule="atLeast"/>
        </w:trPr>
        <w:tc>
          <w:tcPr>
            <w:tcW w:w="133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39"/>
              <w:spacing w:before="38" w:line="180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1153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89"/>
              <w:spacing w:before="38" w:line="180" w:lineRule="auto"/>
              <w:rPr/>
            </w:pPr>
            <w:r>
              <w:rPr>
                <w:color w:val="231F20"/>
                <w:spacing w:val="3"/>
              </w:rPr>
              <w:t>时间</w:t>
            </w:r>
          </w:p>
        </w:tc>
        <w:tc>
          <w:tcPr>
            <w:tcW w:w="121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32"/>
              <w:spacing w:before="63" w:line="157" w:lineRule="auto"/>
              <w:rPr/>
            </w:pPr>
            <w:r>
              <w:rPr>
                <w:color w:val="231F20"/>
                <w:spacing w:val="-1"/>
              </w:rPr>
              <w:t>VAS</w:t>
            </w:r>
          </w:p>
        </w:tc>
        <w:tc>
          <w:tcPr>
            <w:tcW w:w="112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51"/>
              <w:spacing w:before="64" w:line="168" w:lineRule="exact"/>
              <w:rPr/>
            </w:pPr>
            <w:r>
              <w:rPr>
                <w:color w:val="231F20"/>
                <w:spacing w:val="-2"/>
                <w:position w:val="-3"/>
              </w:rPr>
              <w:t>ADL</w:t>
            </w:r>
          </w:p>
        </w:tc>
      </w:tr>
      <w:tr>
        <w:trPr>
          <w:trHeight w:val="237" w:hRule="atLeast"/>
        </w:trPr>
        <w:tc>
          <w:tcPr>
            <w:tcW w:w="1331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ind w:left="458"/>
              <w:spacing w:before="41" w:line="202" w:lineRule="auto"/>
              <w:rPr/>
            </w:pPr>
            <w:r>
              <w:rPr>
                <w:color w:val="231F20"/>
                <w:spacing w:val="8"/>
              </w:rPr>
              <w:t>参考组</w:t>
            </w:r>
          </w:p>
        </w:tc>
        <w:tc>
          <w:tcPr>
            <w:tcW w:w="11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4"/>
              <w:spacing w:before="41" w:line="173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121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57"/>
              <w:spacing w:before="64" w:line="163" w:lineRule="exact"/>
              <w:rPr/>
            </w:pPr>
            <w:r>
              <w:rPr>
                <w:color w:val="231F20"/>
                <w:spacing w:val="-8"/>
                <w:position w:val="-1"/>
              </w:rPr>
              <w:t>6.96±0.21</w:t>
            </w:r>
          </w:p>
        </w:tc>
        <w:tc>
          <w:tcPr>
            <w:tcW w:w="112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2"/>
              <w:spacing w:before="64" w:line="163" w:lineRule="exact"/>
              <w:rPr/>
            </w:pPr>
            <w:r>
              <w:rPr>
                <w:color w:val="231F20"/>
                <w:spacing w:val="-8"/>
                <w:position w:val="-1"/>
              </w:rPr>
              <w:t>61.43±5.33</w:t>
            </w:r>
          </w:p>
        </w:tc>
      </w:tr>
      <w:tr>
        <w:trPr>
          <w:trHeight w:val="252" w:hRule="atLeast"/>
        </w:trPr>
        <w:tc>
          <w:tcPr>
            <w:tcW w:w="13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3" w:type="dxa"/>
            <w:vAlign w:val="top"/>
          </w:tcPr>
          <w:p>
            <w:pPr>
              <w:pStyle w:val="TableText"/>
              <w:ind w:left="404"/>
              <w:spacing w:before="52" w:line="177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315"/>
              <w:spacing w:before="58" w:line="171" w:lineRule="auto"/>
              <w:rPr>
                <w:sz w:val="8"/>
                <w:szCs w:val="8"/>
              </w:rPr>
            </w:pPr>
            <w:r>
              <w:rPr>
                <w:color w:val="231F20"/>
                <w:spacing w:val="-9"/>
              </w:rPr>
              <w:t>4.31±0.36</w:t>
            </w:r>
            <w:r>
              <w:rPr>
                <w:sz w:val="8"/>
                <w:szCs w:val="8"/>
                <w:color w:val="231F20"/>
                <w:spacing w:val="3"/>
                <w:position w:val="5"/>
              </w:rPr>
              <w:t>1）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206"/>
              <w:spacing w:before="58" w:line="171" w:lineRule="auto"/>
              <w:rPr>
                <w:sz w:val="8"/>
                <w:szCs w:val="8"/>
              </w:rPr>
            </w:pPr>
            <w:r>
              <w:rPr>
                <w:color w:val="231F20"/>
                <w:spacing w:val="-9"/>
              </w:rPr>
              <w:t>81.66±6.41</w:t>
            </w:r>
            <w:r>
              <w:rPr>
                <w:sz w:val="8"/>
                <w:szCs w:val="8"/>
                <w:color w:val="231F20"/>
                <w:position w:val="5"/>
              </w:rPr>
              <w:t>1）</w:t>
            </w:r>
          </w:p>
        </w:tc>
      </w:tr>
      <w:tr>
        <w:trPr>
          <w:trHeight w:val="250" w:hRule="atLeast"/>
        </w:trPr>
        <w:tc>
          <w:tcPr>
            <w:tcW w:w="13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8"/>
              <w:spacing w:before="62" w:line="192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1153" w:type="dxa"/>
            <w:vAlign w:val="top"/>
          </w:tcPr>
          <w:p>
            <w:pPr>
              <w:pStyle w:val="TableText"/>
              <w:ind w:left="404"/>
              <w:spacing w:before="63" w:line="165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355"/>
              <w:spacing w:before="85" w:line="155" w:lineRule="exact"/>
              <w:rPr/>
            </w:pPr>
            <w:r>
              <w:rPr>
                <w:color w:val="231F20"/>
                <w:spacing w:val="-8"/>
                <w:position w:val="-1"/>
              </w:rPr>
              <w:t>7.28±0.22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242"/>
              <w:spacing w:before="85" w:line="155" w:lineRule="exact"/>
              <w:rPr/>
            </w:pPr>
            <w:r>
              <w:rPr>
                <w:color w:val="231F20"/>
                <w:spacing w:val="-8"/>
                <w:position w:val="-1"/>
              </w:rPr>
              <w:t>61.42±5.34</w:t>
            </w:r>
          </w:p>
        </w:tc>
      </w:tr>
      <w:tr>
        <w:trPr>
          <w:trHeight w:val="266" w:hRule="atLeast"/>
        </w:trPr>
        <w:tc>
          <w:tcPr>
            <w:tcW w:w="1331" w:type="dxa"/>
            <w:vAlign w:val="top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04"/>
              <w:spacing w:before="59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  <w:tc>
          <w:tcPr>
            <w:tcW w:w="121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81"/>
              <w:spacing w:before="66" w:line="177" w:lineRule="auto"/>
              <w:rPr>
                <w:sz w:val="8"/>
                <w:szCs w:val="8"/>
              </w:rPr>
            </w:pPr>
            <w:r>
              <w:rPr>
                <w:color w:val="231F20"/>
                <w:spacing w:val="-10"/>
              </w:rPr>
              <w:t>3.61±0.51</w:t>
            </w:r>
            <w:r>
              <w:rPr>
                <w:sz w:val="8"/>
                <w:szCs w:val="8"/>
                <w:color w:val="231F20"/>
                <w:spacing w:val="-10"/>
                <w:position w:val="5"/>
              </w:rPr>
              <w:t>1）2）</w:t>
            </w:r>
          </w:p>
        </w:tc>
        <w:tc>
          <w:tcPr>
            <w:tcW w:w="1124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63"/>
              <w:spacing w:before="66" w:line="177" w:lineRule="auto"/>
              <w:rPr>
                <w:sz w:val="8"/>
                <w:szCs w:val="8"/>
              </w:rPr>
            </w:pPr>
            <w:r>
              <w:rPr>
                <w:color w:val="231F20"/>
                <w:spacing w:val="-10"/>
              </w:rPr>
              <w:t>92.03±6.55</w:t>
            </w:r>
            <w:r>
              <w:rPr>
                <w:sz w:val="8"/>
                <w:szCs w:val="8"/>
                <w:color w:val="231F20"/>
                <w:spacing w:val="-10"/>
                <w:position w:val="5"/>
              </w:rPr>
              <w:t>1）2）</w:t>
            </w:r>
          </w:p>
        </w:tc>
      </w:tr>
    </w:tbl>
    <w:p>
      <w:pPr>
        <w:pStyle w:val="BodyText"/>
        <w:ind w:left="43" w:right="436" w:firstLine="359"/>
        <w:spacing w:before="57" w:line="226" w:lineRule="auto"/>
        <w:rPr>
          <w:sz w:val="16"/>
          <w:szCs w:val="16"/>
        </w:rPr>
      </w:pPr>
      <w:r>
        <w:pict>
          <v:shape id="_x0000_s8" style="position:absolute;margin-left:180.897pt;margin-top:30.2644pt;mso-position-vertical-relative:text;mso-position-horizontal-relative:text;width:3.25pt;height:0.2pt;z-index:-251656192;" filled="false" strokecolor="#231F20" strokeweight="0.19pt" coordsize="65,4" coordorigin="0,0" path="m0,1l64,1e">
            <v:stroke joinstyle="miter" miterlimit="10"/>
          </v:shape>
        </w:pict>
      </w:r>
      <w:r>
        <w:rPr>
          <w:color w:val="231F20"/>
          <w:spacing w:val="-16"/>
        </w:rPr>
        <w:t>注：1）与护理前比较，P&lt;0.05；2）与护理后比较，P&lt;0</w:t>
      </w:r>
      <w:r>
        <w:rPr>
          <w:color w:val="231F20"/>
          <w:spacing w:val="-17"/>
        </w:rPr>
        <w:t>.05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2.2    </w:t>
      </w:r>
      <w:r>
        <w:rPr>
          <w:sz w:val="16"/>
          <w:szCs w:val="16"/>
          <w:color w:val="231F20"/>
          <w:spacing w:val="4"/>
        </w:rPr>
        <w:t>两组症状改善情况比较（见表 </w:t>
      </w:r>
      <w:r>
        <w:rPr>
          <w:color w:val="231F20"/>
          <w:spacing w:val="4"/>
        </w:rPr>
        <w:t>2</w:t>
      </w:r>
      <w:r>
        <w:rPr>
          <w:sz w:val="16"/>
          <w:szCs w:val="16"/>
          <w:color w:val="231F20"/>
          <w:spacing w:val="4"/>
        </w:rPr>
        <w:t>）</w:t>
      </w:r>
    </w:p>
    <w:p>
      <w:pPr>
        <w:pStyle w:val="BodyText"/>
        <w:ind w:right="34"/>
        <w:spacing w:line="187" w:lineRule="auto"/>
        <w:jc w:val="right"/>
        <w:rPr/>
      </w:pPr>
      <w:r>
        <w:rPr>
          <w:sz w:val="16"/>
          <w:szCs w:val="16"/>
          <w:color w:val="231F20"/>
          <w:spacing w:val="4"/>
        </w:rPr>
        <w:t>表 </w:t>
      </w:r>
      <w:r>
        <w:rPr>
          <w:color w:val="231F20"/>
          <w:spacing w:val="4"/>
        </w:rPr>
        <w:t>2</w:t>
      </w:r>
      <w:r>
        <w:rPr>
          <w:color w:val="231F20"/>
          <w:spacing w:val="15"/>
        </w:rPr>
        <w:t xml:space="preserve">   </w:t>
      </w:r>
      <w:r>
        <w:rPr>
          <w:sz w:val="16"/>
          <w:szCs w:val="16"/>
          <w:color w:val="231F20"/>
          <w:spacing w:val="4"/>
        </w:rPr>
        <w:t>两组症状改善情况比较（</w:t>
      </w:r>
      <w:r>
        <w:rPr>
          <w:color w:val="231F20"/>
          <w:spacing w:val="4"/>
        </w:rPr>
        <w:t>x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±s</w:t>
      </w:r>
      <w:r>
        <w:rPr>
          <w:sz w:val="16"/>
          <w:szCs w:val="16"/>
          <w:color w:val="231F20"/>
          <w:spacing w:val="4"/>
        </w:rPr>
        <w:t>） </w:t>
      </w:r>
      <w:r>
        <w:rPr>
          <w:sz w:val="16"/>
          <w:szCs w:val="16"/>
          <w:color w:val="231F20"/>
          <w:spacing w:val="3"/>
        </w:rPr>
        <w:t xml:space="preserve">            </w:t>
      </w:r>
      <w:r>
        <w:rPr>
          <w:color w:val="231F20"/>
          <w:spacing w:val="3"/>
        </w:rPr>
        <w:t>h</w:t>
      </w:r>
    </w:p>
    <w:tbl>
      <w:tblPr>
        <w:tblStyle w:val="TableNormal"/>
        <w:tblW w:w="4784" w:type="dxa"/>
        <w:tblInd w:w="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9"/>
        <w:gridCol w:w="417"/>
        <w:gridCol w:w="1152"/>
        <w:gridCol w:w="1170"/>
        <w:gridCol w:w="1186"/>
      </w:tblGrid>
      <w:tr>
        <w:trPr>
          <w:trHeight w:val="242" w:hRule="atLeast"/>
        </w:trPr>
        <w:tc>
          <w:tcPr>
            <w:tcW w:w="85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303"/>
              <w:spacing w:before="38" w:line="180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41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07"/>
              <w:spacing w:before="62" w:line="158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152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04"/>
              <w:spacing w:before="38" w:line="180" w:lineRule="auto"/>
              <w:rPr/>
            </w:pPr>
            <w:r>
              <w:rPr>
                <w:color w:val="231F20"/>
                <w:spacing w:val="8"/>
              </w:rPr>
              <w:t>腹痛消失时间</w:t>
            </w:r>
          </w:p>
        </w:tc>
        <w:tc>
          <w:tcPr>
            <w:tcW w:w="117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09"/>
              <w:spacing w:before="38" w:line="180" w:lineRule="auto"/>
              <w:rPr/>
            </w:pPr>
            <w:r>
              <w:rPr>
                <w:color w:val="231F20"/>
                <w:spacing w:val="8"/>
              </w:rPr>
              <w:t>腹泻消失时间</w:t>
            </w:r>
          </w:p>
        </w:tc>
        <w:tc>
          <w:tcPr>
            <w:tcW w:w="118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23"/>
              <w:spacing w:before="38" w:line="180" w:lineRule="auto"/>
              <w:rPr/>
            </w:pPr>
            <w:r>
              <w:rPr>
                <w:color w:val="231F20"/>
                <w:spacing w:val="7"/>
              </w:rPr>
              <w:t>呕吐消失时间</w:t>
            </w:r>
          </w:p>
        </w:tc>
      </w:tr>
      <w:tr>
        <w:trPr>
          <w:trHeight w:val="240" w:hRule="atLeast"/>
        </w:trPr>
        <w:tc>
          <w:tcPr>
            <w:tcW w:w="85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2"/>
              <w:spacing w:before="42" w:line="175" w:lineRule="auto"/>
              <w:rPr/>
            </w:pPr>
            <w:r>
              <w:rPr>
                <w:color w:val="231F20"/>
                <w:spacing w:val="8"/>
              </w:rPr>
              <w:t>参考组</w:t>
            </w:r>
          </w:p>
        </w:tc>
        <w:tc>
          <w:tcPr>
            <w:tcW w:w="4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7"/>
              <w:spacing w:before="65" w:line="165" w:lineRule="exact"/>
              <w:rPr/>
            </w:pPr>
            <w:r>
              <w:rPr>
                <w:color w:val="231F20"/>
                <w:spacing w:val="-8"/>
                <w:position w:val="-1"/>
              </w:rPr>
              <w:t>65</w:t>
            </w:r>
          </w:p>
        </w:tc>
        <w:tc>
          <w:tcPr>
            <w:tcW w:w="115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2"/>
              <w:spacing w:before="65" w:line="165" w:lineRule="exact"/>
              <w:rPr/>
            </w:pPr>
            <w:r>
              <w:rPr>
                <w:color w:val="231F20"/>
                <w:spacing w:val="-8"/>
                <w:position w:val="-1"/>
              </w:rPr>
              <w:t>22.02±1.63</w:t>
            </w:r>
          </w:p>
        </w:tc>
        <w:tc>
          <w:tcPr>
            <w:tcW w:w="117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6"/>
              <w:spacing w:before="65" w:line="165" w:lineRule="exact"/>
              <w:rPr/>
            </w:pPr>
            <w:r>
              <w:rPr>
                <w:color w:val="231F20"/>
                <w:spacing w:val="-8"/>
                <w:position w:val="-1"/>
              </w:rPr>
              <w:t>20.02±1.71</w:t>
            </w:r>
          </w:p>
        </w:tc>
        <w:tc>
          <w:tcPr>
            <w:tcW w:w="118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6"/>
              <w:spacing w:before="65" w:line="165" w:lineRule="exact"/>
              <w:rPr/>
            </w:pPr>
            <w:r>
              <w:rPr>
                <w:color w:val="231F20"/>
                <w:spacing w:val="-9"/>
                <w:position w:val="-1"/>
              </w:rPr>
              <w:t>19.32±1.91</w:t>
            </w:r>
          </w:p>
        </w:tc>
      </w:tr>
      <w:tr>
        <w:trPr>
          <w:trHeight w:val="253" w:hRule="atLeast"/>
        </w:trPr>
        <w:tc>
          <w:tcPr>
            <w:tcW w:w="8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/>
              <w:spacing w:before="57" w:line="173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4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7"/>
              <w:spacing w:before="80" w:line="163" w:lineRule="exact"/>
              <w:rPr/>
            </w:pPr>
            <w:r>
              <w:rPr>
                <w:color w:val="231F20"/>
                <w:spacing w:val="-8"/>
                <w:position w:val="-1"/>
              </w:rPr>
              <w:t>65</w:t>
            </w:r>
          </w:p>
        </w:tc>
        <w:tc>
          <w:tcPr>
            <w:tcW w:w="11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5"/>
              <w:spacing w:before="80" w:line="163" w:lineRule="exact"/>
              <w:rPr/>
            </w:pPr>
            <w:r>
              <w:rPr>
                <w:color w:val="231F20"/>
                <w:spacing w:val="-9"/>
                <w:position w:val="-1"/>
              </w:rPr>
              <w:t>11.70±1.25</w:t>
            </w:r>
          </w:p>
        </w:tc>
        <w:tc>
          <w:tcPr>
            <w:tcW w:w="11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0"/>
              <w:spacing w:before="80" w:line="163" w:lineRule="exact"/>
              <w:rPr/>
            </w:pPr>
            <w:r>
              <w:rPr>
                <w:color w:val="231F20"/>
                <w:spacing w:val="-9"/>
                <w:position w:val="-1"/>
              </w:rPr>
              <w:t>10.70±1.47</w:t>
            </w:r>
          </w:p>
        </w:tc>
        <w:tc>
          <w:tcPr>
            <w:tcW w:w="11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6"/>
              <w:spacing w:before="80" w:line="163" w:lineRule="exact"/>
              <w:rPr/>
            </w:pPr>
            <w:r>
              <w:rPr>
                <w:color w:val="231F20"/>
                <w:spacing w:val="-8"/>
                <w:position w:val="-1"/>
              </w:rPr>
              <w:t>8.13±1.11</w:t>
            </w:r>
          </w:p>
        </w:tc>
      </w:tr>
      <w:tr>
        <w:trPr>
          <w:trHeight w:val="250" w:hRule="atLeast"/>
        </w:trPr>
        <w:tc>
          <w:tcPr>
            <w:tcW w:w="85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2"/>
              <w:spacing w:before="41" w:line="185" w:lineRule="auto"/>
              <w:rPr/>
            </w:pPr>
            <w:r>
              <w:rPr>
                <w:color w:val="231F20"/>
                <w:spacing w:val="-4"/>
              </w:rPr>
              <w:t>t 值</w:t>
            </w:r>
          </w:p>
        </w:tc>
        <w:tc>
          <w:tcPr>
            <w:tcW w:w="417" w:type="dxa"/>
            <w:vAlign w:val="top"/>
            <w:tcBorders>
              <w:top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5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2"/>
              <w:spacing w:before="72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40.50</w:t>
            </w:r>
          </w:p>
        </w:tc>
        <w:tc>
          <w:tcPr>
            <w:tcW w:w="117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2"/>
              <w:spacing w:before="72" w:line="167" w:lineRule="exact"/>
              <w:rPr/>
            </w:pPr>
            <w:r>
              <w:rPr>
                <w:color w:val="231F20"/>
                <w:spacing w:val="-7"/>
                <w:position w:val="-1"/>
              </w:rPr>
              <w:t>33.32</w:t>
            </w:r>
          </w:p>
        </w:tc>
        <w:tc>
          <w:tcPr>
            <w:tcW w:w="118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3"/>
              <w:spacing w:before="72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40.83</w:t>
            </w:r>
          </w:p>
        </w:tc>
      </w:tr>
      <w:tr>
        <w:trPr>
          <w:trHeight w:val="253" w:hRule="atLeast"/>
        </w:trPr>
        <w:tc>
          <w:tcPr>
            <w:tcW w:w="85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16"/>
              <w:spacing w:before="81" w:line="162" w:lineRule="exact"/>
              <w:rPr/>
            </w:pPr>
            <w:r>
              <w:rPr>
                <w:color w:val="231F20"/>
                <w:spacing w:val="6"/>
                <w:position w:val="-3"/>
              </w:rPr>
              <w:t>P</w:t>
            </w:r>
          </w:p>
        </w:tc>
        <w:tc>
          <w:tcPr>
            <w:tcW w:w="417" w:type="dxa"/>
            <w:vAlign w:val="top"/>
            <w:tcBorders>
              <w:bottom w:val="single" w:color="231F2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2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03"/>
              <w:spacing w:before="77" w:line="166" w:lineRule="exact"/>
              <w:rPr/>
            </w:pPr>
            <w:r>
              <w:rPr>
                <w:color w:val="231F20"/>
                <w:spacing w:val="-10"/>
                <w:position w:val="-1"/>
              </w:rPr>
              <w:t>&lt;0.05</w:t>
            </w:r>
          </w:p>
        </w:tc>
        <w:tc>
          <w:tcPr>
            <w:tcW w:w="117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08"/>
              <w:spacing w:before="77" w:line="166" w:lineRule="exact"/>
              <w:rPr/>
            </w:pPr>
            <w:r>
              <w:rPr>
                <w:color w:val="231F20"/>
                <w:spacing w:val="-10"/>
                <w:position w:val="-1"/>
              </w:rPr>
              <w:t>&lt;0.05</w:t>
            </w:r>
          </w:p>
        </w:tc>
        <w:tc>
          <w:tcPr>
            <w:tcW w:w="118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14"/>
              <w:spacing w:before="77" w:line="166" w:lineRule="exact"/>
              <w:rPr/>
            </w:pPr>
            <w:r>
              <w:rPr>
                <w:color w:val="231F20"/>
                <w:spacing w:val="-10"/>
                <w:position w:val="-1"/>
              </w:rPr>
              <w:t>&lt;0.05</w:t>
            </w:r>
          </w:p>
        </w:tc>
      </w:tr>
    </w:tbl>
    <w:p>
      <w:pPr>
        <w:pStyle w:val="BodyText"/>
        <w:ind w:left="43"/>
        <w:spacing w:before="95" w:line="190" w:lineRule="auto"/>
        <w:rPr>
          <w:sz w:val="16"/>
          <w:szCs w:val="16"/>
        </w:rPr>
      </w:pPr>
      <w:r>
        <w:rPr>
          <w:color w:val="231F20"/>
        </w:rPr>
        <w:t>2.3    </w:t>
      </w:r>
      <w:r>
        <w:rPr>
          <w:sz w:val="16"/>
          <w:szCs w:val="16"/>
          <w:color w:val="231F20"/>
        </w:rPr>
        <w:t>临床有效效果（见表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color w:val="231F20"/>
        </w:rPr>
        <w:t>3</w:t>
      </w:r>
      <w:r>
        <w:rPr>
          <w:sz w:val="16"/>
          <w:szCs w:val="16"/>
          <w:color w:val="231F20"/>
        </w:rPr>
        <w:t>）</w:t>
      </w:r>
    </w:p>
    <w:p>
      <w:pPr>
        <w:spacing w:line="190" w:lineRule="auto"/>
        <w:sectPr>
          <w:type w:val="continuous"/>
          <w:pgSz w:w="11905" w:h="16836"/>
          <w:pgMar w:top="400" w:right="905" w:bottom="1026" w:left="407" w:header="0" w:footer="740" w:gutter="0"/>
          <w:cols w:equalWidth="0" w:num="2">
            <w:col w:w="5610" w:space="100"/>
            <w:col w:w="4881" w:space="0"/>
          </w:cols>
        </w:sectPr>
        <w:rPr>
          <w:sz w:val="16"/>
          <w:szCs w:val="16"/>
        </w:rPr>
      </w:pPr>
    </w:p>
    <w:p>
      <w:pPr>
        <w:pStyle w:val="BodyText"/>
        <w:ind w:left="510"/>
        <w:spacing w:before="100" w:line="157" w:lineRule="auto"/>
        <w:rPr>
          <w:sz w:val="15"/>
          <w:szCs w:val="15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353060</wp:posOffset>
            </wp:positionH>
            <wp:positionV relativeFrom="paragraph">
              <wp:posOffset>-8869343</wp:posOffset>
            </wp:positionV>
            <wp:extent cx="63360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0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1"/>
        </w:rPr>
        <w:t>［作者简介］</w:t>
      </w:r>
      <w:r>
        <w:rPr>
          <w:sz w:val="15"/>
          <w:szCs w:val="15"/>
          <w:color w:val="231F20"/>
          <w:spacing w:val="-1"/>
        </w:rPr>
        <w:t>谢芳芳，女，主管护师，从事中医护理工作</w:t>
      </w:r>
    </w:p>
    <w:p>
      <w:pPr>
        <w:spacing w:line="157" w:lineRule="auto"/>
        <w:sectPr>
          <w:type w:val="continuous"/>
          <w:pgSz w:w="11905" w:h="16836"/>
          <w:pgMar w:top="400" w:right="905" w:bottom="1026" w:left="407" w:header="0" w:footer="740" w:gutter="0"/>
          <w:cols w:equalWidth="0" w:num="1">
            <w:col w:w="10591" w:space="0"/>
          </w:cols>
        </w:sectPr>
        <w:rPr>
          <w:sz w:val="15"/>
          <w:szCs w:val="15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5"/>
          <w:footerReference w:type="default" r:id="rId6"/>
          <w:pgSz w:w="11905" w:h="16836"/>
          <w:pgMar w:top="1552" w:right="952" w:bottom="1024" w:left="407" w:header="1083" w:footer="782" w:gutter="0"/>
          <w:cols w:equalWidth="0" w:num="1">
            <w:col w:w="10544" w:space="0"/>
          </w:cols>
        </w:sectPr>
        <w:rPr/>
      </w:pPr>
    </w:p>
    <w:p>
      <w:pPr>
        <w:pStyle w:val="BodyText"/>
        <w:ind w:left="1821"/>
        <w:spacing w:before="49" w:line="188" w:lineRule="auto"/>
        <w:outlineLvl w:val="0"/>
        <w:rPr>
          <w:sz w:val="16"/>
          <w:szCs w:val="16"/>
        </w:rPr>
      </w:pPr>
      <w:r>
        <w:pict>
          <v:shape id="_x0000_s12" style="position:absolute;margin-left:257.36pt;margin-top:1.98046pt;mso-position-vertical-relative:text;mso-position-horizontal-relative:text;width:10.05pt;height:12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例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11"/>
        </w:rPr>
        <w:t>表 </w:t>
      </w:r>
      <w:r>
        <w:rPr>
          <w:color w:val="231F20"/>
          <w:spacing w:val="11"/>
        </w:rPr>
        <w:t>3</w:t>
      </w:r>
      <w:r>
        <w:rPr>
          <w:color w:val="231F20"/>
          <w:spacing w:val="15"/>
          <w:w w:val="101"/>
        </w:rPr>
        <w:t xml:space="preserve">   </w:t>
      </w:r>
      <w:r>
        <w:rPr>
          <w:sz w:val="16"/>
          <w:szCs w:val="16"/>
          <w:color w:val="231F20"/>
          <w:spacing w:val="11"/>
        </w:rPr>
        <w:t>两组临床有效率比较</w:t>
      </w:r>
    </w:p>
    <w:p>
      <w:pPr>
        <w:spacing w:line="53" w:lineRule="exact"/>
        <w:rPr/>
      </w:pPr>
      <w:r/>
    </w:p>
    <w:tbl>
      <w:tblPr>
        <w:tblStyle w:val="TableNormal"/>
        <w:tblW w:w="4913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0"/>
        <w:gridCol w:w="690"/>
        <w:gridCol w:w="875"/>
        <w:gridCol w:w="794"/>
        <w:gridCol w:w="646"/>
        <w:gridCol w:w="1058"/>
      </w:tblGrid>
      <w:tr>
        <w:trPr>
          <w:trHeight w:val="242" w:hRule="atLeast"/>
        </w:trPr>
        <w:tc>
          <w:tcPr>
            <w:tcW w:w="85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0"/>
              <w:spacing w:before="37" w:line="181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69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82"/>
              <w:spacing w:before="62" w:line="158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87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304"/>
              <w:spacing w:before="30" w:line="188" w:lineRule="auto"/>
              <w:rPr/>
            </w:pPr>
            <w:r>
              <w:rPr>
                <w:color w:val="231F20"/>
                <w:spacing w:val="7"/>
              </w:rPr>
              <w:t>显效</w:t>
            </w:r>
          </w:p>
        </w:tc>
        <w:tc>
          <w:tcPr>
            <w:tcW w:w="79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62"/>
              <w:spacing w:before="37" w:line="181" w:lineRule="auto"/>
              <w:rPr/>
            </w:pPr>
            <w:r>
              <w:rPr>
                <w:color w:val="231F20"/>
                <w:spacing w:val="7"/>
              </w:rPr>
              <w:t>有效</w:t>
            </w:r>
          </w:p>
        </w:tc>
        <w:tc>
          <w:tcPr>
            <w:tcW w:w="64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3"/>
              <w:spacing w:before="37" w:line="181" w:lineRule="auto"/>
              <w:rPr/>
            </w:pPr>
            <w:r>
              <w:rPr>
                <w:color w:val="231F20"/>
                <w:spacing w:val="8"/>
              </w:rPr>
              <w:t>无效</w:t>
            </w:r>
          </w:p>
        </w:tc>
        <w:tc>
          <w:tcPr>
            <w:tcW w:w="105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spacing w:before="30" w:line="188" w:lineRule="auto"/>
              <w:jc w:val="right"/>
              <w:rPr/>
            </w:pPr>
            <w:r>
              <w:rPr>
                <w:color w:val="231F20"/>
                <w:spacing w:val="-10"/>
                <w:w w:val="98"/>
              </w:rPr>
              <w:t>总有效率（%）</w:t>
            </w:r>
          </w:p>
        </w:tc>
      </w:tr>
      <w:tr>
        <w:trPr>
          <w:trHeight w:val="238" w:hRule="atLeast"/>
        </w:trPr>
        <w:tc>
          <w:tcPr>
            <w:tcW w:w="85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9"/>
              <w:spacing w:before="41" w:line="174" w:lineRule="auto"/>
              <w:rPr/>
            </w:pPr>
            <w:r>
              <w:rPr>
                <w:color w:val="231F20"/>
                <w:spacing w:val="8"/>
              </w:rPr>
              <w:t>参考组</w:t>
            </w:r>
          </w:p>
        </w:tc>
        <w:tc>
          <w:tcPr>
            <w:tcW w:w="69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3"/>
              <w:spacing w:before="65" w:line="163" w:lineRule="exact"/>
              <w:rPr/>
            </w:pPr>
            <w:r>
              <w:rPr>
                <w:color w:val="231F20"/>
                <w:spacing w:val="-6"/>
                <w:position w:val="1"/>
              </w:rPr>
              <w:t>65</w:t>
            </w:r>
          </w:p>
        </w:tc>
        <w:tc>
          <w:tcPr>
            <w:tcW w:w="87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82"/>
              <w:spacing w:before="65" w:line="163" w:lineRule="exact"/>
              <w:rPr/>
            </w:pPr>
            <w:r>
              <w:rPr>
                <w:color w:val="231F20"/>
                <w:spacing w:val="-5"/>
                <w:position w:val="-3"/>
              </w:rPr>
              <w:t>40</w:t>
            </w:r>
          </w:p>
        </w:tc>
        <w:tc>
          <w:tcPr>
            <w:tcW w:w="79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55"/>
              <w:spacing w:before="65" w:line="163" w:lineRule="exact"/>
              <w:rPr/>
            </w:pPr>
            <w:r>
              <w:rPr>
                <w:color w:val="231F20"/>
                <w:spacing w:val="-9"/>
                <w:position w:val="-3"/>
              </w:rPr>
              <w:t>10</w:t>
            </w:r>
          </w:p>
        </w:tc>
        <w:tc>
          <w:tcPr>
            <w:tcW w:w="64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8"/>
              <w:spacing w:before="65" w:line="163" w:lineRule="exact"/>
              <w:rPr/>
            </w:pPr>
            <w:r>
              <w:rPr>
                <w:color w:val="231F20"/>
                <w:spacing w:val="-9"/>
                <w:position w:val="1"/>
              </w:rPr>
              <w:t>15</w:t>
            </w:r>
          </w:p>
        </w:tc>
        <w:tc>
          <w:tcPr>
            <w:tcW w:w="105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91"/>
              <w:spacing w:before="65" w:line="163" w:lineRule="exact"/>
              <w:rPr/>
            </w:pPr>
            <w:r>
              <w:rPr>
                <w:color w:val="231F20"/>
                <w:spacing w:val="-6"/>
                <w:position w:val="-3"/>
              </w:rPr>
              <w:t>76.92</w:t>
            </w:r>
          </w:p>
        </w:tc>
      </w:tr>
      <w:tr>
        <w:trPr>
          <w:trHeight w:val="253" w:hRule="atLeast"/>
        </w:trPr>
        <w:tc>
          <w:tcPr>
            <w:tcW w:w="8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8"/>
              <w:spacing w:before="58" w:line="172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6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3"/>
              <w:spacing w:before="82" w:line="161" w:lineRule="exact"/>
              <w:rPr/>
            </w:pPr>
            <w:r>
              <w:rPr>
                <w:color w:val="231F20"/>
                <w:spacing w:val="-6"/>
                <w:position w:val="1"/>
              </w:rPr>
              <w:t>65</w:t>
            </w:r>
          </w:p>
        </w:tc>
        <w:tc>
          <w:tcPr>
            <w:tcW w:w="8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2"/>
              <w:spacing w:before="82" w:line="161" w:lineRule="exact"/>
              <w:rPr/>
            </w:pPr>
            <w:r>
              <w:rPr>
                <w:color w:val="231F20"/>
                <w:spacing w:val="-5"/>
                <w:position w:val="-3"/>
              </w:rPr>
              <w:t>45</w:t>
            </w:r>
          </w:p>
        </w:tc>
        <w:tc>
          <w:tcPr>
            <w:tcW w:w="7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5"/>
              <w:spacing w:before="82" w:line="161" w:lineRule="exact"/>
              <w:rPr/>
            </w:pPr>
            <w:r>
              <w:rPr>
                <w:color w:val="231F20"/>
                <w:spacing w:val="-9"/>
                <w:position w:val="1"/>
              </w:rPr>
              <w:t>15</w:t>
            </w:r>
          </w:p>
        </w:tc>
        <w:tc>
          <w:tcPr>
            <w:tcW w:w="6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6"/>
              <w:spacing w:before="82" w:line="161" w:lineRule="exact"/>
              <w:rPr/>
            </w:pPr>
            <w:r>
              <w:rPr>
                <w:color w:val="231F20"/>
                <w:position w:val="-3"/>
              </w:rPr>
              <w:t>5</w:t>
            </w:r>
          </w:p>
        </w:tc>
        <w:tc>
          <w:tcPr>
            <w:tcW w:w="10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2"/>
              <w:spacing w:before="82" w:line="161" w:lineRule="exact"/>
              <w:rPr/>
            </w:pPr>
            <w:r>
              <w:rPr>
                <w:color w:val="231F20"/>
                <w:spacing w:val="-6"/>
                <w:position w:val="-3"/>
              </w:rPr>
              <w:t>92.30</w:t>
            </w:r>
          </w:p>
        </w:tc>
      </w:tr>
      <w:tr>
        <w:trPr>
          <w:trHeight w:val="504" w:hRule="atLeast"/>
        </w:trPr>
        <w:tc>
          <w:tcPr>
            <w:tcW w:w="4913" w:type="dxa"/>
            <w:vAlign w:val="top"/>
            <w:gridSpan w:val="6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184"/>
              <w:spacing w:before="47" w:line="177" w:lineRule="auto"/>
              <w:rPr/>
            </w:pPr>
            <w:r>
              <w:rPr>
                <w:sz w:val="17"/>
                <w:szCs w:val="17"/>
                <w:color w:val="231F20"/>
                <w:spacing w:val="-1"/>
              </w:rPr>
              <w:t>χ</w:t>
            </w:r>
            <w:r>
              <w:rPr>
                <w:sz w:val="10"/>
                <w:szCs w:val="10"/>
                <w:color w:val="231F20"/>
                <w:spacing w:val="-1"/>
                <w:position w:val="5"/>
              </w:rPr>
              <w:t>2</w:t>
            </w:r>
            <w:r>
              <w:rPr>
                <w:sz w:val="10"/>
                <w:szCs w:val="10"/>
                <w:color w:val="231F20"/>
                <w:spacing w:val="20"/>
                <w:w w:val="103"/>
                <w:position w:val="5"/>
              </w:rPr>
              <w:t xml:space="preserve"> </w:t>
            </w:r>
            <w:r>
              <w:rPr>
                <w:color w:val="231F20"/>
                <w:spacing w:val="-1"/>
              </w:rPr>
              <w:t>值                                                                                      5.90</w:t>
            </w:r>
          </w:p>
          <w:p>
            <w:pPr>
              <w:pStyle w:val="TableText"/>
              <w:ind w:left="331"/>
              <w:spacing w:before="67" w:line="164" w:lineRule="exact"/>
              <w:rPr/>
            </w:pPr>
            <w:r>
              <w:rPr>
                <w:color w:val="231F20"/>
                <w:spacing w:val="-7"/>
                <w:position w:val="2"/>
              </w:rPr>
              <w:t>P</w:t>
            </w:r>
            <w:r>
              <w:rPr>
                <w:color w:val="231F20"/>
                <w:position w:val="2"/>
              </w:rPr>
              <w:t xml:space="preserve">                                                                                      </w:t>
            </w:r>
            <w:r>
              <w:rPr>
                <w:color w:val="231F20"/>
                <w:spacing w:val="-7"/>
                <w:position w:val="2"/>
              </w:rPr>
              <w:t>&lt;0.05</w:t>
            </w:r>
          </w:p>
        </w:tc>
      </w:tr>
    </w:tbl>
    <w:p>
      <w:pPr>
        <w:pStyle w:val="BodyText"/>
        <w:ind w:left="560"/>
        <w:spacing w:before="39" w:line="190" w:lineRule="auto"/>
        <w:rPr>
          <w:sz w:val="16"/>
          <w:szCs w:val="16"/>
        </w:rPr>
      </w:pPr>
      <w:r>
        <w:rPr>
          <w:color w:val="231F20"/>
          <w:spacing w:val="5"/>
        </w:rPr>
        <w:t>2.4</w:t>
      </w:r>
      <w:r>
        <w:rPr>
          <w:color w:val="231F20"/>
          <w:spacing w:val="2"/>
        </w:rPr>
        <w:t xml:space="preserve">    </w:t>
      </w:r>
      <w:r>
        <w:rPr>
          <w:sz w:val="16"/>
          <w:szCs w:val="16"/>
          <w:color w:val="231F20"/>
          <w:spacing w:val="5"/>
        </w:rPr>
        <w:t>两组不良反应发生率比较（见表 </w:t>
      </w:r>
      <w:r>
        <w:rPr>
          <w:color w:val="231F20"/>
          <w:spacing w:val="5"/>
        </w:rPr>
        <w:t>4</w:t>
      </w:r>
      <w:r>
        <w:rPr>
          <w:sz w:val="16"/>
          <w:szCs w:val="16"/>
          <w:color w:val="231F20"/>
          <w:spacing w:val="5"/>
        </w:rPr>
        <w:t>）</w:t>
      </w:r>
    </w:p>
    <w:p>
      <w:pPr>
        <w:pStyle w:val="BodyText"/>
        <w:ind w:left="1821"/>
        <w:spacing w:before="40" w:line="179" w:lineRule="auto"/>
        <w:outlineLvl w:val="0"/>
        <w:rPr>
          <w:sz w:val="16"/>
          <w:szCs w:val="16"/>
        </w:rPr>
      </w:pPr>
      <w:r>
        <w:pict>
          <v:shape id="_x0000_s14" style="position:absolute;margin-left:257.367pt;margin-top:1.46946pt;mso-position-vertical-relative:text;mso-position-horizontal-relative:text;width:10.05pt;height:12.4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例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13"/>
        </w:rPr>
        <w:t>表 </w:t>
      </w:r>
      <w:r>
        <w:rPr>
          <w:color w:val="231F20"/>
          <w:spacing w:val="13"/>
        </w:rPr>
        <w:t>4</w:t>
      </w:r>
      <w:r>
        <w:rPr>
          <w:color w:val="231F20"/>
          <w:spacing w:val="15"/>
        </w:rPr>
        <w:t xml:space="preserve">   </w:t>
      </w:r>
      <w:r>
        <w:rPr>
          <w:sz w:val="16"/>
          <w:szCs w:val="16"/>
          <w:color w:val="231F20"/>
          <w:spacing w:val="13"/>
        </w:rPr>
        <w:t>两组不良反应发生率情况比较</w:t>
      </w:r>
    </w:p>
    <w:tbl>
      <w:tblPr>
        <w:tblStyle w:val="TableNormal"/>
        <w:tblW w:w="4913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1"/>
        <w:gridCol w:w="694"/>
        <w:gridCol w:w="870"/>
        <w:gridCol w:w="831"/>
        <w:gridCol w:w="723"/>
        <w:gridCol w:w="944"/>
      </w:tblGrid>
      <w:tr>
        <w:trPr>
          <w:trHeight w:val="242" w:hRule="atLeast"/>
        </w:trPr>
        <w:tc>
          <w:tcPr>
            <w:tcW w:w="85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0"/>
              <w:spacing w:before="38" w:line="180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69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81"/>
              <w:spacing w:before="62" w:line="158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87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307"/>
              <w:spacing w:before="48" w:line="171" w:lineRule="auto"/>
              <w:rPr/>
            </w:pPr>
            <w:r>
              <w:rPr>
                <w:color w:val="231F20"/>
                <w:spacing w:val="3"/>
              </w:rPr>
              <w:t>呕吐</w:t>
            </w:r>
          </w:p>
        </w:tc>
        <w:tc>
          <w:tcPr>
            <w:tcW w:w="83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62"/>
              <w:spacing w:before="38" w:line="180" w:lineRule="auto"/>
              <w:rPr/>
            </w:pPr>
            <w:r>
              <w:rPr>
                <w:color w:val="231F20"/>
                <w:spacing w:val="7"/>
              </w:rPr>
              <w:t>疼痛</w:t>
            </w:r>
          </w:p>
        </w:tc>
        <w:tc>
          <w:tcPr>
            <w:tcW w:w="723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63"/>
              <w:spacing w:before="38" w:line="180" w:lineRule="auto"/>
              <w:rPr/>
            </w:pPr>
            <w:r>
              <w:rPr>
                <w:color w:val="231F20"/>
                <w:spacing w:val="7"/>
              </w:rPr>
              <w:t>皮疹</w:t>
            </w:r>
          </w:p>
        </w:tc>
        <w:tc>
          <w:tcPr>
            <w:tcW w:w="94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spacing w:before="30" w:line="188" w:lineRule="auto"/>
              <w:jc w:val="right"/>
              <w:rPr/>
            </w:pPr>
            <w:r>
              <w:rPr>
                <w:color w:val="231F20"/>
                <w:spacing w:val="-12"/>
                <w:w w:val="98"/>
              </w:rPr>
              <w:t>发生率（%）</w:t>
            </w:r>
          </w:p>
        </w:tc>
      </w:tr>
      <w:tr>
        <w:trPr>
          <w:trHeight w:val="238" w:hRule="atLeast"/>
        </w:trPr>
        <w:tc>
          <w:tcPr>
            <w:tcW w:w="8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9"/>
              <w:spacing w:before="41" w:line="174" w:lineRule="auto"/>
              <w:rPr/>
            </w:pPr>
            <w:r>
              <w:rPr>
                <w:color w:val="231F20"/>
                <w:spacing w:val="8"/>
              </w:rPr>
              <w:t>参考组</w:t>
            </w:r>
          </w:p>
        </w:tc>
        <w:tc>
          <w:tcPr>
            <w:tcW w:w="69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2"/>
              <w:spacing w:before="65" w:line="163" w:lineRule="exact"/>
              <w:rPr/>
            </w:pPr>
            <w:r>
              <w:rPr>
                <w:color w:val="231F20"/>
                <w:spacing w:val="-6"/>
                <w:position w:val="1"/>
              </w:rPr>
              <w:t>65</w:t>
            </w:r>
          </w:p>
        </w:tc>
        <w:tc>
          <w:tcPr>
            <w:tcW w:w="87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8"/>
              <w:spacing w:before="65" w:line="163" w:lineRule="exact"/>
              <w:rPr/>
            </w:pPr>
            <w:r>
              <w:rPr>
                <w:color w:val="231F20"/>
                <w:position w:val="-3"/>
              </w:rPr>
              <w:t>0</w:t>
            </w:r>
          </w:p>
        </w:tc>
        <w:tc>
          <w:tcPr>
            <w:tcW w:w="83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94"/>
              <w:spacing w:before="65" w:line="163" w:lineRule="exact"/>
              <w:rPr/>
            </w:pPr>
            <w:r>
              <w:rPr>
                <w:color w:val="231F20"/>
                <w:position w:val="-3"/>
              </w:rPr>
              <w:t>1</w:t>
            </w:r>
          </w:p>
        </w:tc>
        <w:tc>
          <w:tcPr>
            <w:tcW w:w="72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81"/>
              <w:spacing w:before="65" w:line="163" w:lineRule="exact"/>
              <w:rPr/>
            </w:pPr>
            <w:r>
              <w:rPr>
                <w:color w:val="231F20"/>
                <w:position w:val="-3"/>
              </w:rPr>
              <w:t>0</w:t>
            </w:r>
          </w:p>
        </w:tc>
        <w:tc>
          <w:tcPr>
            <w:tcW w:w="94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6"/>
              <w:spacing w:before="65" w:line="163" w:lineRule="exact"/>
              <w:rPr/>
            </w:pPr>
            <w:r>
              <w:rPr>
                <w:color w:val="231F20"/>
                <w:spacing w:val="-8"/>
                <w:position w:val="-3"/>
              </w:rPr>
              <w:t>1.53</w:t>
            </w:r>
          </w:p>
        </w:tc>
      </w:tr>
      <w:tr>
        <w:trPr>
          <w:trHeight w:val="253" w:hRule="atLeast"/>
        </w:trPr>
        <w:tc>
          <w:tcPr>
            <w:tcW w:w="8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8"/>
              <w:spacing w:before="58" w:line="172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6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2"/>
              <w:spacing w:before="83" w:line="160" w:lineRule="exact"/>
              <w:rPr/>
            </w:pPr>
            <w:r>
              <w:rPr>
                <w:color w:val="231F20"/>
                <w:spacing w:val="-6"/>
                <w:position w:val="1"/>
              </w:rPr>
              <w:t>65</w:t>
            </w:r>
          </w:p>
        </w:tc>
        <w:tc>
          <w:tcPr>
            <w:tcW w:w="8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19"/>
              <w:spacing w:before="83" w:line="160" w:lineRule="exact"/>
              <w:rPr/>
            </w:pPr>
            <w:r>
              <w:rPr>
                <w:color w:val="231F20"/>
                <w:position w:val="-3"/>
              </w:rPr>
              <w:t>2</w:t>
            </w:r>
          </w:p>
        </w:tc>
        <w:tc>
          <w:tcPr>
            <w:tcW w:w="8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4"/>
              <w:spacing w:before="83" w:line="160" w:lineRule="exact"/>
              <w:rPr/>
            </w:pPr>
            <w:r>
              <w:rPr>
                <w:color w:val="231F20"/>
                <w:position w:val="-3"/>
              </w:rPr>
              <w:t>1</w:t>
            </w:r>
          </w:p>
        </w:tc>
        <w:tc>
          <w:tcPr>
            <w:tcW w:w="7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6"/>
              <w:spacing w:before="83" w:line="160" w:lineRule="exact"/>
              <w:rPr/>
            </w:pPr>
            <w:r>
              <w:rPr>
                <w:color w:val="231F20"/>
                <w:position w:val="-3"/>
              </w:rPr>
              <w:t>1</w:t>
            </w:r>
          </w:p>
        </w:tc>
        <w:tc>
          <w:tcPr>
            <w:tcW w:w="9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4"/>
              <w:spacing w:before="83" w:line="160" w:lineRule="exact"/>
              <w:rPr/>
            </w:pPr>
            <w:r>
              <w:rPr>
                <w:color w:val="231F20"/>
                <w:spacing w:val="-6"/>
                <w:position w:val="-3"/>
              </w:rPr>
              <w:t>6.15</w:t>
            </w:r>
          </w:p>
        </w:tc>
      </w:tr>
      <w:tr>
        <w:trPr>
          <w:trHeight w:val="504" w:hRule="atLeast"/>
        </w:trPr>
        <w:tc>
          <w:tcPr>
            <w:tcW w:w="4913" w:type="dxa"/>
            <w:vAlign w:val="top"/>
            <w:gridSpan w:val="6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184"/>
              <w:spacing w:before="48" w:line="177" w:lineRule="auto"/>
              <w:rPr/>
            </w:pPr>
            <w:r>
              <w:rPr>
                <w:sz w:val="17"/>
                <w:szCs w:val="17"/>
                <w:color w:val="231F20"/>
                <w:spacing w:val="-4"/>
              </w:rPr>
              <w:t>χ</w:t>
            </w:r>
            <w:r>
              <w:rPr>
                <w:sz w:val="10"/>
                <w:szCs w:val="10"/>
                <w:color w:val="231F20"/>
                <w:spacing w:val="-4"/>
                <w:position w:val="5"/>
              </w:rPr>
              <w:t>2</w:t>
            </w:r>
            <w:r>
              <w:rPr>
                <w:sz w:val="10"/>
                <w:szCs w:val="10"/>
                <w:color w:val="231F20"/>
                <w:spacing w:val="9"/>
                <w:w w:val="101"/>
                <w:position w:val="5"/>
              </w:rPr>
              <w:t xml:space="preserve"> </w:t>
            </w:r>
            <w:r>
              <w:rPr>
                <w:color w:val="231F20"/>
                <w:spacing w:val="-4"/>
              </w:rPr>
              <w:t>值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 xml:space="preserve">                                                              </w:t>
            </w:r>
            <w:r>
              <w:rPr>
                <w:color w:val="231F20"/>
                <w:spacing w:val="-4"/>
              </w:rPr>
              <w:t>1.87</w:t>
            </w:r>
          </w:p>
          <w:p>
            <w:pPr>
              <w:pStyle w:val="TableText"/>
              <w:ind w:left="331"/>
              <w:spacing w:before="67" w:line="163" w:lineRule="exact"/>
              <w:rPr/>
            </w:pPr>
            <w:r>
              <w:rPr>
                <w:color w:val="231F20"/>
                <w:spacing w:val="-7"/>
                <w:position w:val="2"/>
              </w:rPr>
              <w:t>P</w:t>
            </w:r>
            <w:r>
              <w:rPr>
                <w:color w:val="231F20"/>
                <w:spacing w:val="1"/>
                <w:position w:val="2"/>
              </w:rPr>
              <w:t xml:space="preserve">                                </w:t>
            </w:r>
            <w:r>
              <w:rPr>
                <w:color w:val="231F20"/>
                <w:position w:val="2"/>
              </w:rPr>
              <w:t xml:space="preserve">                                                       </w:t>
            </w:r>
            <w:r>
              <w:rPr>
                <w:color w:val="231F20"/>
                <w:spacing w:val="-7"/>
                <w:position w:val="2"/>
              </w:rPr>
              <w:t>&lt;0.05</w:t>
            </w:r>
          </w:p>
        </w:tc>
      </w:tr>
    </w:tbl>
    <w:p>
      <w:pPr>
        <w:pStyle w:val="BodyText"/>
        <w:ind w:left="563"/>
        <w:spacing w:before="102" w:line="191" w:lineRule="auto"/>
        <w:rPr>
          <w:sz w:val="16"/>
          <w:szCs w:val="16"/>
        </w:rPr>
      </w:pPr>
      <w:r>
        <w:rPr>
          <w:color w:val="231F20"/>
          <w:spacing w:val="-1"/>
        </w:rPr>
        <w:t>3</w:t>
      </w:r>
      <w:r>
        <w:rPr>
          <w:color w:val="231F20"/>
          <w:spacing w:val="13"/>
          <w:w w:val="101"/>
        </w:rPr>
        <w:t xml:space="preserve">   </w:t>
      </w:r>
      <w:r>
        <w:rPr>
          <w:sz w:val="16"/>
          <w:szCs w:val="16"/>
          <w:color w:val="231F20"/>
          <w:spacing w:val="-1"/>
        </w:rPr>
        <w:t>讨论</w:t>
      </w:r>
    </w:p>
    <w:p>
      <w:pPr>
        <w:pStyle w:val="BodyText"/>
        <w:ind w:left="557" w:right="203" w:firstLine="376"/>
        <w:spacing w:before="30" w:line="222" w:lineRule="auto"/>
        <w:jc w:val="both"/>
        <w:rPr/>
      </w:pPr>
      <w:r>
        <w:rPr>
          <w:color w:val="231F20"/>
          <w:spacing w:val="1"/>
        </w:rPr>
        <w:t>中医学认为，急性胃肠炎病因是由于饮食不洁、食物积滞、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消化不良等，导致的脾胃不畅，表现为腹痛以及腹泻等症状，故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治疗时，宜以温通经脉和清热止泻为主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。与传统的治疗方法和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护理方法相比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中医疗法可以明显加速急性胃肠炎症状缓解，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并能有效提高治疗效果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sz w:val="10"/>
          <w:szCs w:val="10"/>
          <w:color w:val="231F20"/>
          <w:spacing w:val="-1"/>
          <w:position w:val="6"/>
        </w:rPr>
        <w:t>4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557" w:right="203" w:firstLine="357"/>
        <w:spacing w:before="4" w:line="222" w:lineRule="auto"/>
        <w:jc w:val="both"/>
        <w:rPr/>
      </w:pPr>
      <w:r>
        <w:rPr>
          <w:color w:val="231F20"/>
          <w:spacing w:val="6"/>
        </w:rPr>
        <w:t>本研究显示，试验组治疗总有效率高于参考组，症状改善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时间短于参考组，</w:t>
      </w:r>
      <w:r>
        <w:rPr>
          <w:color w:val="231F20"/>
        </w:rPr>
        <w:t>VAS</w:t>
      </w:r>
      <w:r>
        <w:rPr>
          <w:color w:val="231F20"/>
          <w:spacing w:val="4"/>
        </w:rPr>
        <w:t xml:space="preserve"> 疼痛评分低于参考组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。提示耳穴压豆配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合中药热庵包中医护理措施联合应用,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8"/>
        </w:rPr>
        <w:t>能有效地缓解急性胃肠</w:t>
      </w:r>
      <w:r>
        <w:rPr>
          <w:color w:val="231F20"/>
        </w:rPr>
        <w:t xml:space="preserve">  </w:t>
      </w:r>
      <w:r>
        <w:rPr>
          <w:color w:val="231F20"/>
        </w:rPr>
        <w:t>炎的疼痛，促进患者的恢复，缩短患者的病情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。究</w:t>
      </w:r>
      <w:r>
        <w:rPr>
          <w:color w:val="231F20"/>
          <w:spacing w:val="-1"/>
        </w:rPr>
        <w:t>其原因，可能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是急性胃肠炎是引起肠道菌群紊乱、肠蠕动、分泌增多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。腹痛、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腹泻、恶心、呕吐、发热等是常见表现，腹痛以阵发性绞痛</w:t>
      </w:r>
      <w:r>
        <w:rPr>
          <w:color w:val="231F20"/>
          <w:spacing w:val="-4"/>
        </w:rPr>
        <w:t>为主。</w:t>
      </w:r>
      <w:r>
        <w:rPr>
          <w:color w:val="231F20"/>
        </w:rPr>
        <w:t xml:space="preserve"> </w:t>
      </w:r>
      <w:r>
        <w:rPr>
          <w:color w:val="231F20"/>
        </w:rPr>
        <w:t>患者可有疼痛、没有反跳、肠鸣、白细胞增多等症</w:t>
      </w:r>
      <w:r>
        <w:rPr>
          <w:color w:val="231F20"/>
          <w:spacing w:val="-1"/>
        </w:rPr>
        <w:t>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。由于细菌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感染是急性胃肠炎的主要病因，所以应采取抗感染、制</w:t>
      </w:r>
      <w:r>
        <w:rPr>
          <w:color w:val="231F20"/>
          <w:spacing w:val="2"/>
        </w:rPr>
        <w:t>酸护胃、</w:t>
      </w:r>
      <w:r>
        <w:rPr>
          <w:color w:val="231F20"/>
        </w:rPr>
        <w:t xml:space="preserve"> </w:t>
      </w:r>
      <w:r>
        <w:rPr>
          <w:color w:val="231F20"/>
        </w:rPr>
        <w:t>对症治疗。在常规的治疗护理方面，以注意观察病情，药物治疗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以及嘱咐病人清淡的饮食为主，但并不能有效地缓解病情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中药热庵包是一种“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中医外治”法，可以通过热敷，使毛细血管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舒张，促进血液流通，从而达到调和气血以及温通经络</w:t>
      </w:r>
      <w:r>
        <w:rPr>
          <w:color w:val="231F20"/>
          <w:spacing w:val="2"/>
        </w:rPr>
        <w:t>的作用。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在中药热庵包的药方中，黄连具有清热燥湿、止泻、解</w:t>
      </w:r>
      <w:r>
        <w:rPr>
          <w:color w:val="231F20"/>
          <w:spacing w:val="6"/>
        </w:rPr>
        <w:t>毒的作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" w:right="6" w:firstLine="1"/>
        <w:spacing w:before="28" w:line="223" w:lineRule="auto"/>
        <w:jc w:val="both"/>
        <w:rPr/>
      </w:pPr>
      <w:r>
        <w:rPr>
          <w:color w:val="231F20"/>
          <w:spacing w:val="-5"/>
        </w:rPr>
        <w:t>用。黄芩清热，祛湿，而半夏化湿，止咳。薏</w:t>
      </w:r>
      <w:r>
        <w:rPr>
          <w:color w:val="231F20"/>
          <w:spacing w:val="-6"/>
        </w:rPr>
        <w:t>米具有健脾利湿的功</w:t>
      </w:r>
      <w:r>
        <w:rPr>
          <w:color w:val="231F20"/>
        </w:rPr>
        <w:t xml:space="preserve"> </w:t>
      </w:r>
      <w:r>
        <w:rPr>
          <w:color w:val="231F20"/>
        </w:rPr>
        <w:t>效。厚朴是一种活血化瘀的药物。葛根生津，升阳止泻。药物联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合使用，可以起到清热利湿，止泻止呕的作用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。在穴位的选取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上，位于肚脐的神阙穴具有理气和胃以及止泻的作用；而天枢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穴为大肠募穴，具有疏通肠腑或消食行滞的能力；胃之募穴是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中脘穴，具有调理气机的功效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。中医热庵包将药物热敷于对应</w:t>
      </w:r>
      <w:r>
        <w:rPr>
          <w:color w:val="231F20"/>
        </w:rPr>
        <w:t xml:space="preserve"> </w:t>
      </w:r>
      <w:r>
        <w:rPr>
          <w:color w:val="231F20"/>
        </w:rPr>
        <w:t>的穴位，具有止痛行气、消胀除满等功效。而耳穴是人体的重要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穴位，本研究中，王不留行种子主要起到活血以及调节脾、胃等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肠道的作用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。耳穴压豆即利用王不留行籽刺激交感脾、胃等穴</w:t>
      </w:r>
      <w:r>
        <w:rPr>
          <w:color w:val="231F20"/>
        </w:rPr>
        <w:t xml:space="preserve"> </w:t>
      </w:r>
      <w:r>
        <w:rPr>
          <w:color w:val="231F20"/>
        </w:rPr>
        <w:t>位，从而达到调理阴阳，平衡脏腑功能的作用。其主要是根据了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穴位的传导来调整气血以及疏通经络。另外大肠下的合穴即上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巨虚穴，可调节胃肠等部位，天枢穴则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是大肠的集结点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，二者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相辅相成，能起到调和阴阳以及健脾和胃的作用，从而减轻患</w:t>
      </w:r>
      <w:r>
        <w:rPr>
          <w:color w:val="231F20"/>
        </w:rPr>
        <w:t xml:space="preserve"> </w:t>
      </w:r>
      <w:r>
        <w:rPr>
          <w:color w:val="231F20"/>
        </w:rPr>
        <w:t>者的疼痛和不适，加速患者的恢复。另外两组不良反应比较，差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异小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。提示耳穴压豆配合中药热庵包护理虽有不良反应，但大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多数患者对药物的耐受良好，不良反应在可控范围内，药物反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应良好，安全性较高。</w:t>
      </w:r>
    </w:p>
    <w:p>
      <w:pPr>
        <w:pStyle w:val="BodyText"/>
        <w:ind w:left="54" w:right="6" w:firstLine="356"/>
        <w:spacing w:before="2" w:line="226" w:lineRule="auto"/>
        <w:jc w:val="both"/>
        <w:rPr/>
      </w:pPr>
      <w:r>
        <w:rPr>
          <w:color w:val="231F20"/>
          <w:spacing w:val="7"/>
        </w:rPr>
        <w:t>综上所述，对急性肠胃炎患者进行耳穴压豆配合</w:t>
      </w:r>
      <w:r>
        <w:rPr>
          <w:color w:val="231F20"/>
          <w:spacing w:val="6"/>
        </w:rPr>
        <w:t>中药热庵</w:t>
      </w:r>
      <w:r>
        <w:rPr>
          <w:color w:val="231F20"/>
        </w:rPr>
        <w:t xml:space="preserve"> </w:t>
      </w:r>
      <w:r>
        <w:rPr>
          <w:color w:val="231F20"/>
        </w:rPr>
        <w:t>包护理干预，有助于改善患者临床症状，降低患者疼痛，对患者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的健康有着积极的影响，可在临床推广应用。</w:t>
      </w:r>
    </w:p>
    <w:p>
      <w:pPr>
        <w:pStyle w:val="BodyText"/>
        <w:spacing w:before="264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［参考文献］</w:t>
      </w:r>
    </w:p>
    <w:p>
      <w:pPr>
        <w:pStyle w:val="BodyText"/>
        <w:ind w:left="464" w:right="26" w:hanging="450"/>
        <w:spacing w:before="39" w:line="21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［1］  刘    艳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.优质护理在急性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8"/>
        </w:rPr>
        <w:t>肠胃炎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患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8"/>
        </w:rPr>
        <w:t>者 中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8"/>
        </w:rPr>
        <w:t>的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8"/>
        </w:rPr>
        <w:t>护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8"/>
        </w:rPr>
        <w:t>理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干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8"/>
        </w:rPr>
        <w:t>预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8"/>
        </w:rPr>
        <w:t>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8"/>
        </w:rPr>
        <w:t>果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8"/>
        </w:rPr>
        <w:t>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究［J］.黑龙江中医药，2021，50（02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2"/>
        </w:rPr>
        <w:t>272-273.</w:t>
      </w:r>
    </w:p>
    <w:p>
      <w:pPr>
        <w:pStyle w:val="BodyText"/>
        <w:ind w:left="543" w:hanging="529"/>
        <w:spacing w:before="22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［2］  黄    慧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9"/>
        </w:rPr>
        <w:t>急性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9"/>
        </w:rPr>
        <w:t>肠胃炎患者中实施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9"/>
        </w:rPr>
        <w:t>优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质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9"/>
        </w:rPr>
        <w:t>护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理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干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9"/>
        </w:rPr>
        <w:t>预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9"/>
        </w:rPr>
        <w:t>对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8"/>
        </w:rPr>
        <w:t>提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8"/>
        </w:rPr>
        <w:t>高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8"/>
        </w:rPr>
        <w:t>护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8"/>
        </w:rPr>
        <w:t>理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满 意 度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的 价 值 探 讨［J］. 基 层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医 学 论 坛 ，2020，24（32</w:t>
      </w:r>
      <w:r>
        <w:rPr>
          <w:sz w:val="15"/>
          <w:szCs w:val="15"/>
          <w:color w:val="231F20"/>
          <w:spacing w:val="-26"/>
        </w:rPr>
        <w:t>）：</w:t>
      </w:r>
    </w:p>
    <w:p>
      <w:pPr>
        <w:pStyle w:val="BodyText"/>
        <w:ind w:left="464"/>
        <w:spacing w:before="31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4715-4716.</w:t>
      </w:r>
    </w:p>
    <w:p>
      <w:pPr>
        <w:pStyle w:val="BodyText"/>
        <w:ind w:left="406" w:right="32" w:hanging="386"/>
        <w:spacing w:before="12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［3］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1"/>
        </w:rPr>
        <w:t>布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"/>
        </w:rPr>
        <w:t>和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合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什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格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急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诊 内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科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"/>
        </w:rPr>
        <w:t>患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者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急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性 胃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肠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炎 的 临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床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诊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治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分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析 </w:t>
      </w:r>
      <w:r>
        <w:rPr>
          <w:sz w:val="15"/>
          <w:szCs w:val="15"/>
          <w:color w:val="231F20"/>
          <w:spacing w:val="-10"/>
        </w:rPr>
        <w:t>［J］.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0"/>
        </w:rPr>
        <w:t>中西医结合心血管病杂志，2016，4（31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0"/>
        </w:rPr>
        <w:t>53+56.</w:t>
      </w:r>
    </w:p>
    <w:p>
      <w:pPr>
        <w:pStyle w:val="BodyText"/>
        <w:ind w:left="465" w:right="26" w:hanging="451"/>
        <w:spacing w:before="20" w:line="21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6"/>
        </w:rPr>
        <w:t>［4］  张艳平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6"/>
        </w:rPr>
        <w:t>急性 胃肠炎患者进行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6"/>
        </w:rPr>
        <w:t>综合护理</w:t>
      </w:r>
      <w:r>
        <w:rPr>
          <w:sz w:val="15"/>
          <w:szCs w:val="15"/>
          <w:color w:val="231F20"/>
          <w:spacing w:val="15"/>
        </w:rPr>
        <w:t>对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5"/>
        </w:rPr>
        <w:t>疼痛程度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5"/>
        </w:rPr>
        <w:t>与满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5"/>
        </w:rPr>
        <w:t>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度的干预效果［J］.黑龙江中医药，2020，49（06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9"/>
        </w:rPr>
        <w:t>391-392.</w:t>
      </w:r>
    </w:p>
    <w:p>
      <w:pPr>
        <w:pStyle w:val="BodyText"/>
        <w:ind w:right="14"/>
        <w:spacing w:before="38" w:line="197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本文编辑：王知平</w:t>
      </w:r>
    </w:p>
    <w:p>
      <w:pPr>
        <w:spacing w:line="197" w:lineRule="auto"/>
        <w:sectPr>
          <w:type w:val="continuous"/>
          <w:pgSz w:w="11905" w:h="16836"/>
          <w:pgMar w:top="1552" w:right="952" w:bottom="1024" w:left="407" w:header="1083" w:footer="782" w:gutter="0"/>
          <w:cols w:equalWidth="0" w:num="2">
            <w:col w:w="5604" w:space="100"/>
            <w:col w:w="4841" w:space="0"/>
          </w:cols>
        </w:sectPr>
        <w:rPr>
          <w:sz w:val="16"/>
          <w:szCs w:val="16"/>
        </w:rPr>
      </w:pPr>
    </w:p>
    <w:p>
      <w:pPr>
        <w:pStyle w:val="BodyText"/>
        <w:ind w:left="562"/>
        <w:spacing w:before="206" w:line="189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12"/>
          <w:w w:val="99"/>
        </w:rPr>
        <w:t>综合护理干预在急性胰腺炎患者康复护理中的应用</w:t>
      </w:r>
    </w:p>
    <w:p>
      <w:pPr>
        <w:pStyle w:val="BodyText"/>
        <w:ind w:left="564"/>
        <w:spacing w:before="294" w:line="19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邱红荣，赵红秀，邓冬华</w:t>
      </w:r>
    </w:p>
    <w:p>
      <w:pPr>
        <w:pStyle w:val="BodyText"/>
        <w:ind w:left="484"/>
        <w:spacing w:before="35" w:line="203" w:lineRule="auto"/>
        <w:rPr/>
      </w:pPr>
      <w:r>
        <w:rPr>
          <w:color w:val="231F20"/>
          <w:spacing w:val="-3"/>
        </w:rPr>
        <w:t>（建宁县总医院，福建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-3"/>
        </w:rPr>
        <w:t>三明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3"/>
        </w:rPr>
        <w:t>354500）</w:t>
      </w:r>
    </w:p>
    <w:p>
      <w:pPr>
        <w:pStyle w:val="BodyText"/>
        <w:ind w:left="562" w:right="8" w:hanging="60"/>
        <w:spacing w:before="121" w:line="225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［摘    要］   </w:t>
      </w:r>
      <w:r>
        <w:rPr>
          <w:color w:val="231F20"/>
          <w:spacing w:val="8"/>
        </w:rPr>
        <w:t>目的：</w:t>
      </w:r>
      <w:r>
        <w:rPr>
          <w:sz w:val="16"/>
          <w:szCs w:val="16"/>
          <w:color w:val="231F20"/>
          <w:spacing w:val="8"/>
        </w:rPr>
        <w:t>探究急性胰腺炎患者康复护理中应用综合护理模式的临床价值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8"/>
        </w:rPr>
        <w:t>。</w:t>
      </w:r>
      <w:r>
        <w:rPr>
          <w:color w:val="231F20"/>
          <w:spacing w:val="8"/>
        </w:rPr>
        <w:t>方法：</w:t>
      </w:r>
      <w:r>
        <w:rPr>
          <w:sz w:val="16"/>
          <w:szCs w:val="16"/>
          <w:color w:val="231F20"/>
          <w:spacing w:val="8"/>
        </w:rPr>
        <w:t>选取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color w:val="231F20"/>
          <w:spacing w:val="8"/>
        </w:rPr>
        <w:t>110 </w:t>
      </w:r>
      <w:r>
        <w:rPr>
          <w:sz w:val="16"/>
          <w:szCs w:val="16"/>
          <w:color w:val="231F20"/>
          <w:spacing w:val="8"/>
        </w:rPr>
        <w:t>例急性胰腺炎患者进行研究，随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机数字法进行分组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3"/>
        </w:rPr>
        <w:t>，对照组（</w:t>
      </w:r>
      <w:r>
        <w:rPr>
          <w:color w:val="231F20"/>
          <w:spacing w:val="3"/>
        </w:rPr>
        <w:t>n=55</w:t>
      </w:r>
      <w:r>
        <w:rPr>
          <w:sz w:val="16"/>
          <w:szCs w:val="16"/>
          <w:color w:val="231F20"/>
          <w:spacing w:val="3"/>
        </w:rPr>
        <w:t>）常规护理模式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3"/>
        </w:rPr>
        <w:t>；观察组（</w:t>
      </w:r>
      <w:r>
        <w:rPr>
          <w:color w:val="231F20"/>
          <w:spacing w:val="3"/>
        </w:rPr>
        <w:t>n=55</w:t>
      </w:r>
      <w:r>
        <w:rPr>
          <w:sz w:val="16"/>
          <w:szCs w:val="16"/>
          <w:color w:val="231F20"/>
          <w:spacing w:val="3"/>
        </w:rPr>
        <w:t>）综合护理模式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3"/>
        </w:rPr>
        <w:t>，对比分析患者的指标恢复时间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3"/>
        </w:rPr>
        <w:t>、心理状态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3"/>
        </w:rPr>
        <w:t>、生活质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量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5"/>
        </w:rPr>
        <w:t>。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color w:val="231F20"/>
          <w:spacing w:val="5"/>
        </w:rPr>
        <w:t>结果：</w:t>
      </w:r>
      <w:r>
        <w:rPr>
          <w:sz w:val="16"/>
          <w:szCs w:val="16"/>
          <w:color w:val="231F20"/>
          <w:spacing w:val="5"/>
        </w:rPr>
        <w:t>护理后，较之对照组，观察组各症状恢复较快（</w:t>
      </w:r>
      <w:r>
        <w:rPr>
          <w:color w:val="231F20"/>
          <w:spacing w:val="5"/>
        </w:rPr>
        <w:t>P＜0.05</w:t>
      </w:r>
      <w:r>
        <w:rPr>
          <w:sz w:val="16"/>
          <w:szCs w:val="16"/>
          <w:color w:val="231F20"/>
          <w:spacing w:val="-25"/>
          <w:w w:val="67"/>
        </w:rPr>
        <w:t>）；</w:t>
      </w:r>
      <w:r>
        <w:rPr>
          <w:sz w:val="16"/>
          <w:szCs w:val="16"/>
          <w:color w:val="231F20"/>
          <w:spacing w:val="5"/>
        </w:rPr>
        <w:t>与对照组相比，观察组情绪状态评分较低及生活质量评分较高；差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异均有统计学意义（</w:t>
      </w:r>
      <w:r>
        <w:rPr>
          <w:color w:val="231F20"/>
          <w:spacing w:val="3"/>
        </w:rPr>
        <w:t>P＜0.05</w:t>
      </w:r>
      <w:r>
        <w:rPr>
          <w:sz w:val="16"/>
          <w:szCs w:val="16"/>
          <w:color w:val="231F20"/>
          <w:spacing w:val="3"/>
        </w:rPr>
        <w:t>）。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结论：</w:t>
      </w:r>
      <w:r>
        <w:rPr>
          <w:sz w:val="16"/>
          <w:szCs w:val="16"/>
          <w:color w:val="231F20"/>
          <w:spacing w:val="3"/>
        </w:rPr>
        <w:t>采用综合护理模式，可以有效提高心理状态，改</w:t>
      </w:r>
      <w:r>
        <w:rPr>
          <w:sz w:val="16"/>
          <w:szCs w:val="16"/>
          <w:color w:val="231F20"/>
          <w:spacing w:val="2"/>
        </w:rPr>
        <w:t>善生活质量，缩短指标恢复时间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2"/>
        </w:rPr>
        <w:t>。</w:t>
      </w:r>
    </w:p>
    <w:p>
      <w:pPr>
        <w:pStyle w:val="BodyText"/>
        <w:ind w:left="502"/>
        <w:spacing w:line="19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［关键词］</w:t>
      </w:r>
      <w:r>
        <w:rPr>
          <w:sz w:val="16"/>
          <w:szCs w:val="16"/>
          <w:color w:val="231F20"/>
          <w:spacing w:val="22"/>
          <w:w w:val="102"/>
        </w:rPr>
        <w:t xml:space="preserve">  </w:t>
      </w:r>
      <w:r>
        <w:rPr>
          <w:sz w:val="16"/>
          <w:szCs w:val="16"/>
          <w:color w:val="231F20"/>
          <w:spacing w:val="5"/>
        </w:rPr>
        <w:t>急性胰腺炎；康复护理；综合护理模式；生活质量</w:t>
      </w:r>
    </w:p>
    <w:p>
      <w:pPr>
        <w:pStyle w:val="BodyText"/>
        <w:ind w:left="502"/>
        <w:spacing w:before="44" w:line="185" w:lineRule="auto"/>
        <w:rPr/>
      </w:pPr>
      <w:r>
        <w:rPr>
          <w:sz w:val="16"/>
          <w:szCs w:val="16"/>
          <w:color w:val="231F20"/>
          <w:spacing w:val="-1"/>
        </w:rPr>
        <w:t>［中图分类号］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R473.5       </w:t>
      </w:r>
      <w:r>
        <w:rPr>
          <w:sz w:val="16"/>
          <w:szCs w:val="16"/>
          <w:color w:val="231F20"/>
          <w:spacing w:val="-1"/>
        </w:rPr>
        <w:t>［文献标识码］   </w:t>
      </w:r>
      <w:r>
        <w:rPr>
          <w:color w:val="231F20"/>
          <w:spacing w:val="-1"/>
        </w:rPr>
        <w:t>B         </w:t>
      </w:r>
      <w:r>
        <w:rPr>
          <w:sz w:val="16"/>
          <w:szCs w:val="16"/>
          <w:color w:val="231F20"/>
          <w:spacing w:val="-1"/>
        </w:rPr>
        <w:t>［文章编号］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color w:val="231F20"/>
          <w:spacing w:val="-1"/>
        </w:rPr>
        <w:t>2096-756X</w:t>
      </w:r>
      <w:r>
        <w:rPr>
          <w:color w:val="231F20"/>
          <w:spacing w:val="-2"/>
        </w:rPr>
        <w:t>（2023）06-0142-03</w:t>
      </w:r>
    </w:p>
    <w:p>
      <w:pPr>
        <w:spacing w:line="83" w:lineRule="exact"/>
        <w:rPr/>
      </w:pPr>
      <w:r/>
    </w:p>
    <w:p>
      <w:pPr>
        <w:spacing w:line="83" w:lineRule="exact"/>
        <w:sectPr>
          <w:type w:val="continuous"/>
          <w:pgSz w:w="11905" w:h="16836"/>
          <w:pgMar w:top="1552" w:right="952" w:bottom="1024" w:left="407" w:header="1083" w:footer="782" w:gutter="0"/>
          <w:cols w:equalWidth="0" w:num="1">
            <w:col w:w="10544" w:space="0"/>
          </w:cols>
        </w:sectPr>
        <w:rPr/>
      </w:pPr>
    </w:p>
    <w:p>
      <w:pPr>
        <w:pStyle w:val="BodyText"/>
        <w:ind w:left="557" w:right="317" w:firstLine="361"/>
        <w:spacing w:before="42" w:line="222" w:lineRule="auto"/>
        <w:jc w:val="both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1030561</wp:posOffset>
            </wp:positionV>
            <wp:extent cx="1727199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1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急性胰腺炎作为一种常见消化系统疾病，是因内外因素造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成机体胰酶异常，激活消化胰腺组织，干扰周</w:t>
      </w:r>
      <w:r>
        <w:rPr>
          <w:color w:val="231F20"/>
          <w:spacing w:val="6"/>
        </w:rPr>
        <w:t>围脏器正常工作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及引发水肿、出血甚至坏死现象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sz w:val="10"/>
          <w:szCs w:val="10"/>
          <w:color w:val="231F20"/>
          <w:spacing w:val="-2"/>
          <w:position w:val="6"/>
        </w:rPr>
        <w:t>1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。其主要临床症状为血尿淀粉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酶增高、腹痛、恶心呕吐及发热，可分为轻症急性胰腺炎与重症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急性胰腺炎，其中轻症急性胰腺炎临床症状较轻，预后较优，而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4"/>
        <w:spacing w:before="40" w:line="222" w:lineRule="auto"/>
        <w:jc w:val="both"/>
        <w:rPr/>
      </w:pPr>
      <w:r>
        <w:rPr>
          <w:color w:val="231F20"/>
          <w:spacing w:val="7"/>
        </w:rPr>
        <w:t>重症急性胰腺炎症状较重，并发症多且病死率高，同时重症急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性胰腺炎发病率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10%～20%，死亡率则达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10%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sz w:val="10"/>
          <w:szCs w:val="10"/>
          <w:color w:val="231F20"/>
          <w:spacing w:val="-4"/>
          <w:position w:val="6"/>
        </w:rPr>
        <w:t>2-4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4"/>
        </w:rPr>
        <w:t>。因此临床辅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助护理干预尤为重要，常规护理模式片面且基础，预后不</w:t>
      </w:r>
      <w:r>
        <w:rPr>
          <w:color w:val="231F20"/>
        </w:rPr>
        <w:t>佳，因 </w:t>
      </w:r>
      <w:r>
        <w:rPr>
          <w:color w:val="231F20"/>
          <w:spacing w:val="7"/>
        </w:rPr>
        <w:t>此为了提高预后，本研究采用综合护理模式代替常规护理模式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对急性胰腺炎患者进行护理，具体报告如下。</w:t>
      </w:r>
    </w:p>
    <w:p>
      <w:pPr>
        <w:spacing w:line="222" w:lineRule="auto"/>
        <w:sectPr>
          <w:type w:val="continuous"/>
          <w:pgSz w:w="11905" w:h="16836"/>
          <w:pgMar w:top="1552" w:right="952" w:bottom="1024" w:left="407" w:header="1083" w:footer="782" w:gutter="0"/>
          <w:cols w:equalWidth="0" w:num="2">
            <w:col w:w="5650" w:space="100"/>
            <w:col w:w="4794" w:space="0"/>
          </w:cols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510"/>
        <w:spacing w:before="65" w:line="157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［作者简介］</w:t>
      </w:r>
      <w:r>
        <w:rPr>
          <w:sz w:val="15"/>
          <w:szCs w:val="15"/>
          <w:color w:val="231F20"/>
        </w:rPr>
        <w:t>邱红荣，女，副主任护师，从事内</w:t>
      </w:r>
      <w:r>
        <w:rPr>
          <w:sz w:val="15"/>
          <w:szCs w:val="15"/>
          <w:color w:val="231F20"/>
          <w:spacing w:val="-1"/>
        </w:rPr>
        <w:t>科护理工作</w:t>
      </w:r>
    </w:p>
    <w:sectPr>
      <w:type w:val="continuous"/>
      <w:pgSz w:w="11905" w:h="16836"/>
      <w:pgMar w:top="1552" w:right="952" w:bottom="1024" w:left="407" w:header="1083" w:footer="782" w:gutter="0"/>
      <w:cols w:equalWidth="0" w:num="1">
        <w:col w:w="105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888"/>
      <w:spacing w:before="1" w:line="192" w:lineRule="auto"/>
      <w:rPr>
        <w:sz w:val="19"/>
        <w:szCs w:val="19"/>
      </w:rPr>
    </w:pPr>
    <w:r>
      <w:rPr>
        <w:sz w:val="19"/>
        <w:szCs w:val="19"/>
        <w:color w:val="231F20"/>
        <w:spacing w:val="-15"/>
      </w:rPr>
      <w:t>·</w:t>
    </w:r>
    <w:r>
      <w:rPr>
        <w:sz w:val="19"/>
        <w:szCs w:val="19"/>
        <w:color w:val="231F20"/>
        <w:spacing w:val="3"/>
      </w:rPr>
      <w:t xml:space="preserve"> </w:t>
    </w:r>
    <w:r>
      <w:rPr>
        <w:sz w:val="20"/>
        <w:szCs w:val="20"/>
        <w:color w:val="231F20"/>
        <w:spacing w:val="-15"/>
      </w:rPr>
      <w:t>141</w:t>
    </w:r>
    <w:r>
      <w:rPr>
        <w:sz w:val="20"/>
        <w:szCs w:val="20"/>
        <w:color w:val="231F20"/>
        <w:spacing w:val="-24"/>
      </w:rPr>
      <w:t xml:space="preserve"> </w:t>
    </w:r>
    <w:r>
      <w:rPr>
        <w:sz w:val="19"/>
        <w:szCs w:val="19"/>
        <w:color w:val="231F20"/>
        <w:spacing w:val="-15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9"/>
      <w:spacing w:line="162" w:lineRule="auto"/>
      <w:rPr>
        <w:sz w:val="19"/>
        <w:szCs w:val="19"/>
      </w:rPr>
    </w:pPr>
    <w:r>
      <w:rPr>
        <w:sz w:val="19"/>
        <w:szCs w:val="19"/>
        <w:color w:val="231F20"/>
        <w:spacing w:val="-15"/>
      </w:rPr>
      <w:t>·</w:t>
    </w:r>
    <w:r>
      <w:rPr>
        <w:sz w:val="19"/>
        <w:szCs w:val="19"/>
        <w:color w:val="231F20"/>
        <w:spacing w:val="3"/>
      </w:rPr>
      <w:t xml:space="preserve"> </w:t>
    </w:r>
    <w:r>
      <w:rPr>
        <w:sz w:val="20"/>
        <w:szCs w:val="20"/>
        <w:color w:val="231F20"/>
        <w:spacing w:val="-15"/>
      </w:rPr>
      <w:t>142</w:t>
    </w:r>
    <w:r>
      <w:rPr>
        <w:sz w:val="20"/>
        <w:szCs w:val="20"/>
        <w:color w:val="231F20"/>
        <w:spacing w:val="-24"/>
      </w:rPr>
      <w:t xml:space="preserve"> </w:t>
    </w:r>
    <w:r>
      <w:rPr>
        <w:sz w:val="19"/>
        <w:szCs w:val="19"/>
        <w:color w:val="231F20"/>
        <w:spacing w:val="-15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8"/>
      <w:spacing w:before="70" w:line="180" w:lineRule="auto"/>
      <w:rPr>
        <w:sz w:val="16"/>
        <w:szCs w:val="16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612140</wp:posOffset>
          </wp:positionH>
          <wp:positionV relativeFrom="page">
            <wp:posOffset>934719</wp:posOffset>
          </wp:positionV>
          <wp:extent cx="6336029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60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color w:val="231F20"/>
        <w:spacing w:val="2"/>
      </w:rPr>
      <w:t>山西卫生健康职业学院学报</w:t>
    </w:r>
    <w:r>
      <w:rPr>
        <w:sz w:val="22"/>
        <w:szCs w:val="22"/>
        <w:color w:val="231F20"/>
        <w:spacing w:val="54"/>
        <w:w w:val="101"/>
      </w:rPr>
      <w:t xml:space="preserve"> </w:t>
    </w:r>
    <w:r>
      <w:rPr>
        <w:sz w:val="16"/>
        <w:szCs w:val="16"/>
        <w:color w:val="231F20"/>
        <w:spacing w:val="2"/>
      </w:rPr>
      <w:t>2023 年  第 33</w:t>
    </w:r>
    <w:r>
      <w:rPr>
        <w:sz w:val="16"/>
        <w:szCs w:val="16"/>
        <w:color w:val="231F20"/>
        <w:spacing w:val="1"/>
      </w:rPr>
      <w:t xml:space="preserve"> 卷  第 6 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6.png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2024-03-17T09:51:39Z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2025-10-28T21:31:21</vt:filetime>
  </property>
</Properties>
</file>