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212"/>
        <w:spacing w:before="166" w:line="189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6"/>
        </w:rPr>
        <w:t>·  </w:t>
      </w:r>
      <w:r>
        <w:rPr>
          <w:rFonts w:ascii="SimSun" w:hAnsi="SimSun" w:eastAsia="SimSun" w:cs="SimSun"/>
          <w:sz w:val="27"/>
          <w:szCs w:val="27"/>
          <w:color w:val="231F20"/>
          <w:spacing w:val="-6"/>
        </w:rPr>
        <w:t>论</w:t>
      </w:r>
      <w:r>
        <w:rPr>
          <w:rFonts w:ascii="SimSun" w:hAnsi="SimSun" w:eastAsia="SimSun" w:cs="SimSun"/>
          <w:sz w:val="27"/>
          <w:szCs w:val="27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27"/>
          <w:szCs w:val="27"/>
          <w:color w:val="231F20"/>
          <w:spacing w:val="-6"/>
        </w:rPr>
        <w:t>著</w:t>
      </w:r>
      <w:r>
        <w:rPr>
          <w:rFonts w:ascii="SimSun" w:hAnsi="SimSun" w:eastAsia="SimSun" w:cs="SimSun"/>
          <w:sz w:val="27"/>
          <w:szCs w:val="27"/>
          <w:color w:val="231F20"/>
          <w:spacing w:val="5"/>
        </w:rPr>
        <w:t xml:space="preserve"> </w:t>
      </w:r>
      <w:r>
        <w:rPr>
          <w:sz w:val="27"/>
          <w:szCs w:val="27"/>
          <w:color w:val="231F20"/>
          <w:spacing w:val="-6"/>
        </w:rPr>
        <w:t>·</w:t>
      </w:r>
    </w:p>
    <w:p>
      <w:pPr>
        <w:ind w:left="1394"/>
        <w:spacing w:before="245" w:line="21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color w:val="231F20"/>
          <w:spacing w:val="8"/>
        </w:rPr>
        <w:t>肠炎宁联合头孢治疗小儿急性肠胃炎临床效果</w:t>
      </w:r>
    </w:p>
    <w:p>
      <w:pPr>
        <w:pStyle w:val="BodyText"/>
        <w:ind w:left="4947"/>
        <w:spacing w:before="273" w:line="184" w:lineRule="auto"/>
        <w:rPr/>
      </w:pPr>
      <w:r>
        <w:rPr>
          <w:color w:val="231F20"/>
          <w:spacing w:val="8"/>
        </w:rPr>
        <w:t>孙娜，陶翠云</w:t>
      </w:r>
    </w:p>
    <w:p>
      <w:pPr>
        <w:pStyle w:val="BodyText"/>
        <w:ind w:left="3398"/>
        <w:spacing w:before="47" w:line="199" w:lineRule="auto"/>
        <w:rPr/>
      </w:pPr>
      <w:r>
        <w:rPr>
          <w:color w:val="231F20"/>
          <w:spacing w:val="2"/>
        </w:rPr>
        <w:t>高唐县人民医院小儿一科，山东   聊城    252800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37" w:right="402" w:firstLine="56"/>
        <w:spacing w:before="73"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摘要：</w:t>
      </w:r>
      <w:r>
        <w:rPr>
          <w:rFonts w:ascii="SimHei" w:hAnsi="SimHei" w:eastAsia="SimHei" w:cs="SimHei"/>
          <w:sz w:val="17"/>
          <w:szCs w:val="17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目的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分析急性肠胃炎患儿应用头孢克肟联合肠炎宁糖浆的治疗效果</w:t>
      </w:r>
      <w:r>
        <w:rPr>
          <w:sz w:val="17"/>
          <w:szCs w:val="17"/>
          <w:color w:val="231F20"/>
          <w:spacing w:val="8"/>
        </w:rPr>
        <w:t>。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方法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选取高唐县人民医院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8"/>
        </w:rPr>
        <w:t>2019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年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color w:val="231F20"/>
          <w:spacing w:val="8"/>
        </w:rPr>
        <w:t>7</w:t>
      </w:r>
      <w:r>
        <w:rPr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月</w:t>
      </w:r>
      <w:r>
        <w:rPr>
          <w:sz w:val="17"/>
          <w:szCs w:val="17"/>
          <w:color w:val="231F20"/>
          <w:spacing w:val="3"/>
        </w:rPr>
        <w:t>—2020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年</w:t>
      </w:r>
      <w:r>
        <w:rPr>
          <w:sz w:val="17"/>
          <w:szCs w:val="17"/>
          <w:color w:val="231F20"/>
          <w:spacing w:val="3"/>
        </w:rPr>
        <w:t>7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月诊治的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3"/>
        </w:rPr>
        <w:t>90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例急性肠胃炎患儿临床资料，按随机数字表法分为研究组和对照组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各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2"/>
        </w:rPr>
        <w:t>45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例，对照组给予头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孢克肟治疗，研究组给予头孢克肟联合肠炎宁糖浆治疗，分析两组疗效</w:t>
      </w:r>
      <w:r>
        <w:rPr>
          <w:sz w:val="17"/>
          <w:szCs w:val="17"/>
          <w:color w:val="231F20"/>
          <w:spacing w:val="-1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症状持续时间及降钙素原（</w:t>
      </w:r>
      <w:r>
        <w:rPr>
          <w:sz w:val="17"/>
          <w:szCs w:val="17"/>
          <w:color w:val="231F20"/>
          <w:spacing w:val="-1"/>
        </w:rPr>
        <w:t>PCT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）水平</w:t>
      </w:r>
      <w:r>
        <w:rPr>
          <w:sz w:val="17"/>
          <w:szCs w:val="17"/>
          <w:color w:val="231F20"/>
          <w:spacing w:val="-1"/>
        </w:rPr>
        <w:t>。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结果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治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疗后，研究组总有效率为</w:t>
      </w:r>
      <w:r>
        <w:rPr>
          <w:rFonts w:ascii="SimSun" w:hAnsi="SimSun" w:eastAsia="SimSun" w:cs="SimSun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4"/>
        </w:rPr>
        <w:t>97.78%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，高于对照组的</w:t>
      </w:r>
      <w:r>
        <w:rPr>
          <w:rFonts w:ascii="SimSun" w:hAnsi="SimSun" w:eastAsia="SimSun" w:cs="SimSun"/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4"/>
        </w:rPr>
        <w:t>82.22%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，差异有统计学意义(</w:t>
      </w:r>
      <w:r>
        <w:rPr>
          <w:sz w:val="17"/>
          <w:szCs w:val="17"/>
          <w:color w:val="231F20"/>
          <w:spacing w:val="-4"/>
        </w:rPr>
        <w:t>χ</w:t>
      </w:r>
      <w:r>
        <w:rPr>
          <w:sz w:val="10"/>
          <w:szCs w:val="10"/>
          <w:color w:val="231F20"/>
          <w:spacing w:val="-4"/>
          <w:position w:val="6"/>
        </w:rPr>
        <w:t>2</w:t>
      </w:r>
      <w:r>
        <w:rPr>
          <w:sz w:val="17"/>
          <w:szCs w:val="17"/>
          <w:color w:val="231F20"/>
          <w:spacing w:val="-4"/>
        </w:rPr>
        <w:t>=4.444 4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，</w:t>
      </w:r>
      <w:r>
        <w:rPr>
          <w:sz w:val="17"/>
          <w:szCs w:val="17"/>
          <w:color w:val="231F20"/>
          <w:spacing w:val="-4"/>
        </w:rPr>
        <w:t>P＜0.05</w:t>
      </w:r>
      <w:r>
        <w:rPr>
          <w:rFonts w:ascii="SimSun" w:hAnsi="SimSun" w:eastAsia="SimSun" w:cs="SimSun"/>
          <w:sz w:val="17"/>
          <w:szCs w:val="17"/>
          <w:color w:val="231F20"/>
          <w:spacing w:val="-34"/>
          <w:w w:val="75"/>
        </w:rPr>
        <w:t>）；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研究组腹痛</w:t>
      </w:r>
      <w:r>
        <w:rPr>
          <w:sz w:val="17"/>
          <w:szCs w:val="17"/>
          <w:color w:val="231F20"/>
          <w:spacing w:val="-4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呕吐</w:t>
      </w:r>
      <w:r>
        <w:rPr>
          <w:sz w:val="17"/>
          <w:szCs w:val="17"/>
          <w:color w:val="231F20"/>
          <w:spacing w:val="-4"/>
        </w:rPr>
        <w:t>、</w:t>
      </w:r>
      <w:r>
        <w:rPr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发热和腹泻持续时间分别为（</w:t>
      </w:r>
      <w:r>
        <w:rPr>
          <w:sz w:val="17"/>
          <w:szCs w:val="17"/>
          <w:color w:val="231F20"/>
          <w:spacing w:val="-10"/>
        </w:rPr>
        <w:t>3.54±1.08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）</w:t>
      </w:r>
      <w:r>
        <w:rPr>
          <w:sz w:val="17"/>
          <w:szCs w:val="17"/>
          <w:color w:val="231F20"/>
          <w:spacing w:val="-10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（</w:t>
      </w:r>
      <w:r>
        <w:rPr>
          <w:sz w:val="17"/>
          <w:szCs w:val="17"/>
          <w:color w:val="231F20"/>
          <w:spacing w:val="-10"/>
        </w:rPr>
        <w:t>1.79±0.87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）</w:t>
      </w:r>
      <w:r>
        <w:rPr>
          <w:sz w:val="17"/>
          <w:szCs w:val="17"/>
          <w:color w:val="231F20"/>
          <w:spacing w:val="-10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>（</w:t>
      </w:r>
      <w:r>
        <w:rPr>
          <w:sz w:val="17"/>
          <w:szCs w:val="17"/>
          <w:color w:val="231F20"/>
          <w:spacing w:val="-10"/>
        </w:rPr>
        <w:t>1.75±0</w:t>
      </w:r>
      <w:r>
        <w:rPr>
          <w:sz w:val="17"/>
          <w:szCs w:val="17"/>
          <w:color w:val="231F20"/>
          <w:spacing w:val="-11"/>
        </w:rPr>
        <w:t>.63</w:t>
      </w:r>
      <w:r>
        <w:rPr>
          <w:rFonts w:ascii="SimSun" w:hAnsi="SimSun" w:eastAsia="SimSun" w:cs="SimSun"/>
          <w:sz w:val="17"/>
          <w:szCs w:val="17"/>
          <w:color w:val="231F20"/>
          <w:spacing w:val="-11"/>
        </w:rPr>
        <w:t>）和（</w:t>
      </w:r>
      <w:r>
        <w:rPr>
          <w:sz w:val="17"/>
          <w:szCs w:val="17"/>
          <w:color w:val="231F20"/>
          <w:spacing w:val="-11"/>
        </w:rPr>
        <w:t>2.52±0.68</w:t>
      </w:r>
      <w:r>
        <w:rPr>
          <w:rFonts w:ascii="SimSun" w:hAnsi="SimSun" w:eastAsia="SimSun" w:cs="SimSun"/>
          <w:sz w:val="17"/>
          <w:szCs w:val="17"/>
          <w:color w:val="231F20"/>
          <w:spacing w:val="-11"/>
        </w:rPr>
        <w:t>）</w:t>
      </w:r>
      <w:r>
        <w:rPr>
          <w:sz w:val="17"/>
          <w:szCs w:val="17"/>
          <w:color w:val="231F20"/>
          <w:spacing w:val="-11"/>
        </w:rPr>
        <w:t>d</w:t>
      </w:r>
      <w:r>
        <w:rPr>
          <w:rFonts w:ascii="SimSun" w:hAnsi="SimSun" w:eastAsia="SimSun" w:cs="SimSun"/>
          <w:sz w:val="17"/>
          <w:szCs w:val="17"/>
          <w:color w:val="231F20"/>
          <w:spacing w:val="-11"/>
        </w:rPr>
        <w:t>，均低于对照组的（</w:t>
      </w:r>
      <w:r>
        <w:rPr>
          <w:sz w:val="17"/>
          <w:szCs w:val="17"/>
          <w:color w:val="231F20"/>
          <w:spacing w:val="-11"/>
        </w:rPr>
        <w:t>5.16±1.13</w:t>
      </w:r>
      <w:r>
        <w:rPr>
          <w:rFonts w:ascii="SimSun" w:hAnsi="SimSun" w:eastAsia="SimSun" w:cs="SimSun"/>
          <w:sz w:val="17"/>
          <w:szCs w:val="17"/>
          <w:color w:val="231F20"/>
          <w:spacing w:val="-11"/>
        </w:rPr>
        <w:t>）</w:t>
      </w:r>
      <w:r>
        <w:rPr>
          <w:sz w:val="17"/>
          <w:szCs w:val="17"/>
          <w:color w:val="231F20"/>
          <w:spacing w:val="-11"/>
        </w:rPr>
        <w:t>、</w:t>
      </w:r>
      <w:r>
        <w:rPr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（</w:t>
      </w:r>
      <w:r>
        <w:rPr>
          <w:sz w:val="17"/>
          <w:szCs w:val="17"/>
          <w:color w:val="231F20"/>
          <w:spacing w:val="-15"/>
        </w:rPr>
        <w:t>2.73±0.91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）</w:t>
      </w:r>
      <w:r>
        <w:rPr>
          <w:sz w:val="17"/>
          <w:szCs w:val="17"/>
          <w:color w:val="231F20"/>
          <w:spacing w:val="-15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（</w:t>
      </w:r>
      <w:r>
        <w:rPr>
          <w:sz w:val="17"/>
          <w:szCs w:val="17"/>
          <w:color w:val="231F20"/>
          <w:spacing w:val="-15"/>
        </w:rPr>
        <w:t>2.92±0.95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）和（</w:t>
      </w:r>
      <w:r>
        <w:rPr>
          <w:sz w:val="17"/>
          <w:szCs w:val="17"/>
          <w:color w:val="231F20"/>
          <w:spacing w:val="-15"/>
        </w:rPr>
        <w:t>3.86±0.93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）</w:t>
      </w:r>
      <w:r>
        <w:rPr>
          <w:sz w:val="17"/>
          <w:szCs w:val="17"/>
          <w:color w:val="231F20"/>
          <w:spacing w:val="-15"/>
        </w:rPr>
        <w:t>d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，差异均有统计学意义（</w:t>
      </w:r>
      <w:r>
        <w:rPr>
          <w:sz w:val="17"/>
          <w:szCs w:val="17"/>
          <w:color w:val="231F20"/>
          <w:spacing w:val="-15"/>
        </w:rPr>
        <w:t>t=6.952 4、5.008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6、6.885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15"/>
        </w:rPr>
        <w:t>3、7.802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5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，</w:t>
      </w:r>
      <w:r>
        <w:rPr>
          <w:sz w:val="17"/>
          <w:szCs w:val="17"/>
          <w:color w:val="231F20"/>
          <w:spacing w:val="-16"/>
        </w:rPr>
        <w:t>P＜0.05</w:t>
      </w:r>
      <w:r>
        <w:rPr>
          <w:rFonts w:ascii="SimSun" w:hAnsi="SimSun" w:eastAsia="SimSun" w:cs="SimSun"/>
          <w:sz w:val="17"/>
          <w:szCs w:val="17"/>
          <w:color w:val="231F20"/>
          <w:spacing w:val="-36"/>
          <w:w w:val="78"/>
        </w:rPr>
        <w:t>）；</w:t>
      </w:r>
      <w:r>
        <w:rPr>
          <w:rFonts w:ascii="SimSun" w:hAnsi="SimSun" w:eastAsia="SimSun" w:cs="SimSun"/>
          <w:sz w:val="17"/>
          <w:szCs w:val="17"/>
          <w:color w:val="231F20"/>
          <w:spacing w:val="-16"/>
        </w:rPr>
        <w:t>研究组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5"/>
        </w:rPr>
        <w:t>PCT 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水平为（</w:t>
      </w:r>
      <w:r>
        <w:rPr>
          <w:sz w:val="17"/>
          <w:szCs w:val="17"/>
          <w:color w:val="231F20"/>
          <w:spacing w:val="-15"/>
        </w:rPr>
        <w:t>2.16±0.68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）</w:t>
      </w:r>
      <w:r>
        <w:rPr>
          <w:sz w:val="17"/>
          <w:szCs w:val="17"/>
          <w:color w:val="231F20"/>
          <w:spacing w:val="-15"/>
        </w:rPr>
        <w:t>ng/ml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，低于对照组的（</w:t>
      </w:r>
      <w:r>
        <w:rPr>
          <w:sz w:val="17"/>
          <w:szCs w:val="17"/>
          <w:color w:val="231F20"/>
          <w:spacing w:val="-15"/>
        </w:rPr>
        <w:t>4.23±1.36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）</w:t>
      </w:r>
      <w:r>
        <w:rPr>
          <w:sz w:val="17"/>
          <w:szCs w:val="17"/>
          <w:color w:val="231F20"/>
          <w:spacing w:val="-15"/>
        </w:rPr>
        <w:t>ng/ml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，差异有统计学意义（</w:t>
      </w:r>
      <w:r>
        <w:rPr>
          <w:sz w:val="17"/>
          <w:szCs w:val="17"/>
          <w:color w:val="231F20"/>
          <w:spacing w:val="-15"/>
        </w:rPr>
        <w:t>t=9.132 4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，</w:t>
      </w:r>
      <w:r>
        <w:rPr>
          <w:sz w:val="17"/>
          <w:szCs w:val="17"/>
          <w:color w:val="231F20"/>
          <w:spacing w:val="-15"/>
        </w:rPr>
        <w:t>P＜0.05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）</w:t>
      </w:r>
      <w:r>
        <w:rPr>
          <w:sz w:val="17"/>
          <w:szCs w:val="17"/>
          <w:color w:val="231F20"/>
          <w:spacing w:val="-15"/>
        </w:rPr>
        <w:t>。</w:t>
      </w:r>
      <w:r>
        <w:rPr>
          <w:rFonts w:ascii="SimHei" w:hAnsi="SimHei" w:eastAsia="SimHei" w:cs="SimHei"/>
          <w:sz w:val="17"/>
          <w:szCs w:val="17"/>
          <w:color w:val="231F20"/>
          <w:spacing w:val="-15"/>
        </w:rPr>
        <w:t>结论</w:t>
      </w:r>
      <w:r>
        <w:rPr>
          <w:rFonts w:ascii="SimHei" w:hAnsi="SimHei" w:eastAsia="SimHei" w:cs="SimHei"/>
          <w:sz w:val="17"/>
          <w:szCs w:val="17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>急性肠胃炎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患儿应用头孢克肟与肠炎宁糖浆联合治疗，可缩短症状的持续时间，提升临床疗效，降低</w:t>
      </w:r>
      <w:r>
        <w:rPr>
          <w:rFonts w:ascii="SimSun" w:hAnsi="SimSun" w:eastAsia="SimSun" w:cs="SimSun"/>
          <w:sz w:val="17"/>
          <w:szCs w:val="17"/>
          <w:color w:val="231F20"/>
          <w:spacing w:val="-45"/>
        </w:rPr>
        <w:t xml:space="preserve"> </w:t>
      </w:r>
      <w:r>
        <w:rPr>
          <w:sz w:val="17"/>
          <w:szCs w:val="17"/>
          <w:color w:val="231F20"/>
          <w:spacing w:val="-1"/>
        </w:rPr>
        <w:t>PC</w:t>
      </w:r>
      <w:r>
        <w:rPr>
          <w:sz w:val="17"/>
          <w:szCs w:val="17"/>
          <w:color w:val="231F20"/>
          <w:spacing w:val="-2"/>
        </w:rPr>
        <w:t>T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水平，值得临床推广应用</w:t>
      </w:r>
      <w:r>
        <w:rPr>
          <w:sz w:val="17"/>
          <w:szCs w:val="17"/>
          <w:color w:val="231F20"/>
          <w:spacing w:val="-2"/>
        </w:rPr>
        <w:t>。</w:t>
      </w:r>
      <w:r>
        <w:rPr>
          <w:sz w:val="17"/>
          <w:szCs w:val="17"/>
          <w:color w:val="231F2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关键词：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急性肠胃炎；头孢克肟；肠炎宁糖浆；临床效果</w:t>
      </w:r>
    </w:p>
    <w:p>
      <w:pPr>
        <w:pStyle w:val="BodyText"/>
        <w:ind w:left="1105"/>
        <w:spacing w:before="1" w:line="22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中图分类号：</w:t>
      </w:r>
      <w:r>
        <w:rPr>
          <w:sz w:val="15"/>
          <w:szCs w:val="15"/>
          <w:color w:val="231F20"/>
          <w:spacing w:val="-5"/>
        </w:rPr>
        <w:t>R725.7          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文献标识码：</w:t>
      </w:r>
      <w:r>
        <w:rPr>
          <w:sz w:val="15"/>
          <w:szCs w:val="15"/>
          <w:color w:val="231F20"/>
          <w:spacing w:val="-5"/>
        </w:rPr>
        <w:t>A          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文章编号：</w:t>
      </w:r>
      <w:r>
        <w:rPr>
          <w:sz w:val="15"/>
          <w:szCs w:val="15"/>
          <w:color w:val="231F20"/>
          <w:spacing w:val="-5"/>
        </w:rPr>
        <w:t>1003-5052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2021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12-001-03  </w:t>
      </w:r>
      <w:r>
        <w:rPr>
          <w:sz w:val="15"/>
          <w:szCs w:val="15"/>
          <w:color w:val="231F20"/>
          <w:spacing w:val="-6"/>
        </w:rPr>
        <w:t xml:space="preserve">       DOI:10.16286/j.1003-5052.2021.12.001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767" w:right="943" w:hanging="1197"/>
        <w:spacing w:before="116" w:line="196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11"/>
        </w:rPr>
        <w:t>Clinical effect of Changyanning combined</w:t>
      </w:r>
      <w:r>
        <w:rPr>
          <w:sz w:val="27"/>
          <w:szCs w:val="27"/>
          <w:color w:val="231F20"/>
          <w:spacing w:val="-12"/>
        </w:rPr>
        <w:t xml:space="preserve"> with cephalosporin in the</w:t>
      </w:r>
      <w:r>
        <w:rPr>
          <w:sz w:val="27"/>
          <w:szCs w:val="27"/>
          <w:color w:val="231F20"/>
        </w:rPr>
        <w:t xml:space="preserve"> </w:t>
      </w:r>
      <w:r>
        <w:rPr>
          <w:sz w:val="27"/>
          <w:szCs w:val="27"/>
          <w:color w:val="231F20"/>
          <w:spacing w:val="-10"/>
        </w:rPr>
        <w:t>treatment of</w:t>
      </w:r>
      <w:r>
        <w:rPr>
          <w:sz w:val="27"/>
          <w:szCs w:val="27"/>
          <w:color w:val="231F20"/>
          <w:spacing w:val="-19"/>
        </w:rPr>
        <w:t xml:space="preserve"> </w:t>
      </w:r>
      <w:r>
        <w:rPr>
          <w:sz w:val="27"/>
          <w:szCs w:val="27"/>
          <w:color w:val="231F20"/>
          <w:spacing w:val="-10"/>
        </w:rPr>
        <w:t>children with acute gastr</w:t>
      </w:r>
      <w:r>
        <w:rPr>
          <w:sz w:val="27"/>
          <w:szCs w:val="27"/>
          <w:color w:val="231F20"/>
          <w:spacing w:val="-11"/>
        </w:rPr>
        <w:t>oenteritis</w:t>
      </w:r>
    </w:p>
    <w:p>
      <w:pPr>
        <w:pStyle w:val="BodyText"/>
        <w:ind w:left="4504"/>
        <w:spacing w:before="1" w:line="160" w:lineRule="auto"/>
        <w:rPr/>
      </w:pPr>
      <w:r>
        <w:rPr>
          <w:color w:val="231F20"/>
          <w:spacing w:val="-2"/>
        </w:rPr>
        <w:t>SUN Na</w:t>
      </w:r>
      <w:r>
        <w:rPr>
          <w:rFonts w:ascii="SimSun" w:hAnsi="SimSun" w:eastAsia="SimSun" w:cs="SimSun"/>
          <w:color w:val="231F20"/>
          <w:spacing w:val="-2"/>
        </w:rPr>
        <w:t>，</w:t>
      </w:r>
      <w:r>
        <w:rPr>
          <w:color w:val="231F20"/>
          <w:spacing w:val="-2"/>
        </w:rPr>
        <w:t>TAO Cui-yun</w:t>
      </w:r>
    </w:p>
    <w:p>
      <w:pPr>
        <w:pStyle w:val="BodyText"/>
        <w:ind w:left="4943" w:right="910" w:hanging="3401"/>
        <w:spacing w:before="83" w:line="220" w:lineRule="auto"/>
        <w:rPr/>
      </w:pPr>
      <w:r>
        <w:rPr>
          <w:color w:val="231F20"/>
          <w:spacing w:val="-16"/>
        </w:rPr>
        <w:t>Department of No.1 Pediatrics</w:t>
      </w:r>
      <w:r>
        <w:rPr>
          <w:rFonts w:ascii="SimSun" w:hAnsi="SimSun" w:eastAsia="SimSun" w:cs="SimSun"/>
          <w:color w:val="231F20"/>
          <w:spacing w:val="-16"/>
        </w:rPr>
        <w:t>，</w:t>
      </w:r>
      <w:r>
        <w:rPr>
          <w:color w:val="231F20"/>
          <w:spacing w:val="-16"/>
        </w:rPr>
        <w:t>Gaotang County People's Hospital</w:t>
      </w:r>
      <w:r>
        <w:rPr>
          <w:rFonts w:ascii="SimSun" w:hAnsi="SimSun" w:eastAsia="SimSun" w:cs="SimSun"/>
          <w:color w:val="231F20"/>
          <w:spacing w:val="-16"/>
        </w:rPr>
        <w:t>，</w:t>
      </w:r>
      <w:r>
        <w:rPr>
          <w:color w:val="231F20"/>
          <w:spacing w:val="-16"/>
        </w:rPr>
        <w:t>Liaocheng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Shan</w:t>
      </w:r>
      <w:r>
        <w:rPr>
          <w:color w:val="231F20"/>
          <w:spacing w:val="-17"/>
        </w:rPr>
        <w:t>dong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Province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252800</w:t>
      </w:r>
      <w:r>
        <w:rPr>
          <w:rFonts w:ascii="SimSun" w:hAnsi="SimSun" w:eastAsia="SimSun" w:cs="SimSun"/>
          <w:color w:val="231F20"/>
          <w:spacing w:val="-14"/>
        </w:rPr>
        <w:t>，</w:t>
      </w:r>
      <w:r>
        <w:rPr>
          <w:color w:val="231F20"/>
          <w:spacing w:val="-14"/>
        </w:rPr>
        <w:t>China</w:t>
      </w:r>
    </w:p>
    <w:p>
      <w:pPr>
        <w:pStyle w:val="BodyText"/>
        <w:ind w:left="1061" w:right="436" w:firstLine="60"/>
        <w:spacing w:before="15" w:line="219" w:lineRule="auto"/>
        <w:tabs>
          <w:tab w:val="left" w:pos="1125"/>
        </w:tabs>
        <w:jc w:val="both"/>
        <w:rPr/>
      </w:pPr>
      <w:r>
        <w:rPr>
          <w:color w:val="231F20"/>
          <w:spacing w:val="-13"/>
        </w:rPr>
        <w:t>Abstract: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Objective  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analyze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therapeutic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effect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cefixim</w:t>
      </w:r>
      <w:r>
        <w:rPr>
          <w:color w:val="231F20"/>
          <w:spacing w:val="-14"/>
        </w:rPr>
        <w:t>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combined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with  Changyanning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syrup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children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3"/>
        </w:rPr>
        <w:t>gastroenteritis.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3"/>
        </w:rPr>
        <w:t>Methods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3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clinical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data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90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3"/>
        </w:rPr>
        <w:t>children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3"/>
        </w:rPr>
        <w:t>gastroente</w:t>
      </w:r>
      <w:r>
        <w:rPr>
          <w:color w:val="231F20"/>
          <w:spacing w:val="-14"/>
        </w:rPr>
        <w:t>ritis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diagnosed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treated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Gaotang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County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People's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Hospital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from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July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2019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July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20</w:t>
      </w:r>
      <w:r>
        <w:rPr>
          <w:color w:val="231F20"/>
          <w:spacing w:val="-17"/>
        </w:rPr>
        <w:t>20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were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selected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divided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into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8"/>
        </w:rPr>
        <w:t>study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control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8"/>
        </w:rPr>
        <w:t>group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45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</w:rPr>
        <w:t>cases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</w:rPr>
        <w:t>each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</w:rPr>
        <w:t>according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ra</w:t>
      </w:r>
      <w:r>
        <w:rPr>
          <w:color w:val="231F20"/>
          <w:spacing w:val="-19"/>
        </w:rPr>
        <w:t>ndom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number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9"/>
        </w:rPr>
        <w:t>table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method. The control group was treated with cefixime and the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s</w:t>
      </w:r>
      <w:r>
        <w:rPr>
          <w:color w:val="231F20"/>
          <w:spacing w:val="-17"/>
        </w:rPr>
        <w:t>tudy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7"/>
        </w:rPr>
        <w:t>treated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7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cefixime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combined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Changyanning syrup.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curative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effect</w:t>
      </w:r>
      <w:r>
        <w:rPr>
          <w:rFonts w:ascii="SimSun" w:hAnsi="SimSun" w:eastAsia="SimSun" w:cs="SimSun"/>
          <w:color w:val="231F20"/>
          <w:spacing w:val="-15"/>
        </w:rPr>
        <w:t>，</w:t>
      </w:r>
      <w:r>
        <w:rPr>
          <w:color w:val="231F20"/>
          <w:spacing w:val="-15"/>
        </w:rPr>
        <w:t>symptom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dur</w:t>
      </w:r>
      <w:r>
        <w:rPr>
          <w:color w:val="231F20"/>
          <w:spacing w:val="-16"/>
        </w:rPr>
        <w:t>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procalcitonin </w:t>
      </w:r>
      <w:r>
        <w:rPr>
          <w:rFonts w:ascii="SimSun" w:hAnsi="SimSun" w:eastAsia="SimSun" w:cs="SimSun"/>
          <w:color w:val="231F20"/>
          <w:spacing w:val="-16"/>
        </w:rPr>
        <w:t>（</w:t>
      </w:r>
      <w:r>
        <w:rPr>
          <w:color w:val="231F20"/>
          <w:spacing w:val="-16"/>
        </w:rPr>
        <w:t>PCT</w:t>
      </w:r>
      <w:r>
        <w:rPr>
          <w:rFonts w:ascii="SimSun" w:hAnsi="SimSun" w:eastAsia="SimSun" w:cs="SimSun"/>
          <w:color w:val="231F20"/>
          <w:spacing w:val="-16"/>
        </w:rPr>
        <w:t>）</w:t>
      </w:r>
      <w:r>
        <w:rPr>
          <w:color w:val="231F20"/>
          <w:spacing w:val="-16"/>
        </w:rPr>
        <w:t>level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of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two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groups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6"/>
        </w:rPr>
        <w:t>were analyzed．Results  After treatment</w:t>
      </w:r>
      <w:r>
        <w:rPr>
          <w:rFonts w:ascii="SimSun" w:hAnsi="SimSun" w:eastAsia="SimSun" w:cs="SimSun"/>
          <w:color w:val="231F20"/>
          <w:spacing w:val="-16"/>
        </w:rPr>
        <w:t>，</w:t>
      </w:r>
      <w:r>
        <w:rPr>
          <w:color w:val="231F20"/>
          <w:spacing w:val="-16"/>
        </w:rPr>
        <w:t>the total effe</w:t>
      </w:r>
      <w:r>
        <w:rPr>
          <w:color w:val="231F20"/>
          <w:spacing w:val="-17"/>
        </w:rPr>
        <w:t>ctive rate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the study group was 97.78%</w:t>
      </w:r>
      <w:r>
        <w:rPr>
          <w:rFonts w:ascii="SimSun" w:hAnsi="SimSun" w:eastAsia="SimSun" w:cs="SimSun"/>
          <w:color w:val="231F20"/>
          <w:spacing w:val="-17"/>
        </w:rPr>
        <w:t>，</w:t>
      </w:r>
      <w:r>
        <w:rPr>
          <w:color w:val="231F20"/>
          <w:spacing w:val="-17"/>
        </w:rPr>
        <w:t>higher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than 82.22%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the control group</w:t>
      </w:r>
      <w:r>
        <w:rPr>
          <w:rFonts w:ascii="SimSun" w:hAnsi="SimSun" w:eastAsia="SimSun" w:cs="SimSun"/>
          <w:color w:val="231F20"/>
          <w:spacing w:val="-13"/>
        </w:rPr>
        <w:t>，</w:t>
      </w:r>
      <w:r>
        <w:rPr>
          <w:color w:val="231F20"/>
          <w:spacing w:val="-13"/>
        </w:rPr>
        <w:t>and the </w:t>
      </w:r>
      <w:r>
        <w:rPr>
          <w:color w:val="231F20"/>
          <w:spacing w:val="-14"/>
        </w:rPr>
        <w:t>difference was statistically significant   </w:t>
      </w:r>
      <w:r>
        <w:rPr>
          <w:rFonts w:ascii="SimSun" w:hAnsi="SimSun" w:eastAsia="SimSun" w:cs="SimSun"/>
          <w:color w:val="231F20"/>
          <w:spacing w:val="-14"/>
        </w:rPr>
        <w:t>(</w:t>
      </w:r>
      <w:r>
        <w:rPr>
          <w:color w:val="231F20"/>
          <w:spacing w:val="-14"/>
        </w:rPr>
        <w:t>χ</w:t>
      </w:r>
      <w:r>
        <w:rPr>
          <w:sz w:val="11"/>
          <w:szCs w:val="11"/>
          <w:color w:val="231F20"/>
          <w:spacing w:val="-4"/>
          <w:position w:val="7"/>
        </w:rPr>
        <w:t>2</w:t>
      </w:r>
      <w:r>
        <w:rPr>
          <w:color w:val="231F20"/>
          <w:spacing w:val="-18"/>
        </w:rPr>
        <w:t>=4.444 4</w:t>
      </w:r>
      <w:r>
        <w:rPr>
          <w:rFonts w:ascii="SimSun" w:hAnsi="SimSun" w:eastAsia="SimSun" w:cs="SimSun"/>
          <w:color w:val="231F20"/>
          <w:spacing w:val="-18"/>
        </w:rPr>
        <w:t>，</w:t>
      </w:r>
      <w:r>
        <w:rPr>
          <w:color w:val="231F20"/>
          <w:spacing w:val="-18"/>
        </w:rPr>
        <w:t>P&lt;0.05</w:t>
      </w:r>
      <w:r>
        <w:rPr>
          <w:rFonts w:ascii="SimSun" w:hAnsi="SimSun" w:eastAsia="SimSun" w:cs="SimSun"/>
          <w:color w:val="231F20"/>
          <w:spacing w:val="-50"/>
          <w:w w:val="92"/>
        </w:rPr>
        <w:t>）；</w:t>
      </w:r>
      <w:r>
        <w:rPr>
          <w:color w:val="231F20"/>
          <w:spacing w:val="-18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duration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7"/>
        </w:rPr>
        <w:t>abdominal pain</w:t>
      </w:r>
      <w:r>
        <w:rPr>
          <w:rFonts w:ascii="SimSun" w:hAnsi="SimSun" w:eastAsia="SimSun" w:cs="SimSun"/>
          <w:color w:val="231F20"/>
          <w:spacing w:val="-17"/>
        </w:rPr>
        <w:t>，</w:t>
      </w:r>
      <w:r>
        <w:rPr>
          <w:color w:val="231F20"/>
          <w:spacing w:val="-17"/>
        </w:rPr>
        <w:t>vomiting</w:t>
      </w:r>
      <w:r>
        <w:rPr>
          <w:rFonts w:ascii="SimSun" w:hAnsi="SimSun" w:eastAsia="SimSun" w:cs="SimSun"/>
          <w:color w:val="231F20"/>
          <w:spacing w:val="-17"/>
        </w:rPr>
        <w:t>，</w:t>
      </w:r>
      <w:r>
        <w:rPr>
          <w:color w:val="231F20"/>
          <w:spacing w:val="-17"/>
        </w:rPr>
        <w:t>fever and diarrhea in the study group were</w:t>
      </w:r>
      <w:r>
        <w:rPr>
          <w:rFonts w:ascii="SimSun" w:hAnsi="SimSun" w:eastAsia="SimSun" w:cs="SimSun"/>
          <w:color w:val="231F20"/>
          <w:spacing w:val="-17"/>
        </w:rPr>
        <w:t>（</w:t>
      </w:r>
      <w:r>
        <w:rPr>
          <w:color w:val="231F20"/>
          <w:spacing w:val="-17"/>
        </w:rPr>
        <w:t>3.54±1.08</w:t>
      </w:r>
      <w:r>
        <w:rPr>
          <w:rFonts w:ascii="SimSun" w:hAnsi="SimSun" w:eastAsia="SimSun" w:cs="SimSun"/>
          <w:color w:val="231F20"/>
          <w:spacing w:val="-44"/>
          <w:w w:val="82"/>
        </w:rPr>
        <w:t>），（</w:t>
      </w:r>
      <w:r>
        <w:rPr>
          <w:color w:val="231F20"/>
          <w:spacing w:val="-17"/>
        </w:rPr>
        <w:t>1.7</w:t>
      </w:r>
      <w:r>
        <w:rPr>
          <w:color w:val="231F20"/>
          <w:spacing w:val="-18"/>
        </w:rPr>
        <w:t>9±0.87</w:t>
      </w:r>
      <w:r>
        <w:rPr>
          <w:rFonts w:ascii="SimSun" w:hAnsi="SimSun" w:eastAsia="SimSun" w:cs="SimSun"/>
          <w:color w:val="231F20"/>
          <w:spacing w:val="-44"/>
          <w:w w:val="82"/>
        </w:rPr>
        <w:t>），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7"/>
        </w:rPr>
        <w:t>（</w:t>
      </w:r>
      <w:r>
        <w:rPr>
          <w:color w:val="231F20"/>
          <w:spacing w:val="-17"/>
        </w:rPr>
        <w:t>1.75±0.63</w:t>
      </w:r>
      <w:r>
        <w:rPr>
          <w:rFonts w:ascii="SimSun" w:hAnsi="SimSun" w:eastAsia="SimSun" w:cs="SimSun"/>
          <w:color w:val="231F20"/>
          <w:spacing w:val="-17"/>
        </w:rPr>
        <w:t>）</w:t>
      </w:r>
      <w:r>
        <w:rPr>
          <w:color w:val="231F20"/>
          <w:spacing w:val="-17"/>
        </w:rPr>
        <w:t>and</w:t>
      </w:r>
      <w:r>
        <w:rPr>
          <w:color w:val="231F20"/>
          <w:spacing w:val="46"/>
        </w:rPr>
        <w:t xml:space="preserve"> </w:t>
      </w:r>
      <w:r>
        <w:rPr>
          <w:rFonts w:ascii="SimSun" w:hAnsi="SimSun" w:eastAsia="SimSun" w:cs="SimSun"/>
          <w:color w:val="231F20"/>
          <w:spacing w:val="-17"/>
        </w:rPr>
        <w:t>（</w:t>
      </w:r>
      <w:r>
        <w:rPr>
          <w:color w:val="231F20"/>
          <w:spacing w:val="-17"/>
        </w:rPr>
        <w:t>2.52±0.68</w:t>
      </w:r>
      <w:r>
        <w:rPr>
          <w:rFonts w:ascii="SimSun" w:hAnsi="SimSun" w:eastAsia="SimSun" w:cs="SimSun"/>
          <w:color w:val="231F20"/>
          <w:spacing w:val="-17"/>
        </w:rPr>
        <w:t>）</w:t>
      </w:r>
      <w:r>
        <w:rPr>
          <w:color w:val="231F20"/>
          <w:spacing w:val="-17"/>
        </w:rPr>
        <w:t>days</w:t>
      </w:r>
      <w:r>
        <w:rPr>
          <w:rFonts w:ascii="SimSun" w:hAnsi="SimSun" w:eastAsia="SimSun" w:cs="SimSun"/>
          <w:color w:val="231F20"/>
          <w:spacing w:val="-17"/>
        </w:rPr>
        <w:t>，</w:t>
      </w:r>
      <w:r>
        <w:rPr>
          <w:color w:val="231F20"/>
          <w:spacing w:val="-17"/>
        </w:rPr>
        <w:t>respectively</w:t>
      </w:r>
      <w:r>
        <w:rPr>
          <w:rFonts w:ascii="SimSun" w:hAnsi="SimSun" w:eastAsia="SimSun" w:cs="SimSun"/>
          <w:color w:val="231F20"/>
          <w:spacing w:val="-17"/>
        </w:rPr>
        <w:t>，</w:t>
      </w:r>
      <w:r>
        <w:rPr>
          <w:color w:val="231F20"/>
          <w:spacing w:val="-17"/>
        </w:rPr>
        <w:t>which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lower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than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those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7"/>
        </w:rPr>
        <w:t>control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with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5"/>
        </w:rPr>
        <w:t>（</w:t>
      </w:r>
      <w:r>
        <w:rPr>
          <w:color w:val="231F20"/>
          <w:spacing w:val="-15"/>
        </w:rPr>
        <w:t>5.16±1.13</w:t>
      </w:r>
      <w:r>
        <w:rPr>
          <w:rFonts w:ascii="SimSun" w:hAnsi="SimSun" w:eastAsia="SimSun" w:cs="SimSun"/>
          <w:color w:val="231F20"/>
          <w:spacing w:val="-42"/>
          <w:w w:val="78"/>
        </w:rPr>
        <w:t>），（</w:t>
      </w:r>
      <w:r>
        <w:rPr>
          <w:color w:val="231F20"/>
          <w:spacing w:val="-15"/>
        </w:rPr>
        <w:t>2.73±0.91</w:t>
      </w:r>
      <w:r>
        <w:rPr>
          <w:rFonts w:ascii="SimSun" w:hAnsi="SimSun" w:eastAsia="SimSun" w:cs="SimSun"/>
          <w:color w:val="231F20"/>
          <w:spacing w:val="-42"/>
          <w:w w:val="78"/>
        </w:rPr>
        <w:t>），（</w:t>
      </w:r>
      <w:r>
        <w:rPr>
          <w:color w:val="231F20"/>
          <w:spacing w:val="-15"/>
        </w:rPr>
        <w:t>2.92±0.95</w:t>
      </w:r>
      <w:r>
        <w:rPr>
          <w:rFonts w:ascii="SimSun" w:hAnsi="SimSun" w:eastAsia="SimSun" w:cs="SimSun"/>
          <w:color w:val="231F20"/>
          <w:spacing w:val="-42"/>
          <w:w w:val="78"/>
        </w:rPr>
        <w:t>），（</w:t>
      </w:r>
      <w:r>
        <w:rPr>
          <w:color w:val="231F20"/>
          <w:spacing w:val="-15"/>
        </w:rPr>
        <w:t>3.86±0.93</w:t>
      </w:r>
      <w:r>
        <w:rPr>
          <w:rFonts w:ascii="SimSun" w:hAnsi="SimSun" w:eastAsia="SimSun" w:cs="SimSun"/>
          <w:color w:val="231F20"/>
          <w:spacing w:val="-15"/>
        </w:rPr>
        <w:t>）</w:t>
      </w:r>
      <w:r>
        <w:rPr>
          <w:color w:val="231F20"/>
          <w:spacing w:val="-15"/>
        </w:rPr>
        <w:t>days</w:t>
      </w:r>
      <w:r>
        <w:rPr>
          <w:rFonts w:ascii="SimSun" w:hAnsi="SimSun" w:eastAsia="SimSun" w:cs="SimSun"/>
          <w:color w:val="231F20"/>
          <w:spacing w:val="-15"/>
        </w:rPr>
        <w:t>，</w:t>
      </w:r>
      <w:r>
        <w:rPr>
          <w:color w:val="231F20"/>
          <w:spacing w:val="-1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5"/>
        </w:rPr>
        <w:t>d</w:t>
      </w:r>
      <w:r>
        <w:rPr>
          <w:color w:val="231F20"/>
          <w:spacing w:val="-16"/>
        </w:rPr>
        <w:t>ifferences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6"/>
        </w:rPr>
        <w:t>were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6"/>
        </w:rPr>
        <w:t>statistically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6"/>
        </w:rPr>
        <w:t>significant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21"/>
        </w:rPr>
        <w:t>（</w:t>
      </w:r>
      <w:r>
        <w:rPr>
          <w:color w:val="231F20"/>
          <w:spacing w:val="-21"/>
        </w:rPr>
        <w:t>t=6.952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1"/>
        </w:rPr>
        <w:t>4</w:t>
      </w:r>
      <w:r>
        <w:rPr>
          <w:rFonts w:ascii="SimSun" w:hAnsi="SimSun" w:eastAsia="SimSun" w:cs="SimSun"/>
          <w:color w:val="231F20"/>
          <w:spacing w:val="-21"/>
        </w:rPr>
        <w:t>，</w:t>
      </w:r>
      <w:r>
        <w:rPr>
          <w:color w:val="231F20"/>
          <w:spacing w:val="-21"/>
        </w:rPr>
        <w:t>5．008 6</w:t>
      </w:r>
      <w:r>
        <w:rPr>
          <w:rFonts w:ascii="SimSun" w:hAnsi="SimSun" w:eastAsia="SimSun" w:cs="SimSun"/>
          <w:color w:val="231F20"/>
          <w:spacing w:val="-21"/>
        </w:rPr>
        <w:t>，</w:t>
      </w:r>
      <w:r>
        <w:rPr>
          <w:color w:val="231F20"/>
          <w:spacing w:val="-21"/>
        </w:rPr>
        <w:t>6．885 3</w:t>
      </w:r>
      <w:r>
        <w:rPr>
          <w:rFonts w:ascii="SimSun" w:hAnsi="SimSun" w:eastAsia="SimSun" w:cs="SimSun"/>
          <w:color w:val="231F20"/>
          <w:spacing w:val="-21"/>
        </w:rPr>
        <w:t>，</w:t>
      </w:r>
      <w:r>
        <w:rPr>
          <w:color w:val="231F20"/>
          <w:spacing w:val="-21"/>
        </w:rPr>
        <w:t>7.802 4</w:t>
      </w:r>
      <w:r>
        <w:rPr>
          <w:rFonts w:ascii="SimSun" w:hAnsi="SimSun" w:eastAsia="SimSun" w:cs="SimSun"/>
          <w:color w:val="231F20"/>
          <w:spacing w:val="-21"/>
        </w:rPr>
        <w:t>，</w:t>
      </w:r>
      <w:r>
        <w:rPr>
          <w:color w:val="231F20"/>
          <w:spacing w:val="-21"/>
        </w:rPr>
        <w:t>P&lt;0.05</w:t>
      </w:r>
      <w:r>
        <w:rPr>
          <w:rFonts w:ascii="SimSun" w:hAnsi="SimSun" w:eastAsia="SimSun" w:cs="SimSun"/>
          <w:color w:val="231F20"/>
          <w:spacing w:val="-47"/>
          <w:w w:val="87"/>
        </w:rPr>
        <w:t>）；</w:t>
      </w:r>
      <w:r>
        <w:rPr>
          <w:color w:val="231F20"/>
          <w:spacing w:val="-21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1"/>
        </w:rPr>
        <w:t>P</w:t>
      </w:r>
      <w:r>
        <w:rPr>
          <w:color w:val="231F20"/>
          <w:spacing w:val="-22"/>
        </w:rPr>
        <w:t>CT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2"/>
        </w:rPr>
        <w:t>level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2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2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2"/>
        </w:rPr>
        <w:t>study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2"/>
        </w:rPr>
        <w:t>group was </w:t>
      </w:r>
      <w:r>
        <w:rPr>
          <w:rFonts w:ascii="SimSun" w:hAnsi="SimSun" w:eastAsia="SimSun" w:cs="SimSun"/>
          <w:color w:val="231F20"/>
          <w:spacing w:val="-22"/>
        </w:rPr>
        <w:t>（</w:t>
      </w:r>
      <w:r>
        <w:rPr>
          <w:color w:val="231F20"/>
          <w:spacing w:val="-22"/>
        </w:rPr>
        <w:t>2.16±0.68</w:t>
      </w:r>
      <w:r>
        <w:rPr>
          <w:rFonts w:ascii="SimSun" w:hAnsi="SimSun" w:eastAsia="SimSun" w:cs="SimSun"/>
          <w:color w:val="231F20"/>
          <w:spacing w:val="-22"/>
        </w:rPr>
        <w:t>）</w:t>
      </w:r>
      <w:r>
        <w:rPr>
          <w:color w:val="231F20"/>
          <w:spacing w:val="-22"/>
        </w:rPr>
        <w:t>ng/ml</w:t>
      </w:r>
      <w:r>
        <w:rPr>
          <w:rFonts w:ascii="SimSun" w:hAnsi="SimSun" w:eastAsia="SimSun" w:cs="SimSun"/>
          <w:color w:val="231F20"/>
          <w:spacing w:val="-22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15"/>
        </w:rPr>
        <w:t>which was lower than that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in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with </w:t>
      </w:r>
      <w:r>
        <w:rPr>
          <w:rFonts w:ascii="SimSun" w:hAnsi="SimSun" w:eastAsia="SimSun" w:cs="SimSun"/>
          <w:color w:val="231F20"/>
          <w:spacing w:val="-15"/>
        </w:rPr>
        <w:t>（</w:t>
      </w:r>
      <w:r>
        <w:rPr>
          <w:color w:val="231F20"/>
          <w:spacing w:val="-15"/>
        </w:rPr>
        <w:t>4.23±1.36</w:t>
      </w:r>
      <w:r>
        <w:rPr>
          <w:rFonts w:ascii="SimSun" w:hAnsi="SimSun" w:eastAsia="SimSun" w:cs="SimSun"/>
          <w:color w:val="231F20"/>
          <w:spacing w:val="-15"/>
        </w:rPr>
        <w:t>）</w:t>
      </w:r>
      <w:r>
        <w:rPr>
          <w:color w:val="231F20"/>
          <w:spacing w:val="-15"/>
        </w:rPr>
        <w:t>ng/ml</w:t>
      </w:r>
      <w:r>
        <w:rPr>
          <w:rFonts w:ascii="SimSun" w:hAnsi="SimSun" w:eastAsia="SimSun" w:cs="SimSun"/>
          <w:color w:val="231F20"/>
          <w:spacing w:val="-15"/>
        </w:rPr>
        <w:t>，</w:t>
      </w:r>
      <w:r>
        <w:rPr>
          <w:color w:val="231F20"/>
          <w:spacing w:val="-15"/>
        </w:rPr>
        <w:t>an</w:t>
      </w:r>
      <w:r>
        <w:rPr>
          <w:color w:val="231F20"/>
          <w:spacing w:val="-16"/>
        </w:rPr>
        <w:t>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difference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statistically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significant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14"/>
        </w:rPr>
        <w:t>（</w:t>
      </w:r>
      <w:r>
        <w:rPr>
          <w:color w:val="231F20"/>
          <w:spacing w:val="-14"/>
        </w:rPr>
        <w:t>t=9.132 4</w:t>
      </w:r>
      <w:r>
        <w:rPr>
          <w:rFonts w:ascii="SimSun" w:hAnsi="SimSun" w:eastAsia="SimSun" w:cs="SimSun"/>
          <w:color w:val="231F20"/>
          <w:spacing w:val="-14"/>
        </w:rPr>
        <w:t>，</w:t>
      </w:r>
      <w:r>
        <w:rPr>
          <w:color w:val="231F20"/>
          <w:spacing w:val="-14"/>
        </w:rPr>
        <w:t>P&lt;0.0</w:t>
      </w:r>
      <w:r>
        <w:rPr>
          <w:color w:val="231F20"/>
          <w:spacing w:val="-15"/>
        </w:rPr>
        <w:t>5</w:t>
      </w:r>
      <w:r>
        <w:rPr>
          <w:rFonts w:ascii="SimSun" w:hAnsi="SimSun" w:eastAsia="SimSun" w:cs="SimSun"/>
          <w:color w:val="231F20"/>
          <w:spacing w:val="-15"/>
        </w:rPr>
        <w:t>）</w:t>
      </w:r>
      <w:r>
        <w:rPr>
          <w:color w:val="231F20"/>
          <w:spacing w:val="-15"/>
        </w:rPr>
        <w:t>. Conclusion  The combined treatment of cefixime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Changyanning syrup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15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children with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acute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gastroenteritis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could reduce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duration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of symp</w:t>
      </w:r>
      <w:r>
        <w:rPr>
          <w:color w:val="231F20"/>
          <w:spacing w:val="-16"/>
        </w:rPr>
        <w:t>toms</w:t>
      </w:r>
      <w:r>
        <w:rPr>
          <w:rFonts w:ascii="SimSun" w:hAnsi="SimSun" w:eastAsia="SimSun" w:cs="SimSun"/>
          <w:color w:val="231F20"/>
          <w:spacing w:val="-16"/>
        </w:rPr>
        <w:t>，</w:t>
      </w:r>
      <w:r>
        <w:rPr>
          <w:color w:val="231F20"/>
          <w:spacing w:val="-16"/>
        </w:rPr>
        <w:t>improve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clinical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efficacy</w:t>
      </w:r>
      <w:r>
        <w:rPr>
          <w:rFonts w:ascii="SimSun" w:hAnsi="SimSun" w:eastAsia="SimSun" w:cs="SimSun"/>
          <w:color w:val="231F20"/>
          <w:spacing w:val="-16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14"/>
        </w:rPr>
        <w:t>and reduce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4"/>
        </w:rPr>
        <w:t>the level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PCT</w:t>
      </w:r>
      <w:r>
        <w:rPr>
          <w:rFonts w:ascii="SimSun" w:hAnsi="SimSun" w:eastAsia="SimSun" w:cs="SimSun"/>
          <w:color w:val="231F20"/>
          <w:spacing w:val="-14"/>
        </w:rPr>
        <w:t>，</w:t>
      </w:r>
      <w:r>
        <w:rPr>
          <w:color w:val="231F20"/>
          <w:spacing w:val="-14"/>
        </w:rPr>
        <w:t>which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4"/>
        </w:rPr>
        <w:t>worthy</w:t>
      </w:r>
      <w:r>
        <w:rPr>
          <w:color w:val="231F20"/>
          <w:spacing w:val="-15"/>
        </w:rPr>
        <w:t xml:space="preserve">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clinical promotion and application.</w:t>
      </w:r>
    </w:p>
    <w:p>
      <w:pPr>
        <w:pStyle w:val="BodyText"/>
        <w:ind w:left="1126"/>
        <w:spacing w:before="6" w:line="164" w:lineRule="auto"/>
        <w:rPr/>
      </w:pPr>
      <w:r>
        <w:rPr>
          <w:color w:val="231F20"/>
          <w:spacing w:val="-12"/>
        </w:rPr>
        <w:t>Keywords: Acute gastroenteritis</w:t>
      </w:r>
      <w:r>
        <w:rPr>
          <w:rFonts w:ascii="SimSun" w:hAnsi="SimSun" w:eastAsia="SimSun" w:cs="SimSun"/>
          <w:color w:val="231F20"/>
          <w:spacing w:val="-12"/>
        </w:rPr>
        <w:t>；</w:t>
      </w:r>
      <w:r>
        <w:rPr>
          <w:color w:val="231F20"/>
          <w:spacing w:val="-12"/>
        </w:rPr>
        <w:t>Cefixime</w:t>
      </w:r>
      <w:r>
        <w:rPr>
          <w:rFonts w:ascii="SimSun" w:hAnsi="SimSun" w:eastAsia="SimSun" w:cs="SimSun"/>
          <w:color w:val="231F20"/>
          <w:spacing w:val="-13"/>
        </w:rPr>
        <w:t>；</w:t>
      </w:r>
      <w:r>
        <w:rPr>
          <w:color w:val="231F20"/>
          <w:spacing w:val="-13"/>
        </w:rPr>
        <w:t>Changyanning syrup</w:t>
      </w:r>
      <w:r>
        <w:rPr>
          <w:rFonts w:ascii="SimSun" w:hAnsi="SimSun" w:eastAsia="SimSun" w:cs="SimSun"/>
          <w:color w:val="231F20"/>
          <w:spacing w:val="-13"/>
        </w:rPr>
        <w:t>；</w:t>
      </w:r>
      <w:r>
        <w:rPr>
          <w:color w:val="231F20"/>
          <w:spacing w:val="-13"/>
        </w:rPr>
        <w:t>Clinical effect</w:t>
      </w:r>
    </w:p>
    <w:p>
      <w:pPr>
        <w:spacing w:before="81"/>
        <w:rPr/>
      </w:pPr>
      <w:r/>
    </w:p>
    <w:p>
      <w:pPr>
        <w:sectPr>
          <w:headerReference w:type="default" r:id="rId1"/>
          <w:footerReference w:type="default" r:id="rId2"/>
          <w:pgSz w:w="11905" w:h="16836"/>
          <w:pgMar w:top="1433" w:right="972" w:bottom="886" w:left="407" w:header="1086" w:footer="601" w:gutter="0"/>
          <w:cols w:equalWidth="0" w:num="1">
            <w:col w:w="10524" w:space="0"/>
          </w:cols>
        </w:sectPr>
        <w:rPr/>
      </w:pPr>
    </w:p>
    <w:p>
      <w:pPr>
        <w:pStyle w:val="BodyText"/>
        <w:ind w:left="683" w:right="359" w:firstLine="424"/>
        <w:spacing w:before="39" w:line="289" w:lineRule="auto"/>
        <w:rPr>
          <w:rFonts w:ascii="SimSun" w:hAnsi="SimSun" w:eastAsia="SimSun" w:cs="SimSun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425450</wp:posOffset>
            </wp:positionH>
            <wp:positionV relativeFrom="paragraph">
              <wp:posOffset>507277</wp:posOffset>
            </wp:positionV>
            <wp:extent cx="1080769" cy="761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076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color w:val="231F20"/>
          <w:spacing w:val="11"/>
        </w:rPr>
        <w:t>急性肠胃炎主要指因各种因素造成的机体胃肠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黏膜急性炎症，多发生在幼儿及老年群体</w:t>
      </w:r>
      <w:r>
        <w:rPr>
          <w:sz w:val="11"/>
          <w:szCs w:val="11"/>
          <w:color w:val="231F20"/>
          <w:spacing w:val="4"/>
          <w:position w:val="7"/>
        </w:rPr>
        <w:t>[1]</w:t>
      </w:r>
      <w:r>
        <w:rPr>
          <w:sz w:val="11"/>
          <w:szCs w:val="11"/>
          <w:color w:val="231F20"/>
          <w:spacing w:val="-11"/>
          <w:position w:val="7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SimSun" w:hAnsi="SimSun" w:eastAsia="SimSun" w:cs="SimSun"/>
          <w:color w:val="231F20"/>
          <w:spacing w:val="4"/>
        </w:rPr>
        <w:t>小儿急</w:t>
      </w:r>
    </w:p>
    <w:p>
      <w:pPr>
        <w:ind w:left="672"/>
        <w:spacing w:before="10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</w:rPr>
        <w:t>作者简介：</w:t>
      </w:r>
      <w:r>
        <w:rPr>
          <w:rFonts w:ascii="SimSun" w:hAnsi="SimSun" w:eastAsia="SimSun" w:cs="SimSun"/>
          <w:sz w:val="15"/>
          <w:szCs w:val="15"/>
          <w:color w:val="231F20"/>
        </w:rPr>
        <w:t>孙娜，本科，主治医师，主要从事小儿内科相关临床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工作</w:t>
      </w:r>
    </w:p>
    <w:p>
      <w:pPr>
        <w:ind w:left="672"/>
        <w:spacing w:before="86" w:line="207" w:lineRule="auto"/>
        <w:rPr>
          <w:rFonts w:ascii="Arial" w:hAnsi="Arial" w:eastAsia="Arial" w:cs="Arial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7"/>
        </w:rPr>
        <w:t>通信作者：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孙娜，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E- mail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15263559599@163.com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38" w:line="22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性肠胃炎的临床症状是腹痛</w:t>
      </w:r>
      <w:r>
        <w:rPr>
          <w:color w:val="231F20"/>
          <w:spacing w:val="-6"/>
        </w:rPr>
        <w:t>、</w:t>
      </w:r>
      <w:r>
        <w:rPr>
          <w:rFonts w:ascii="SimSun" w:hAnsi="SimSun" w:eastAsia="SimSun" w:cs="SimSun"/>
          <w:color w:val="231F20"/>
          <w:spacing w:val="-6"/>
        </w:rPr>
        <w:t>恶心</w:t>
      </w:r>
      <w:r>
        <w:rPr>
          <w:color w:val="231F20"/>
          <w:spacing w:val="-6"/>
        </w:rPr>
        <w:t>、</w:t>
      </w:r>
      <w:r>
        <w:rPr>
          <w:rFonts w:ascii="SimSun" w:hAnsi="SimSun" w:eastAsia="SimSun" w:cs="SimSun"/>
          <w:color w:val="231F20"/>
          <w:spacing w:val="-6"/>
        </w:rPr>
        <w:t>发热</w:t>
      </w:r>
      <w:r>
        <w:rPr>
          <w:color w:val="231F20"/>
          <w:spacing w:val="-6"/>
        </w:rPr>
        <w:t>、</w:t>
      </w:r>
      <w:r>
        <w:rPr>
          <w:rFonts w:ascii="SimSun" w:hAnsi="SimSun" w:eastAsia="SimSun" w:cs="SimSun"/>
          <w:color w:val="231F20"/>
          <w:spacing w:val="-6"/>
        </w:rPr>
        <w:t>腹泻等，如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果不能及时治疗，会发生酸碱失衡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脱水等不良事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件，影响患儿日常生活</w:t>
      </w:r>
      <w:r>
        <w:rPr>
          <w:sz w:val="11"/>
          <w:szCs w:val="11"/>
          <w:color w:val="231F20"/>
          <w:spacing w:val="4"/>
          <w:position w:val="7"/>
        </w:rPr>
        <w:t>[2]</w:t>
      </w:r>
      <w:r>
        <w:rPr>
          <w:sz w:val="11"/>
          <w:szCs w:val="11"/>
          <w:color w:val="231F20"/>
          <w:spacing w:val="-7"/>
          <w:position w:val="7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SimSun" w:hAnsi="SimSun" w:eastAsia="SimSun" w:cs="SimSun"/>
          <w:color w:val="231F20"/>
          <w:spacing w:val="4"/>
        </w:rPr>
        <w:t>对急性肠胃炎疾病临床主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要选择药物治疗方案，包括头孢克肟</w:t>
      </w:r>
      <w:r>
        <w:rPr>
          <w:color w:val="231F20"/>
          <w:spacing w:val="-4"/>
        </w:rPr>
        <w:t>、</w:t>
      </w:r>
      <w:r>
        <w:rPr>
          <w:rFonts w:ascii="SimSun" w:hAnsi="SimSun" w:eastAsia="SimSun" w:cs="SimSun"/>
          <w:color w:val="231F20"/>
          <w:spacing w:val="-4"/>
        </w:rPr>
        <w:t>肠炎宁糖浆等，</w:t>
      </w:r>
    </w:p>
    <w:p>
      <w:pPr>
        <w:spacing w:line="220" w:lineRule="auto"/>
        <w:sectPr>
          <w:type w:val="continuous"/>
          <w:pgSz w:w="11905" w:h="16836"/>
          <w:pgMar w:top="1433" w:right="972" w:bottom="886" w:left="407" w:header="1086" w:footer="601" w:gutter="0"/>
          <w:cols w:equalWidth="0" w:num="2">
            <w:col w:w="5705" w:space="100"/>
            <w:col w:w="4720" w:space="0"/>
          </w:cols>
        </w:sectPr>
        <w:rPr>
          <w:rFonts w:ascii="SimSun" w:hAnsi="SimSun" w:eastAsia="SimSun" w:cs="SimSun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4"/>
          <w:footerReference w:type="default" r:id="rId5"/>
          <w:pgSz w:w="11905" w:h="16836"/>
          <w:pgMar w:top="1433" w:right="997" w:bottom="886" w:left="407" w:header="1086" w:footer="601" w:gutter="0"/>
          <w:cols w:equalWidth="0" w:num="1">
            <w:col w:w="10499" w:space="0"/>
          </w:cols>
        </w:sectPr>
        <w:rPr/>
      </w:pPr>
    </w:p>
    <w:p>
      <w:pPr>
        <w:pStyle w:val="BodyText"/>
        <w:ind w:left="624" w:right="293" w:hanging="2"/>
        <w:spacing w:before="40" w:line="242" w:lineRule="auto"/>
        <w:rPr/>
      </w:pPr>
      <w:r>
        <w:rPr>
          <w:rFonts w:ascii="SimSun" w:hAnsi="SimSun" w:eastAsia="SimSun" w:cs="SimSun"/>
          <w:color w:val="231F20"/>
          <w:spacing w:val="5"/>
        </w:rPr>
        <w:t>单独用药效果不理想</w:t>
      </w:r>
      <w:r>
        <w:rPr>
          <w:sz w:val="11"/>
          <w:szCs w:val="11"/>
          <w:color w:val="231F20"/>
          <w:spacing w:val="5"/>
          <w:position w:val="7"/>
        </w:rPr>
        <w:t>[3]</w:t>
      </w:r>
      <w:r>
        <w:rPr>
          <w:color w:val="231F20"/>
          <w:spacing w:val="5"/>
        </w:rPr>
        <w:t>。</w:t>
      </w:r>
      <w:r>
        <w:rPr>
          <w:rFonts w:ascii="SimSun" w:hAnsi="SimSun" w:eastAsia="SimSun" w:cs="SimSun"/>
          <w:color w:val="231F20"/>
          <w:spacing w:val="5"/>
        </w:rPr>
        <w:t>本研究观察头孢克肟联合肠 </w:t>
      </w:r>
      <w:r>
        <w:rPr>
          <w:rFonts w:ascii="SimSun" w:hAnsi="SimSun" w:eastAsia="SimSun" w:cs="SimSun"/>
          <w:color w:val="231F20"/>
          <w:spacing w:val="-14"/>
        </w:rPr>
        <w:t>炎宁糖浆治疗急性肠胃炎患儿的临床效果析，报</w:t>
      </w:r>
      <w:r>
        <w:rPr>
          <w:rFonts w:ascii="SimSun" w:hAnsi="SimSun" w:eastAsia="SimSun" w:cs="SimSun"/>
          <w:color w:val="231F20"/>
          <w:spacing w:val="-15"/>
        </w:rPr>
        <w:t>告如下</w:t>
      </w:r>
      <w:r>
        <w:rPr>
          <w:color w:val="231F20"/>
          <w:spacing w:val="-15"/>
        </w:rPr>
        <w:t>。</w:t>
      </w:r>
    </w:p>
    <w:p>
      <w:pPr>
        <w:pStyle w:val="BodyText"/>
        <w:ind w:left="626"/>
        <w:spacing w:line="187" w:lineRule="auto"/>
        <w:rPr>
          <w:rFonts w:ascii="SimHei" w:hAnsi="SimHei" w:eastAsia="SimHei" w:cs="SimHei"/>
        </w:rPr>
      </w:pPr>
      <w:r>
        <w:rPr>
          <w:color w:val="231F20"/>
          <w:spacing w:val="1"/>
        </w:rPr>
        <w:t>1</w:t>
      </w:r>
      <w:r>
        <w:rPr>
          <w:color w:val="231F20"/>
          <w:spacing w:val="15"/>
          <w:w w:val="101"/>
        </w:rPr>
        <w:t xml:space="preserve">   </w:t>
      </w:r>
      <w:r>
        <w:rPr>
          <w:rFonts w:ascii="SimHei" w:hAnsi="SimHei" w:eastAsia="SimHei" w:cs="SimHei"/>
          <w:color w:val="231F20"/>
          <w:spacing w:val="1"/>
        </w:rPr>
        <w:t>资料与方法</w:t>
      </w:r>
    </w:p>
    <w:p>
      <w:pPr>
        <w:pStyle w:val="BodyText"/>
        <w:ind w:left="622" w:right="293" w:firstLine="13"/>
        <w:spacing w:before="77" w:line="233" w:lineRule="auto"/>
        <w:rPr/>
      </w:pPr>
      <w:r>
        <w:rPr>
          <w:color w:val="231F20"/>
          <w:spacing w:val="-2"/>
        </w:rPr>
        <w:t>1.1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2"/>
        </w:rPr>
        <w:t>研究资料    </w:t>
      </w:r>
      <w:r>
        <w:rPr>
          <w:rFonts w:ascii="SimSun" w:hAnsi="SimSun" w:eastAsia="SimSun" w:cs="SimSun"/>
          <w:color w:val="231F20"/>
          <w:spacing w:val="-2"/>
        </w:rPr>
        <w:t>选取我院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-2"/>
        </w:rPr>
        <w:t>2019 </w:t>
      </w:r>
      <w:r>
        <w:rPr>
          <w:rFonts w:ascii="SimSun" w:hAnsi="SimSun" w:eastAsia="SimSun" w:cs="SimSun"/>
          <w:color w:val="231F20"/>
          <w:spacing w:val="-2"/>
        </w:rPr>
        <w:t>年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2"/>
        </w:rPr>
        <w:t>7</w:t>
      </w:r>
      <w:r>
        <w:rPr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月</w:t>
      </w:r>
      <w:r>
        <w:rPr>
          <w:color w:val="231F20"/>
          <w:spacing w:val="-2"/>
        </w:rPr>
        <w:t>—2020 </w:t>
      </w:r>
      <w:r>
        <w:rPr>
          <w:rFonts w:ascii="SimSun" w:hAnsi="SimSun" w:eastAsia="SimSun" w:cs="SimSun"/>
          <w:color w:val="231F20"/>
          <w:spacing w:val="-2"/>
        </w:rPr>
        <w:t>年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-2"/>
        </w:rPr>
        <w:t>7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月诊治的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5"/>
        </w:rPr>
        <w:t>90 </w:t>
      </w:r>
      <w:r>
        <w:rPr>
          <w:rFonts w:ascii="SimSun" w:hAnsi="SimSun" w:eastAsia="SimSun" w:cs="SimSun"/>
          <w:color w:val="231F20"/>
          <w:spacing w:val="5"/>
        </w:rPr>
        <w:t>例急性肠胃炎患儿的临床资料</w:t>
      </w:r>
      <w:r>
        <w:rPr>
          <w:color w:val="231F20"/>
          <w:spacing w:val="5"/>
        </w:rPr>
        <w:t>。</w:t>
      </w:r>
      <w:r>
        <w:rPr>
          <w:rFonts w:ascii="SimSun" w:hAnsi="SimSun" w:eastAsia="SimSun" w:cs="SimSun"/>
          <w:color w:val="231F20"/>
          <w:spacing w:val="5"/>
        </w:rPr>
        <w:t>按</w:t>
      </w:r>
      <w:r>
        <w:rPr>
          <w:rFonts w:ascii="SimSun" w:hAnsi="SimSun" w:eastAsia="SimSun" w:cs="SimSun"/>
          <w:color w:val="231F20"/>
          <w:spacing w:val="4"/>
        </w:rPr>
        <w:t>随机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数字表法分为研究组和对照组，每组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4"/>
        </w:rPr>
        <w:t>45 </w:t>
      </w:r>
      <w:r>
        <w:rPr>
          <w:rFonts w:ascii="SimSun" w:hAnsi="SimSun" w:eastAsia="SimSun" w:cs="SimSun"/>
          <w:color w:val="231F20"/>
          <w:spacing w:val="4"/>
        </w:rPr>
        <w:t>例</w:t>
      </w:r>
      <w:r>
        <w:rPr>
          <w:color w:val="231F20"/>
          <w:spacing w:val="4"/>
        </w:rPr>
        <w:t>。</w:t>
      </w:r>
      <w:r>
        <w:rPr>
          <w:rFonts w:ascii="SimSun" w:hAnsi="SimSun" w:eastAsia="SimSun" w:cs="SimSun"/>
          <w:color w:val="231F20"/>
          <w:spacing w:val="4"/>
        </w:rPr>
        <w:t>对照组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6"/>
        </w:rPr>
        <w:t>中女性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16"/>
        </w:rPr>
        <w:t>21 </w:t>
      </w:r>
      <w:r>
        <w:rPr>
          <w:rFonts w:ascii="SimSun" w:hAnsi="SimSun" w:eastAsia="SimSun" w:cs="SimSun"/>
          <w:color w:val="231F20"/>
          <w:spacing w:val="-16"/>
        </w:rPr>
        <w:t>例，男性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-16"/>
        </w:rPr>
        <w:t>24 </w:t>
      </w:r>
      <w:r>
        <w:rPr>
          <w:rFonts w:ascii="SimSun" w:hAnsi="SimSun" w:eastAsia="SimSun" w:cs="SimSun"/>
          <w:color w:val="231F20"/>
          <w:spacing w:val="-16"/>
        </w:rPr>
        <w:t>例；年龄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16"/>
        </w:rPr>
        <w:t>3～11</w:t>
      </w:r>
      <w:r>
        <w:rPr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16"/>
        </w:rPr>
        <w:t>岁，平均（</w:t>
      </w:r>
      <w:r>
        <w:rPr>
          <w:color w:val="231F20"/>
          <w:spacing w:val="-16"/>
        </w:rPr>
        <w:t>6.53±</w:t>
      </w:r>
    </w:p>
    <w:p>
      <w:pPr>
        <w:pStyle w:val="BodyText"/>
        <w:ind w:left="619" w:right="293" w:hanging="1"/>
        <w:spacing w:before="54" w:line="232" w:lineRule="auto"/>
        <w:rPr/>
      </w:pPr>
      <w:r>
        <w:rPr>
          <w:color w:val="231F20"/>
          <w:spacing w:val="-11"/>
        </w:rPr>
        <w:t>2.19</w:t>
      </w:r>
      <w:r>
        <w:rPr>
          <w:rFonts w:ascii="SimSun" w:hAnsi="SimSun" w:eastAsia="SimSun" w:cs="SimSun"/>
          <w:color w:val="231F20"/>
          <w:spacing w:val="-11"/>
        </w:rPr>
        <w:t>）岁；平均病程（</w:t>
      </w:r>
      <w:r>
        <w:rPr>
          <w:color w:val="231F20"/>
          <w:spacing w:val="-11"/>
        </w:rPr>
        <w:t>4.37±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1"/>
        </w:rPr>
        <w:t>1.19</w:t>
      </w:r>
      <w:r>
        <w:rPr>
          <w:rFonts w:ascii="SimSun" w:hAnsi="SimSun" w:eastAsia="SimSun" w:cs="SimSun"/>
          <w:color w:val="231F20"/>
          <w:spacing w:val="-11"/>
        </w:rPr>
        <w:t>）</w:t>
      </w:r>
      <w:r>
        <w:rPr>
          <w:color w:val="231F20"/>
          <w:spacing w:val="-11"/>
        </w:rPr>
        <w:t>d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1"/>
        </w:rPr>
        <w:t>。</w:t>
      </w:r>
      <w:r>
        <w:rPr>
          <w:rFonts w:ascii="SimSun" w:hAnsi="SimSun" w:eastAsia="SimSun" w:cs="SimSun"/>
          <w:color w:val="231F20"/>
          <w:spacing w:val="-11"/>
        </w:rPr>
        <w:t>研究组中女性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-11"/>
        </w:rPr>
        <w:t>20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2"/>
        </w:rPr>
        <w:t>例，男性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22"/>
        </w:rPr>
        <w:t>25 </w:t>
      </w:r>
      <w:r>
        <w:rPr>
          <w:rFonts w:ascii="SimSun" w:hAnsi="SimSun" w:eastAsia="SimSun" w:cs="SimSun"/>
          <w:color w:val="231F20"/>
          <w:spacing w:val="-22"/>
        </w:rPr>
        <w:t>例；年龄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22"/>
        </w:rPr>
        <w:t>2～11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22"/>
        </w:rPr>
        <w:t>岁，平均（</w:t>
      </w:r>
      <w:r>
        <w:rPr>
          <w:color w:val="231F20"/>
          <w:spacing w:val="-22"/>
        </w:rPr>
        <w:t>6.57±2.36</w:t>
      </w:r>
      <w:r>
        <w:rPr>
          <w:rFonts w:ascii="SimSun" w:hAnsi="SimSun" w:eastAsia="SimSun" w:cs="SimSun"/>
          <w:color w:val="231F20"/>
          <w:spacing w:val="-22"/>
        </w:rPr>
        <w:t>）岁；平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均病程（</w:t>
      </w:r>
      <w:r>
        <w:rPr>
          <w:color w:val="231F20"/>
          <w:spacing w:val="-8"/>
        </w:rPr>
        <w:t>4.57±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1.23</w:t>
      </w:r>
      <w:r>
        <w:rPr>
          <w:rFonts w:ascii="SimSun" w:hAnsi="SimSun" w:eastAsia="SimSun" w:cs="SimSun"/>
          <w:color w:val="231F20"/>
          <w:spacing w:val="-8"/>
        </w:rPr>
        <w:t>）</w:t>
      </w:r>
      <w:r>
        <w:rPr>
          <w:color w:val="231F20"/>
          <w:spacing w:val="-8"/>
        </w:rPr>
        <w:t>d。</w:t>
      </w:r>
      <w:r>
        <w:rPr>
          <w:rFonts w:ascii="SimSun" w:hAnsi="SimSun" w:eastAsia="SimSun" w:cs="SimSun"/>
          <w:color w:val="231F20"/>
          <w:spacing w:val="-8"/>
        </w:rPr>
        <w:t>本次研究经医学伦理委员会批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准；两组一般资料差异无统计学意义（</w:t>
      </w:r>
      <w:r>
        <w:rPr>
          <w:color w:val="231F20"/>
          <w:spacing w:val="-10"/>
        </w:rPr>
        <w:t>P＞0.</w:t>
      </w:r>
      <w:r>
        <w:rPr>
          <w:color w:val="231F20"/>
          <w:spacing w:val="-11"/>
        </w:rPr>
        <w:t>05</w:t>
      </w:r>
      <w:r>
        <w:rPr>
          <w:rFonts w:ascii="SimSun" w:hAnsi="SimSun" w:eastAsia="SimSun" w:cs="SimSun"/>
          <w:color w:val="231F20"/>
          <w:spacing w:val="-11"/>
        </w:rPr>
        <w:t>）</w:t>
      </w:r>
      <w:r>
        <w:rPr>
          <w:color w:val="231F20"/>
          <w:spacing w:val="-11"/>
        </w:rPr>
        <w:t>。</w:t>
      </w:r>
    </w:p>
    <w:p>
      <w:pPr>
        <w:pStyle w:val="BodyText"/>
        <w:ind w:left="619" w:right="292" w:firstLine="15"/>
        <w:spacing w:before="53" w:line="243" w:lineRule="auto"/>
        <w:rPr/>
      </w:pPr>
      <w:r>
        <w:rPr>
          <w:color w:val="231F20"/>
          <w:spacing w:val="6"/>
        </w:rPr>
        <w:t>1.2</w:t>
      </w:r>
      <w:r>
        <w:rPr>
          <w:color w:val="231F20"/>
          <w:spacing w:val="22"/>
        </w:rPr>
        <w:t xml:space="preserve">   </w:t>
      </w:r>
      <w:r>
        <w:rPr>
          <w:color w:val="231F20"/>
          <w:spacing w:val="6"/>
        </w:rPr>
        <w:t>纳入与排除标准   </w:t>
      </w:r>
      <w:r>
        <w:rPr>
          <w:rFonts w:ascii="SimSun" w:hAnsi="SimSun" w:eastAsia="SimSun" w:cs="SimSun"/>
          <w:color w:val="231F20"/>
          <w:spacing w:val="6"/>
        </w:rPr>
        <w:t>纳入标准：确诊为小儿急性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肠胃炎，病历资料完整，家属签署知情同意书</w:t>
      </w:r>
      <w:r>
        <w:rPr>
          <w:color w:val="231F20"/>
          <w:spacing w:val="3"/>
        </w:rPr>
        <w:t>。</w:t>
      </w:r>
      <w:r>
        <w:rPr>
          <w:rFonts w:ascii="SimSun" w:hAnsi="SimSun" w:eastAsia="SimSun" w:cs="SimSun"/>
          <w:color w:val="231F20"/>
          <w:spacing w:val="3"/>
        </w:rPr>
        <w:t>排除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标准：服用其他药者，患有用药禁忌证疾病或肝肾功能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</w:rPr>
        <w:t>疾病者</w:t>
      </w:r>
      <w:r>
        <w:rPr>
          <w:color w:val="231F20"/>
        </w:rPr>
        <w:t>。</w:t>
      </w:r>
    </w:p>
    <w:p>
      <w:pPr>
        <w:pStyle w:val="BodyText"/>
        <w:ind w:left="553" w:right="239" w:firstLine="82"/>
        <w:spacing w:before="84" w:line="236" w:lineRule="auto"/>
        <w:rPr/>
      </w:pPr>
      <w:r>
        <w:rPr>
          <w:color w:val="231F20"/>
          <w:spacing w:val="5"/>
        </w:rPr>
        <w:t>1.3   研究方法    </w:t>
      </w:r>
      <w:r>
        <w:rPr>
          <w:rFonts w:ascii="SimSun" w:hAnsi="SimSun" w:eastAsia="SimSun" w:cs="SimSun"/>
          <w:color w:val="231F20"/>
          <w:spacing w:val="5"/>
        </w:rPr>
        <w:t>所有患儿给予常规检查以及平衡电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解质</w:t>
      </w:r>
      <w:r>
        <w:rPr>
          <w:color w:val="231F20"/>
          <w:spacing w:val="15"/>
        </w:rPr>
        <w:t>、</w:t>
      </w:r>
      <w:r>
        <w:rPr>
          <w:rFonts w:ascii="SimSun" w:hAnsi="SimSun" w:eastAsia="SimSun" w:cs="SimSun"/>
          <w:color w:val="231F20"/>
          <w:spacing w:val="15"/>
        </w:rPr>
        <w:t>营养支持等对症处理；对照组给予头孢克肟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（国药准字：</w:t>
      </w:r>
      <w:r>
        <w:rPr>
          <w:color w:val="231F20"/>
          <w:spacing w:val="3"/>
        </w:rPr>
        <w:t>H10940128</w:t>
      </w:r>
      <w:r>
        <w:rPr>
          <w:rFonts w:ascii="SimSun" w:hAnsi="SimSun" w:eastAsia="SimSun" w:cs="SimSun"/>
          <w:color w:val="231F20"/>
          <w:spacing w:val="3"/>
        </w:rPr>
        <w:t>，广州白云山医药）治疗，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color w:val="231F20"/>
          <w:spacing w:val="-8"/>
        </w:rPr>
        <w:t>3  mg/</w:t>
      </w:r>
      <w:r>
        <w:rPr>
          <w:rFonts w:ascii="SimSun" w:hAnsi="SimSun" w:eastAsia="SimSun" w:cs="SimSun"/>
          <w:color w:val="231F20"/>
          <w:spacing w:val="-8"/>
        </w:rPr>
        <w:t>（</w:t>
      </w:r>
      <w:r>
        <w:rPr>
          <w:color w:val="231F20"/>
          <w:spacing w:val="-8"/>
        </w:rPr>
        <w:t>kg·</w:t>
      </w:r>
      <w:r>
        <w:rPr>
          <w:rFonts w:ascii="SimSun" w:hAnsi="SimSun" w:eastAsia="SimSun" w:cs="SimSun"/>
          <w:color w:val="231F20"/>
          <w:spacing w:val="-8"/>
        </w:rPr>
        <w:t>次</w:t>
      </w:r>
      <w:r>
        <w:rPr>
          <w:rFonts w:ascii="SimSun" w:hAnsi="SimSun" w:eastAsia="SimSun" w:cs="SimSun"/>
          <w:color w:val="231F20"/>
          <w:spacing w:val="-48"/>
          <w:w w:val="91"/>
        </w:rPr>
        <w:t>），</w:t>
      </w:r>
      <w:r>
        <w:rPr>
          <w:color w:val="231F20"/>
          <w:spacing w:val="-8"/>
        </w:rPr>
        <w:t>2</w:t>
      </w:r>
      <w:r>
        <w:rPr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次</w:t>
      </w:r>
      <w:r>
        <w:rPr>
          <w:color w:val="231F20"/>
          <w:spacing w:val="-8"/>
        </w:rPr>
        <w:t>/d</w:t>
      </w:r>
      <w:r>
        <w:rPr>
          <w:rFonts w:ascii="SimSun" w:hAnsi="SimSun" w:eastAsia="SimSun" w:cs="SimSun"/>
          <w:color w:val="231F20"/>
          <w:spacing w:val="-8"/>
        </w:rPr>
        <w:t>，重症者可达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-8"/>
        </w:rPr>
        <w:t>6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mg/</w:t>
      </w:r>
      <w:r>
        <w:rPr>
          <w:rFonts w:ascii="SimSun" w:hAnsi="SimSun" w:eastAsia="SimSun" w:cs="SimSun"/>
          <w:color w:val="231F20"/>
          <w:spacing w:val="-8"/>
        </w:rPr>
        <w:t>（</w:t>
      </w:r>
      <w:r>
        <w:rPr>
          <w:color w:val="231F20"/>
          <w:spacing w:val="-8"/>
        </w:rPr>
        <w:t>kg·</w:t>
      </w:r>
      <w:r>
        <w:rPr>
          <w:rFonts w:ascii="SimSun" w:hAnsi="SimSun" w:eastAsia="SimSun" w:cs="SimSun"/>
          <w:color w:val="231F20"/>
          <w:spacing w:val="-8"/>
        </w:rPr>
        <w:t>次</w:t>
      </w:r>
      <w:r>
        <w:rPr>
          <w:rFonts w:ascii="SimSun" w:hAnsi="SimSun" w:eastAsia="SimSun" w:cs="SimSun"/>
          <w:color w:val="231F20"/>
          <w:spacing w:val="-48"/>
          <w:w w:val="91"/>
        </w:rPr>
        <w:t>），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2</w:t>
      </w:r>
      <w:r>
        <w:rPr>
          <w:rFonts w:ascii="SimSun" w:hAnsi="SimSun" w:eastAsia="SimSun" w:cs="SimSun"/>
          <w:color w:val="231F20"/>
        </w:rPr>
        <w:t>次</w:t>
      </w:r>
      <w:r>
        <w:rPr>
          <w:color w:val="231F20"/>
        </w:rPr>
        <w:t>/d</w:t>
      </w:r>
      <w:r>
        <w:rPr>
          <w:rFonts w:ascii="SimSun" w:hAnsi="SimSun" w:eastAsia="SimSun" w:cs="SimSun"/>
          <w:color w:val="231F20"/>
        </w:rPr>
        <w:t>；研究组给予头孢克肟（同对照组）联合肠炎宁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糖浆（国药准字：</w:t>
      </w:r>
      <w:r>
        <w:rPr>
          <w:color w:val="231F20"/>
          <w:spacing w:val="-3"/>
        </w:rPr>
        <w:t>Z36020516</w:t>
      </w:r>
      <w:r>
        <w:rPr>
          <w:rFonts w:ascii="SimSun" w:hAnsi="SimSun" w:eastAsia="SimSun" w:cs="SimSun"/>
          <w:color w:val="231F20"/>
          <w:spacing w:val="-3"/>
        </w:rPr>
        <w:t>，江西天施康中药股份）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治疗，</w:t>
      </w:r>
      <w:r>
        <w:rPr>
          <w:color w:val="231F20"/>
          <w:spacing w:val="-7"/>
        </w:rPr>
        <w:t>5 ml/</w:t>
      </w:r>
      <w:r>
        <w:rPr>
          <w:rFonts w:ascii="SimSun" w:hAnsi="SimSun" w:eastAsia="SimSun" w:cs="SimSun"/>
          <w:color w:val="231F20"/>
          <w:spacing w:val="-7"/>
        </w:rPr>
        <w:t>次，</w:t>
      </w:r>
      <w:r>
        <w:rPr>
          <w:color w:val="231F20"/>
          <w:spacing w:val="-7"/>
        </w:rPr>
        <w:t>3 </w:t>
      </w:r>
      <w:r>
        <w:rPr>
          <w:rFonts w:ascii="SimSun" w:hAnsi="SimSun" w:eastAsia="SimSun" w:cs="SimSun"/>
          <w:color w:val="231F20"/>
          <w:spacing w:val="-7"/>
        </w:rPr>
        <w:t>次</w:t>
      </w:r>
      <w:r>
        <w:rPr>
          <w:color w:val="231F20"/>
          <w:spacing w:val="-7"/>
        </w:rPr>
        <w:t>/d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。</w:t>
      </w:r>
      <w:r>
        <w:rPr>
          <w:rFonts w:ascii="SimSun" w:hAnsi="SimSun" w:eastAsia="SimSun" w:cs="SimSun"/>
          <w:color w:val="231F20"/>
          <w:spacing w:val="-7"/>
        </w:rPr>
        <w:t>两组患儿临床疗程均是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color w:val="231F20"/>
          <w:spacing w:val="-7"/>
        </w:rPr>
        <w:t>1 </w:t>
      </w:r>
      <w:r>
        <w:rPr>
          <w:rFonts w:ascii="SimSun" w:hAnsi="SimSun" w:eastAsia="SimSun" w:cs="SimSun"/>
          <w:color w:val="231F20"/>
          <w:spacing w:val="-7"/>
        </w:rPr>
        <w:t>周</w:t>
      </w:r>
      <w:r>
        <w:rPr>
          <w:color w:val="231F20"/>
          <w:spacing w:val="-7"/>
        </w:rPr>
        <w:t>。</w:t>
      </w:r>
    </w:p>
    <w:p>
      <w:pPr>
        <w:pStyle w:val="BodyText"/>
        <w:ind w:left="619" w:right="301" w:firstLine="15"/>
        <w:spacing w:before="54" w:line="243" w:lineRule="auto"/>
        <w:rPr/>
      </w:pPr>
      <w:r>
        <w:rPr>
          <w:color w:val="231F20"/>
          <w:spacing w:val="-4"/>
        </w:rPr>
        <w:t>1.4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-4"/>
        </w:rPr>
        <w:t>评价指标  </w:t>
      </w:r>
      <w:r>
        <w:rPr>
          <w:rFonts w:ascii="SimSun" w:hAnsi="SimSun" w:eastAsia="SimSun" w:cs="SimSun"/>
          <w:color w:val="231F20"/>
          <w:spacing w:val="-4"/>
        </w:rPr>
        <w:t>（</w:t>
      </w:r>
      <w:r>
        <w:rPr>
          <w:color w:val="231F20"/>
          <w:spacing w:val="-4"/>
        </w:rPr>
        <w:t>1</w:t>
      </w:r>
      <w:r>
        <w:rPr>
          <w:rFonts w:ascii="SimSun" w:hAnsi="SimSun" w:eastAsia="SimSun" w:cs="SimSun"/>
          <w:color w:val="231F20"/>
          <w:spacing w:val="-4"/>
        </w:rPr>
        <w:t>）两组患儿临床效果：症状基本缓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解为显效，症状明显缓解为有效，否则为无效，总有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15"/>
        </w:rPr>
        <w:t>效率</w:t>
      </w:r>
      <w:r>
        <w:rPr>
          <w:color w:val="231F20"/>
          <w:spacing w:val="-15"/>
        </w:rPr>
        <w:t>=</w:t>
      </w:r>
      <w:r>
        <w:rPr>
          <w:rFonts w:ascii="SimSun" w:hAnsi="SimSun" w:eastAsia="SimSun" w:cs="SimSun"/>
          <w:color w:val="231F20"/>
          <w:spacing w:val="-15"/>
        </w:rPr>
        <w:t>（显效</w:t>
      </w:r>
      <w:r>
        <w:rPr>
          <w:color w:val="231F20"/>
          <w:spacing w:val="-15"/>
        </w:rPr>
        <w:t>+</w:t>
      </w:r>
      <w:r>
        <w:rPr>
          <w:rFonts w:ascii="SimSun" w:hAnsi="SimSun" w:eastAsia="SimSun" w:cs="SimSun"/>
          <w:color w:val="231F20"/>
          <w:spacing w:val="-15"/>
        </w:rPr>
        <w:t>有效）</w:t>
      </w:r>
      <w:r>
        <w:rPr>
          <w:color w:val="231F20"/>
          <w:spacing w:val="-15"/>
        </w:rPr>
        <w:t>/</w:t>
      </w:r>
      <w:r>
        <w:rPr>
          <w:rFonts w:ascii="SimSun" w:hAnsi="SimSun" w:eastAsia="SimSun" w:cs="SimSun"/>
          <w:color w:val="231F20"/>
          <w:spacing w:val="-15"/>
        </w:rPr>
        <w:t>总例数</w:t>
      </w:r>
      <w:r>
        <w:rPr>
          <w:color w:val="231F20"/>
          <w:spacing w:val="-15"/>
        </w:rPr>
        <w:t>×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100%</w:t>
      </w:r>
      <w:r>
        <w:rPr>
          <w:sz w:val="11"/>
          <w:szCs w:val="11"/>
          <w:color w:val="231F20"/>
          <w:spacing w:val="-15"/>
          <w:position w:val="7"/>
        </w:rPr>
        <w:t>[4]</w:t>
      </w:r>
      <w:r>
        <w:rPr>
          <w:rFonts w:ascii="SimSun" w:hAnsi="SimSun" w:eastAsia="SimSun" w:cs="SimSun"/>
          <w:color w:val="231F20"/>
          <w:spacing w:val="-38"/>
          <w:w w:val="70"/>
        </w:rPr>
        <w:t>；（</w:t>
      </w:r>
      <w:r>
        <w:rPr>
          <w:color w:val="231F20"/>
          <w:spacing w:val="-15"/>
        </w:rPr>
        <w:t>2</w:t>
      </w:r>
      <w:r>
        <w:rPr>
          <w:rFonts w:ascii="SimSun" w:hAnsi="SimSun" w:eastAsia="SimSun" w:cs="SimSun"/>
          <w:color w:val="231F20"/>
        </w:rPr>
        <w:t>）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rFonts w:ascii="SimSun" w:hAnsi="SimSun" w:eastAsia="SimSun" w:cs="SimSun"/>
          <w:color w:val="231F20"/>
        </w:rPr>
        <w:t>两组症状持 </w:t>
      </w:r>
      <w:r>
        <w:rPr>
          <w:rFonts w:ascii="SimSun" w:hAnsi="SimSun" w:eastAsia="SimSun" w:cs="SimSun"/>
          <w:color w:val="231F20"/>
          <w:spacing w:val="-4"/>
        </w:rPr>
        <w:t>续时间：腹痛</w:t>
      </w:r>
      <w:r>
        <w:rPr>
          <w:color w:val="231F20"/>
          <w:spacing w:val="-4"/>
        </w:rPr>
        <w:t>、</w:t>
      </w:r>
      <w:r>
        <w:rPr>
          <w:rFonts w:ascii="SimSun" w:hAnsi="SimSun" w:eastAsia="SimSun" w:cs="SimSun"/>
          <w:color w:val="231F20"/>
          <w:spacing w:val="-4"/>
        </w:rPr>
        <w:t>呕吐</w:t>
      </w:r>
      <w:r>
        <w:rPr>
          <w:color w:val="231F20"/>
          <w:spacing w:val="-4"/>
        </w:rPr>
        <w:t>、</w:t>
      </w:r>
      <w:r>
        <w:rPr>
          <w:rFonts w:ascii="SimSun" w:hAnsi="SimSun" w:eastAsia="SimSun" w:cs="SimSun"/>
          <w:color w:val="231F20"/>
          <w:spacing w:val="-4"/>
        </w:rPr>
        <w:t>发热与腹泻</w:t>
      </w:r>
      <w:r>
        <w:rPr>
          <w:rFonts w:ascii="SimSun" w:hAnsi="SimSun" w:eastAsia="SimSun" w:cs="SimSun"/>
          <w:color w:val="231F20"/>
          <w:spacing w:val="-43"/>
          <w:w w:val="80"/>
        </w:rPr>
        <w:t>；（</w:t>
      </w:r>
      <w:r>
        <w:rPr>
          <w:color w:val="231F20"/>
          <w:spacing w:val="-4"/>
        </w:rPr>
        <w:t>3</w:t>
      </w:r>
      <w:r>
        <w:rPr>
          <w:rFonts w:ascii="SimSun" w:hAnsi="SimSun" w:eastAsia="SimSun" w:cs="SimSun"/>
          <w:color w:val="231F20"/>
          <w:spacing w:val="-4"/>
        </w:rPr>
        <w:t>）两组患儿治疗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前后降钙素原（</w:t>
      </w:r>
      <w:r>
        <w:rPr>
          <w:color w:val="231F20"/>
          <w:spacing w:val="-10"/>
        </w:rPr>
        <w:t>PCT</w:t>
      </w:r>
      <w:r>
        <w:rPr>
          <w:rFonts w:ascii="SimSun" w:hAnsi="SimSun" w:eastAsia="SimSun" w:cs="SimSun"/>
          <w:color w:val="231F20"/>
          <w:spacing w:val="-10"/>
        </w:rPr>
        <w:t>）水平</w:t>
      </w:r>
      <w:r>
        <w:rPr>
          <w:color w:val="231F20"/>
          <w:spacing w:val="-10"/>
        </w:rPr>
        <w:t>。</w:t>
      </w:r>
    </w:p>
    <w:p>
      <w:pPr>
        <w:pStyle w:val="BodyText"/>
        <w:ind w:left="616" w:right="272" w:firstLine="18"/>
        <w:spacing w:before="81" w:line="223" w:lineRule="auto"/>
        <w:rPr/>
      </w:pPr>
      <w:r>
        <w:pict>
          <v:shape id="_x0000_s6" style="position:absolute;margin-left:105.299pt;margin-top:22.6416pt;mso-position-vertical-relative:text;mso-position-horizontal-relative:text;width:4.3pt;height:0.2pt;z-index:-251657216;" filled="false" strokecolor="#231F20" strokeweight="0.20pt" coordsize="86,4" coordorigin="0,0" path="m0,1l85,1e">
            <v:stroke joinstyle="miter" miterlimit="10"/>
          </v:shape>
        </w:pict>
      </w:r>
      <w:r>
        <w:rPr>
          <w:color w:val="231F20"/>
          <w:spacing w:val="2"/>
        </w:rPr>
        <w:t>1.5</w:t>
      </w:r>
      <w:r>
        <w:rPr>
          <w:color w:val="231F20"/>
          <w:spacing w:val="21"/>
          <w:w w:val="101"/>
        </w:rPr>
        <w:t xml:space="preserve">   </w:t>
      </w:r>
      <w:r>
        <w:rPr>
          <w:color w:val="231F20"/>
          <w:spacing w:val="2"/>
        </w:rPr>
        <w:t>统计学处理</w:t>
      </w:r>
      <w:r>
        <w:rPr>
          <w:color w:val="231F20"/>
          <w:spacing w:val="17"/>
        </w:rPr>
        <w:t xml:space="preserve">   </w:t>
      </w:r>
      <w:r>
        <w:rPr>
          <w:rFonts w:ascii="SimSun" w:hAnsi="SimSun" w:eastAsia="SimSun" w:cs="SimSun"/>
          <w:color w:val="231F20"/>
          <w:spacing w:val="2"/>
        </w:rPr>
        <w:t>选择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</w:rPr>
        <w:t>SPSS</w:t>
      </w:r>
      <w:r>
        <w:rPr>
          <w:color w:val="231F20"/>
          <w:spacing w:val="2"/>
        </w:rPr>
        <w:t xml:space="preserve"> 21.0 </w:t>
      </w:r>
      <w:r>
        <w:rPr>
          <w:rFonts w:ascii="SimSun" w:hAnsi="SimSun" w:eastAsia="SimSun" w:cs="SimSun"/>
          <w:color w:val="231F20"/>
          <w:spacing w:val="2"/>
        </w:rPr>
        <w:t>统计软件分析数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据，计量资料以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color w:val="231F20"/>
          <w:spacing w:val="-1"/>
        </w:rPr>
        <w:t>x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±s </w:t>
      </w:r>
      <w:r>
        <w:rPr>
          <w:rFonts w:ascii="SimSun" w:hAnsi="SimSun" w:eastAsia="SimSun" w:cs="SimSun"/>
          <w:color w:val="231F20"/>
          <w:spacing w:val="-1"/>
        </w:rPr>
        <w:t>表示，采用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1"/>
        </w:rPr>
        <w:t>t </w:t>
      </w:r>
      <w:r>
        <w:rPr>
          <w:rFonts w:ascii="SimSun" w:hAnsi="SimSun" w:eastAsia="SimSun" w:cs="SimSun"/>
          <w:color w:val="231F20"/>
          <w:spacing w:val="-1"/>
        </w:rPr>
        <w:t>检验，计数资料以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25"/>
          <w:w w:val="94"/>
        </w:rPr>
        <w:t>n</w:t>
      </w:r>
      <w:r>
        <w:rPr>
          <w:rFonts w:ascii="SimSun" w:hAnsi="SimSun" w:eastAsia="SimSun" w:cs="SimSun"/>
          <w:color w:val="231F20"/>
          <w:spacing w:val="-25"/>
          <w:w w:val="94"/>
        </w:rPr>
        <w:t>（</w:t>
      </w:r>
      <w:r>
        <w:rPr>
          <w:color w:val="231F20"/>
          <w:spacing w:val="-25"/>
          <w:w w:val="94"/>
        </w:rPr>
        <w:t>%</w:t>
      </w:r>
      <w:r>
        <w:rPr>
          <w:rFonts w:ascii="SimSun" w:hAnsi="SimSun" w:eastAsia="SimSun" w:cs="SimSun"/>
          <w:color w:val="231F20"/>
          <w:spacing w:val="-25"/>
          <w:w w:val="94"/>
        </w:rPr>
        <w:t>）表示，采用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25"/>
          <w:w w:val="94"/>
        </w:rPr>
        <w:t>χ</w:t>
      </w:r>
      <w:r>
        <w:rPr>
          <w:sz w:val="11"/>
          <w:szCs w:val="11"/>
          <w:color w:val="231F20"/>
          <w:spacing w:val="4"/>
          <w:position w:val="7"/>
        </w:rPr>
        <w:t>2</w:t>
      </w:r>
      <w:r>
        <w:rPr>
          <w:sz w:val="11"/>
          <w:szCs w:val="11"/>
          <w:color w:val="231F20"/>
          <w:spacing w:val="12"/>
          <w:w w:val="101"/>
          <w:position w:val="7"/>
        </w:rPr>
        <w:t xml:space="preserve"> </w:t>
      </w:r>
      <w:r>
        <w:rPr>
          <w:rFonts w:ascii="SimSun" w:hAnsi="SimSun" w:eastAsia="SimSun" w:cs="SimSun"/>
          <w:color w:val="231F20"/>
          <w:spacing w:val="-16"/>
        </w:rPr>
        <w:t>检验，</w:t>
      </w:r>
      <w:r>
        <w:rPr>
          <w:color w:val="231F20"/>
          <w:spacing w:val="-16"/>
        </w:rPr>
        <w:t>P＜0.05 </w:t>
      </w:r>
      <w:r>
        <w:rPr>
          <w:rFonts w:ascii="SimSun" w:hAnsi="SimSun" w:eastAsia="SimSun" w:cs="SimSun"/>
          <w:color w:val="231F20"/>
          <w:spacing w:val="-16"/>
        </w:rPr>
        <w:t>为差异有统计学意义</w:t>
      </w:r>
      <w:r>
        <w:rPr>
          <w:color w:val="231F20"/>
          <w:spacing w:val="-16"/>
        </w:rPr>
        <w:t>。</w:t>
      </w:r>
    </w:p>
    <w:p>
      <w:pPr>
        <w:pStyle w:val="BodyText"/>
        <w:ind w:left="616"/>
        <w:spacing w:before="84" w:line="185" w:lineRule="auto"/>
        <w:rPr>
          <w:rFonts w:ascii="SimHei" w:hAnsi="SimHei" w:eastAsia="SimHei" w:cs="SimHei"/>
        </w:rPr>
      </w:pPr>
      <w:r>
        <w:rPr>
          <w:color w:val="231F20"/>
          <w:spacing w:val="-5"/>
        </w:rPr>
        <w:t>2</w:t>
      </w:r>
      <w:r>
        <w:rPr>
          <w:color w:val="231F20"/>
          <w:spacing w:val="13"/>
        </w:rPr>
        <w:t xml:space="preserve">   </w:t>
      </w:r>
      <w:r>
        <w:rPr>
          <w:rFonts w:ascii="SimHei" w:hAnsi="SimHei" w:eastAsia="SimHei" w:cs="SimHei"/>
          <w:color w:val="231F20"/>
          <w:spacing w:val="-5"/>
        </w:rPr>
        <w:t>结</w:t>
      </w:r>
      <w:r>
        <w:rPr>
          <w:rFonts w:ascii="SimHei" w:hAnsi="SimHei" w:eastAsia="SimHei" w:cs="SimHei"/>
          <w:color w:val="231F20"/>
          <w:spacing w:val="11"/>
        </w:rPr>
        <w:t xml:space="preserve">  </w:t>
      </w:r>
      <w:r>
        <w:rPr>
          <w:rFonts w:ascii="SimHei" w:hAnsi="SimHei" w:eastAsia="SimHei" w:cs="SimHei"/>
          <w:color w:val="231F20"/>
          <w:spacing w:val="-5"/>
        </w:rPr>
        <w:t>果</w:t>
      </w:r>
    </w:p>
    <w:p>
      <w:pPr>
        <w:pStyle w:val="BodyText"/>
        <w:ind w:left="553" w:right="293" w:firstLine="65"/>
        <w:spacing w:before="78" w:line="250" w:lineRule="auto"/>
        <w:jc w:val="both"/>
        <w:rPr/>
      </w:pPr>
      <w:r>
        <w:rPr>
          <w:color w:val="231F20"/>
          <w:spacing w:val="29"/>
        </w:rPr>
        <w:t>2.1</w:t>
      </w:r>
      <w:r>
        <w:rPr>
          <w:color w:val="231F20"/>
          <w:spacing w:val="12"/>
        </w:rPr>
        <w:t xml:space="preserve">    </w:t>
      </w:r>
      <w:r>
        <w:rPr>
          <w:color w:val="231F20"/>
          <w:spacing w:val="29"/>
        </w:rPr>
        <w:t>两组总有效率比较    </w:t>
      </w:r>
      <w:r>
        <w:rPr>
          <w:rFonts w:ascii="SimSun" w:hAnsi="SimSun" w:eastAsia="SimSun" w:cs="SimSun"/>
          <w:color w:val="231F20"/>
          <w:spacing w:val="29"/>
        </w:rPr>
        <w:t>研究组总有效率为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2"/>
        </w:rPr>
        <w:t>97.78%</w:t>
      </w:r>
      <w:r>
        <w:rPr>
          <w:rFonts w:ascii="SimSun" w:hAnsi="SimSun" w:eastAsia="SimSun" w:cs="SimSun"/>
          <w:color w:val="231F20"/>
          <w:spacing w:val="2"/>
        </w:rPr>
        <w:t>，高于对照组的</w:t>
      </w:r>
      <w:r>
        <w:rPr>
          <w:rFonts w:ascii="SimSun" w:hAnsi="SimSun" w:eastAsia="SimSun" w:cs="SimSun"/>
          <w:color w:val="231F20"/>
          <w:spacing w:val="-11"/>
        </w:rPr>
        <w:t xml:space="preserve"> </w:t>
      </w:r>
      <w:r>
        <w:rPr>
          <w:color w:val="231F20"/>
          <w:spacing w:val="2"/>
        </w:rPr>
        <w:t>82.22%</w:t>
      </w:r>
      <w:r>
        <w:rPr>
          <w:rFonts w:ascii="SimSun" w:hAnsi="SimSun" w:eastAsia="SimSun" w:cs="SimSun"/>
          <w:color w:val="231F20"/>
          <w:spacing w:val="2"/>
        </w:rPr>
        <w:t>，差异有统计学意义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8"/>
        </w:rPr>
        <w:t>（</w:t>
      </w:r>
      <w:r>
        <w:rPr>
          <w:color w:val="231F20"/>
          <w:spacing w:val="-18"/>
        </w:rPr>
        <w:t>P＜0.05</w:t>
      </w:r>
      <w:r>
        <w:rPr>
          <w:rFonts w:ascii="SimSun" w:hAnsi="SimSun" w:eastAsia="SimSun" w:cs="SimSun"/>
          <w:color w:val="231F20"/>
          <w:spacing w:val="-40"/>
          <w:w w:val="76"/>
        </w:rPr>
        <w:t>），</w:t>
      </w:r>
      <w:r>
        <w:rPr>
          <w:rFonts w:ascii="SimSun" w:hAnsi="SimSun" w:eastAsia="SimSun" w:cs="SimSun"/>
          <w:color w:val="231F20"/>
          <w:spacing w:val="-18"/>
        </w:rPr>
        <w:t>见表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18"/>
        </w:rPr>
        <w:t>1。</w:t>
      </w:r>
    </w:p>
    <w:p>
      <w:pPr>
        <w:pStyle w:val="BodyText"/>
        <w:ind w:left="1232"/>
        <w:spacing w:before="78" w:line="173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1   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研究组与对照组总有效率比较  </w:t>
      </w:r>
      <w:r>
        <w:rPr>
          <w:sz w:val="17"/>
          <w:szCs w:val="17"/>
          <w:color w:val="231F20"/>
          <w:spacing w:val="-4"/>
        </w:rPr>
        <w:t>[n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（</w:t>
      </w:r>
      <w:r>
        <w:rPr>
          <w:sz w:val="17"/>
          <w:szCs w:val="17"/>
          <w:color w:val="231F20"/>
          <w:spacing w:val="-4"/>
        </w:rPr>
        <w:t>%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）</w:t>
      </w:r>
      <w:r>
        <w:rPr>
          <w:sz w:val="17"/>
          <w:szCs w:val="17"/>
          <w:color w:val="231F20"/>
          <w:spacing w:val="-4"/>
        </w:rPr>
        <w:t>]</w:t>
      </w:r>
    </w:p>
    <w:tbl>
      <w:tblPr>
        <w:tblStyle w:val="TableNormal"/>
        <w:tblW w:w="4733" w:type="dxa"/>
        <w:tblInd w:w="6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9"/>
        <w:gridCol w:w="565"/>
        <w:gridCol w:w="909"/>
        <w:gridCol w:w="915"/>
        <w:gridCol w:w="837"/>
        <w:gridCol w:w="848"/>
      </w:tblGrid>
      <w:tr>
        <w:trPr>
          <w:trHeight w:val="264" w:hRule="atLeast"/>
        </w:trPr>
        <w:tc>
          <w:tcPr>
            <w:tcW w:w="65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65"/>
              <w:spacing w:before="72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5"/>
              </w:rPr>
              <w:t>组别</w:t>
            </w:r>
          </w:p>
        </w:tc>
        <w:tc>
          <w:tcPr>
            <w:tcW w:w="56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129"/>
              <w:spacing w:before="70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6"/>
              </w:rPr>
              <w:t>例数</w:t>
            </w:r>
          </w:p>
        </w:tc>
        <w:tc>
          <w:tcPr>
            <w:tcW w:w="90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312"/>
              <w:spacing w:before="70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4"/>
              </w:rPr>
              <w:t>显效</w:t>
            </w:r>
          </w:p>
        </w:tc>
        <w:tc>
          <w:tcPr>
            <w:tcW w:w="91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320"/>
              <w:spacing w:before="70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5"/>
              </w:rPr>
              <w:t>有效</w:t>
            </w:r>
          </w:p>
        </w:tc>
        <w:tc>
          <w:tcPr>
            <w:tcW w:w="837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288"/>
              <w:spacing w:before="70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5"/>
              </w:rPr>
              <w:t>无效</w:t>
            </w:r>
          </w:p>
        </w:tc>
        <w:tc>
          <w:tcPr>
            <w:tcW w:w="84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155"/>
              <w:spacing w:before="70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6"/>
              </w:rPr>
              <w:t>总有效率</w:t>
            </w:r>
          </w:p>
        </w:tc>
      </w:tr>
      <w:tr>
        <w:trPr>
          <w:trHeight w:val="285" w:hRule="atLeast"/>
        </w:trPr>
        <w:tc>
          <w:tcPr>
            <w:tcW w:w="659" w:type="dxa"/>
            <w:vAlign w:val="top"/>
            <w:tcBorders>
              <w:top w:val="single" w:color="231F20" w:sz="4" w:space="0"/>
            </w:tcBorders>
          </w:tcPr>
          <w:p>
            <w:pPr>
              <w:ind w:left="63"/>
              <w:spacing w:before="82" w:line="21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7"/>
              </w:rPr>
              <w:t>研究组</w:t>
            </w:r>
          </w:p>
        </w:tc>
        <w:tc>
          <w:tcPr>
            <w:tcW w:w="56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06"/>
              <w:spacing w:before="103" w:line="160" w:lineRule="auto"/>
              <w:rPr/>
            </w:pPr>
            <w:r>
              <w:rPr>
                <w:color w:val="231F20"/>
                <w:spacing w:val="-5"/>
              </w:rPr>
              <w:t>45</w:t>
            </w:r>
          </w:p>
        </w:tc>
        <w:tc>
          <w:tcPr>
            <w:tcW w:w="9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0"/>
              <w:spacing w:before="90" w:line="17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4"/>
              </w:rPr>
              <w:t>28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62.22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>）</w:t>
            </w:r>
          </w:p>
        </w:tc>
        <w:tc>
          <w:tcPr>
            <w:tcW w:w="91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5"/>
              <w:spacing w:before="90" w:line="17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6"/>
              </w:rPr>
              <w:t>16</w:t>
            </w:r>
            <w:r>
              <w:rPr>
                <w:rFonts w:ascii="SimSun" w:hAnsi="SimSun" w:eastAsia="SimSun" w:cs="SimSun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35.56</w:t>
            </w:r>
            <w:r>
              <w:rPr>
                <w:rFonts w:ascii="SimSun" w:hAnsi="SimSun" w:eastAsia="SimSun" w:cs="SimSun"/>
                <w:color w:val="231F20"/>
                <w:spacing w:val="-16"/>
              </w:rPr>
              <w:t>）</w:t>
            </w:r>
          </w:p>
        </w:tc>
        <w:tc>
          <w:tcPr>
            <w:tcW w:w="83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8"/>
              <w:spacing w:before="90" w:line="17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7"/>
              </w:rPr>
              <w:t>1</w:t>
            </w:r>
            <w:r>
              <w:rPr>
                <w:rFonts w:ascii="SimSun" w:hAnsi="SimSun" w:eastAsia="SimSun" w:cs="SimSun"/>
                <w:color w:val="231F20"/>
                <w:spacing w:val="-17"/>
              </w:rPr>
              <w:t>（</w:t>
            </w:r>
            <w:r>
              <w:rPr>
                <w:color w:val="231F20"/>
                <w:spacing w:val="-17"/>
              </w:rPr>
              <w:t>2.22</w:t>
            </w:r>
            <w:r>
              <w:rPr>
                <w:rFonts w:ascii="SimSun" w:hAnsi="SimSun" w:eastAsia="SimSun" w:cs="SimSun"/>
                <w:color w:val="231F20"/>
                <w:spacing w:val="-17"/>
              </w:rPr>
              <w:t>）</w:t>
            </w:r>
          </w:p>
        </w:tc>
        <w:tc>
          <w:tcPr>
            <w:tcW w:w="84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90" w:line="172" w:lineRule="auto"/>
              <w:jc w:val="righ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9"/>
              </w:rPr>
              <w:t>44</w:t>
            </w:r>
            <w:r>
              <w:rPr>
                <w:rFonts w:ascii="SimSun" w:hAnsi="SimSun" w:eastAsia="SimSun" w:cs="SimSun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97.78</w:t>
            </w:r>
            <w:r>
              <w:rPr>
                <w:rFonts w:ascii="SimSun" w:hAnsi="SimSun" w:eastAsia="SimSun" w:cs="SimSun"/>
                <w:color w:val="231F20"/>
                <w:spacing w:val="-19"/>
              </w:rPr>
              <w:t>）</w:t>
            </w:r>
          </w:p>
        </w:tc>
      </w:tr>
      <w:tr>
        <w:trPr>
          <w:trHeight w:val="278" w:hRule="atLeast"/>
        </w:trPr>
        <w:tc>
          <w:tcPr>
            <w:tcW w:w="659" w:type="dxa"/>
            <w:vAlign w:val="top"/>
            <w:tcBorders>
              <w:bottom w:val="single" w:color="231F20" w:sz="4" w:space="0"/>
            </w:tcBorders>
          </w:tcPr>
          <w:p>
            <w:pPr>
              <w:ind w:left="63"/>
              <w:spacing w:before="84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7"/>
              </w:rPr>
              <w:t>对照组</w:t>
            </w:r>
          </w:p>
        </w:tc>
        <w:tc>
          <w:tcPr>
            <w:tcW w:w="56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6"/>
              <w:spacing w:before="101" w:line="167" w:lineRule="exact"/>
              <w:rPr/>
            </w:pPr>
            <w:r>
              <w:rPr>
                <w:color w:val="231F20"/>
                <w:spacing w:val="-5"/>
                <w:position w:val="-1"/>
              </w:rPr>
              <w:t>45</w:t>
            </w:r>
          </w:p>
        </w:tc>
        <w:tc>
          <w:tcPr>
            <w:tcW w:w="9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0"/>
              <w:spacing w:before="91" w:line="165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4"/>
              </w:rPr>
              <w:t>22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48.89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>）</w:t>
            </w:r>
          </w:p>
        </w:tc>
        <w:tc>
          <w:tcPr>
            <w:tcW w:w="91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5"/>
              <w:spacing w:before="88" w:line="16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6"/>
              </w:rPr>
              <w:t>15</w:t>
            </w:r>
            <w:r>
              <w:rPr>
                <w:rFonts w:ascii="SimSun" w:hAnsi="SimSun" w:eastAsia="SimSun" w:cs="SimSun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33.33</w:t>
            </w:r>
            <w:r>
              <w:rPr>
                <w:rFonts w:ascii="SimSun" w:hAnsi="SimSun" w:eastAsia="SimSun" w:cs="SimSun"/>
                <w:color w:val="231F20"/>
                <w:spacing w:val="-16"/>
              </w:rPr>
              <w:t>）</w:t>
            </w:r>
          </w:p>
        </w:tc>
        <w:tc>
          <w:tcPr>
            <w:tcW w:w="8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9"/>
              <w:spacing w:before="88" w:line="16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5"/>
              </w:rPr>
              <w:t>8</w:t>
            </w:r>
            <w:r>
              <w:rPr>
                <w:rFonts w:ascii="SimSun" w:hAnsi="SimSun" w:eastAsia="SimSun" w:cs="SimSun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17.78</w:t>
            </w:r>
            <w:r>
              <w:rPr>
                <w:rFonts w:ascii="SimSun" w:hAnsi="SimSun" w:eastAsia="SimSun" w:cs="SimSun"/>
                <w:color w:val="231F20"/>
                <w:spacing w:val="-15"/>
              </w:rPr>
              <w:t>）</w:t>
            </w:r>
          </w:p>
        </w:tc>
        <w:tc>
          <w:tcPr>
            <w:tcW w:w="84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88" w:line="167" w:lineRule="auto"/>
              <w:jc w:val="righ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9"/>
              </w:rPr>
              <w:t>37</w:t>
            </w:r>
            <w:r>
              <w:rPr>
                <w:rFonts w:ascii="SimSun" w:hAnsi="SimSun" w:eastAsia="SimSun" w:cs="SimSun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82.22</w:t>
            </w:r>
            <w:r>
              <w:rPr>
                <w:rFonts w:ascii="SimSun" w:hAnsi="SimSun" w:eastAsia="SimSun" w:cs="SimSun"/>
                <w:color w:val="231F20"/>
                <w:spacing w:val="-19"/>
              </w:rPr>
              <w:t>）</w:t>
            </w:r>
          </w:p>
        </w:tc>
      </w:tr>
      <w:tr>
        <w:trPr>
          <w:trHeight w:val="566" w:hRule="atLeast"/>
        </w:trPr>
        <w:tc>
          <w:tcPr>
            <w:tcW w:w="659" w:type="dxa"/>
            <w:vAlign w:val="top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56" w:right="277" w:firstLine="4"/>
              <w:spacing w:before="79" w:line="22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</w:t>
            </w:r>
            <w:r>
              <w:rPr>
                <w:sz w:val="8"/>
                <w:szCs w:val="8"/>
                <w:color w:val="231F20"/>
                <w:spacing w:val="17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  <w:position w:val="-1"/>
              </w:rPr>
              <w:t>值</w:t>
            </w:r>
            <w:r>
              <w:rPr>
                <w:rFonts w:ascii="SimSun" w:hAnsi="SimSun" w:eastAsia="SimSun" w:cs="SimSun"/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4"/>
              </w:rPr>
              <w:t>P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值</w:t>
            </w:r>
          </w:p>
        </w:tc>
        <w:tc>
          <w:tcPr>
            <w:tcW w:w="4074" w:type="dxa"/>
            <w:vAlign w:val="top"/>
            <w:gridSpan w:val="5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3378" w:right="149" w:firstLine="72"/>
              <w:spacing w:before="99" w:line="213" w:lineRule="auto"/>
              <w:rPr/>
            </w:pPr>
            <w:r>
              <w:rPr>
                <w:color w:val="231F20"/>
                <w:spacing w:val="-7"/>
              </w:rPr>
              <w:t>4.444 4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&lt;0.05</w:t>
            </w:r>
          </w:p>
        </w:tc>
      </w:tr>
    </w:tbl>
    <w:p>
      <w:pPr>
        <w:pStyle w:val="BodyText"/>
        <w:ind w:left="624"/>
        <w:spacing w:before="241" w:line="223" w:lineRule="exact"/>
        <w:rPr/>
      </w:pPr>
      <w:r>
        <w:rPr>
          <w:color w:val="231F20"/>
          <w:spacing w:val="2"/>
        </w:rPr>
        <w:t>2.2</w:t>
      </w:r>
      <w:r>
        <w:rPr>
          <w:color w:val="231F20"/>
          <w:spacing w:val="23"/>
        </w:rPr>
        <w:t xml:space="preserve">   </w:t>
      </w:r>
      <w:r>
        <w:rPr>
          <w:color w:val="231F20"/>
          <w:spacing w:val="2"/>
        </w:rPr>
        <w:t>两组症状持续时间比较   </w:t>
      </w:r>
      <w:r>
        <w:rPr>
          <w:rFonts w:ascii="SimSun" w:hAnsi="SimSun" w:eastAsia="SimSun" w:cs="SimSun"/>
          <w:color w:val="231F20"/>
          <w:spacing w:val="2"/>
        </w:rPr>
        <w:t>研究组的腹痛</w:t>
      </w:r>
      <w:r>
        <w:rPr>
          <w:color w:val="231F20"/>
          <w:spacing w:val="2"/>
        </w:rPr>
        <w:t>、</w:t>
      </w:r>
      <w:r>
        <w:rPr>
          <w:rFonts w:ascii="SimSun" w:hAnsi="SimSun" w:eastAsia="SimSun" w:cs="SimSun"/>
          <w:color w:val="231F20"/>
          <w:spacing w:val="2"/>
        </w:rPr>
        <w:t>呕吐</w:t>
      </w:r>
      <w:r>
        <w:rPr>
          <w:color w:val="231F20"/>
          <w:spacing w:val="2"/>
        </w:rPr>
        <w:t>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" w:right="77"/>
        <w:spacing w:before="39" w:line="302" w:lineRule="auto"/>
        <w:rPr/>
      </w:pPr>
      <w:r>
        <w:rPr>
          <w:rFonts w:ascii="SimSun" w:hAnsi="SimSun" w:eastAsia="SimSun" w:cs="SimSun"/>
          <w:color w:val="231F20"/>
          <w:spacing w:val="12"/>
        </w:rPr>
        <w:t>发热与腹泻持续时间均短于对照组，差异均有统计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6"/>
        </w:rPr>
        <w:t>学意义（</w:t>
      </w:r>
      <w:r>
        <w:rPr>
          <w:color w:val="231F20"/>
          <w:spacing w:val="-16"/>
        </w:rPr>
        <w:t>P＜0.05</w:t>
      </w:r>
      <w:r>
        <w:rPr>
          <w:rFonts w:ascii="SimSun" w:hAnsi="SimSun" w:eastAsia="SimSun" w:cs="SimSun"/>
          <w:color w:val="231F20"/>
          <w:spacing w:val="-40"/>
          <w:w w:val="76"/>
        </w:rPr>
        <w:t>），</w:t>
      </w:r>
      <w:r>
        <w:rPr>
          <w:rFonts w:ascii="SimSun" w:hAnsi="SimSun" w:eastAsia="SimSun" w:cs="SimSun"/>
          <w:color w:val="231F20"/>
          <w:spacing w:val="-16"/>
        </w:rPr>
        <w:t>见表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16"/>
        </w:rPr>
        <w:t>2。</w:t>
      </w:r>
    </w:p>
    <w:p>
      <w:pPr>
        <w:pStyle w:val="BodyText"/>
        <w:ind w:left="401"/>
        <w:spacing w:before="6" w:line="174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8" style="position:absolute;margin-left:192.265pt;margin-top:1.69902pt;mso-position-vertical-relative:text;mso-position-horizontal-relative:text;width:3.25pt;height:0.2pt;z-index:-251656192;" filled="false" strokecolor="#231F20" strokeweight="0.20pt" coordsize="65,4" coordorigin="0,0" path="m0,1l64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研究组与对照组症状持续时间比较</w:t>
      </w:r>
      <w:r>
        <w:rPr>
          <w:rFonts w:ascii="SimSun" w:hAnsi="SimSun" w:eastAsia="SimSun" w:cs="SimSun"/>
          <w:sz w:val="17"/>
          <w:szCs w:val="17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（</w:t>
      </w:r>
      <w:r>
        <w:rPr>
          <w:sz w:val="17"/>
          <w:szCs w:val="17"/>
          <w:color w:val="231F20"/>
          <w:spacing w:val="-2"/>
        </w:rPr>
        <w:t>x</w:t>
      </w:r>
      <w:r>
        <w:rPr>
          <w:sz w:val="17"/>
          <w:szCs w:val="17"/>
          <w:color w:val="231F20"/>
          <w:spacing w:val="-2"/>
        </w:rPr>
        <w:t>±s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，</w:t>
      </w:r>
      <w:r>
        <w:rPr>
          <w:sz w:val="17"/>
          <w:szCs w:val="17"/>
          <w:color w:val="231F20"/>
          <w:spacing w:val="-2"/>
        </w:rPr>
        <w:t>d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）</w:t>
      </w:r>
    </w:p>
    <w:tbl>
      <w:tblPr>
        <w:tblStyle w:val="TableNormal"/>
        <w:tblW w:w="4732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1"/>
        <w:gridCol w:w="511"/>
        <w:gridCol w:w="911"/>
        <w:gridCol w:w="911"/>
        <w:gridCol w:w="910"/>
        <w:gridCol w:w="858"/>
      </w:tblGrid>
      <w:tr>
        <w:trPr>
          <w:trHeight w:val="263" w:hRule="atLeast"/>
        </w:trPr>
        <w:tc>
          <w:tcPr>
            <w:tcW w:w="63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64"/>
              <w:spacing w:before="72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5"/>
              </w:rPr>
              <w:t>组别</w:t>
            </w:r>
          </w:p>
        </w:tc>
        <w:tc>
          <w:tcPr>
            <w:tcW w:w="51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101"/>
              <w:spacing w:before="69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6"/>
              </w:rPr>
              <w:t>例数</w:t>
            </w:r>
          </w:p>
        </w:tc>
        <w:tc>
          <w:tcPr>
            <w:tcW w:w="91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303"/>
              <w:spacing w:before="69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6"/>
              </w:rPr>
              <w:t>腹痛</w:t>
            </w:r>
          </w:p>
        </w:tc>
        <w:tc>
          <w:tcPr>
            <w:tcW w:w="91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311"/>
              <w:spacing w:before="71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2"/>
              </w:rPr>
              <w:t>呕吐</w:t>
            </w:r>
          </w:p>
        </w:tc>
        <w:tc>
          <w:tcPr>
            <w:tcW w:w="91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306"/>
              <w:spacing w:before="69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4"/>
              </w:rPr>
              <w:t>发热</w:t>
            </w:r>
          </w:p>
        </w:tc>
        <w:tc>
          <w:tcPr>
            <w:tcW w:w="85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ind w:left="304"/>
              <w:spacing w:before="72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6"/>
              </w:rPr>
              <w:t>腹泻</w:t>
            </w:r>
          </w:p>
        </w:tc>
      </w:tr>
      <w:tr>
        <w:trPr>
          <w:trHeight w:val="285" w:hRule="atLeast"/>
        </w:trPr>
        <w:tc>
          <w:tcPr>
            <w:tcW w:w="631" w:type="dxa"/>
            <w:vAlign w:val="top"/>
            <w:tcBorders>
              <w:top w:val="single" w:color="231F20" w:sz="4" w:space="0"/>
            </w:tcBorders>
          </w:tcPr>
          <w:p>
            <w:pPr>
              <w:ind w:left="62"/>
              <w:spacing w:before="84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7"/>
              </w:rPr>
              <w:t>对照组</w:t>
            </w:r>
          </w:p>
        </w:tc>
        <w:tc>
          <w:tcPr>
            <w:tcW w:w="51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9"/>
              <w:spacing w:before="103" w:line="160" w:lineRule="auto"/>
              <w:rPr/>
            </w:pPr>
            <w:r>
              <w:rPr>
                <w:color w:val="231F20"/>
                <w:spacing w:val="-5"/>
              </w:rPr>
              <w:t>45</w:t>
            </w:r>
          </w:p>
        </w:tc>
        <w:tc>
          <w:tcPr>
            <w:tcW w:w="91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8"/>
              <w:spacing w:before="103" w:line="160" w:lineRule="auto"/>
              <w:rPr/>
            </w:pPr>
            <w:r>
              <w:rPr>
                <w:color w:val="231F20"/>
                <w:spacing w:val="-10"/>
              </w:rPr>
              <w:t>5.16±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0"/>
              </w:rPr>
              <w:t>1.13</w:t>
            </w:r>
          </w:p>
        </w:tc>
        <w:tc>
          <w:tcPr>
            <w:tcW w:w="91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8"/>
              <w:spacing w:before="103" w:line="160" w:lineRule="auto"/>
              <w:rPr/>
            </w:pPr>
            <w:r>
              <w:rPr>
                <w:color w:val="231F20"/>
                <w:spacing w:val="-8"/>
              </w:rPr>
              <w:t>2.73±0.91</w:t>
            </w:r>
          </w:p>
        </w:tc>
        <w:tc>
          <w:tcPr>
            <w:tcW w:w="91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8"/>
              <w:spacing w:before="103" w:line="160" w:lineRule="auto"/>
              <w:rPr/>
            </w:pPr>
            <w:r>
              <w:rPr>
                <w:color w:val="231F20"/>
                <w:spacing w:val="-8"/>
              </w:rPr>
              <w:t>2.92±0.95</w:t>
            </w:r>
          </w:p>
        </w:tc>
        <w:tc>
          <w:tcPr>
            <w:tcW w:w="85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81"/>
              <w:spacing w:before="103" w:line="160" w:lineRule="auto"/>
              <w:rPr/>
            </w:pPr>
            <w:r>
              <w:rPr>
                <w:color w:val="231F20"/>
                <w:spacing w:val="-8"/>
              </w:rPr>
              <w:t>3.86±0.93</w:t>
            </w:r>
          </w:p>
        </w:tc>
      </w:tr>
      <w:tr>
        <w:trPr>
          <w:trHeight w:val="299" w:hRule="atLeast"/>
        </w:trPr>
        <w:tc>
          <w:tcPr>
            <w:tcW w:w="631" w:type="dxa"/>
            <w:vAlign w:val="top"/>
            <w:tcBorders>
              <w:bottom w:val="single" w:color="231F20" w:sz="4" w:space="0"/>
            </w:tcBorders>
          </w:tcPr>
          <w:p>
            <w:pPr>
              <w:ind w:left="62"/>
              <w:spacing w:before="83" w:line="21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7"/>
              </w:rPr>
              <w:t>研究组</w:t>
            </w:r>
          </w:p>
        </w:tc>
        <w:tc>
          <w:tcPr>
            <w:tcW w:w="5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9"/>
              <w:spacing w:before="102" w:line="174" w:lineRule="auto"/>
              <w:rPr/>
            </w:pPr>
            <w:r>
              <w:rPr>
                <w:color w:val="231F20"/>
                <w:spacing w:val="-5"/>
              </w:rPr>
              <w:t>45</w:t>
            </w:r>
          </w:p>
        </w:tc>
        <w:tc>
          <w:tcPr>
            <w:tcW w:w="9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0"/>
              <w:spacing w:before="104" w:line="172" w:lineRule="auto"/>
              <w:rPr/>
            </w:pPr>
            <w:r>
              <w:rPr>
                <w:color w:val="231F20"/>
                <w:spacing w:val="-10"/>
              </w:rPr>
              <w:t>3.54±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0"/>
              </w:rPr>
              <w:t>1.08</w:t>
            </w:r>
          </w:p>
        </w:tc>
        <w:tc>
          <w:tcPr>
            <w:tcW w:w="9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1"/>
              <w:spacing w:before="104" w:line="172" w:lineRule="auto"/>
              <w:rPr/>
            </w:pPr>
            <w:r>
              <w:rPr>
                <w:color w:val="231F20"/>
                <w:spacing w:val="-9"/>
              </w:rPr>
              <w:t>1.79±0.87</w:t>
            </w:r>
          </w:p>
        </w:tc>
        <w:tc>
          <w:tcPr>
            <w:tcW w:w="9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1"/>
              <w:spacing w:before="104" w:line="172" w:lineRule="auto"/>
              <w:rPr/>
            </w:pPr>
            <w:r>
              <w:rPr>
                <w:color w:val="231F20"/>
                <w:spacing w:val="-9"/>
              </w:rPr>
              <w:t>1.75±0.63</w:t>
            </w:r>
          </w:p>
        </w:tc>
        <w:tc>
          <w:tcPr>
            <w:tcW w:w="8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9"/>
              <w:spacing w:before="104" w:line="172" w:lineRule="auto"/>
              <w:rPr/>
            </w:pPr>
            <w:r>
              <w:rPr>
                <w:color w:val="231F20"/>
                <w:spacing w:val="-8"/>
              </w:rPr>
              <w:t>2.52±0.68</w:t>
            </w:r>
          </w:p>
        </w:tc>
      </w:tr>
      <w:tr>
        <w:trPr>
          <w:trHeight w:val="254" w:hRule="atLeast"/>
        </w:trPr>
        <w:tc>
          <w:tcPr>
            <w:tcW w:w="63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8"/>
              <w:spacing w:before="59" w:line="17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6"/>
              </w:rPr>
              <w:t>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值</w:t>
            </w:r>
          </w:p>
        </w:tc>
        <w:tc>
          <w:tcPr>
            <w:tcW w:w="511" w:type="dxa"/>
            <w:vAlign w:val="top"/>
            <w:tcBorders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8"/>
              <w:spacing w:before="80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6.952 4</w:t>
            </w:r>
          </w:p>
        </w:tc>
        <w:tc>
          <w:tcPr>
            <w:tcW w:w="91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8"/>
              <w:spacing w:before="78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5.008 6</w:t>
            </w:r>
          </w:p>
        </w:tc>
        <w:tc>
          <w:tcPr>
            <w:tcW w:w="91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8"/>
              <w:spacing w:before="78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6.885 3</w:t>
            </w:r>
          </w:p>
        </w:tc>
        <w:tc>
          <w:tcPr>
            <w:tcW w:w="85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7"/>
              <w:spacing w:before="80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7.802 4</w:t>
            </w:r>
          </w:p>
        </w:tc>
      </w:tr>
      <w:tr>
        <w:trPr>
          <w:trHeight w:val="293" w:hRule="atLeast"/>
        </w:trPr>
        <w:tc>
          <w:tcPr>
            <w:tcW w:w="63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5"/>
              <w:spacing w:before="91" w:line="17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4"/>
              </w:rPr>
              <w:t>P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值</w:t>
            </w:r>
          </w:p>
        </w:tc>
        <w:tc>
          <w:tcPr>
            <w:tcW w:w="511" w:type="dxa"/>
            <w:vAlign w:val="top"/>
            <w:tcBorders>
              <w:bottom w:val="single" w:color="231F2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2"/>
              <w:spacing w:before="108" w:line="163" w:lineRule="auto"/>
              <w:rPr/>
            </w:pPr>
            <w:r>
              <w:rPr>
                <w:color w:val="231F20"/>
                <w:spacing w:val="-9"/>
              </w:rPr>
              <w:t>&lt;0.05</w:t>
            </w:r>
          </w:p>
        </w:tc>
        <w:tc>
          <w:tcPr>
            <w:tcW w:w="91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2"/>
              <w:spacing w:before="108" w:line="163" w:lineRule="auto"/>
              <w:rPr/>
            </w:pPr>
            <w:r>
              <w:rPr>
                <w:color w:val="231F20"/>
                <w:spacing w:val="-9"/>
              </w:rPr>
              <w:t>&lt;0.05</w:t>
            </w:r>
          </w:p>
        </w:tc>
        <w:tc>
          <w:tcPr>
            <w:tcW w:w="91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2"/>
              <w:spacing w:before="108" w:line="163" w:lineRule="auto"/>
              <w:rPr/>
            </w:pPr>
            <w:r>
              <w:rPr>
                <w:color w:val="231F20"/>
                <w:spacing w:val="-9"/>
              </w:rPr>
              <w:t>&lt;0.05</w:t>
            </w:r>
          </w:p>
        </w:tc>
        <w:tc>
          <w:tcPr>
            <w:tcW w:w="85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3"/>
              <w:spacing w:before="108" w:line="163" w:lineRule="auto"/>
              <w:rPr/>
            </w:pPr>
            <w:r>
              <w:rPr>
                <w:color w:val="231F20"/>
                <w:spacing w:val="-9"/>
              </w:rPr>
              <w:t>&lt;0.05</w:t>
            </w:r>
          </w:p>
        </w:tc>
      </w:tr>
    </w:tbl>
    <w:p>
      <w:pPr>
        <w:pStyle w:val="BodyText"/>
        <w:ind w:right="27" w:firstLine="65"/>
        <w:spacing w:before="303" w:line="242" w:lineRule="auto"/>
        <w:jc w:val="both"/>
        <w:rPr/>
      </w:pPr>
      <w:r>
        <w:rPr>
          <w:color w:val="231F20"/>
          <w:spacing w:val="-2"/>
        </w:rPr>
        <w:t>2.3    两组 PCT 水平比较    </w:t>
      </w:r>
      <w:r>
        <w:rPr>
          <w:rFonts w:ascii="SimSun" w:hAnsi="SimSun" w:eastAsia="SimSun" w:cs="SimSun"/>
          <w:color w:val="231F20"/>
          <w:spacing w:val="-2"/>
        </w:rPr>
        <w:t>治疗前，研究组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-2"/>
        </w:rPr>
        <w:t>PCT </w:t>
      </w:r>
      <w:r>
        <w:rPr>
          <w:rFonts w:ascii="SimSun" w:hAnsi="SimSun" w:eastAsia="SimSun" w:cs="SimSun"/>
          <w:color w:val="231F20"/>
          <w:spacing w:val="-2"/>
        </w:rPr>
        <w:t>水平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为</w:t>
      </w:r>
      <w:r>
        <w:rPr>
          <w:rFonts w:ascii="SimSun" w:hAnsi="SimSun" w:eastAsia="SimSun" w:cs="SimSun"/>
          <w:color w:val="231F20"/>
          <w:spacing w:val="-5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（</w:t>
      </w:r>
      <w:r>
        <w:rPr>
          <w:color w:val="231F20"/>
          <w:spacing w:val="-4"/>
        </w:rPr>
        <w:t>6.68±2.13</w:t>
      </w:r>
      <w:r>
        <w:rPr>
          <w:rFonts w:ascii="SimSun" w:hAnsi="SimSun" w:eastAsia="SimSun" w:cs="SimSun"/>
          <w:color w:val="231F20"/>
          <w:spacing w:val="-4"/>
        </w:rPr>
        <w:t>）</w:t>
      </w:r>
      <w:r>
        <w:rPr>
          <w:color w:val="231F20"/>
          <w:spacing w:val="-4"/>
        </w:rPr>
        <w:t>ng/ml</w:t>
      </w:r>
      <w:r>
        <w:rPr>
          <w:rFonts w:ascii="SimSun" w:hAnsi="SimSun" w:eastAsia="SimSun" w:cs="SimSun"/>
          <w:color w:val="231F20"/>
          <w:spacing w:val="-4"/>
        </w:rPr>
        <w:t>，对照组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4"/>
        </w:rPr>
        <w:t>PCT</w:t>
      </w:r>
      <w:r>
        <w:rPr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水平为</w:t>
      </w:r>
      <w:r>
        <w:rPr>
          <w:rFonts w:ascii="SimSun" w:hAnsi="SimSun" w:eastAsia="SimSun" w:cs="SimSun"/>
          <w:color w:val="231F20"/>
          <w:spacing w:val="-5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（</w:t>
      </w:r>
      <w:r>
        <w:rPr>
          <w:color w:val="231F20"/>
          <w:spacing w:val="-4"/>
        </w:rPr>
        <w:t>6.61±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2.08</w:t>
      </w:r>
      <w:r>
        <w:rPr>
          <w:rFonts w:ascii="SimSun" w:hAnsi="SimSun" w:eastAsia="SimSun" w:cs="SimSun"/>
          <w:color w:val="231F20"/>
          <w:spacing w:val="-13"/>
        </w:rPr>
        <w:t>）</w:t>
      </w:r>
      <w:r>
        <w:rPr>
          <w:color w:val="231F20"/>
          <w:spacing w:val="-13"/>
        </w:rPr>
        <w:t>ng/ml</w:t>
      </w:r>
      <w:r>
        <w:rPr>
          <w:rFonts w:ascii="SimSun" w:hAnsi="SimSun" w:eastAsia="SimSun" w:cs="SimSun"/>
          <w:color w:val="231F20"/>
          <w:spacing w:val="-13"/>
        </w:rPr>
        <w:t>，差异无统计学意义（</w:t>
      </w:r>
      <w:r>
        <w:rPr>
          <w:color w:val="231F20"/>
          <w:spacing w:val="-13"/>
        </w:rPr>
        <w:t>P＞0.05</w:t>
      </w:r>
      <w:r>
        <w:rPr>
          <w:rFonts w:ascii="SimSun" w:hAnsi="SimSun" w:eastAsia="SimSun" w:cs="SimSun"/>
          <w:color w:val="231F20"/>
          <w:spacing w:val="-44"/>
          <w:w w:val="82"/>
        </w:rPr>
        <w:t>）；</w:t>
      </w:r>
      <w:r>
        <w:rPr>
          <w:rFonts w:ascii="SimSun" w:hAnsi="SimSun" w:eastAsia="SimSun" w:cs="SimSun"/>
          <w:color w:val="231F20"/>
          <w:spacing w:val="-13"/>
        </w:rPr>
        <w:t>治疗后，研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究组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3"/>
        </w:rPr>
        <w:t>PCT </w:t>
      </w:r>
      <w:r>
        <w:rPr>
          <w:rFonts w:ascii="SimSun" w:hAnsi="SimSun" w:eastAsia="SimSun" w:cs="SimSun"/>
          <w:color w:val="231F20"/>
          <w:spacing w:val="-3"/>
        </w:rPr>
        <w:t>水平为（</w:t>
      </w:r>
      <w:r>
        <w:rPr>
          <w:color w:val="231F20"/>
          <w:spacing w:val="-3"/>
        </w:rPr>
        <w:t>2.16±0.68</w:t>
      </w:r>
      <w:r>
        <w:rPr>
          <w:rFonts w:ascii="SimSun" w:hAnsi="SimSun" w:eastAsia="SimSun" w:cs="SimSun"/>
          <w:color w:val="231F20"/>
          <w:spacing w:val="-3"/>
        </w:rPr>
        <w:t>）</w:t>
      </w:r>
      <w:r>
        <w:rPr>
          <w:color w:val="231F20"/>
          <w:spacing w:val="-3"/>
        </w:rPr>
        <w:t>ng/ml</w:t>
      </w:r>
      <w:r>
        <w:rPr>
          <w:rFonts w:ascii="SimSun" w:hAnsi="SimSun" w:eastAsia="SimSun" w:cs="SimSun"/>
          <w:color w:val="231F20"/>
          <w:spacing w:val="-3"/>
        </w:rPr>
        <w:t>，低于对照组的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7"/>
        </w:rPr>
        <w:t>（</w:t>
      </w:r>
      <w:r>
        <w:rPr>
          <w:color w:val="231F20"/>
          <w:spacing w:val="-27"/>
        </w:rPr>
        <w:t>4.23±1.36</w:t>
      </w:r>
      <w:r>
        <w:rPr>
          <w:rFonts w:ascii="SimSun" w:hAnsi="SimSun" w:eastAsia="SimSun" w:cs="SimSun"/>
          <w:color w:val="231F20"/>
          <w:spacing w:val="-27"/>
        </w:rPr>
        <w:t>）</w:t>
      </w:r>
      <w:r>
        <w:rPr>
          <w:color w:val="231F20"/>
          <w:spacing w:val="-27"/>
        </w:rPr>
        <w:t>ng/ml</w:t>
      </w:r>
      <w:r>
        <w:rPr>
          <w:rFonts w:ascii="SimSun" w:hAnsi="SimSun" w:eastAsia="SimSun" w:cs="SimSun"/>
          <w:color w:val="231F20"/>
          <w:spacing w:val="-27"/>
        </w:rPr>
        <w:t>，差异有</w:t>
      </w:r>
      <w:r>
        <w:rPr>
          <w:rFonts w:ascii="SimSun" w:hAnsi="SimSun" w:eastAsia="SimSun" w:cs="SimSun"/>
          <w:color w:val="231F20"/>
          <w:spacing w:val="-28"/>
        </w:rPr>
        <w:t>统计意义（</w:t>
      </w:r>
      <w:r>
        <w:rPr>
          <w:color w:val="231F20"/>
          <w:spacing w:val="-28"/>
        </w:rPr>
        <w:t>t=9.132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8"/>
        </w:rPr>
        <w:t>4</w:t>
      </w:r>
      <w:r>
        <w:rPr>
          <w:rFonts w:ascii="SimSun" w:hAnsi="SimSun" w:eastAsia="SimSun" w:cs="SimSun"/>
          <w:color w:val="231F20"/>
          <w:spacing w:val="-28"/>
        </w:rPr>
        <w:t>，</w:t>
      </w:r>
      <w:r>
        <w:rPr>
          <w:color w:val="231F20"/>
          <w:spacing w:val="-28"/>
        </w:rPr>
        <w:t>P＜0.05</w:t>
      </w:r>
      <w:r>
        <w:rPr>
          <w:rFonts w:ascii="SimSun" w:hAnsi="SimSun" w:eastAsia="SimSun" w:cs="SimSun"/>
          <w:color w:val="231F20"/>
          <w:spacing w:val="-28"/>
        </w:rPr>
        <w:t>）</w:t>
      </w:r>
      <w:r>
        <w:rPr>
          <w:color w:val="231F20"/>
          <w:spacing w:val="-28"/>
        </w:rPr>
        <w:t>。</w:t>
      </w:r>
    </w:p>
    <w:p>
      <w:pPr>
        <w:pStyle w:val="BodyText"/>
        <w:ind w:left="62"/>
        <w:spacing w:before="1" w:line="186" w:lineRule="auto"/>
        <w:rPr>
          <w:rFonts w:ascii="SimHei" w:hAnsi="SimHei" w:eastAsia="SimHei" w:cs="SimHei"/>
        </w:rPr>
      </w:pPr>
      <w:r>
        <w:rPr>
          <w:color w:val="231F20"/>
          <w:spacing w:val="-6"/>
        </w:rPr>
        <w:t>3</w:t>
      </w:r>
      <w:r>
        <w:rPr>
          <w:color w:val="231F20"/>
          <w:spacing w:val="14"/>
        </w:rPr>
        <w:t xml:space="preserve">   </w:t>
      </w:r>
      <w:r>
        <w:rPr>
          <w:rFonts w:ascii="SimHei" w:hAnsi="SimHei" w:eastAsia="SimHei" w:cs="SimHei"/>
          <w:color w:val="231F20"/>
          <w:spacing w:val="-6"/>
        </w:rPr>
        <w:t>讨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rFonts w:ascii="SimHei" w:hAnsi="SimHei" w:eastAsia="SimHei" w:cs="SimHei"/>
          <w:color w:val="231F20"/>
          <w:spacing w:val="-6"/>
        </w:rPr>
        <w:t>论</w:t>
      </w:r>
    </w:p>
    <w:p>
      <w:pPr>
        <w:pStyle w:val="BodyText"/>
        <w:ind w:left="66" w:firstLine="425"/>
        <w:spacing w:before="73" w:line="251" w:lineRule="auto"/>
        <w:jc w:val="both"/>
        <w:rPr/>
      </w:pPr>
      <w:r>
        <w:rPr>
          <w:rFonts w:ascii="SimSun" w:hAnsi="SimSun" w:eastAsia="SimSun" w:cs="SimSun"/>
          <w:color w:val="231F20"/>
          <w:spacing w:val="14"/>
        </w:rPr>
        <w:t>小儿急性肠胃炎属于临床常见儿科消化疾病，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多发病在夏秋季，通过粪口途径进行传播</w:t>
      </w:r>
      <w:r>
        <w:rPr>
          <w:sz w:val="11"/>
          <w:szCs w:val="11"/>
          <w:color w:val="231F20"/>
          <w:spacing w:val="1"/>
          <w:position w:val="7"/>
        </w:rPr>
        <w:t>[5</w:t>
      </w:r>
      <w:r>
        <w:rPr>
          <w:sz w:val="11"/>
          <w:szCs w:val="11"/>
          <w:color w:val="231F20"/>
          <w:position w:val="7"/>
        </w:rPr>
        <w:t>-7]</w:t>
      </w:r>
      <w:r>
        <w:rPr>
          <w:color w:val="231F20"/>
        </w:rPr>
        <w:t>。</w:t>
      </w:r>
      <w:r>
        <w:rPr>
          <w:rFonts w:ascii="SimSun" w:hAnsi="SimSun" w:eastAsia="SimSun" w:cs="SimSun"/>
          <w:color w:val="231F20"/>
        </w:rPr>
        <w:t>小儿急 </w:t>
      </w:r>
      <w:r>
        <w:rPr>
          <w:rFonts w:ascii="SimSun" w:hAnsi="SimSun" w:eastAsia="SimSun" w:cs="SimSun"/>
          <w:color w:val="231F20"/>
          <w:spacing w:val="-6"/>
        </w:rPr>
        <w:t>性肠胃炎症状是恶心</w:t>
      </w:r>
      <w:r>
        <w:rPr>
          <w:color w:val="231F20"/>
          <w:spacing w:val="-6"/>
        </w:rPr>
        <w:t>、</w:t>
      </w:r>
      <w:r>
        <w:rPr>
          <w:rFonts w:ascii="SimSun" w:hAnsi="SimSun" w:eastAsia="SimSun" w:cs="SimSun"/>
          <w:color w:val="231F20"/>
          <w:spacing w:val="-6"/>
        </w:rPr>
        <w:t>腹泻</w:t>
      </w:r>
      <w:r>
        <w:rPr>
          <w:color w:val="231F20"/>
          <w:spacing w:val="-6"/>
        </w:rPr>
        <w:t>、</w:t>
      </w:r>
      <w:r>
        <w:rPr>
          <w:rFonts w:ascii="SimSun" w:hAnsi="SimSun" w:eastAsia="SimSun" w:cs="SimSun"/>
          <w:color w:val="231F20"/>
          <w:spacing w:val="-6"/>
        </w:rPr>
        <w:t>食欲不振</w:t>
      </w:r>
      <w:r>
        <w:rPr>
          <w:color w:val="231F20"/>
          <w:spacing w:val="-6"/>
        </w:rPr>
        <w:t>、</w:t>
      </w:r>
      <w:r>
        <w:rPr>
          <w:rFonts w:ascii="SimSun" w:hAnsi="SimSun" w:eastAsia="SimSun" w:cs="SimSun"/>
          <w:color w:val="231F20"/>
          <w:spacing w:val="-6"/>
        </w:rPr>
        <w:t>腹痛等，需要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及时送到医院进行有效治疗，以控制患儿病情</w:t>
      </w:r>
      <w:r>
        <w:rPr>
          <w:color w:val="231F20"/>
          <w:spacing w:val="3"/>
        </w:rPr>
        <w:t>。</w:t>
      </w:r>
      <w:r>
        <w:rPr>
          <w:rFonts w:ascii="SimSun" w:hAnsi="SimSun" w:eastAsia="SimSun" w:cs="SimSun"/>
          <w:color w:val="231F20"/>
          <w:spacing w:val="3"/>
        </w:rPr>
        <w:t>相关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研究发现，急性肠胃炎发病主要与暴饮暴食</w:t>
      </w:r>
      <w:r>
        <w:rPr>
          <w:color w:val="231F20"/>
          <w:spacing w:val="3"/>
        </w:rPr>
        <w:t>、</w:t>
      </w:r>
      <w:r>
        <w:rPr>
          <w:rFonts w:ascii="SimSun" w:hAnsi="SimSun" w:eastAsia="SimSun" w:cs="SimSun"/>
          <w:color w:val="231F20"/>
          <w:spacing w:val="3"/>
        </w:rPr>
        <w:t>饮食不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当</w:t>
      </w:r>
      <w:r>
        <w:rPr>
          <w:color w:val="231F20"/>
          <w:spacing w:val="12"/>
        </w:rPr>
        <w:t>、</w:t>
      </w:r>
      <w:r>
        <w:rPr>
          <w:rFonts w:ascii="SimSun" w:hAnsi="SimSun" w:eastAsia="SimSun" w:cs="SimSun"/>
          <w:color w:val="231F20"/>
          <w:spacing w:val="12"/>
        </w:rPr>
        <w:t>食用受污染食品等具有相关性，其病原体有病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毒</w:t>
      </w:r>
      <w:r>
        <w:rPr>
          <w:color w:val="231F20"/>
          <w:spacing w:val="-10"/>
        </w:rPr>
        <w:t>、</w:t>
      </w:r>
      <w:r>
        <w:rPr>
          <w:rFonts w:ascii="SimSun" w:hAnsi="SimSun" w:eastAsia="SimSun" w:cs="SimSun"/>
          <w:color w:val="231F20"/>
          <w:spacing w:val="-10"/>
        </w:rPr>
        <w:t>细菌</w:t>
      </w:r>
      <w:r>
        <w:rPr>
          <w:color w:val="231F20"/>
          <w:spacing w:val="-10"/>
        </w:rPr>
        <w:t>、</w:t>
      </w:r>
      <w:r>
        <w:rPr>
          <w:rFonts w:ascii="SimSun" w:hAnsi="SimSun" w:eastAsia="SimSun" w:cs="SimSun"/>
          <w:color w:val="231F20"/>
          <w:spacing w:val="-10"/>
        </w:rPr>
        <w:t>寄生虫感染</w:t>
      </w:r>
      <w:r>
        <w:rPr>
          <w:sz w:val="11"/>
          <w:szCs w:val="11"/>
          <w:color w:val="231F20"/>
          <w:spacing w:val="-10"/>
          <w:position w:val="7"/>
        </w:rPr>
        <w:t>[8-9]</w:t>
      </w:r>
      <w:r>
        <w:rPr>
          <w:color w:val="231F20"/>
          <w:spacing w:val="-10"/>
        </w:rPr>
        <w:t>。</w:t>
      </w:r>
      <w:r>
        <w:rPr>
          <w:rFonts w:ascii="SimSun" w:hAnsi="SimSun" w:eastAsia="SimSun" w:cs="SimSun"/>
          <w:color w:val="231F20"/>
          <w:spacing w:val="-10"/>
        </w:rPr>
        <w:t>临床通常采用抗菌</w:t>
      </w:r>
      <w:r>
        <w:rPr>
          <w:rFonts w:ascii="SimSun" w:hAnsi="SimSun" w:eastAsia="SimSun" w:cs="SimSun"/>
          <w:color w:val="231F20"/>
          <w:spacing w:val="-11"/>
        </w:rPr>
        <w:t>药物治疗</w:t>
      </w:r>
      <w:r>
        <w:rPr>
          <w:color w:val="231F20"/>
          <w:spacing w:val="-20"/>
        </w:rPr>
        <w:t>。</w:t>
      </w:r>
    </w:p>
    <w:p>
      <w:pPr>
        <w:pStyle w:val="BodyText"/>
        <w:ind w:firstLine="488"/>
        <w:spacing w:before="23" w:line="25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2"/>
        </w:rPr>
        <w:t>为提高患儿疗效，本研究主要对急性肠胃炎患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25"/>
        </w:rPr>
        <w:t>儿应用头孢克肟与肠炎宁糖浆联合治疗的临床效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果</w:t>
      </w:r>
      <w:r>
        <w:rPr>
          <w:color w:val="231F20"/>
          <w:spacing w:val="-1"/>
        </w:rPr>
        <w:t>。</w:t>
      </w:r>
      <w:r>
        <w:rPr>
          <w:rFonts w:ascii="SimSun" w:hAnsi="SimSun" w:eastAsia="SimSun" w:cs="SimSun"/>
          <w:color w:val="231F20"/>
          <w:spacing w:val="-1"/>
        </w:rPr>
        <w:t>结果显示，研究组总有效率为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1"/>
        </w:rPr>
        <w:t>97.78%</w:t>
      </w:r>
      <w:r>
        <w:rPr>
          <w:rFonts w:ascii="SimSun" w:hAnsi="SimSun" w:eastAsia="SimSun" w:cs="SimSun"/>
          <w:color w:val="231F20"/>
          <w:spacing w:val="-1"/>
        </w:rPr>
        <w:t>，高于对照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组的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-1"/>
        </w:rPr>
        <w:t>82.22%</w:t>
      </w:r>
      <w:r>
        <w:rPr>
          <w:rFonts w:ascii="SimSun" w:hAnsi="SimSun" w:eastAsia="SimSun" w:cs="SimSun"/>
          <w:color w:val="231F20"/>
          <w:spacing w:val="-1"/>
        </w:rPr>
        <w:t>；研究组腹痛</w:t>
      </w:r>
      <w:r>
        <w:rPr>
          <w:color w:val="231F20"/>
          <w:spacing w:val="-1"/>
        </w:rPr>
        <w:t>、</w:t>
      </w:r>
      <w:r>
        <w:rPr>
          <w:rFonts w:ascii="SimSun" w:hAnsi="SimSun" w:eastAsia="SimSun" w:cs="SimSun"/>
          <w:color w:val="231F20"/>
          <w:spacing w:val="-1"/>
        </w:rPr>
        <w:t>呕吐</w:t>
      </w:r>
      <w:r>
        <w:rPr>
          <w:color w:val="231F20"/>
          <w:spacing w:val="-1"/>
        </w:rPr>
        <w:t>、</w:t>
      </w:r>
      <w:r>
        <w:rPr>
          <w:rFonts w:ascii="SimSun" w:hAnsi="SimSun" w:eastAsia="SimSun" w:cs="SimSun"/>
          <w:color w:val="231F20"/>
          <w:spacing w:val="-1"/>
        </w:rPr>
        <w:t>发热与腹泻持</w:t>
      </w:r>
      <w:r>
        <w:rPr>
          <w:rFonts w:ascii="SimSun" w:hAnsi="SimSun" w:eastAsia="SimSun" w:cs="SimSun"/>
          <w:color w:val="231F20"/>
          <w:spacing w:val="-2"/>
        </w:rPr>
        <w:t>续时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1"/>
        </w:rPr>
        <w:t>间分别为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-21"/>
        </w:rPr>
        <w:t>（</w:t>
      </w:r>
      <w:r>
        <w:rPr>
          <w:color w:val="231F20"/>
          <w:spacing w:val="-21"/>
        </w:rPr>
        <w:t>3.54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1"/>
        </w:rPr>
        <w:t>±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1"/>
        </w:rPr>
        <w:t>1.08</w:t>
      </w:r>
      <w:r>
        <w:rPr>
          <w:rFonts w:ascii="SimSun" w:hAnsi="SimSun" w:eastAsia="SimSun" w:cs="SimSun"/>
          <w:color w:val="231F20"/>
          <w:spacing w:val="-21"/>
        </w:rPr>
        <w:t>）</w:t>
      </w:r>
      <w:r>
        <w:rPr>
          <w:color w:val="231F20"/>
          <w:spacing w:val="-21"/>
        </w:rPr>
        <w:t>、</w:t>
      </w:r>
      <w:r>
        <w:rPr>
          <w:rFonts w:ascii="SimSun" w:hAnsi="SimSun" w:eastAsia="SimSun" w:cs="SimSun"/>
          <w:color w:val="231F20"/>
          <w:spacing w:val="-21"/>
        </w:rPr>
        <w:t>（</w:t>
      </w:r>
      <w:r>
        <w:rPr>
          <w:color w:val="231F20"/>
          <w:spacing w:val="-21"/>
        </w:rPr>
        <w:t>1.79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1"/>
        </w:rPr>
        <w:t>±0.87</w:t>
      </w:r>
      <w:r>
        <w:rPr>
          <w:rFonts w:ascii="SimSun" w:hAnsi="SimSun" w:eastAsia="SimSun" w:cs="SimSun"/>
          <w:color w:val="231F20"/>
          <w:spacing w:val="-21"/>
        </w:rPr>
        <w:t>）</w:t>
      </w:r>
      <w:r>
        <w:rPr>
          <w:color w:val="231F20"/>
          <w:spacing w:val="-21"/>
        </w:rPr>
        <w:t>、</w:t>
      </w:r>
      <w:r>
        <w:rPr>
          <w:rFonts w:ascii="SimSun" w:hAnsi="SimSun" w:eastAsia="SimSun" w:cs="SimSun"/>
          <w:color w:val="231F20"/>
          <w:spacing w:val="-21"/>
        </w:rPr>
        <w:t>（</w:t>
      </w:r>
      <w:r>
        <w:rPr>
          <w:color w:val="231F20"/>
          <w:spacing w:val="-21"/>
        </w:rPr>
        <w:t>1.75 ±0.63</w:t>
      </w:r>
      <w:r>
        <w:rPr>
          <w:rFonts w:ascii="SimSun" w:hAnsi="SimSun" w:eastAsia="SimSun" w:cs="SimSun"/>
          <w:color w:val="231F20"/>
          <w:spacing w:val="-21"/>
        </w:rPr>
        <w:t>）</w:t>
      </w:r>
      <w:r>
        <w:rPr>
          <w:color w:val="231F20"/>
          <w:spacing w:val="-21"/>
        </w:rPr>
        <w:t>、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7"/>
        </w:rPr>
        <w:t>（</w:t>
      </w:r>
      <w:r>
        <w:rPr>
          <w:color w:val="231F20"/>
          <w:spacing w:val="-17"/>
        </w:rPr>
        <w:t>2.52±0.68</w:t>
      </w:r>
      <w:r>
        <w:rPr>
          <w:rFonts w:ascii="SimSun" w:hAnsi="SimSun" w:eastAsia="SimSun" w:cs="SimSun"/>
          <w:color w:val="231F20"/>
          <w:spacing w:val="-17"/>
        </w:rPr>
        <w:t>）</w:t>
      </w:r>
      <w:r>
        <w:rPr>
          <w:color w:val="231F20"/>
          <w:spacing w:val="-17"/>
        </w:rPr>
        <w:t>d</w:t>
      </w:r>
      <w:r>
        <w:rPr>
          <w:rFonts w:ascii="SimSun" w:hAnsi="SimSun" w:eastAsia="SimSun" w:cs="SimSun"/>
          <w:color w:val="231F20"/>
          <w:spacing w:val="-17"/>
        </w:rPr>
        <w:t>，均短于对照组的（</w:t>
      </w:r>
      <w:r>
        <w:rPr>
          <w:color w:val="231F20"/>
          <w:spacing w:val="-17"/>
        </w:rPr>
        <w:t>5.1</w:t>
      </w:r>
      <w:r>
        <w:rPr>
          <w:color w:val="231F20"/>
          <w:spacing w:val="-18"/>
        </w:rPr>
        <w:t>6±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8"/>
        </w:rPr>
        <w:t>1.13</w:t>
      </w:r>
      <w:r>
        <w:rPr>
          <w:rFonts w:ascii="SimSun" w:hAnsi="SimSun" w:eastAsia="SimSun" w:cs="SimSun"/>
          <w:color w:val="231F20"/>
          <w:spacing w:val="-18"/>
        </w:rPr>
        <w:t>）</w:t>
      </w:r>
      <w:r>
        <w:rPr>
          <w:color w:val="231F20"/>
          <w:spacing w:val="-18"/>
        </w:rPr>
        <w:t>、</w:t>
      </w:r>
      <w:r>
        <w:rPr>
          <w:rFonts w:ascii="SimSun" w:hAnsi="SimSun" w:eastAsia="SimSun" w:cs="SimSun"/>
          <w:color w:val="231F20"/>
          <w:spacing w:val="-18"/>
        </w:rPr>
        <w:t>（</w:t>
      </w:r>
      <w:r>
        <w:rPr>
          <w:color w:val="231F20"/>
          <w:spacing w:val="-18"/>
        </w:rPr>
        <w:t>2.73±</w:t>
      </w:r>
      <w:r>
        <w:rPr>
          <w:color w:val="231F20"/>
        </w:rPr>
        <w:t xml:space="preserve">  </w:t>
      </w:r>
      <w:r>
        <w:rPr>
          <w:color w:val="231F20"/>
          <w:spacing w:val="-20"/>
        </w:rPr>
        <w:t>0.91</w:t>
      </w:r>
      <w:r>
        <w:rPr>
          <w:rFonts w:ascii="SimSun" w:hAnsi="SimSun" w:eastAsia="SimSun" w:cs="SimSun"/>
          <w:color w:val="231F20"/>
          <w:spacing w:val="-20"/>
        </w:rPr>
        <w:t>）</w:t>
      </w:r>
      <w:r>
        <w:rPr>
          <w:color w:val="231F20"/>
          <w:spacing w:val="-20"/>
        </w:rPr>
        <w:t>、</w:t>
      </w:r>
      <w:r>
        <w:rPr>
          <w:rFonts w:ascii="SimSun" w:hAnsi="SimSun" w:eastAsia="SimSun" w:cs="SimSun"/>
          <w:color w:val="231F20"/>
          <w:spacing w:val="-20"/>
        </w:rPr>
        <w:t>（</w:t>
      </w:r>
      <w:r>
        <w:rPr>
          <w:color w:val="231F20"/>
          <w:spacing w:val="-20"/>
        </w:rPr>
        <w:t>2.92±0.95</w:t>
      </w:r>
      <w:r>
        <w:rPr>
          <w:rFonts w:ascii="SimSun" w:hAnsi="SimSun" w:eastAsia="SimSun" w:cs="SimSun"/>
          <w:color w:val="231F20"/>
          <w:spacing w:val="-20"/>
        </w:rPr>
        <w:t>）</w:t>
      </w:r>
      <w:r>
        <w:rPr>
          <w:color w:val="231F20"/>
          <w:spacing w:val="-20"/>
        </w:rPr>
        <w:t>、</w:t>
      </w:r>
      <w:r>
        <w:rPr>
          <w:rFonts w:ascii="SimSun" w:hAnsi="SimSun" w:eastAsia="SimSun" w:cs="SimSun"/>
          <w:color w:val="231F20"/>
          <w:spacing w:val="-20"/>
        </w:rPr>
        <w:t>（</w:t>
      </w:r>
      <w:r>
        <w:rPr>
          <w:color w:val="231F20"/>
          <w:spacing w:val="-20"/>
        </w:rPr>
        <w:t>3.86±0.9</w:t>
      </w:r>
      <w:r>
        <w:rPr>
          <w:color w:val="231F20"/>
          <w:spacing w:val="-21"/>
        </w:rPr>
        <w:t>3</w:t>
      </w:r>
      <w:r>
        <w:rPr>
          <w:rFonts w:ascii="SimSun" w:hAnsi="SimSun" w:eastAsia="SimSun" w:cs="SimSun"/>
          <w:color w:val="231F20"/>
          <w:spacing w:val="-21"/>
        </w:rPr>
        <w:t>）</w:t>
      </w:r>
      <w:r>
        <w:rPr>
          <w:color w:val="231F20"/>
          <w:spacing w:val="-21"/>
        </w:rPr>
        <w:t>d</w:t>
      </w:r>
      <w:r>
        <w:rPr>
          <w:rFonts w:ascii="SimSun" w:hAnsi="SimSun" w:eastAsia="SimSun" w:cs="SimSun"/>
          <w:color w:val="231F20"/>
          <w:spacing w:val="-21"/>
        </w:rPr>
        <w:t>；研究组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21"/>
        </w:rPr>
        <w:t>PCT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21"/>
        </w:rPr>
        <w:t>水平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低于对照组，均证实急性肠胃炎患儿应用头孢克肟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联合肠炎宁糖浆治疗，能有效缩短症状持续时</w:t>
      </w:r>
      <w:r>
        <w:rPr>
          <w:rFonts w:ascii="SimSun" w:hAnsi="SimSun" w:eastAsia="SimSun" w:cs="SimSun"/>
          <w:color w:val="231F20"/>
          <w:spacing w:val="5"/>
        </w:rPr>
        <w:t>间，降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低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PCT</w:t>
      </w:r>
      <w:r>
        <w:rPr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水平</w:t>
      </w:r>
      <w:r>
        <w:rPr>
          <w:color w:val="231F20"/>
          <w:spacing w:val="2"/>
        </w:rPr>
        <w:t>。</w:t>
      </w:r>
      <w:r>
        <w:rPr>
          <w:rFonts w:ascii="SimSun" w:hAnsi="SimSun" w:eastAsia="SimSun" w:cs="SimSun"/>
          <w:color w:val="231F20"/>
          <w:spacing w:val="2"/>
        </w:rPr>
        <w:t>分析原因，主要由于小儿胃肠道相关功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能发育不成熟，机体免疫力低，易发生病毒</w:t>
      </w:r>
      <w:r>
        <w:rPr>
          <w:color w:val="231F20"/>
          <w:spacing w:val="6"/>
        </w:rPr>
        <w:t>、</w:t>
      </w:r>
      <w:r>
        <w:rPr>
          <w:rFonts w:ascii="SimSun" w:hAnsi="SimSun" w:eastAsia="SimSun" w:cs="SimSun"/>
          <w:color w:val="231F20"/>
          <w:spacing w:val="6"/>
        </w:rPr>
        <w:t>细</w:t>
      </w:r>
      <w:r>
        <w:rPr>
          <w:rFonts w:ascii="SimSun" w:hAnsi="SimSun" w:eastAsia="SimSun" w:cs="SimSun"/>
          <w:color w:val="231F20"/>
          <w:spacing w:val="5"/>
        </w:rPr>
        <w:t>菌等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感染，进而造成急性肠胃炎发病</w:t>
      </w:r>
      <w:r>
        <w:rPr>
          <w:color w:val="231F20"/>
          <w:spacing w:val="6"/>
        </w:rPr>
        <w:t>。</w:t>
      </w:r>
      <w:r>
        <w:rPr>
          <w:rFonts w:ascii="SimSun" w:hAnsi="SimSun" w:eastAsia="SimSun" w:cs="SimSun"/>
          <w:color w:val="231F20"/>
          <w:spacing w:val="6"/>
        </w:rPr>
        <w:t>当急性肠胃炎患儿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发病会伴有腹泻</w:t>
      </w:r>
      <w:r>
        <w:rPr>
          <w:color w:val="231F20"/>
          <w:spacing w:val="15"/>
        </w:rPr>
        <w:t>、</w:t>
      </w:r>
      <w:r>
        <w:rPr>
          <w:rFonts w:ascii="SimSun" w:hAnsi="SimSun" w:eastAsia="SimSun" w:cs="SimSun"/>
          <w:color w:val="231F20"/>
          <w:spacing w:val="15"/>
        </w:rPr>
        <w:t>呕吐等表现，甚至发生电解质紊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乱</w:t>
      </w:r>
      <w:r>
        <w:rPr>
          <w:color w:val="231F20"/>
          <w:spacing w:val="4"/>
        </w:rPr>
        <w:t>、</w:t>
      </w:r>
      <w:r>
        <w:rPr>
          <w:rFonts w:ascii="SimSun" w:hAnsi="SimSun" w:eastAsia="SimSun" w:cs="SimSun"/>
          <w:color w:val="231F20"/>
          <w:spacing w:val="4"/>
        </w:rPr>
        <w:t>脱水等</w:t>
      </w:r>
      <w:r>
        <w:rPr>
          <w:sz w:val="11"/>
          <w:szCs w:val="11"/>
          <w:color w:val="231F20"/>
          <w:spacing w:val="4"/>
          <w:position w:val="7"/>
        </w:rPr>
        <w:t>[10]</w:t>
      </w:r>
      <w:r>
        <w:rPr>
          <w:sz w:val="11"/>
          <w:szCs w:val="11"/>
          <w:color w:val="231F20"/>
          <w:spacing w:val="-3"/>
          <w:position w:val="7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SimSun" w:hAnsi="SimSun" w:eastAsia="SimSun" w:cs="SimSun"/>
          <w:color w:val="231F20"/>
          <w:spacing w:val="4"/>
        </w:rPr>
        <w:t>研究组急性肠胃炎患儿应用头孢克肟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联合肠炎宁糖浆治疗，头孢克肟属于常用第三代的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头孢抗生素相关抗菌药，能够对细菌的细胞壁相关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合成产生抑制，从而杀死细菌，但长期用药会</w:t>
      </w:r>
      <w:r>
        <w:rPr>
          <w:rFonts w:ascii="SimSun" w:hAnsi="SimSun" w:eastAsia="SimSun" w:cs="SimSun"/>
          <w:color w:val="231F20"/>
          <w:spacing w:val="5"/>
        </w:rPr>
        <w:t>出现抗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药性</w:t>
      </w:r>
      <w:r>
        <w:rPr>
          <w:color w:val="231F20"/>
          <w:spacing w:val="6"/>
        </w:rPr>
        <w:t>。</w:t>
      </w:r>
      <w:r>
        <w:rPr>
          <w:rFonts w:ascii="SimSun" w:hAnsi="SimSun" w:eastAsia="SimSun" w:cs="SimSun"/>
          <w:color w:val="231F20"/>
          <w:spacing w:val="6"/>
        </w:rPr>
        <w:t>因此，临床需要合理用药或联合药物方</w:t>
      </w:r>
      <w:r>
        <w:rPr>
          <w:rFonts w:ascii="SimSun" w:hAnsi="SimSun" w:eastAsia="SimSun" w:cs="SimSun"/>
          <w:color w:val="231F20"/>
          <w:spacing w:val="5"/>
        </w:rPr>
        <w:t>式，以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达到良好的治疗目的</w:t>
      </w:r>
      <w:r>
        <w:rPr>
          <w:sz w:val="11"/>
          <w:szCs w:val="11"/>
          <w:color w:val="231F20"/>
          <w:spacing w:val="4"/>
          <w:position w:val="7"/>
        </w:rPr>
        <w:t>[11]</w:t>
      </w:r>
      <w:r>
        <w:rPr>
          <w:sz w:val="11"/>
          <w:szCs w:val="11"/>
          <w:color w:val="231F20"/>
          <w:spacing w:val="-3"/>
          <w:position w:val="7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SimSun" w:hAnsi="SimSun" w:eastAsia="SimSun" w:cs="SimSun"/>
          <w:color w:val="231F20"/>
          <w:spacing w:val="4"/>
        </w:rPr>
        <w:t>肠炎宁糖浆属于中成药，主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要由金毛耳草</w:t>
      </w:r>
      <w:r>
        <w:rPr>
          <w:color w:val="231F20"/>
          <w:spacing w:val="6"/>
        </w:rPr>
        <w:t>、</w:t>
      </w:r>
      <w:r>
        <w:rPr>
          <w:rFonts w:ascii="SimSun" w:hAnsi="SimSun" w:eastAsia="SimSun" w:cs="SimSun"/>
          <w:color w:val="231F20"/>
          <w:spacing w:val="6"/>
        </w:rPr>
        <w:t>地锦草</w:t>
      </w:r>
      <w:r>
        <w:rPr>
          <w:color w:val="231F20"/>
          <w:spacing w:val="6"/>
        </w:rPr>
        <w:t>、</w:t>
      </w:r>
      <w:r>
        <w:rPr>
          <w:rFonts w:ascii="SimSun" w:hAnsi="SimSun" w:eastAsia="SimSun" w:cs="SimSun"/>
          <w:color w:val="231F20"/>
          <w:spacing w:val="6"/>
        </w:rPr>
        <w:t>枫香树叶</w:t>
      </w:r>
      <w:r>
        <w:rPr>
          <w:color w:val="231F20"/>
          <w:spacing w:val="6"/>
        </w:rPr>
        <w:t>、</w:t>
      </w:r>
      <w:r>
        <w:rPr>
          <w:rFonts w:ascii="SimSun" w:hAnsi="SimSun" w:eastAsia="SimSun" w:cs="SimSun"/>
          <w:color w:val="231F20"/>
          <w:spacing w:val="6"/>
        </w:rPr>
        <w:t>香薷及樟树</w:t>
      </w:r>
      <w:r>
        <w:rPr>
          <w:rFonts w:ascii="SimSun" w:hAnsi="SimSun" w:eastAsia="SimSun" w:cs="SimSun"/>
          <w:color w:val="231F20"/>
          <w:spacing w:val="5"/>
        </w:rPr>
        <w:t>根构</w:t>
      </w:r>
    </w:p>
    <w:p>
      <w:pPr>
        <w:spacing w:line="258" w:lineRule="auto"/>
        <w:sectPr>
          <w:type w:val="continuous"/>
          <w:pgSz w:w="11905" w:h="16836"/>
          <w:pgMar w:top="1433" w:right="997" w:bottom="886" w:left="407" w:header="1086" w:footer="601" w:gutter="0"/>
          <w:cols w:equalWidth="0" w:num="2">
            <w:col w:w="5585" w:space="100"/>
            <w:col w:w="4814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right="38"/>
        <w:spacing w:before="166" w:line="189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-6"/>
        </w:rPr>
        <w:t>·  </w:t>
      </w:r>
      <w:r>
        <w:rPr>
          <w:rFonts w:ascii="SimSun" w:hAnsi="SimSun" w:eastAsia="SimSun" w:cs="SimSun"/>
          <w:sz w:val="27"/>
          <w:szCs w:val="27"/>
          <w:color w:val="231F20"/>
          <w:spacing w:val="-6"/>
        </w:rPr>
        <w:t>论</w:t>
      </w:r>
      <w:r>
        <w:rPr>
          <w:rFonts w:ascii="SimSun" w:hAnsi="SimSun" w:eastAsia="SimSun" w:cs="SimSun"/>
          <w:sz w:val="27"/>
          <w:szCs w:val="27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27"/>
          <w:szCs w:val="27"/>
          <w:color w:val="231F20"/>
          <w:spacing w:val="-6"/>
        </w:rPr>
        <w:t>著</w:t>
      </w:r>
      <w:r>
        <w:rPr>
          <w:rFonts w:ascii="SimSun" w:hAnsi="SimSun" w:eastAsia="SimSun" w:cs="SimSun"/>
          <w:sz w:val="27"/>
          <w:szCs w:val="27"/>
          <w:color w:val="231F20"/>
          <w:spacing w:val="5"/>
        </w:rPr>
        <w:t xml:space="preserve"> </w:t>
      </w:r>
      <w:r>
        <w:rPr>
          <w:sz w:val="27"/>
          <w:szCs w:val="27"/>
          <w:color w:val="231F20"/>
          <w:spacing w:val="-6"/>
        </w:rPr>
        <w:t>·</w:t>
      </w:r>
    </w:p>
    <w:p>
      <w:pPr>
        <w:ind w:left="1186"/>
        <w:spacing w:before="245" w:line="21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color w:val="231F20"/>
          <w:spacing w:val="8"/>
        </w:rPr>
        <w:t>饮食护理在糖尿病肾病维持性血液透析中的效果</w:t>
      </w:r>
    </w:p>
    <w:p>
      <w:pPr>
        <w:pStyle w:val="BodyText"/>
        <w:ind w:left="5281"/>
        <w:spacing w:before="267" w:line="186" w:lineRule="auto"/>
        <w:rPr/>
      </w:pPr>
      <w:r>
        <w:rPr>
          <w:color w:val="231F20"/>
          <w:spacing w:val="1"/>
        </w:rPr>
        <w:t>陈日喜</w:t>
      </w:r>
    </w:p>
    <w:p>
      <w:pPr>
        <w:pStyle w:val="BodyText"/>
        <w:ind w:left="3172"/>
        <w:spacing w:before="50" w:line="199" w:lineRule="auto"/>
        <w:rPr/>
      </w:pPr>
      <w:r>
        <w:rPr>
          <w:color w:val="231F20"/>
          <w:spacing w:val="3"/>
        </w:rPr>
        <w:t>广东省阳江市人民医院血透科，广东    阳江   529500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092" w:right="393"/>
        <w:spacing w:before="74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摘要：目的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探析饮食护理对糖尿病肾病行维持性血液透析患者营养的改善作用</w:t>
      </w:r>
      <w:r>
        <w:rPr>
          <w:sz w:val="17"/>
          <w:szCs w:val="17"/>
          <w:color w:val="231F20"/>
          <w:spacing w:val="8"/>
        </w:rPr>
        <w:t>。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方法</w:t>
      </w:r>
      <w:r>
        <w:rPr>
          <w:rFonts w:ascii="SimHei" w:hAnsi="SimHei" w:eastAsia="SimHei" w:cs="SimHei"/>
          <w:sz w:val="17"/>
          <w:szCs w:val="17"/>
          <w:color w:val="231F20"/>
          <w:spacing w:val="5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选取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广东省阳江市人民医院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2019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年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1"/>
        </w:rPr>
        <w:t>2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月</w:t>
      </w:r>
      <w:r>
        <w:rPr>
          <w:sz w:val="17"/>
          <w:szCs w:val="17"/>
          <w:color w:val="231F20"/>
          <w:spacing w:val="1"/>
        </w:rPr>
        <w:t>—2020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年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1"/>
        </w:rPr>
        <w:t>8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月收治的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1"/>
        </w:rPr>
        <w:t>94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例糖尿病肾病行维持性血液透析患者，</w:t>
      </w:r>
      <w:r>
        <w:rPr>
          <w:rFonts w:ascii="SimSun" w:hAnsi="SimSun" w:eastAsia="SimSun" w:cs="SimSun"/>
          <w:sz w:val="17"/>
          <w:szCs w:val="17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根据不同护理模式将其纳入对照组</w:t>
      </w:r>
      <w:r>
        <w:rPr>
          <w:rFonts w:ascii="SimSun" w:hAnsi="SimSun" w:eastAsia="SimSun" w:cs="SimSun"/>
          <w:sz w:val="17"/>
          <w:szCs w:val="17"/>
          <w:color w:val="231F20"/>
        </w:rPr>
        <w:t>和观 </w:t>
      </w:r>
      <w:r>
        <w:rPr>
          <w:rFonts w:ascii="SimSun" w:hAnsi="SimSun" w:eastAsia="SimSun" w:cs="SimSun"/>
          <w:sz w:val="17"/>
          <w:szCs w:val="17"/>
          <w:color w:val="231F20"/>
        </w:rPr>
        <w:t>察组，每组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</w:rPr>
        <w:t>47 </w:t>
      </w:r>
      <w:r>
        <w:rPr>
          <w:rFonts w:ascii="SimSun" w:hAnsi="SimSun" w:eastAsia="SimSun" w:cs="SimSun"/>
          <w:sz w:val="17"/>
          <w:szCs w:val="17"/>
          <w:color w:val="231F20"/>
        </w:rPr>
        <w:t>例</w:t>
      </w:r>
      <w:r>
        <w:rPr>
          <w:sz w:val="17"/>
          <w:szCs w:val="17"/>
          <w:color w:val="231F20"/>
        </w:rPr>
        <w:t>。</w:t>
      </w:r>
      <w:r>
        <w:rPr>
          <w:rFonts w:ascii="SimSun" w:hAnsi="SimSun" w:eastAsia="SimSun" w:cs="SimSun"/>
          <w:sz w:val="17"/>
          <w:szCs w:val="17"/>
          <w:color w:val="231F20"/>
        </w:rPr>
        <w:t>对照组实施常规护理，观察组实施常规护理联合饮食护理，比较两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组患者的营养摄入情况</w:t>
      </w:r>
      <w:r>
        <w:rPr>
          <w:sz w:val="17"/>
          <w:szCs w:val="17"/>
          <w:color w:val="231F20"/>
          <w:spacing w:val="-1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营养学指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标水平</w:t>
      </w:r>
      <w:r>
        <w:rPr>
          <w:sz w:val="17"/>
          <w:szCs w:val="17"/>
          <w:color w:val="231F20"/>
          <w:spacing w:val="-2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营养状态</w:t>
      </w:r>
      <w:r>
        <w:rPr>
          <w:sz w:val="17"/>
          <w:szCs w:val="17"/>
          <w:color w:val="231F20"/>
          <w:spacing w:val="-2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并发症发生率</w:t>
      </w:r>
      <w:r>
        <w:rPr>
          <w:sz w:val="17"/>
          <w:szCs w:val="17"/>
          <w:color w:val="231F20"/>
          <w:spacing w:val="-2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生活质量（</w:t>
      </w:r>
      <w:r>
        <w:rPr>
          <w:sz w:val="17"/>
          <w:szCs w:val="17"/>
          <w:color w:val="231F20"/>
          <w:spacing w:val="-2"/>
        </w:rPr>
        <w:t>SF-36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）评分以及护理总满意率</w:t>
      </w:r>
      <w:r>
        <w:rPr>
          <w:sz w:val="17"/>
          <w:szCs w:val="17"/>
          <w:color w:val="231F20"/>
          <w:spacing w:val="-2"/>
        </w:rPr>
        <w:t>。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结果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观察组护理后的蛋白质与能量摄入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>量为（</w:t>
      </w:r>
      <w:r>
        <w:rPr>
          <w:sz w:val="17"/>
          <w:szCs w:val="17"/>
          <w:color w:val="231F20"/>
          <w:spacing w:val="-20"/>
        </w:rPr>
        <w:t>1.36±0.37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>）</w:t>
      </w:r>
      <w:r>
        <w:rPr>
          <w:sz w:val="17"/>
          <w:szCs w:val="17"/>
          <w:color w:val="231F20"/>
          <w:spacing w:val="-20"/>
        </w:rPr>
        <w:t>g/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>（</w:t>
      </w:r>
      <w:r>
        <w:rPr>
          <w:sz w:val="17"/>
          <w:szCs w:val="17"/>
          <w:color w:val="231F20"/>
          <w:spacing w:val="-20"/>
        </w:rPr>
        <w:t>kg·d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>）和（</w:t>
      </w:r>
      <w:r>
        <w:rPr>
          <w:sz w:val="17"/>
          <w:szCs w:val="17"/>
          <w:color w:val="231F20"/>
          <w:spacing w:val="-20"/>
        </w:rPr>
        <w:t>153.65±27.03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>）</w:t>
      </w:r>
      <w:r>
        <w:rPr>
          <w:sz w:val="17"/>
          <w:szCs w:val="17"/>
          <w:color w:val="231F20"/>
          <w:spacing w:val="-20"/>
        </w:rPr>
        <w:t>k</w:t>
      </w:r>
      <w:r>
        <w:rPr>
          <w:sz w:val="17"/>
          <w:szCs w:val="17"/>
          <w:color w:val="231F20"/>
          <w:spacing w:val="-21"/>
        </w:rPr>
        <w:t>al/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>（</w:t>
      </w:r>
      <w:r>
        <w:rPr>
          <w:sz w:val="17"/>
          <w:szCs w:val="17"/>
          <w:color w:val="231F20"/>
          <w:spacing w:val="-21"/>
        </w:rPr>
        <w:t>kg·d</w:t>
      </w:r>
      <w:r>
        <w:rPr>
          <w:rFonts w:ascii="SimSun" w:hAnsi="SimSun" w:eastAsia="SimSun" w:cs="SimSun"/>
          <w:sz w:val="17"/>
          <w:szCs w:val="17"/>
          <w:color w:val="231F20"/>
          <w:spacing w:val="-27"/>
          <w:w w:val="61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>均多于对照组的（</w:t>
      </w:r>
      <w:r>
        <w:rPr>
          <w:sz w:val="17"/>
          <w:szCs w:val="17"/>
          <w:color w:val="231F20"/>
          <w:spacing w:val="-21"/>
        </w:rPr>
        <w:t>1.05±0.33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>）</w:t>
      </w:r>
      <w:r>
        <w:rPr>
          <w:sz w:val="17"/>
          <w:szCs w:val="17"/>
          <w:color w:val="231F20"/>
          <w:spacing w:val="-21"/>
        </w:rPr>
        <w:t>g/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>（</w:t>
      </w:r>
      <w:r>
        <w:rPr>
          <w:sz w:val="17"/>
          <w:szCs w:val="17"/>
          <w:color w:val="231F20"/>
          <w:spacing w:val="-21"/>
        </w:rPr>
        <w:t>kg·d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>）和（</w:t>
      </w:r>
      <w:r>
        <w:rPr>
          <w:sz w:val="17"/>
          <w:szCs w:val="17"/>
          <w:color w:val="231F20"/>
          <w:spacing w:val="-21"/>
        </w:rPr>
        <w:t>122.37±24.67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>）</w:t>
      </w:r>
      <w:r>
        <w:rPr>
          <w:sz w:val="17"/>
          <w:szCs w:val="17"/>
          <w:color w:val="231F20"/>
          <w:spacing w:val="-21"/>
        </w:rPr>
        <w:t>kal/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>（</w:t>
      </w:r>
      <w:r>
        <w:rPr>
          <w:sz w:val="17"/>
          <w:szCs w:val="17"/>
          <w:color w:val="231F20"/>
          <w:spacing w:val="-21"/>
        </w:rPr>
        <w:t>kg·d</w:t>
      </w:r>
      <w:r>
        <w:rPr>
          <w:rFonts w:ascii="SimSun" w:hAnsi="SimSun" w:eastAsia="SimSun" w:cs="SimSun"/>
          <w:sz w:val="17"/>
          <w:szCs w:val="17"/>
          <w:color w:val="231F20"/>
          <w:spacing w:val="-27"/>
          <w:w w:val="61"/>
        </w:rPr>
        <w:t>）；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>观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察组护理后的血清白蛋白</w:t>
      </w:r>
      <w:r>
        <w:rPr>
          <w:sz w:val="17"/>
          <w:szCs w:val="17"/>
          <w:color w:val="231F20"/>
          <w:spacing w:val="1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转铁蛋白</w:t>
      </w:r>
      <w:r>
        <w:rPr>
          <w:sz w:val="17"/>
          <w:szCs w:val="17"/>
          <w:color w:val="231F20"/>
          <w:spacing w:val="1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前白蛋白</w:t>
      </w:r>
      <w:r>
        <w:rPr>
          <w:sz w:val="17"/>
          <w:szCs w:val="17"/>
          <w:color w:val="231F20"/>
          <w:spacing w:val="1"/>
        </w:rPr>
        <w:t>、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血红蛋白水平均高于对照组；</w:t>
      </w:r>
      <w:r>
        <w:rPr>
          <w:rFonts w:ascii="SimSun" w:hAnsi="SimSun" w:eastAsia="SimSun" w:cs="SimSun"/>
          <w:sz w:val="17"/>
          <w:szCs w:val="17"/>
          <w:color w:val="231F20"/>
        </w:rPr>
        <w:t>观察组护理后的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</w:rPr>
        <w:t>MQSGA </w:t>
      </w:r>
      <w:r>
        <w:rPr>
          <w:rFonts w:ascii="SimSun" w:hAnsi="SimSun" w:eastAsia="SimSun" w:cs="SimSun"/>
          <w:sz w:val="17"/>
          <w:szCs w:val="17"/>
          <w:color w:val="231F20"/>
        </w:rPr>
        <w:t>评分低于对照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组；观察组的并发症发生率低于对照组；观察组护理后</w:t>
      </w:r>
      <w:r>
        <w:rPr>
          <w:rFonts w:ascii="SimSun" w:hAnsi="SimSun" w:eastAsia="SimSun" w:cs="SimSun"/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SF</w:t>
      </w:r>
      <w:r>
        <w:rPr>
          <w:sz w:val="17"/>
          <w:szCs w:val="17"/>
          <w:color w:val="231F20"/>
          <w:spacing w:val="4"/>
        </w:rPr>
        <w:t>-36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量表的各项评分及平均分均高于对照组；观察组的护理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总满意率为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4"/>
        </w:rPr>
        <w:t>100.00%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，高于对照组的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-4"/>
        </w:rPr>
        <w:t>89.36</w:t>
      </w:r>
      <w:r>
        <w:rPr>
          <w:sz w:val="17"/>
          <w:szCs w:val="17"/>
          <w:color w:val="231F20"/>
          <w:spacing w:val="-5"/>
        </w:rPr>
        <w:t>%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，差异均有统计学意义（</w:t>
      </w:r>
      <w:r>
        <w:rPr>
          <w:sz w:val="17"/>
          <w:szCs w:val="17"/>
          <w:color w:val="231F20"/>
          <w:spacing w:val="-5"/>
        </w:rPr>
        <w:t>P＜0.05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）</w:t>
      </w:r>
      <w:r>
        <w:rPr>
          <w:sz w:val="17"/>
          <w:szCs w:val="17"/>
          <w:color w:val="231F20"/>
          <w:spacing w:val="-5"/>
        </w:rPr>
        <w:t>。</w:t>
      </w: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结论</w:t>
      </w: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饮食护理在糖尿病肾病行维持性血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液透析患者护理中的实施效果明显，可有效改善患者的营养状况，减少并发症发生率，提升生活质量与护理总满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意率，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值得临床推广应用</w:t>
      </w:r>
      <w:r>
        <w:rPr>
          <w:sz w:val="17"/>
          <w:szCs w:val="17"/>
          <w:color w:val="231F20"/>
          <w:spacing w:val="6"/>
        </w:rPr>
        <w:t>。</w:t>
      </w:r>
    </w:p>
    <w:p>
      <w:pPr>
        <w:ind w:left="1101"/>
        <w:spacing w:before="1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6"/>
        </w:rPr>
        <w:t>关键词：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饮食护理；糖尿病肾病；维持性血液透析；应用效果</w:t>
      </w:r>
    </w:p>
    <w:p>
      <w:pPr>
        <w:pStyle w:val="BodyText"/>
        <w:ind w:left="1105"/>
        <w:spacing w:before="41" w:line="22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中图分类号：</w:t>
      </w:r>
      <w:r>
        <w:rPr>
          <w:sz w:val="15"/>
          <w:szCs w:val="15"/>
          <w:color w:val="231F20"/>
          <w:spacing w:val="-5"/>
        </w:rPr>
        <w:t>R473.5          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文献标识码：</w:t>
      </w:r>
      <w:r>
        <w:rPr>
          <w:sz w:val="15"/>
          <w:szCs w:val="15"/>
          <w:color w:val="231F20"/>
          <w:spacing w:val="-5"/>
        </w:rPr>
        <w:t>A          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文章编号：</w:t>
      </w:r>
      <w:r>
        <w:rPr>
          <w:sz w:val="15"/>
          <w:szCs w:val="15"/>
          <w:color w:val="231F20"/>
          <w:spacing w:val="-5"/>
        </w:rPr>
        <w:t>1003-5052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2021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12-003</w:t>
      </w:r>
      <w:r>
        <w:rPr>
          <w:sz w:val="15"/>
          <w:szCs w:val="15"/>
          <w:color w:val="231F20"/>
          <w:spacing w:val="-6"/>
        </w:rPr>
        <w:t>-04         DOI:10.16286/j.1003-5052.2021.12.002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5013" w:right="476" w:hanging="3891"/>
        <w:spacing w:before="116" w:line="203" w:lineRule="auto"/>
        <w:rPr/>
      </w:pPr>
      <w:r>
        <w:rPr>
          <w:sz w:val="27"/>
          <w:szCs w:val="27"/>
          <w:color w:val="231F20"/>
          <w:spacing w:val="-11"/>
        </w:rPr>
        <w:t>Effect of diet nursing in maintenance hemodialysis of</w:t>
      </w:r>
      <w:r>
        <w:rPr>
          <w:sz w:val="27"/>
          <w:szCs w:val="27"/>
          <w:color w:val="231F20"/>
          <w:spacing w:val="-12"/>
        </w:rPr>
        <w:t xml:space="preserve"> diabetic nephropathy</w:t>
      </w:r>
      <w:r>
        <w:rPr>
          <w:sz w:val="27"/>
          <w:szCs w:val="27"/>
          <w:color w:val="231F20"/>
        </w:rPr>
        <w:t xml:space="preserve"> </w:t>
      </w:r>
      <w:r>
        <w:rPr>
          <w:color w:val="231F20"/>
          <w:spacing w:val="8"/>
        </w:rPr>
        <w:t>CHEN Ri-xi</w:t>
      </w:r>
    </w:p>
    <w:p>
      <w:pPr>
        <w:pStyle w:val="BodyText"/>
        <w:ind w:left="4556" w:right="626" w:hanging="3251"/>
        <w:spacing w:before="2" w:line="219" w:lineRule="auto"/>
        <w:rPr/>
      </w:pPr>
      <w:r>
        <w:rPr>
          <w:color w:val="231F20"/>
          <w:spacing w:val="-16"/>
        </w:rPr>
        <w:t>Department of Hemodialysis</w:t>
      </w:r>
      <w:r>
        <w:rPr>
          <w:rFonts w:ascii="SimSun" w:hAnsi="SimSun" w:eastAsia="SimSun" w:cs="SimSun"/>
          <w:color w:val="231F20"/>
          <w:spacing w:val="-16"/>
        </w:rPr>
        <w:t>，</w:t>
      </w:r>
      <w:r>
        <w:rPr>
          <w:color w:val="231F20"/>
          <w:spacing w:val="-16"/>
        </w:rPr>
        <w:t>Guangdong Province Yangjiang People's Hospital</w:t>
      </w:r>
      <w:r>
        <w:rPr>
          <w:rFonts w:ascii="SimSun" w:hAnsi="SimSun" w:eastAsia="SimSun" w:cs="SimSun"/>
          <w:color w:val="231F20"/>
          <w:spacing w:val="-16"/>
        </w:rPr>
        <w:t>，</w:t>
      </w:r>
      <w:r>
        <w:rPr>
          <w:color w:val="231F20"/>
          <w:spacing w:val="-17"/>
        </w:rPr>
        <w:t>Yangjiang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Guangdong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Province 529500</w:t>
      </w:r>
      <w:r>
        <w:rPr>
          <w:rFonts w:ascii="SimSun" w:hAnsi="SimSun" w:eastAsia="SimSun" w:cs="SimSun"/>
          <w:color w:val="231F20"/>
          <w:spacing w:val="-13"/>
        </w:rPr>
        <w:t>，</w:t>
      </w:r>
      <w:r>
        <w:rPr>
          <w:color w:val="231F20"/>
          <w:spacing w:val="-13"/>
        </w:rPr>
        <w:t>China</w:t>
      </w:r>
    </w:p>
    <w:p>
      <w:pPr>
        <w:pStyle w:val="BodyText"/>
        <w:ind w:left="1124" w:right="448" w:hanging="2"/>
        <w:spacing w:before="3" w:line="221" w:lineRule="auto"/>
        <w:jc w:val="both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425450</wp:posOffset>
            </wp:positionH>
            <wp:positionV relativeFrom="paragraph">
              <wp:posOffset>832194</wp:posOffset>
            </wp:positionV>
            <wp:extent cx="1080769" cy="76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0769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4"/>
        </w:rPr>
        <w:t>Abstract: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4"/>
        </w:rPr>
        <w:t>Objective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4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4"/>
        </w:rPr>
        <w:t>explore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4"/>
        </w:rPr>
        <w:t>effect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diet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4"/>
        </w:rPr>
        <w:t>nursing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4"/>
        </w:rPr>
        <w:t>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4"/>
        </w:rPr>
        <w:t>nutritional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4"/>
        </w:rPr>
        <w:t>improvement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5"/>
        </w:rPr>
        <w:t>patients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diabetic  nephropathy  undergoing  mainte</w:t>
      </w:r>
      <w:r>
        <w:rPr>
          <w:color w:val="231F20"/>
          <w:spacing w:val="-15"/>
        </w:rPr>
        <w:t>nance  hemodialysis.  Methods   From  February  2019  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5"/>
        </w:rPr>
        <w:t>August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2020</w:t>
      </w:r>
      <w:r>
        <w:rPr>
          <w:rFonts w:ascii="SimSun" w:hAnsi="SimSun" w:eastAsia="SimSun" w:cs="SimSun"/>
          <w:color w:val="231F20"/>
          <w:spacing w:val="-17"/>
        </w:rPr>
        <w:t>，</w:t>
      </w:r>
      <w:r>
        <w:rPr>
          <w:color w:val="231F20"/>
          <w:spacing w:val="-17"/>
        </w:rPr>
        <w:t>94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patients with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diabetic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nephropathy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undergoing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maintenance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hemodialysis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Guangdon</w:t>
      </w:r>
      <w:r>
        <w:rPr>
          <w:color w:val="231F20"/>
          <w:spacing w:val="-18"/>
        </w:rPr>
        <w:t>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Province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Yangjiang People's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Hospital were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s</w:t>
      </w:r>
      <w:r>
        <w:rPr>
          <w:color w:val="231F20"/>
          <w:spacing w:val="-17"/>
        </w:rPr>
        <w:t>elected</w:t>
      </w:r>
      <w:r>
        <w:rPr>
          <w:rFonts w:ascii="SimSun" w:hAnsi="SimSun" w:eastAsia="SimSun" w:cs="SimSun"/>
          <w:color w:val="231F20"/>
          <w:spacing w:val="-17"/>
        </w:rPr>
        <w:t>，</w:t>
      </w:r>
      <w:r>
        <w:rPr>
          <w:color w:val="231F20"/>
          <w:spacing w:val="-17"/>
        </w:rPr>
        <w:t>and they were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divided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into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control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observation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group</w:t>
      </w:r>
    </w:p>
    <w:p>
      <w:pPr>
        <w:ind w:left="672"/>
        <w:spacing w:before="108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作者简介：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陈日喜，大专，主管护师，主要从事肾内科护理工作</w:t>
      </w:r>
    </w:p>
    <w:p>
      <w:pPr>
        <w:ind w:left="672"/>
        <w:spacing w:before="86" w:line="222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424180</wp:posOffset>
            </wp:positionH>
            <wp:positionV relativeFrom="paragraph">
              <wp:posOffset>267238</wp:posOffset>
            </wp:positionV>
            <wp:extent cx="6228079" cy="761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807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-7"/>
        </w:rPr>
        <w:t>通信作者：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陈日喜，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E- mail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hhu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kssy@163.com</w:t>
      </w:r>
    </w:p>
    <w:p>
      <w:pPr>
        <w:spacing w:before="59"/>
        <w:rPr/>
      </w:pPr>
      <w:r/>
    </w:p>
    <w:p>
      <w:pPr>
        <w:sectPr>
          <w:headerReference w:type="default" r:id="rId6"/>
          <w:footerReference w:type="default" r:id="rId7"/>
          <w:pgSz w:w="11905" w:h="16836"/>
          <w:pgMar w:top="1433" w:right="1015" w:bottom="886" w:left="407" w:header="1086" w:footer="603" w:gutter="0"/>
          <w:cols w:equalWidth="0" w:num="1">
            <w:col w:w="10480" w:space="0"/>
          </w:cols>
        </w:sectPr>
        <w:rPr/>
      </w:pPr>
    </w:p>
    <w:p>
      <w:pPr>
        <w:pStyle w:val="BodyText"/>
        <w:ind w:left="676" w:right="370"/>
        <w:spacing w:before="39" w:line="242" w:lineRule="auto"/>
        <w:rPr/>
      </w:pPr>
      <w:r>
        <w:rPr>
          <w:rFonts w:ascii="SimSun" w:hAnsi="SimSun" w:eastAsia="SimSun" w:cs="SimSun"/>
          <w:color w:val="231F20"/>
          <w:spacing w:val="2"/>
        </w:rPr>
        <w:t>成，能有效达到行气</w:t>
      </w:r>
      <w:r>
        <w:rPr>
          <w:color w:val="231F20"/>
          <w:spacing w:val="2"/>
        </w:rPr>
        <w:t>、</w:t>
      </w:r>
      <w:r>
        <w:rPr>
          <w:rFonts w:ascii="SimSun" w:hAnsi="SimSun" w:eastAsia="SimSun" w:cs="SimSun"/>
          <w:color w:val="231F20"/>
          <w:spacing w:val="2"/>
        </w:rPr>
        <w:t>清热利湿的作用，联合头孢克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肟用药，更能取得良好的治疗效果</w:t>
      </w:r>
      <w:r>
        <w:rPr>
          <w:sz w:val="11"/>
          <w:szCs w:val="11"/>
          <w:color w:val="231F20"/>
          <w:spacing w:val="-1"/>
          <w:position w:val="7"/>
        </w:rPr>
        <w:t>[12]</w:t>
      </w:r>
      <w:r>
        <w:rPr>
          <w:color w:val="231F20"/>
          <w:spacing w:val="-1"/>
        </w:rPr>
        <w:t>。</w:t>
      </w:r>
    </w:p>
    <w:p>
      <w:pPr>
        <w:pStyle w:val="BodyText"/>
        <w:ind w:left="674" w:right="359" w:firstLine="423"/>
        <w:spacing w:before="1" w:line="289" w:lineRule="auto"/>
        <w:rPr/>
      </w:pPr>
      <w:r>
        <w:rPr>
          <w:rFonts w:ascii="SimSun" w:hAnsi="SimSun" w:eastAsia="SimSun" w:cs="SimSun"/>
          <w:color w:val="231F20"/>
          <w:spacing w:val="12"/>
        </w:rPr>
        <w:t>综上所述，急性肠胃炎患儿给予肠炎宁糖浆联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合头孢克肟治疗方案，可降低症状持续时间，提高临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床治疗效果，降低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3"/>
        </w:rPr>
        <w:t>PCT </w:t>
      </w:r>
      <w:r>
        <w:rPr>
          <w:rFonts w:ascii="SimSun" w:hAnsi="SimSun" w:eastAsia="SimSun" w:cs="SimSun"/>
          <w:color w:val="231F20"/>
          <w:spacing w:val="-3"/>
        </w:rPr>
        <w:t>水平，值得临床推广应用</w:t>
      </w:r>
      <w:r>
        <w:rPr>
          <w:color w:val="231F20"/>
          <w:spacing w:val="-3"/>
        </w:rPr>
        <w:t>。</w:t>
      </w:r>
    </w:p>
    <w:p>
      <w:pPr>
        <w:ind w:left="676"/>
        <w:spacing w:line="21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参考文献</w:t>
      </w:r>
    </w:p>
    <w:p>
      <w:pPr>
        <w:pStyle w:val="BodyText"/>
        <w:ind w:left="995" w:right="358" w:hanging="320"/>
        <w:spacing w:before="11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[1]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姜自萍</w:t>
      </w:r>
      <w:r>
        <w:rPr>
          <w:sz w:val="15"/>
          <w:szCs w:val="15"/>
          <w:color w:val="231F20"/>
          <w:spacing w:val="9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奥替溴铵联合益生菌治疗腹泻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型肠易激综合征的临床疗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效观察</w:t>
      </w:r>
      <w:r>
        <w:rPr>
          <w:sz w:val="15"/>
          <w:szCs w:val="15"/>
          <w:color w:val="231F20"/>
          <w:spacing w:val="-8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中华养生保健，</w:t>
      </w:r>
      <w:r>
        <w:rPr>
          <w:sz w:val="15"/>
          <w:szCs w:val="15"/>
          <w:color w:val="231F20"/>
          <w:spacing w:val="-8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38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2"/>
        </w:rPr>
        <w:t>）：</w:t>
      </w:r>
      <w:r>
        <w:rPr>
          <w:sz w:val="15"/>
          <w:szCs w:val="15"/>
          <w:color w:val="231F20"/>
          <w:spacing w:val="-8"/>
        </w:rPr>
        <w:t>61-62.</w:t>
      </w:r>
    </w:p>
    <w:p>
      <w:pPr>
        <w:pStyle w:val="BodyText"/>
        <w:ind w:left="994" w:right="358" w:hanging="319"/>
        <w:spacing w:before="52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[2]  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陈小娟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肠道益生菌联合蒙脱石散治疗小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儿过敏性腹泻的临床效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果</w:t>
      </w:r>
      <w:r>
        <w:rPr>
          <w:sz w:val="15"/>
          <w:szCs w:val="15"/>
          <w:color w:val="231F20"/>
          <w:spacing w:val="-8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临床医学研究与实践，</w:t>
      </w:r>
      <w:r>
        <w:rPr>
          <w:sz w:val="15"/>
          <w:szCs w:val="15"/>
          <w:color w:val="231F20"/>
          <w:spacing w:val="-8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6"/>
        </w:rPr>
        <w:t>）：</w:t>
      </w:r>
      <w:r>
        <w:rPr>
          <w:sz w:val="15"/>
          <w:szCs w:val="15"/>
          <w:color w:val="231F20"/>
          <w:spacing w:val="-8"/>
        </w:rPr>
        <w:t>100-101.</w:t>
      </w:r>
    </w:p>
    <w:p>
      <w:pPr>
        <w:pStyle w:val="BodyText"/>
        <w:ind w:left="1009" w:right="358" w:hanging="334"/>
        <w:spacing w:before="5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[3]  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张云娜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阿奇霉素与培氟沙星治疗小儿急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性肠胃炎的临床效果对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比分析</w:t>
      </w:r>
      <w:r>
        <w:rPr>
          <w:sz w:val="15"/>
          <w:szCs w:val="15"/>
          <w:color w:val="231F20"/>
          <w:spacing w:val="-8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中国保健营养，</w:t>
      </w:r>
      <w:r>
        <w:rPr>
          <w:sz w:val="15"/>
          <w:szCs w:val="15"/>
          <w:color w:val="231F20"/>
          <w:spacing w:val="-8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29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33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6"/>
        </w:rPr>
        <w:t>）：</w:t>
      </w:r>
      <w:r>
        <w:rPr>
          <w:sz w:val="15"/>
          <w:szCs w:val="15"/>
          <w:color w:val="231F20"/>
          <w:spacing w:val="-8"/>
        </w:rPr>
        <w:t>267-269.</w:t>
      </w:r>
    </w:p>
    <w:p>
      <w:pPr>
        <w:pStyle w:val="BodyText"/>
        <w:ind w:left="675"/>
        <w:spacing w:before="52" w:line="1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[4]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刘楠</w:t>
      </w:r>
      <w:r>
        <w:rPr>
          <w:sz w:val="15"/>
          <w:szCs w:val="15"/>
          <w:color w:val="231F20"/>
          <w:spacing w:val="7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益生菌联合阿奇霉素治疗小儿急性肠胃炎临床疗效分析</w:t>
      </w:r>
      <w:r>
        <w:rPr>
          <w:sz w:val="15"/>
          <w:szCs w:val="15"/>
          <w:color w:val="231F20"/>
          <w:spacing w:val="6"/>
        </w:rPr>
        <w:t>[J].</w:t>
      </w:r>
    </w:p>
    <w:p>
      <w:pPr>
        <w:pStyle w:val="BodyText"/>
        <w:ind w:left="1007"/>
        <w:spacing w:before="52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中国实用医药，</w:t>
      </w:r>
      <w:r>
        <w:rPr>
          <w:sz w:val="15"/>
          <w:szCs w:val="15"/>
          <w:color w:val="231F20"/>
          <w:spacing w:val="-12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14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1"/>
        </w:rPr>
        <w:t>）：</w:t>
      </w:r>
      <w:r>
        <w:rPr>
          <w:sz w:val="15"/>
          <w:szCs w:val="15"/>
          <w:color w:val="231F20"/>
          <w:spacing w:val="-12"/>
        </w:rPr>
        <w:t>82-84.</w:t>
      </w:r>
    </w:p>
    <w:p>
      <w:pPr>
        <w:pStyle w:val="BodyText"/>
        <w:ind w:left="675"/>
        <w:spacing w:before="40" w:line="158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[5]</w:t>
      </w:r>
      <w:r>
        <w:rPr>
          <w:sz w:val="15"/>
          <w:szCs w:val="15"/>
          <w:color w:val="231F20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戴毅华，叶明勇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阿奇霉素与诺氟沙星治疗小儿急性肠胃炎的临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5"/>
        <w:spacing w:before="38" w:line="19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床效果对比分析</w:t>
      </w:r>
      <w:r>
        <w:rPr>
          <w:sz w:val="15"/>
          <w:szCs w:val="15"/>
          <w:color w:val="231F20"/>
          <w:spacing w:val="-5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中国医药科学，</w:t>
      </w:r>
      <w:r>
        <w:rPr>
          <w:sz w:val="15"/>
          <w:szCs w:val="15"/>
          <w:color w:val="231F20"/>
          <w:spacing w:val="-5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w w:val="73"/>
        </w:rPr>
        <w:t>）：</w:t>
      </w:r>
      <w:r>
        <w:rPr>
          <w:sz w:val="15"/>
          <w:szCs w:val="15"/>
          <w:color w:val="231F20"/>
          <w:spacing w:val="-5"/>
        </w:rPr>
        <w:t>48</w:t>
      </w:r>
      <w:r>
        <w:rPr>
          <w:sz w:val="15"/>
          <w:szCs w:val="15"/>
          <w:color w:val="231F20"/>
          <w:spacing w:val="-6"/>
        </w:rPr>
        <w:t>-50.</w:t>
      </w:r>
    </w:p>
    <w:p>
      <w:pPr>
        <w:pStyle w:val="BodyText"/>
        <w:spacing w:before="52" w:line="198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[6]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卢玉宏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比较阿奇霉素与培氟沙星治疗小儿急性肠胃炎的效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果</w:t>
      </w:r>
      <w:r>
        <w:rPr>
          <w:sz w:val="15"/>
          <w:szCs w:val="15"/>
          <w:color w:val="231F20"/>
          <w:spacing w:val="5"/>
        </w:rPr>
        <w:t>[J].</w:t>
      </w:r>
    </w:p>
    <w:p>
      <w:pPr>
        <w:pStyle w:val="BodyText"/>
        <w:ind w:left="316"/>
        <w:spacing w:before="51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世界最新医学信息文摘，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3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19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18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3"/>
        </w:rPr>
        <w:t>）：</w:t>
      </w:r>
      <w:r>
        <w:rPr>
          <w:sz w:val="15"/>
          <w:szCs w:val="15"/>
          <w:color w:val="231F20"/>
          <w:spacing w:val="-13"/>
        </w:rPr>
        <w:t>133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143.</w:t>
      </w:r>
    </w:p>
    <w:p>
      <w:pPr>
        <w:pStyle w:val="BodyText"/>
        <w:ind w:left="325" w:right="4" w:hanging="325"/>
        <w:spacing w:before="4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[7]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叶扬，陈勇，吕加利</w:t>
      </w:r>
      <w:r>
        <w:rPr>
          <w:sz w:val="15"/>
          <w:szCs w:val="15"/>
          <w:color w:val="231F20"/>
          <w:spacing w:val="3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阿奇霉素与诺氟沙星治疗小儿急性肠胃炎的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临床效果对比</w:t>
      </w:r>
      <w:r>
        <w:rPr>
          <w:sz w:val="15"/>
          <w:szCs w:val="15"/>
          <w:color w:val="231F20"/>
          <w:spacing w:val="-6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药物评价研究，</w:t>
      </w:r>
      <w:r>
        <w:rPr>
          <w:sz w:val="15"/>
          <w:szCs w:val="15"/>
          <w:color w:val="231F20"/>
          <w:spacing w:val="-6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41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6"/>
        </w:rPr>
        <w:t>272-</w:t>
      </w:r>
      <w:r>
        <w:rPr>
          <w:sz w:val="15"/>
          <w:szCs w:val="15"/>
          <w:color w:val="231F20"/>
          <w:spacing w:val="-7"/>
        </w:rPr>
        <w:t>274.</w:t>
      </w:r>
    </w:p>
    <w:p>
      <w:pPr>
        <w:pStyle w:val="BodyText"/>
        <w:ind w:left="316" w:right="5" w:hanging="316"/>
        <w:spacing w:before="52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[8]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李文元，李小芹，于静，等</w:t>
      </w:r>
      <w:r>
        <w:rPr>
          <w:sz w:val="15"/>
          <w:szCs w:val="15"/>
          <w:color w:val="231F20"/>
          <w:spacing w:val="4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赖氨葡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锌颗粒联合鞣酸蛋白酵母散治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疗小儿急性腹泻效果分析</w:t>
      </w:r>
      <w:r>
        <w:rPr>
          <w:sz w:val="15"/>
          <w:szCs w:val="15"/>
          <w:color w:val="231F20"/>
          <w:spacing w:val="-9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中国临床实用医学，</w:t>
      </w:r>
      <w:r>
        <w:rPr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-10"/>
        </w:rPr>
        <w:t>020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18"/>
          <w:w w:val="46"/>
        </w:rPr>
        <w:t>）：</w:t>
      </w:r>
      <w:r>
        <w:rPr>
          <w:sz w:val="15"/>
          <w:szCs w:val="15"/>
          <w:color w:val="231F20"/>
          <w:spacing w:val="-10"/>
        </w:rPr>
        <w:t>47-50.</w:t>
      </w:r>
    </w:p>
    <w:p>
      <w:pPr>
        <w:pStyle w:val="BodyText"/>
        <w:ind w:left="320" w:right="4" w:hanging="320"/>
        <w:spacing w:before="52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[9]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陈洮明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奥替溴铵联合益生菌治疗腹泻型肠易激综合征的临床疗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效</w:t>
      </w:r>
      <w:r>
        <w:rPr>
          <w:sz w:val="15"/>
          <w:szCs w:val="15"/>
          <w:color w:val="231F20"/>
          <w:spacing w:val="-8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中国肛肠病杂志，</w:t>
      </w:r>
      <w:r>
        <w:rPr>
          <w:sz w:val="15"/>
          <w:szCs w:val="15"/>
          <w:color w:val="231F20"/>
          <w:spacing w:val="-8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5"/>
        </w:rPr>
        <w:t>）：</w:t>
      </w:r>
      <w:r>
        <w:rPr>
          <w:sz w:val="15"/>
          <w:szCs w:val="15"/>
          <w:color w:val="231F20"/>
          <w:spacing w:val="-8"/>
        </w:rPr>
        <w:t>34-35.</w:t>
      </w:r>
    </w:p>
    <w:p>
      <w:pPr>
        <w:pStyle w:val="BodyText"/>
        <w:ind w:left="320" w:right="4" w:hanging="320"/>
        <w:spacing w:before="52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[10]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魏爱华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奥替溴铵联合益生菌治疗腹泻型肠易激综合征的临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床疗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效观察</w:t>
      </w:r>
      <w:r>
        <w:rPr>
          <w:sz w:val="15"/>
          <w:szCs w:val="15"/>
          <w:color w:val="231F20"/>
          <w:spacing w:val="-8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基层医学论坛，</w:t>
      </w:r>
      <w:r>
        <w:rPr>
          <w:sz w:val="15"/>
          <w:szCs w:val="15"/>
          <w:color w:val="231F20"/>
          <w:spacing w:val="-8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3"/>
        </w:rPr>
        <w:t>）：</w:t>
      </w:r>
      <w:r>
        <w:rPr>
          <w:sz w:val="15"/>
          <w:szCs w:val="15"/>
          <w:color w:val="231F20"/>
          <w:spacing w:val="-8"/>
        </w:rPr>
        <w:t>65-66.</w:t>
      </w:r>
    </w:p>
    <w:p>
      <w:pPr>
        <w:pStyle w:val="BodyText"/>
        <w:ind w:left="318" w:right="4" w:hanging="319"/>
        <w:spacing w:before="5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[11]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杨艳丽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枯草杆菌二联活菌颗粒联合头孢克肟治疗急性细菌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性肠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炎</w:t>
      </w:r>
      <w:r>
        <w:rPr>
          <w:sz w:val="15"/>
          <w:szCs w:val="15"/>
          <w:color w:val="231F20"/>
          <w:spacing w:val="-7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实用中西医结合临床，</w:t>
      </w:r>
      <w:r>
        <w:rPr>
          <w:sz w:val="15"/>
          <w:szCs w:val="15"/>
          <w:color w:val="231F20"/>
          <w:spacing w:val="-7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w w:val="77"/>
        </w:rPr>
        <w:t>）：</w:t>
      </w:r>
      <w:r>
        <w:rPr>
          <w:sz w:val="15"/>
          <w:szCs w:val="15"/>
          <w:color w:val="231F20"/>
          <w:spacing w:val="-7"/>
        </w:rPr>
        <w:t>47-48.</w:t>
      </w:r>
    </w:p>
    <w:p>
      <w:pPr>
        <w:pStyle w:val="BodyText"/>
        <w:ind w:left="321" w:right="4" w:hanging="321"/>
        <w:spacing w:before="52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[12]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任晓红，穆亚宁，马永梅，等</w:t>
      </w:r>
      <w:r>
        <w:rPr>
          <w:sz w:val="15"/>
          <w:szCs w:val="15"/>
          <w:color w:val="231F20"/>
          <w:spacing w:val="3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肠炎宁糖浆联合头孢克肟治疗小儿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急性肠胃炎的临床研究</w:t>
      </w:r>
      <w:r>
        <w:rPr>
          <w:sz w:val="15"/>
          <w:szCs w:val="15"/>
          <w:color w:val="231F20"/>
          <w:spacing w:val="-11"/>
        </w:rPr>
        <w:t>[J].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现代药物与临床，</w:t>
      </w:r>
      <w:r>
        <w:rPr>
          <w:sz w:val="15"/>
          <w:szCs w:val="15"/>
          <w:color w:val="231F20"/>
          <w:spacing w:val="-11"/>
        </w:rPr>
        <w:t>20</w:t>
      </w:r>
      <w:r>
        <w:rPr>
          <w:sz w:val="15"/>
          <w:szCs w:val="15"/>
          <w:color w:val="231F20"/>
          <w:spacing w:val="-12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35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  <w:spacing w:val="-12"/>
        </w:rPr>
        <w:t>1204-1206.</w:t>
      </w:r>
    </w:p>
    <w:p>
      <w:pPr>
        <w:ind w:right="3"/>
        <w:spacing w:before="52" w:line="21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责任编辑：刘美英，校对：董莉</w:t>
      </w:r>
    </w:p>
    <w:sectPr>
      <w:type w:val="continuous"/>
      <w:pgSz w:w="11905" w:h="16836"/>
      <w:pgMar w:top="1433" w:right="1015" w:bottom="886" w:left="407" w:header="1086" w:footer="603" w:gutter="0"/>
      <w:cols w:equalWidth="0" w:num="2">
        <w:col w:w="5706" w:space="100"/>
        <w:col w:w="467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29"/>
      <w:spacing w:before="1" w:line="192" w:lineRule="auto"/>
      <w:rPr/>
    </w:pPr>
    <w:r>
      <w:rPr>
        <w:color w:val="231F20"/>
      </w:rPr>
      <w:t>-</w:t>
    </w:r>
    <w:r>
      <w:rPr>
        <w:color w:val="231F20"/>
        <w:spacing w:val="28"/>
      </w:rPr>
      <w:t xml:space="preserve">  </w:t>
    </w:r>
    <w:r>
      <w:rPr>
        <w:color w:val="231F20"/>
      </w:rPr>
      <w:t>1</w:t>
    </w:r>
    <w:r>
      <w:rPr>
        <w:color w:val="231F20"/>
        <w:spacing w:val="21"/>
      </w:rPr>
      <w:t xml:space="preserve">  </w:t>
    </w:r>
    <w:r>
      <w:rPr>
        <w:color w:val="231F20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2"/>
      <w:spacing w:before="1" w:line="192" w:lineRule="auto"/>
      <w:rPr/>
    </w:pPr>
    <w:r>
      <w:rPr>
        <w:color w:val="231F20"/>
        <w:spacing w:val="5"/>
      </w:rPr>
      <w:t>-</w:t>
    </w:r>
    <w:r>
      <w:rPr>
        <w:color w:val="231F20"/>
        <w:spacing w:val="20"/>
      </w:rPr>
      <w:t xml:space="preserve">  </w:t>
    </w:r>
    <w:r>
      <w:rPr>
        <w:color w:val="231F20"/>
        <w:spacing w:val="5"/>
      </w:rPr>
      <w:t>2</w:t>
    </w:r>
    <w:r>
      <w:rPr>
        <w:color w:val="231F20"/>
        <w:spacing w:val="20"/>
        <w:w w:val="101"/>
      </w:rPr>
      <w:t xml:space="preserve">  </w:t>
    </w:r>
    <w:r>
      <w:rPr>
        <w:color w:val="231F20"/>
        <w:spacing w:val="5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29"/>
      <w:spacing w:before="1" w:line="190" w:lineRule="auto"/>
      <w:rPr/>
    </w:pPr>
    <w:r>
      <w:rPr>
        <w:color w:val="231F20"/>
        <w:spacing w:val="5"/>
      </w:rPr>
      <w:t>-</w:t>
    </w:r>
    <w:r>
      <w:rPr>
        <w:color w:val="231F20"/>
        <w:spacing w:val="20"/>
        <w:w w:val="101"/>
      </w:rPr>
      <w:t xml:space="preserve">  </w:t>
    </w:r>
    <w:r>
      <w:rPr>
        <w:color w:val="231F20"/>
        <w:spacing w:val="5"/>
      </w:rPr>
      <w:t>3</w:t>
    </w:r>
    <w:r>
      <w:rPr>
        <w:color w:val="231F20"/>
        <w:spacing w:val="21"/>
      </w:rPr>
      <w:t xml:space="preserve">  </w:t>
    </w:r>
    <w:r>
      <w:rPr>
        <w:color w:val="231F20"/>
        <w:spacing w:val="5"/>
      </w:rPr>
      <w:t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3"/>
      <w:spacing w:before="20" w:line="232" w:lineRule="auto"/>
      <w:rPr>
        <w:sz w:val="17"/>
        <w:szCs w:val="17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684530</wp:posOffset>
          </wp:positionH>
          <wp:positionV relativeFrom="page">
            <wp:posOffset>890269</wp:posOffset>
          </wp:positionV>
          <wp:extent cx="6229350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935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color w:val="231F20"/>
        <w:spacing w:val="-1"/>
      </w:rPr>
      <w:t>中国城乡企业卫生</w:t>
    </w:r>
    <w:r>
      <w:rPr>
        <w:rFonts w:ascii="Arial" w:hAnsi="Arial" w:eastAsia="Arial" w:cs="Arial"/>
        <w:sz w:val="17"/>
        <w:szCs w:val="17"/>
        <w:color w:val="231F20"/>
        <w:spacing w:val="-1"/>
      </w:rPr>
      <w:t>2021 </w:t>
    </w:r>
    <w:r>
      <w:rPr>
        <w:sz w:val="17"/>
        <w:szCs w:val="17"/>
        <w:color w:val="231F20"/>
        <w:spacing w:val="-1"/>
      </w:rPr>
      <w:t>年</w:t>
    </w:r>
    <w:r>
      <w:rPr>
        <w:sz w:val="17"/>
        <w:szCs w:val="17"/>
        <w:color w:val="231F20"/>
        <w:spacing w:val="23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1"/>
      </w:rPr>
      <w:t>12 </w:t>
    </w:r>
    <w:r>
      <w:rPr>
        <w:sz w:val="17"/>
        <w:szCs w:val="17"/>
        <w:color w:val="231F20"/>
        <w:spacing w:val="-1"/>
      </w:rPr>
      <w:t>月第</w:t>
    </w:r>
    <w:r>
      <w:rPr>
        <w:sz w:val="17"/>
        <w:szCs w:val="17"/>
        <w:color w:val="231F20"/>
        <w:spacing w:val="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1"/>
      </w:rPr>
      <w:t>12 </w:t>
    </w:r>
    <w:r>
      <w:rPr>
        <w:sz w:val="17"/>
        <w:szCs w:val="17"/>
        <w:color w:val="231F20"/>
        <w:spacing w:val="-1"/>
      </w:rPr>
      <w:t>期（总第</w:t>
    </w:r>
    <w:r>
      <w:rPr>
        <w:rFonts w:ascii="Arial" w:hAnsi="Arial" w:eastAsia="Arial" w:cs="Arial"/>
        <w:sz w:val="17"/>
        <w:szCs w:val="17"/>
        <w:color w:val="231F20"/>
        <w:spacing w:val="-1"/>
      </w:rPr>
      <w:t>242 </w:t>
    </w:r>
    <w:r>
      <w:rPr>
        <w:sz w:val="17"/>
        <w:szCs w:val="17"/>
        <w:color w:val="231F20"/>
        <w:spacing w:val="-1"/>
      </w:rPr>
      <w:t>期）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0" w:line="232" w:lineRule="auto"/>
      <w:jc w:val="right"/>
      <w:rPr>
        <w:sz w:val="17"/>
        <w:szCs w:val="17"/>
      </w:rPr>
    </w:pPr>
    <w:r>
      <w:pict>
        <v:shape id="WordPictureWatermark4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648969</wp:posOffset>
          </wp:positionH>
          <wp:positionV relativeFrom="page">
            <wp:posOffset>890269</wp:posOffset>
          </wp:positionV>
          <wp:extent cx="6228079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0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color w:val="231F20"/>
        <w:spacing w:val="-3"/>
      </w:rPr>
      <w:t>中国城乡企业卫生</w:t>
    </w:r>
    <w:r>
      <w:rPr>
        <w:rFonts w:ascii="Arial" w:hAnsi="Arial" w:eastAsia="Arial" w:cs="Arial"/>
        <w:sz w:val="17"/>
        <w:szCs w:val="17"/>
        <w:color w:val="231F20"/>
        <w:spacing w:val="-3"/>
      </w:rPr>
      <w:t>2021 </w:t>
    </w:r>
    <w:r>
      <w:rPr>
        <w:sz w:val="17"/>
        <w:szCs w:val="17"/>
        <w:color w:val="231F20"/>
        <w:spacing w:val="-3"/>
      </w:rPr>
      <w:t>年</w:t>
    </w:r>
    <w:r>
      <w:rPr>
        <w:sz w:val="17"/>
        <w:szCs w:val="17"/>
        <w:color w:val="231F20"/>
        <w:spacing w:val="20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3"/>
      </w:rPr>
      <w:t>12</w:t>
    </w:r>
    <w:r>
      <w:rPr>
        <w:rFonts w:ascii="Arial" w:hAnsi="Arial" w:eastAsia="Arial" w:cs="Arial"/>
        <w:sz w:val="17"/>
        <w:szCs w:val="17"/>
        <w:color w:val="231F20"/>
        <w:spacing w:val="11"/>
      </w:rPr>
      <w:t xml:space="preserve"> </w:t>
    </w:r>
    <w:r>
      <w:rPr>
        <w:sz w:val="17"/>
        <w:szCs w:val="17"/>
        <w:color w:val="231F20"/>
        <w:spacing w:val="-3"/>
      </w:rPr>
      <w:t>月第</w:t>
    </w:r>
    <w:r>
      <w:rPr>
        <w:sz w:val="17"/>
        <w:szCs w:val="17"/>
        <w:color w:val="231F20"/>
        <w:spacing w:val="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3"/>
      </w:rPr>
      <w:t>12 </w:t>
    </w:r>
    <w:r>
      <w:rPr>
        <w:sz w:val="17"/>
        <w:szCs w:val="17"/>
        <w:color w:val="231F20"/>
        <w:spacing w:val="-3"/>
      </w:rPr>
      <w:t>期（总第</w:t>
    </w:r>
    <w:r>
      <w:rPr>
        <w:rFonts w:ascii="Arial" w:hAnsi="Arial" w:eastAsia="Arial" w:cs="Arial"/>
        <w:sz w:val="17"/>
        <w:szCs w:val="17"/>
        <w:color w:val="231F20"/>
        <w:spacing w:val="-3"/>
      </w:rPr>
      <w:t>242 </w:t>
    </w:r>
    <w:r>
      <w:rPr>
        <w:sz w:val="17"/>
        <w:szCs w:val="17"/>
        <w:color w:val="231F20"/>
        <w:spacing w:val="-3"/>
      </w:rPr>
      <w:t>期）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3"/>
      <w:spacing w:before="20" w:line="232" w:lineRule="auto"/>
      <w:rPr>
        <w:sz w:val="17"/>
        <w:szCs w:val="17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684530</wp:posOffset>
          </wp:positionH>
          <wp:positionV relativeFrom="page">
            <wp:posOffset>890269</wp:posOffset>
          </wp:positionV>
          <wp:extent cx="6229350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935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color w:val="231F20"/>
        <w:spacing w:val="-1"/>
      </w:rPr>
      <w:t>中国城乡企业卫生</w:t>
    </w:r>
    <w:r>
      <w:rPr>
        <w:rFonts w:ascii="Arial" w:hAnsi="Arial" w:eastAsia="Arial" w:cs="Arial"/>
        <w:sz w:val="17"/>
        <w:szCs w:val="17"/>
        <w:color w:val="231F20"/>
        <w:spacing w:val="-1"/>
      </w:rPr>
      <w:t>2021 </w:t>
    </w:r>
    <w:r>
      <w:rPr>
        <w:sz w:val="17"/>
        <w:szCs w:val="17"/>
        <w:color w:val="231F20"/>
        <w:spacing w:val="-1"/>
      </w:rPr>
      <w:t>年</w:t>
    </w:r>
    <w:r>
      <w:rPr>
        <w:sz w:val="17"/>
        <w:szCs w:val="17"/>
        <w:color w:val="231F20"/>
        <w:spacing w:val="23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1"/>
      </w:rPr>
      <w:t>12 </w:t>
    </w:r>
    <w:r>
      <w:rPr>
        <w:sz w:val="17"/>
        <w:szCs w:val="17"/>
        <w:color w:val="231F20"/>
        <w:spacing w:val="-1"/>
      </w:rPr>
      <w:t>月第</w:t>
    </w:r>
    <w:r>
      <w:rPr>
        <w:sz w:val="17"/>
        <w:szCs w:val="17"/>
        <w:color w:val="231F20"/>
        <w:spacing w:val="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1"/>
      </w:rPr>
      <w:t>12 </w:t>
    </w:r>
    <w:r>
      <w:rPr>
        <w:sz w:val="17"/>
        <w:szCs w:val="17"/>
        <w:color w:val="231F20"/>
        <w:spacing w:val="-1"/>
      </w:rPr>
      <w:t>期（总第</w:t>
    </w:r>
    <w:r>
      <w:rPr>
        <w:rFonts w:ascii="Arial" w:hAnsi="Arial" w:eastAsia="Arial" w:cs="Arial"/>
        <w:sz w:val="17"/>
        <w:szCs w:val="17"/>
        <w:color w:val="231F20"/>
        <w:spacing w:val="-1"/>
      </w:rPr>
      <w:t>242 </w:t>
    </w:r>
    <w:r>
      <w:rPr>
        <w:sz w:val="17"/>
        <w:szCs w:val="17"/>
        <w:color w:val="231F20"/>
        <w:spacing w:val="-1"/>
      </w:rPr>
      <w:t>期）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2023-07-20T16:25:27Z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2025-10-28T21:31:22</vt:filetime>
  </property>
</Properties>
</file>