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331"/>
        <w:spacing w:before="229" w:line="17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4515129</wp:posOffset>
            </wp:positionH>
            <wp:positionV relativeFrom="paragraph">
              <wp:posOffset>192652</wp:posOffset>
            </wp:positionV>
            <wp:extent cx="1191780" cy="15509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1780" cy="15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5706910</wp:posOffset>
            </wp:positionH>
            <wp:positionV relativeFrom="paragraph">
              <wp:posOffset>192</wp:posOffset>
            </wp:positionV>
            <wp:extent cx="476389" cy="35234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389" cy="352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3"/>
        </w:rPr>
        <w:t>传统医学</w:t>
      </w:r>
    </w:p>
    <w:p>
      <w:pPr>
        <w:spacing w:before="107"/>
        <w:rPr/>
      </w:pPr>
      <w:r/>
    </w:p>
    <w:tbl>
      <w:tblPr>
        <w:tblStyle w:val="TableNormal"/>
        <w:tblW w:w="9419" w:type="dxa"/>
        <w:tblInd w:w="1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0"/>
        <w:gridCol w:w="2855"/>
        <w:gridCol w:w="1533"/>
        <w:gridCol w:w="1607"/>
        <w:gridCol w:w="2451"/>
        <w:gridCol w:w="693"/>
      </w:tblGrid>
      <w:tr>
        <w:trPr>
          <w:trHeight w:val="825" w:hRule="atLeast"/>
        </w:trPr>
        <w:tc>
          <w:tcPr>
            <w:tcW w:w="280" w:type="dxa"/>
            <w:vAlign w:val="top"/>
            <w:tcBorders>
              <w:left w:val="single" w:color="231F20" w:sz="8" w:space="0"/>
              <w:top w:val="single" w:color="231F20" w:sz="8" w:space="0"/>
            </w:tcBorders>
          </w:tcPr>
          <w:p>
            <w:pPr>
              <w:spacing w:line="240" w:lineRule="exact"/>
              <w:rPr/>
            </w:pPr>
            <w:r>
              <w:rPr>
                <w:position w:val="-4"/>
              </w:rPr>
              <w:pict>
                <v:shape id="_x0000_s4" style="mso-position-vertical-relative:line;mso-position-horizontal-relative:char;width:12.5pt;height:12.5pt;" filled="false" strokecolor="#231F20" strokeweight="1.00pt" coordsize="250,250" coordorigin="0,0" path="m240,0l240,160l80,160l80,80l160,80l160,240l0,240e">
                  <v:stroke joinstyle="miter" miterlimit="4"/>
                </v:shape>
              </w:pict>
            </w:r>
          </w:p>
        </w:tc>
        <w:tc>
          <w:tcPr>
            <w:tcW w:w="4388" w:type="dxa"/>
            <w:vAlign w:val="top"/>
            <w:gridSpan w:val="2"/>
            <w:tcBorders>
              <w:top w:val="single" w:color="231F20" w:sz="8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firstLine="11"/>
              <w:spacing w:line="361" w:lineRule="exact"/>
              <w:rPr/>
            </w:pPr>
            <w:r>
              <w:rPr>
                <w:position w:val="-7"/>
              </w:rPr>
              <w:pict>
                <v:group id="_x0000_s6" style="mso-position-vertical-relative:line;mso-position-horizontal-relative:char;width:113.5pt;height:18.05pt;" filled="false" stroked="false" coordsize="2270,360" coordorigin="0,0">
                  <v:shape id="_x0000_s8" style="position:absolute;left:7;top:0;width:2263;height:315;" filled="false" stroked="false" type="#_x0000_t75">
                    <v:imagedata o:title="" r:id="rId4"/>
                  </v:shape>
                  <v:shape id="_x0000_s10" style="position:absolute;left:-20;top:-20;width:2310;height:4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23"/>
                            <w:spacing w:before="21" w:line="202" w:lineRule="auto"/>
                            <w:rPr>
                              <w:rFonts w:ascii="Microsoft YaHei" w:hAnsi="Microsoft YaHei" w:eastAsia="Microsoft YaHei" w:cs="Microsoft YaHei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30"/>
                              <w:szCs w:val="30"/>
                              <w:i/>
                              <w:iCs/>
                              <w:u w:val="single" w:color="231F20"/>
                              <w:color w:val="FFFFFF"/>
                              <w:spacing w:val="54"/>
                            </w:rPr>
                            <w:t>名老中医坐诊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4751" w:type="dxa"/>
            <w:vAlign w:val="top"/>
            <w:gridSpan w:val="3"/>
            <w:tcBorders>
              <w:right w:val="single" w:color="231F20" w:sz="8" w:space="0"/>
              <w:top w:val="single" w:color="231F20" w:sz="8" w:space="0"/>
            </w:tcBorders>
          </w:tcPr>
          <w:p>
            <w:pPr>
              <w:ind w:firstLine="4501"/>
              <w:spacing w:line="240" w:lineRule="exact"/>
              <w:rPr/>
            </w:pPr>
            <w:r>
              <w:rPr>
                <w:position w:val="-4"/>
              </w:rPr>
              <w:pict>
                <v:shape id="_x0000_s12" style="mso-position-vertical-relative:line;mso-position-horizontal-relative:char;width:12.5pt;height:12.5pt;" filled="false" strokecolor="#231F20" strokeweight="1.00pt" coordsize="250,250" coordorigin="0,0" path="m250,240l90,240l90,80l170,80l170,160l10,160l10,0e">
                  <v:stroke joinstyle="miter" miterlimit="4"/>
                </v:shape>
              </w:pict>
            </w:r>
          </w:p>
          <w:p>
            <w:pPr>
              <w:ind w:left="2106"/>
              <w:spacing w:before="119" w:line="216" w:lineRule="auto"/>
              <w:rPr>
                <w:rFonts w:ascii="Microsoft YaHei" w:hAnsi="Microsoft YaHei" w:eastAsia="Microsoft YaHei" w:cs="Microsoft YaHei"/>
                <w:sz w:val="28"/>
                <w:szCs w:val="28"/>
              </w:rPr>
            </w:pPr>
            <w:r>
              <w:rPr>
                <w:rFonts w:ascii="STZhongsong" w:hAnsi="STZhongsong" w:eastAsia="STZhongsong" w:cs="STZhongsong"/>
                <w:sz w:val="22"/>
                <w:szCs w:val="22"/>
                <w:color w:val="231F20"/>
                <w:spacing w:val="-2"/>
                <w:position w:val="1"/>
              </w:rPr>
              <w:t>●本期坐诊老中医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color w:val="231F20"/>
                <w:spacing w:val="-2"/>
                <w:position w:val="-2"/>
              </w:rPr>
              <w:t>杨峰</w:t>
            </w:r>
          </w:p>
        </w:tc>
      </w:tr>
      <w:tr>
        <w:trPr>
          <w:trHeight w:val="1896" w:hRule="atLeast"/>
        </w:trPr>
        <w:tc>
          <w:tcPr>
            <w:tcW w:w="9419" w:type="dxa"/>
            <w:vAlign w:val="top"/>
            <w:gridSpan w:val="6"/>
            <w:tcBorders>
              <w:left w:val="single" w:color="231F20" w:sz="8" w:space="0"/>
              <w:right w:val="single" w:color="231F20" w:sz="8" w:space="0"/>
            </w:tcBorders>
          </w:tcPr>
          <w:p>
            <w:pPr>
              <w:ind w:firstLine="209"/>
              <w:spacing w:before="127" w:line="1758" w:lineRule="exact"/>
              <w:rPr/>
            </w:pPr>
            <w:r>
              <w:rPr>
                <w:position w:val="-36"/>
              </w:rPr>
              <w:pict>
                <v:shape id="_x0000_s14" style="mso-position-vertical-relative:line;mso-position-horizontal-relative:char;width:447.8pt;height:88.65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53" w:right="343" w:firstLine="365"/>
                          <w:spacing w:before="245" w:line="236" w:lineRule="auto"/>
                          <w:rPr>
                            <w:rFonts w:ascii="STKaiti" w:hAnsi="STKaiti" w:eastAsia="STKaiti" w:cs="STKaiti"/>
                            <w:sz w:val="19"/>
                            <w:szCs w:val="19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b/>
                            <w:bCs/>
                            <w:color w:val="231F20"/>
                            <w:spacing w:val="-1"/>
                            <w:position w:val="-1"/>
                          </w:rPr>
                          <w:t>杨峰  </w:t>
                        </w:r>
                        <w:r>
                          <w:rPr>
                            <w:rFonts w:ascii="STKaiti" w:hAnsi="STKaiti" w:eastAsia="STKaiti" w:cs="STKaiti"/>
                            <w:sz w:val="19"/>
                            <w:szCs w:val="19"/>
                            <w:color w:val="231F20"/>
                            <w:spacing w:val="-1"/>
                          </w:rPr>
                          <w:t>河南省南阳市第一人民医院中医内科主任医师，从事中医和中西医结合临床工作50多年。</w:t>
                        </w:r>
                        <w:r>
                          <w:rPr>
                            <w:rFonts w:ascii="STKaiti" w:hAnsi="STKaiti" w:eastAsia="STKaiti" w:cs="STKaiti"/>
                            <w:sz w:val="19"/>
                            <w:szCs w:val="19"/>
                            <w:color w:val="231F20"/>
                            <w:spacing w:val="8"/>
                          </w:rPr>
                          <w:t xml:space="preserve">  </w:t>
                        </w:r>
                        <w:r>
                          <w:rPr>
                            <w:rFonts w:ascii="STKaiti" w:hAnsi="STKaiti" w:eastAsia="STKaiti" w:cs="STKaiti"/>
                            <w:sz w:val="19"/>
                            <w:szCs w:val="19"/>
                            <w:color w:val="231F20"/>
                            <w:spacing w:val="2"/>
                          </w:rPr>
                          <w:t>中国中医药学会科普分会常委、河南省科普作协理事、省医学科学普及委员会委员、作协会员。曾</w:t>
                        </w:r>
                        <w:r>
                          <w:rPr>
                            <w:rFonts w:ascii="STKaiti" w:hAnsi="STKaiti" w:eastAsia="STKaiti" w:cs="STKaiti"/>
                            <w:sz w:val="19"/>
                            <w:szCs w:val="19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STKaiti" w:hAnsi="STKaiti" w:eastAsia="STKaiti" w:cs="STKaiti"/>
                            <w:sz w:val="19"/>
                            <w:szCs w:val="19"/>
                            <w:color w:val="231F20"/>
                            <w:spacing w:val="-1"/>
                          </w:rPr>
                          <w:t>在省级以上报刊发表医学科普文章5000多篇，中医学术论文200多篇，编写科普书籍3部。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244" w:hRule="atLeast"/>
        </w:trPr>
        <w:tc>
          <w:tcPr>
            <w:tcW w:w="9419" w:type="dxa"/>
            <w:vAlign w:val="top"/>
            <w:gridSpan w:val="6"/>
            <w:tcBorders>
              <w:left w:val="single" w:color="231F20" w:sz="8" w:space="0"/>
              <w:right w:val="single" w:color="231F20" w:sz="8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3100" w:right="2740" w:hanging="280"/>
              <w:spacing w:before="232" w:line="203" w:lineRule="auto"/>
              <w:rPr>
                <w:rFonts w:ascii="Microsoft YaHei" w:hAnsi="Microsoft YaHei" w:eastAsia="Microsoft YaHei" w:cs="Microsoft YaHei"/>
                <w:sz w:val="54"/>
                <w:szCs w:val="54"/>
              </w:rPr>
            </w:pPr>
            <w:r>
              <w:rPr>
                <w:rFonts w:ascii="Microsoft YaHei" w:hAnsi="Microsoft YaHei" w:eastAsia="Microsoft YaHei" w:cs="Microsoft YaHei"/>
                <w:sz w:val="54"/>
                <w:szCs w:val="54"/>
                <w:b/>
                <w:bCs/>
                <w:color w:val="231F20"/>
                <w:spacing w:val="8"/>
              </w:rPr>
              <w:t>葛根芩连汤加味</w:t>
            </w:r>
            <w:r>
              <w:rPr>
                <w:rFonts w:ascii="Microsoft YaHei" w:hAnsi="Microsoft YaHei" w:eastAsia="Microsoft YaHei" w:cs="Microsoft YaHei"/>
                <w:sz w:val="54"/>
                <w:szCs w:val="54"/>
                <w:b/>
                <w:bCs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54"/>
                <w:szCs w:val="54"/>
                <w:b/>
                <w:bCs/>
                <w:color w:val="231F20"/>
                <w:spacing w:val="6"/>
              </w:rPr>
              <w:t>治急性肠胃炎</w:t>
            </w:r>
          </w:p>
        </w:tc>
      </w:tr>
      <w:tr>
        <w:trPr>
          <w:trHeight w:val="7327" w:hRule="atLeast"/>
        </w:trPr>
        <w:tc>
          <w:tcPr>
            <w:tcW w:w="3135" w:type="dxa"/>
            <w:vAlign w:val="top"/>
            <w:gridSpan w:val="2"/>
            <w:vMerge w:val="restart"/>
            <w:tcBorders>
              <w:left w:val="single" w:color="231F20" w:sz="8" w:space="0"/>
              <w:bottom w:val="nil"/>
            </w:tcBorders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6" w:right="210" w:firstLine="371"/>
              <w:spacing w:before="69" w:line="250" w:lineRule="auto"/>
              <w:jc w:val="both"/>
              <w:rPr/>
            </w:pPr>
            <w:r>
              <w:rPr>
                <w:color w:val="231F20"/>
                <w:spacing w:val="-5"/>
              </w:rPr>
              <w:t>3 2 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患 者 ， 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诉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吐、腹痛腹泻2天，加重伴发热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4"/>
              </w:rPr>
              <w:t>1天。几天前患者与朋友聚会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6"/>
              </w:rPr>
              <w:t>后出现恶心、呕吐，接着脐周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6"/>
              </w:rPr>
              <w:t>出现阵发性疼痛，腹泻后疼痛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6"/>
              </w:rPr>
              <w:t>减轻，为黄色稀水样便，每天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六七次，体温38.3℃。查血常规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白细胞：11.4×10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10"/>
                <w:position w:val="8"/>
              </w:rPr>
              <w:t>9</w:t>
            </w:r>
            <w:r>
              <w:rPr>
                <w:sz w:val="11"/>
                <w:szCs w:val="11"/>
                <w:color w:val="231F20"/>
                <w:spacing w:val="-8"/>
                <w:position w:val="8"/>
              </w:rPr>
              <w:t xml:space="preserve"> </w:t>
            </w:r>
            <w:r>
              <w:rPr>
                <w:color w:val="231F20"/>
                <w:spacing w:val="10"/>
              </w:rPr>
              <w:t>/L，中性细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胞比率78%；大便常规：黄色稀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便， 白细胞（++）。西医诊断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为急性肠胃炎，输液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一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2"/>
              </w:rPr>
              <w:t>次后恶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心呕吐减轻，仍腹泻，遂来请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中医治疗。</w:t>
            </w:r>
          </w:p>
          <w:p>
            <w:pPr>
              <w:pStyle w:val="TableText"/>
              <w:ind w:left="225" w:right="210" w:firstLine="369"/>
              <w:spacing w:before="13" w:line="250" w:lineRule="auto"/>
              <w:jc w:val="both"/>
              <w:rPr/>
            </w:pPr>
            <w:r>
              <w:rPr>
                <w:color w:val="231F20"/>
                <w:spacing w:val="41"/>
              </w:rPr>
              <w:t>首诊时患者自诉身热不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6"/>
              </w:rPr>
              <w:t>适，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16"/>
              </w:rPr>
              <w:t>口渴，腹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6"/>
              </w:rPr>
              <w:t>痛泄 泻，泻下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急迫，泻而不爽，粪便稀薄，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6"/>
              </w:rPr>
              <w:t>色黄褐而臭秽，肛门灼热，小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6"/>
              </w:rPr>
              <w:t>便短黄，舌质红苔黄腻，脉象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6"/>
              </w:rPr>
              <w:t>滑数。中医诊断为泄泻，辨证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6"/>
              </w:rPr>
              <w:t>为饮食不节，伤及肠胃，湿热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6"/>
              </w:rPr>
              <w:t>阻滞，内扰胃腑，浊气上逆则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6"/>
              </w:rPr>
              <w:t>恶心呕吐；湿阻中焦，气机不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6"/>
              </w:rPr>
              <w:t>利则腹痛阵作；肠中有热，湿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6"/>
              </w:rPr>
              <w:t>热蕴蒸胃肠，故泻下急迫；湿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6"/>
              </w:rPr>
              <w:t>热互结，则泻而不爽；湿热下</w:t>
            </w:r>
          </w:p>
          <w:p>
            <w:pPr>
              <w:spacing w:before="96" w:line="229" w:lineRule="exact"/>
              <w:rPr/>
            </w:pPr>
            <w:r>
              <w:rPr>
                <w:position w:val="-6"/>
              </w:rPr>
              <w:pict>
                <v:shape id="_x0000_s16" style="mso-position-vertical-relative:line;mso-position-horizontal-relative:char;width:12.5pt;height:12.5pt;" filled="false" strokecolor="#231F20" strokeweight="1.00pt" coordsize="250,250" coordorigin="0,0" path="m0,10l160,10l160,170l80,170l80,90l240,90l240,250e">
                  <v:stroke joinstyle="miter" miterlimit="4"/>
                </v:shape>
              </w:pict>
            </w:r>
          </w:p>
        </w:tc>
        <w:tc>
          <w:tcPr>
            <w:tcW w:w="314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 w:right="218" w:firstLine="2"/>
              <w:spacing w:before="69" w:line="250" w:lineRule="auto"/>
              <w:jc w:val="both"/>
              <w:rPr/>
            </w:pPr>
            <w:r>
              <w:rPr>
                <w:color w:val="231F20"/>
                <w:spacing w:val="3"/>
              </w:rPr>
              <w:t>注，故肛门灼热，烦热口渴，粪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便色黄褐而臭，小便短黄，舌苔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黄腻，脉象滑数，均为湿热内盛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之证。治宜清热解肌，燥湿止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泻，理气止痛，药用葛根黄芩黄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连汤加味。</w:t>
            </w:r>
          </w:p>
          <w:p>
            <w:pPr>
              <w:pStyle w:val="TableText"/>
              <w:ind w:left="204" w:right="217" w:firstLine="372"/>
              <w:spacing w:before="3" w:line="248" w:lineRule="auto"/>
              <w:rPr/>
            </w:pPr>
            <w:r>
              <w:rPr>
                <w:rFonts w:ascii="STZhongsong" w:hAnsi="STZhongsong" w:eastAsia="STZhongsong" w:cs="STZhongsong"/>
                <w:color w:val="231F20"/>
                <w:spacing w:val="4"/>
              </w:rPr>
              <w:t>处方：</w:t>
            </w:r>
            <w:r>
              <w:rPr>
                <w:rFonts w:ascii="STZhongsong" w:hAnsi="STZhongsong" w:eastAsia="STZhongsong" w:cs="STZhongsong"/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4"/>
              </w:rPr>
              <w:t>葛根30克，黄芩、黄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连、木香、生甘草各10克， 白芍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15克。3剂，每日1剂，水煎服。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6"/>
              </w:rPr>
              <w:t>二诊：患者服药后诸症消失，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17"/>
              </w:rPr>
              <w:t>体温37.2℃,唯感食欲稍差，嘱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1"/>
              </w:rPr>
              <w:t>其服用保和丸，每日3次，每次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9克，连服3天，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既和胃，增进食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欲，又能巩固疗效。</w:t>
            </w:r>
          </w:p>
          <w:p>
            <w:pPr>
              <w:pStyle w:val="TableText"/>
              <w:ind w:left="205" w:right="213" w:firstLine="377"/>
              <w:spacing w:before="4" w:line="251" w:lineRule="auto"/>
              <w:jc w:val="both"/>
              <w:rPr/>
            </w:pPr>
            <w:r>
              <w:rPr>
                <w:color w:val="231F20"/>
                <w:spacing w:val="22"/>
              </w:rPr>
              <w:t>急性肠胃炎，属中医“泄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泻”“呕吐”等范畴。明代医家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张介宾的《景岳全书  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8"/>
              </w:rPr>
              <w:t>泄泻》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6"/>
              </w:rPr>
              <w:t>曰：“泄泻之本，无不由脾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8"/>
              </w:rPr>
              <w:t>胃。”中医认为，脾胃位于中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焦，脾气主升，则水谷之精微得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以输布；胃气主降，则水谷及其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糟粕才得以下行。两者相反相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成。夏秋季节，若调摄失宜，饮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食不节，吃了生冷不洁食物，损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伤脾胃，运化失常；或因贪凉露</w:t>
            </w:r>
          </w:p>
        </w:tc>
        <w:tc>
          <w:tcPr>
            <w:tcW w:w="3144" w:type="dxa"/>
            <w:vAlign w:val="top"/>
            <w:gridSpan w:val="2"/>
            <w:tcBorders>
              <w:right w:val="single" w:color="231F20" w:sz="8" w:space="0"/>
            </w:tcBorders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6" w:right="178" w:firstLine="4"/>
              <w:spacing w:before="69" w:line="250" w:lineRule="auto"/>
              <w:jc w:val="both"/>
              <w:rPr/>
            </w:pPr>
            <w:r>
              <w:rPr>
                <w:color w:val="231F20"/>
                <w:spacing w:val="2"/>
              </w:rPr>
              <w:t>宿，寒湿入侵，寒邪秽气，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郁遏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中焦，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升降失调；或感受暑湿热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邪，客于肠胃，脾受湿困，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邪滞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交阻，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气机不利，肠胃运化及传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导功能失常， 以致清浊不分，水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谷夹杂而下，引发泄泻。</w:t>
            </w:r>
          </w:p>
          <w:p>
            <w:pPr>
              <w:pStyle w:val="TableText"/>
              <w:ind w:left="224" w:right="177" w:firstLine="384"/>
              <w:spacing w:before="9" w:line="249" w:lineRule="auto"/>
              <w:rPr/>
            </w:pPr>
            <w:r>
              <w:rPr>
                <w:color w:val="231F20"/>
                <w:spacing w:val="23"/>
              </w:rPr>
              <w:t>临床上急性肠胃炎有寒湿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型、湿热型、食滞型等，对湿热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0"/>
              </w:rPr>
              <w:t>型，可给予葛根黄芩黄连汤加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味，方中葛根可醒肠胃，鼓舞脾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胃清阳之气上行而止泻；黄芩、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20"/>
              </w:rPr>
              <w:t>黄连苦寒，清热解毒，燥湿止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泻；木香、白芍柔肝理气止痛；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5"/>
              </w:rPr>
              <w:t>甘草甘缓安中，并调和药性。药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证相符，故奏效甚捷。</w:t>
            </w:r>
          </w:p>
          <w:p>
            <w:pPr>
              <w:pStyle w:val="TableText"/>
              <w:ind w:left="224" w:right="178" w:firstLine="374"/>
              <w:spacing w:before="2" w:line="242" w:lineRule="auto"/>
              <w:rPr/>
            </w:pPr>
            <w:r>
              <w:rPr>
                <w:color w:val="231F20"/>
                <w:spacing w:val="3"/>
              </w:rPr>
              <w:t>热邪偏重者，可加金银花、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马齿苋，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以增强清热解毒之力；  </w:t>
            </w:r>
            <w:r>
              <w:rPr>
                <w:color w:val="231F20"/>
              </w:rPr>
              <w:t>湿邪偏重者，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加薏苡仁、茯苓、  </w:t>
            </w:r>
            <w:r>
              <w:rPr>
                <w:color w:val="231F20"/>
                <w:spacing w:val="20"/>
              </w:rPr>
              <w:t>车前子，以利湿止泻；腹痛甚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者，加白芍、木香， 以理气缓中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止痛；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有食滞者，加焦三仙（焦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神曲、焦山楂、焦麦芽）、炒莱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菔子， 以和胃消食；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呕吐、腹泻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甚者，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可先吞服中成药玉枢丹，</w:t>
            </w:r>
          </w:p>
        </w:tc>
      </w:tr>
      <w:tr>
        <w:trPr>
          <w:trHeight w:val="707" w:hRule="atLeast"/>
        </w:trPr>
        <w:tc>
          <w:tcPr>
            <w:tcW w:w="3135" w:type="dxa"/>
            <w:vAlign w:val="top"/>
            <w:gridSpan w:val="2"/>
            <w:vMerge w:val="continue"/>
            <w:tcBorders>
              <w:left w:val="single" w:color="231F20" w:sz="8" w:space="0"/>
              <w:bottom w:val="single" w:color="231F2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0" w:type="dxa"/>
            <w:vAlign w:val="top"/>
            <w:gridSpan w:val="2"/>
            <w:vMerge w:val="continue"/>
            <w:tcBorders>
              <w:bottom w:val="single" w:color="231F2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244"/>
              <w:spacing w:before="70" w:line="200" w:lineRule="auto"/>
              <w:rPr/>
            </w:pPr>
            <w:r>
              <w:rPr>
                <w:color w:val="231F20"/>
              </w:rPr>
              <w:t>以辟浊止呕止泻。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position w:val="-2"/>
              </w:rPr>
              <w:drawing>
                <wp:inline distT="0" distB="0" distL="0" distR="0">
                  <wp:extent cx="153086" cy="89039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3086" cy="8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vAlign w:val="top"/>
            <w:tcBorders>
              <w:bottom w:val="single" w:color="231F20" w:sz="8" w:space="0"/>
              <w:right w:val="single" w:color="231F20" w:sz="8" w:space="0"/>
            </w:tcBorders>
          </w:tcPr>
          <w:p>
            <w:pPr>
              <w:spacing w:line="464" w:lineRule="auto"/>
              <w:rPr>
                <w:rFonts w:ascii="Arial"/>
                <w:sz w:val="21"/>
              </w:rPr>
            </w:pPr>
            <w:r/>
          </w:p>
          <w:p>
            <w:pPr>
              <w:ind w:firstLine="443"/>
              <w:spacing w:line="230" w:lineRule="exact"/>
              <w:rPr/>
            </w:pPr>
            <w:r>
              <w:rPr>
                <w:position w:val="-6"/>
              </w:rPr>
              <w:pict>
                <v:shape id="_x0000_s18" style="mso-position-vertical-relative:line;mso-position-horizontal-relative:char;width:12.5pt;height:12.5pt;" filled="false" strokecolor="#231F20" strokeweight="1.00pt" coordsize="250,250" coordorigin="0,0" path="m10,250l10,90l170,90l170,170l90,170l90,10l250,10e">
                  <v:stroke joinstyle="miter" miterlimit="4"/>
                </v:shape>
              </w:pict>
            </w:r>
          </w:p>
        </w:tc>
      </w:tr>
    </w:tbl>
    <w:p>
      <w:pPr>
        <w:spacing w:line="190" w:lineRule="exact"/>
        <w:rPr>
          <w:rFonts w:ascii="Arial"/>
          <w:sz w:val="16"/>
        </w:rPr>
      </w:pPr>
      <w:r/>
    </w:p>
    <w:sectPr>
      <w:footerReference w:type="default" r:id="rId1"/>
      <w:pgSz w:w="10659" w:h="15081"/>
      <w:pgMar w:top="323" w:right="512" w:bottom="664" w:left="407" w:header="0" w:footer="44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ST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STZhong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91"/>
      <w:spacing w:line="168" w:lineRule="auto"/>
      <w:rPr>
        <w:rFonts w:ascii="Arial Black" w:hAnsi="Arial Black" w:eastAsia="Arial Black" w:cs="Arial Black"/>
        <w:sz w:val="21"/>
        <w:szCs w:val="21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74276</wp:posOffset>
          </wp:positionV>
          <wp:extent cx="6038850" cy="123189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38850" cy="1231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rect id="_x0000_s2" style="position:absolute;margin-left:26.0118pt;margin-top:59.3231pt;mso-position-vertical-relative:page;mso-position-horizontal-relative:page;width:471pt;height:651pt;z-index:251659264;" o:allowincell="f" fillcolor="#E9EAEB" filled="true" stroked="false"/>
      </w:pict>
    </w:r>
    <w:r>
      <w:rPr>
        <w:rFonts w:ascii="Arial Black" w:hAnsi="Arial Black" w:eastAsia="Arial Black" w:cs="Arial Black"/>
        <w:sz w:val="21"/>
        <w:szCs w:val="21"/>
        <w:b/>
        <w:bCs/>
        <w:color w:val="231F20"/>
        <w:spacing w:val="-4"/>
      </w:rPr>
      <w:t>47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TSong" w:hAnsi="STSong" w:eastAsia="STSong" w:cs="STSong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2023-02-07T10:46:59Z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2025-10-28T21:31:15</vt:filetime>
  </property>
</Properties>
</file>