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spacing w:before="60" w:line="274" w:lineRule="auto"/>
        <w:jc w:val="right"/>
        <w:rPr>
          <w:sz w:val="16"/>
          <w:szCs w:val="16"/>
        </w:rPr>
      </w:pPr>
      <w:r>
        <w:rPr>
          <w:rFonts w:ascii="Times New Roman" w:hAnsi="Times New Roman" w:eastAsia="Times New Roman" w:cs="Times New Roman"/>
          <w:sz w:val="21"/>
          <w:szCs w:val="21"/>
          <w:color w:val="231F20"/>
          <w:spacing w:val="-2"/>
          <w:position w:val="-1"/>
        </w:rPr>
        <w:t>·90</w:t>
      </w:r>
      <w:r>
        <w:rPr>
          <w:rFonts w:ascii="Times New Roman" w:hAnsi="Times New Roman" w:eastAsia="Times New Roman" w:cs="Times New Roman"/>
          <w:sz w:val="21"/>
          <w:szCs w:val="21"/>
          <w:color w:val="231F20"/>
          <w:spacing w:val="35"/>
          <w:w w:val="101"/>
          <w:position w:val="-1"/>
        </w:rPr>
        <w:t xml:space="preserve"> </w:t>
      </w:r>
      <w:r>
        <w:rPr>
          <w:rFonts w:ascii="Times New Roman" w:hAnsi="Times New Roman" w:eastAsia="Times New Roman" w:cs="Times New Roman"/>
          <w:sz w:val="21"/>
          <w:szCs w:val="21"/>
          <w:color w:val="231F20"/>
          <w:spacing w:val="-2"/>
          <w:position w:val="-1"/>
        </w:rPr>
        <w:t>·                                                      </w:t>
      </w:r>
      <w:r>
        <w:rPr>
          <w:sz w:val="16"/>
          <w:szCs w:val="16"/>
          <w:u w:val="single" w:color="auto"/>
          <w:color w:val="231F20"/>
          <w:spacing w:val="-61"/>
        </w:rPr>
        <w:t xml:space="preserve"> </w:t>
      </w:r>
      <w:r>
        <w:rPr>
          <w:sz w:val="16"/>
          <w:szCs w:val="16"/>
          <w:u w:val="single" w:color="auto"/>
          <w:color w:val="231F20"/>
          <w:spacing w:val="-2"/>
        </w:rPr>
        <w:t>中国现代药物应用2023年1</w:t>
      </w:r>
      <w:r>
        <w:rPr>
          <w:sz w:val="16"/>
          <w:szCs w:val="16"/>
          <w:u w:val="single" w:color="auto"/>
          <w:color w:val="231F20"/>
          <w:spacing w:val="-3"/>
        </w:rPr>
        <w:t>1月第17卷第21期  Chin</w:t>
      </w:r>
      <w:r>
        <w:rPr>
          <w:sz w:val="16"/>
          <w:szCs w:val="16"/>
          <w:u w:val="single" w:color="auto"/>
          <w:color w:val="231F20"/>
          <w:spacing w:val="-40"/>
        </w:rPr>
        <w:t xml:space="preserve"> </w:t>
      </w:r>
      <w:r>
        <w:rPr>
          <w:sz w:val="16"/>
          <w:szCs w:val="16"/>
          <w:u w:val="single" w:color="auto"/>
          <w:color w:val="231F20"/>
          <w:spacing w:val="-3"/>
        </w:rPr>
        <w:t>J</w:t>
      </w:r>
      <w:r>
        <w:rPr>
          <w:sz w:val="16"/>
          <w:szCs w:val="16"/>
          <w:u w:val="single" w:color="auto"/>
          <w:color w:val="231F20"/>
          <w:spacing w:val="-34"/>
        </w:rPr>
        <w:t xml:space="preserve"> </w:t>
      </w:r>
      <w:r>
        <w:rPr>
          <w:sz w:val="16"/>
          <w:szCs w:val="16"/>
          <w:u w:val="single" w:color="auto"/>
          <w:color w:val="231F20"/>
          <w:spacing w:val="-3"/>
        </w:rPr>
        <w:t>Mod</w:t>
      </w:r>
      <w:r>
        <w:rPr>
          <w:sz w:val="16"/>
          <w:szCs w:val="16"/>
          <w:u w:val="single" w:color="auto"/>
          <w:color w:val="231F20"/>
          <w:spacing w:val="-34"/>
        </w:rPr>
        <w:t xml:space="preserve"> </w:t>
      </w:r>
      <w:r>
        <w:rPr>
          <w:sz w:val="16"/>
          <w:szCs w:val="16"/>
          <w:u w:val="single" w:color="auto"/>
          <w:color w:val="231F20"/>
          <w:spacing w:val="-3"/>
        </w:rPr>
        <w:t>Drug</w:t>
      </w:r>
      <w:r>
        <w:rPr>
          <w:sz w:val="16"/>
          <w:szCs w:val="16"/>
          <w:u w:val="single" w:color="auto"/>
          <w:color w:val="231F20"/>
          <w:spacing w:val="-37"/>
        </w:rPr>
        <w:t xml:space="preserve"> </w:t>
      </w:r>
      <w:r>
        <w:rPr>
          <w:sz w:val="16"/>
          <w:szCs w:val="16"/>
          <w:u w:val="single" w:color="auto"/>
          <w:color w:val="231F20"/>
          <w:spacing w:val="-3"/>
        </w:rPr>
        <w:t>Appl,</w:t>
      </w:r>
      <w:r>
        <w:rPr>
          <w:sz w:val="16"/>
          <w:szCs w:val="16"/>
          <w:u w:val="single" w:color="auto"/>
          <w:color w:val="231F20"/>
          <w:spacing w:val="-34"/>
        </w:rPr>
        <w:t xml:space="preserve"> </w:t>
      </w:r>
      <w:r>
        <w:rPr>
          <w:sz w:val="16"/>
          <w:szCs w:val="16"/>
          <w:u w:val="single" w:color="auto"/>
          <w:color w:val="231F20"/>
          <w:spacing w:val="-3"/>
        </w:rPr>
        <w:t>Nov</w:t>
      </w:r>
      <w:r>
        <w:rPr>
          <w:sz w:val="16"/>
          <w:szCs w:val="16"/>
          <w:u w:val="single" w:color="auto"/>
          <w:color w:val="231F20"/>
          <w:spacing w:val="-37"/>
        </w:rPr>
        <w:t xml:space="preserve"> </w:t>
      </w:r>
      <w:r>
        <w:rPr>
          <w:sz w:val="16"/>
          <w:szCs w:val="16"/>
          <w:u w:val="single" w:color="auto"/>
          <w:color w:val="231F20"/>
          <w:spacing w:val="-3"/>
        </w:rPr>
        <w:t>2023,</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17,</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7"/>
        </w:rPr>
        <w:t xml:space="preserve"> </w:t>
      </w:r>
      <w:r>
        <w:rPr>
          <w:sz w:val="16"/>
          <w:szCs w:val="16"/>
          <w:u w:val="single" w:color="auto"/>
          <w:color w:val="231F20"/>
          <w:spacing w:val="-3"/>
        </w:rPr>
        <w:t>21</w:t>
      </w:r>
    </w:p>
    <w:p>
      <w:pPr>
        <w:ind w:left="793" w:right="2820" w:firstLine="11"/>
        <w:spacing w:before="209" w:line="229" w:lineRule="auto"/>
        <w:outlineLvl w:val="0"/>
        <w:rPr>
          <w:rFonts w:ascii="SimHei" w:hAnsi="SimHei" w:eastAsia="SimHei" w:cs="SimHei"/>
          <w:sz w:val="34"/>
          <w:szCs w:val="34"/>
        </w:rPr>
      </w:pPr>
      <w:r>
        <w:rPr>
          <w:rFonts w:ascii="SimHei" w:hAnsi="SimHei" w:eastAsia="SimHei" w:cs="SimHei"/>
          <w:sz w:val="34"/>
          <w:szCs w:val="34"/>
          <w:color w:val="231F20"/>
          <w:spacing w:val="5"/>
        </w:rPr>
        <w:t>蒙脱石散结合双歧杆菌乳杆菌三联活菌片治疗</w:t>
      </w:r>
      <w:r>
        <w:rPr>
          <w:rFonts w:ascii="SimHei" w:hAnsi="SimHei" w:eastAsia="SimHei" w:cs="SimHei"/>
          <w:sz w:val="34"/>
          <w:szCs w:val="34"/>
          <w:color w:val="231F20"/>
          <w:spacing w:val="5"/>
        </w:rPr>
        <w:t xml:space="preserve"> </w:t>
      </w:r>
      <w:r>
        <w:rPr>
          <w:rFonts w:ascii="SimHei" w:hAnsi="SimHei" w:eastAsia="SimHei" w:cs="SimHei"/>
          <w:sz w:val="34"/>
          <w:szCs w:val="34"/>
          <w:color w:val="231F20"/>
          <w:spacing w:val="5"/>
        </w:rPr>
        <w:t>小儿急性肠胃炎的临床效果观察</w:t>
      </w:r>
    </w:p>
    <w:p>
      <w:pPr>
        <w:pStyle w:val="BodyText"/>
        <w:ind w:left="785"/>
        <w:spacing w:before="252" w:line="235" w:lineRule="auto"/>
        <w:rPr>
          <w:sz w:val="21"/>
          <w:szCs w:val="21"/>
        </w:rPr>
      </w:pPr>
      <w:r>
        <w:rPr>
          <w:sz w:val="21"/>
          <w:szCs w:val="21"/>
          <w:color w:val="231F20"/>
          <w:spacing w:val="-1"/>
        </w:rPr>
        <w:t>谢敏华</w:t>
      </w:r>
    </w:p>
    <w:p>
      <w:pPr>
        <w:pStyle w:val="BodyText"/>
        <w:ind w:left="785" w:right="1629" w:firstLine="267"/>
        <w:spacing w:before="309" w:line="258" w:lineRule="auto"/>
        <w:jc w:val="both"/>
        <w:rPr/>
      </w:pPr>
      <w:r>
        <w:rPr>
          <w:rFonts w:ascii="Microsoft YaHei" w:hAnsi="Microsoft YaHei" w:eastAsia="Microsoft YaHei" w:cs="Microsoft YaHei"/>
          <w:color w:val="231F20"/>
          <w:spacing w:val="-3"/>
        </w:rPr>
        <w:t>【摘要】  目的   </w:t>
      </w:r>
      <w:r>
        <w:rPr>
          <w:color w:val="231F20"/>
          <w:spacing w:val="-3"/>
        </w:rPr>
        <w:t>分析蒙脱石散结合双歧杆菌乳杆菌三联活菌片</w:t>
      </w:r>
      <w:r>
        <w:rPr>
          <w:color w:val="231F20"/>
          <w:spacing w:val="-18"/>
        </w:rPr>
        <w:t xml:space="preserve"> </w:t>
      </w:r>
      <w:r>
        <w:rPr>
          <w:color w:val="231F20"/>
          <w:spacing w:val="-3"/>
        </w:rPr>
        <w:t>(</w:t>
      </w:r>
      <w:r>
        <w:rPr>
          <w:color w:val="231F20"/>
          <w:spacing w:val="-40"/>
        </w:rPr>
        <w:t xml:space="preserve"> </w:t>
      </w:r>
      <w:r>
        <w:rPr>
          <w:color w:val="231F20"/>
          <w:spacing w:val="-3"/>
        </w:rPr>
        <w:t>商品名</w:t>
      </w:r>
      <w:r>
        <w:rPr>
          <w:color w:val="231F20"/>
          <w:spacing w:val="-35"/>
        </w:rPr>
        <w:t xml:space="preserve"> </w:t>
      </w:r>
      <w:r>
        <w:rPr>
          <w:color w:val="231F20"/>
          <w:spacing w:val="-3"/>
        </w:rPr>
        <w:t>：金双歧</w:t>
      </w:r>
      <w:r>
        <w:rPr>
          <w:color w:val="231F20"/>
          <w:spacing w:val="-44"/>
        </w:rPr>
        <w:t xml:space="preserve"> </w:t>
      </w:r>
      <w:r>
        <w:rPr>
          <w:color w:val="231F20"/>
          <w:spacing w:val="-3"/>
        </w:rPr>
        <w:t>)</w:t>
      </w:r>
      <w:r>
        <w:rPr>
          <w:color w:val="231F20"/>
          <w:spacing w:val="-39"/>
        </w:rPr>
        <w:t xml:space="preserve"> </w:t>
      </w:r>
      <w:r>
        <w:rPr>
          <w:color w:val="231F20"/>
          <w:spacing w:val="-3"/>
        </w:rPr>
        <w:t>治疗小儿急性肠</w:t>
      </w:r>
      <w:r>
        <w:rPr>
          <w:color w:val="231F20"/>
        </w:rPr>
        <w:t xml:space="preserve"> </w:t>
      </w:r>
      <w:r>
        <w:rPr>
          <w:color w:val="231F20"/>
          <w:spacing w:val="-3"/>
        </w:rPr>
        <w:t>胃炎的临床效果。</w:t>
      </w:r>
      <w:r>
        <w:rPr>
          <w:rFonts w:ascii="Microsoft YaHei" w:hAnsi="Microsoft YaHei" w:eastAsia="Microsoft YaHei" w:cs="Microsoft YaHei"/>
          <w:color w:val="231F20"/>
          <w:spacing w:val="-3"/>
        </w:rPr>
        <w:t>方法   </w:t>
      </w:r>
      <w:r>
        <w:rPr>
          <w:color w:val="231F20"/>
          <w:spacing w:val="-3"/>
        </w:rPr>
        <w:t>67</w:t>
      </w:r>
      <w:r>
        <w:rPr>
          <w:color w:val="231F20"/>
          <w:spacing w:val="-31"/>
        </w:rPr>
        <w:t xml:space="preserve"> </w:t>
      </w:r>
      <w:r>
        <w:rPr>
          <w:color w:val="231F20"/>
          <w:spacing w:val="-3"/>
        </w:rPr>
        <w:t>例急性肠胃炎患儿为研究对象</w:t>
      </w:r>
      <w:r>
        <w:rPr>
          <w:color w:val="231F20"/>
          <w:spacing w:val="-36"/>
        </w:rPr>
        <w:t xml:space="preserve"> </w:t>
      </w:r>
      <w:r>
        <w:rPr>
          <w:color w:val="231F20"/>
          <w:spacing w:val="-3"/>
        </w:rPr>
        <w:t>,</w:t>
      </w:r>
      <w:r>
        <w:rPr>
          <w:color w:val="231F20"/>
          <w:spacing w:val="-25"/>
        </w:rPr>
        <w:t xml:space="preserve"> </w:t>
      </w:r>
      <w:r>
        <w:rPr>
          <w:color w:val="231F20"/>
          <w:spacing w:val="-3"/>
        </w:rPr>
        <w:t>根据随机数字表法分为对照组</w:t>
      </w:r>
      <w:r>
        <w:rPr>
          <w:color w:val="231F20"/>
          <w:spacing w:val="-37"/>
        </w:rPr>
        <w:t xml:space="preserve"> </w:t>
      </w:r>
      <w:r>
        <w:rPr>
          <w:color w:val="231F20"/>
          <w:spacing w:val="-3"/>
        </w:rPr>
        <w:t>(33</w:t>
      </w:r>
      <w:r>
        <w:rPr>
          <w:color w:val="231F20"/>
          <w:spacing w:val="-40"/>
        </w:rPr>
        <w:t xml:space="preserve"> </w:t>
      </w:r>
      <w:r>
        <w:rPr>
          <w:color w:val="231F20"/>
          <w:spacing w:val="-3"/>
        </w:rPr>
        <w:t>例</w:t>
      </w:r>
      <w:r>
        <w:rPr>
          <w:color w:val="231F20"/>
          <w:spacing w:val="-43"/>
        </w:rPr>
        <w:t xml:space="preserve"> </w:t>
      </w:r>
      <w:r>
        <w:rPr>
          <w:color w:val="231F20"/>
          <w:spacing w:val="-3"/>
        </w:rPr>
        <w:t>)</w:t>
      </w:r>
      <w:r>
        <w:rPr>
          <w:color w:val="231F20"/>
          <w:spacing w:val="-36"/>
        </w:rPr>
        <w:t xml:space="preserve"> </w:t>
      </w:r>
      <w:r>
        <w:rPr>
          <w:color w:val="231F20"/>
          <w:spacing w:val="-3"/>
        </w:rPr>
        <w:t>与观</w:t>
      </w:r>
      <w:r>
        <w:rPr>
          <w:color w:val="231F20"/>
        </w:rPr>
        <w:t xml:space="preserve">  </w:t>
      </w:r>
      <w:r>
        <w:rPr>
          <w:color w:val="231F20"/>
          <w:spacing w:val="-4"/>
        </w:rPr>
        <w:t>察组</w:t>
      </w:r>
      <w:r>
        <w:rPr>
          <w:color w:val="231F20"/>
          <w:spacing w:val="-21"/>
        </w:rPr>
        <w:t xml:space="preserve"> </w:t>
      </w:r>
      <w:r>
        <w:rPr>
          <w:color w:val="231F20"/>
          <w:spacing w:val="-4"/>
        </w:rPr>
        <w:t>(34</w:t>
      </w:r>
      <w:r>
        <w:rPr>
          <w:color w:val="231F20"/>
          <w:spacing w:val="-40"/>
        </w:rPr>
        <w:t xml:space="preserve"> </w:t>
      </w:r>
      <w:r>
        <w:rPr>
          <w:color w:val="231F20"/>
          <w:spacing w:val="-4"/>
        </w:rPr>
        <w:t>例</w:t>
      </w:r>
      <w:r>
        <w:rPr>
          <w:color w:val="231F20"/>
          <w:spacing w:val="-43"/>
        </w:rPr>
        <w:t xml:space="preserve"> </w:t>
      </w:r>
      <w:r>
        <w:rPr>
          <w:color w:val="231F20"/>
          <w:spacing w:val="-4"/>
        </w:rPr>
        <w:t>)。对照组实施蒙脱石散治疗</w:t>
      </w:r>
      <w:r>
        <w:rPr>
          <w:color w:val="231F20"/>
          <w:spacing w:val="-29"/>
        </w:rPr>
        <w:t xml:space="preserve"> </w:t>
      </w:r>
      <w:r>
        <w:rPr>
          <w:color w:val="231F20"/>
          <w:spacing w:val="-4"/>
        </w:rPr>
        <w:t>,</w:t>
      </w:r>
      <w:r>
        <w:rPr>
          <w:color w:val="231F20"/>
          <w:spacing w:val="-23"/>
        </w:rPr>
        <w:t xml:space="preserve"> </w:t>
      </w:r>
      <w:r>
        <w:rPr>
          <w:color w:val="231F20"/>
          <w:spacing w:val="-4"/>
        </w:rPr>
        <w:t>观察组在对照组基础上实施双歧杆菌乳杆菌三联活菌片治疗。</w:t>
      </w:r>
      <w:r>
        <w:rPr>
          <w:color w:val="231F20"/>
        </w:rPr>
        <w:t xml:space="preserve"> </w:t>
      </w:r>
      <w:r>
        <w:rPr>
          <w:color w:val="231F20"/>
          <w:spacing w:val="2"/>
        </w:rPr>
        <w:t>对比两组临床疗效、临床症状改善时间及治疗前后</w:t>
      </w:r>
      <w:r>
        <w:rPr>
          <w:color w:val="231F20"/>
          <w:spacing w:val="-7"/>
        </w:rPr>
        <w:t xml:space="preserve"> </w:t>
      </w:r>
      <w:r>
        <w:rPr>
          <w:color w:val="231F20"/>
          <w:spacing w:val="2"/>
        </w:rPr>
        <w:t>C</w:t>
      </w:r>
      <w:r>
        <w:rPr>
          <w:color w:val="231F20"/>
          <w:spacing w:val="-40"/>
        </w:rPr>
        <w:t xml:space="preserve"> </w:t>
      </w:r>
      <w:r>
        <w:rPr>
          <w:color w:val="231F20"/>
          <w:spacing w:val="2"/>
        </w:rPr>
        <w:t>反应蛋白</w:t>
      </w:r>
      <w:r>
        <w:rPr>
          <w:color w:val="231F20"/>
          <w:spacing w:val="-36"/>
        </w:rPr>
        <w:t xml:space="preserve"> </w:t>
      </w:r>
      <w:r>
        <w:rPr>
          <w:color w:val="231F20"/>
          <w:spacing w:val="2"/>
        </w:rPr>
        <w:t>(</w:t>
      </w:r>
      <w:r>
        <w:rPr>
          <w:color w:val="231F20"/>
        </w:rPr>
        <w:t>CRP</w:t>
      </w:r>
      <w:r>
        <w:rPr>
          <w:color w:val="231F20"/>
          <w:spacing w:val="2"/>
        </w:rPr>
        <w:t>)</w:t>
      </w:r>
      <w:r>
        <w:rPr>
          <w:color w:val="231F20"/>
          <w:spacing w:val="-41"/>
        </w:rPr>
        <w:t xml:space="preserve"> </w:t>
      </w:r>
      <w:r>
        <w:rPr>
          <w:color w:val="231F20"/>
          <w:spacing w:val="2"/>
        </w:rPr>
        <w:t>水平、睡眠质量评分。</w:t>
      </w:r>
      <w:r>
        <w:rPr>
          <w:rFonts w:ascii="Microsoft YaHei" w:hAnsi="Microsoft YaHei" w:eastAsia="Microsoft YaHei" w:cs="Microsoft YaHei"/>
          <w:color w:val="231F20"/>
          <w:spacing w:val="2"/>
        </w:rPr>
        <w:t>结果   </w:t>
      </w:r>
      <w:r>
        <w:rPr>
          <w:color w:val="231F20"/>
          <w:spacing w:val="2"/>
        </w:rPr>
        <w:t>观</w:t>
      </w:r>
      <w:r>
        <w:rPr>
          <w:color w:val="231F20"/>
        </w:rPr>
        <w:t xml:space="preserve">  </w:t>
      </w:r>
      <w:r>
        <w:rPr>
          <w:color w:val="231F20"/>
          <w:spacing w:val="-4"/>
        </w:rPr>
        <w:t>察组退热时间、腹痛消失时间、呕吐消失消失、排便恢复正常时间分别为</w:t>
      </w:r>
      <w:r>
        <w:rPr>
          <w:color w:val="231F20"/>
          <w:spacing w:val="-24"/>
        </w:rPr>
        <w:t xml:space="preserve"> </w:t>
      </w:r>
      <w:r>
        <w:rPr>
          <w:color w:val="231F20"/>
          <w:spacing w:val="-4"/>
        </w:rPr>
        <w:t>(1.41±0.24)、(2.04±</w:t>
      </w:r>
      <w:r>
        <w:rPr>
          <w:color w:val="231F20"/>
          <w:spacing w:val="-5"/>
        </w:rPr>
        <w:t>0.43)、</w:t>
      </w:r>
      <w:r>
        <w:rPr>
          <w:color w:val="231F20"/>
        </w:rPr>
        <w:t xml:space="preserve"> </w:t>
      </w:r>
      <w:r>
        <w:rPr>
          <w:color w:val="231F20"/>
          <w:spacing w:val="-15"/>
        </w:rPr>
        <w:t>(1.04±0.31)、(2.64±0.44)d,</w:t>
      </w:r>
      <w:r>
        <w:rPr>
          <w:color w:val="231F20"/>
          <w:spacing w:val="14"/>
        </w:rPr>
        <w:t xml:space="preserve"> </w:t>
      </w:r>
      <w:r>
        <w:rPr>
          <w:color w:val="231F20"/>
          <w:spacing w:val="-15"/>
        </w:rPr>
        <w:t>均</w:t>
      </w:r>
      <w:r>
        <w:rPr>
          <w:color w:val="231F20"/>
          <w:spacing w:val="-46"/>
        </w:rPr>
        <w:t xml:space="preserve"> </w:t>
      </w:r>
      <w:r>
        <w:rPr>
          <w:color w:val="231F20"/>
          <w:spacing w:val="-15"/>
        </w:rPr>
        <w:t>短</w:t>
      </w:r>
      <w:r>
        <w:rPr>
          <w:color w:val="231F20"/>
          <w:spacing w:val="-42"/>
        </w:rPr>
        <w:t xml:space="preserve"> </w:t>
      </w:r>
      <w:r>
        <w:rPr>
          <w:color w:val="231F20"/>
          <w:spacing w:val="-15"/>
        </w:rPr>
        <w:t>于</w:t>
      </w:r>
      <w:r>
        <w:rPr>
          <w:color w:val="231F20"/>
          <w:spacing w:val="-48"/>
        </w:rPr>
        <w:t xml:space="preserve"> </w:t>
      </w:r>
      <w:r>
        <w:rPr>
          <w:color w:val="231F20"/>
          <w:spacing w:val="-15"/>
        </w:rPr>
        <w:t>对</w:t>
      </w:r>
      <w:r>
        <w:rPr>
          <w:color w:val="231F20"/>
          <w:spacing w:val="-44"/>
        </w:rPr>
        <w:t xml:space="preserve"> </w:t>
      </w:r>
      <w:r>
        <w:rPr>
          <w:color w:val="231F20"/>
          <w:spacing w:val="-15"/>
        </w:rPr>
        <w:t>照</w:t>
      </w:r>
      <w:r>
        <w:rPr>
          <w:color w:val="231F20"/>
          <w:spacing w:val="-47"/>
        </w:rPr>
        <w:t xml:space="preserve"> </w:t>
      </w:r>
      <w:r>
        <w:rPr>
          <w:color w:val="231F20"/>
          <w:spacing w:val="-15"/>
        </w:rPr>
        <w:t>组</w:t>
      </w:r>
      <w:r>
        <w:rPr>
          <w:color w:val="231F20"/>
          <w:spacing w:val="-33"/>
        </w:rPr>
        <w:t xml:space="preserve"> </w:t>
      </w:r>
      <w:r>
        <w:rPr>
          <w:color w:val="231F20"/>
          <w:spacing w:val="-15"/>
        </w:rPr>
        <w:t>的</w:t>
      </w:r>
      <w:r>
        <w:rPr>
          <w:color w:val="231F20"/>
          <w:spacing w:val="-27"/>
        </w:rPr>
        <w:t xml:space="preserve"> </w:t>
      </w:r>
      <w:r>
        <w:rPr>
          <w:color w:val="231F20"/>
          <w:spacing w:val="-15"/>
        </w:rPr>
        <w:t>(2.36±0.48)、(4.29±0.79)、(2.69±0.65)、(4.36±</w:t>
      </w:r>
      <w:r>
        <w:rPr>
          <w:color w:val="231F20"/>
          <w:spacing w:val="-16"/>
        </w:rPr>
        <w:t>0.79)d,</w:t>
      </w:r>
      <w:r>
        <w:rPr>
          <w:color w:val="231F20"/>
        </w:rPr>
        <w:t xml:space="preserve">  </w:t>
      </w:r>
      <w:r>
        <w:rPr>
          <w:color w:val="231F20"/>
          <w:spacing w:val="1"/>
        </w:rPr>
        <w:t>差异有统计学意义</w:t>
      </w:r>
      <w:r>
        <w:rPr>
          <w:color w:val="231F20"/>
          <w:spacing w:val="-34"/>
        </w:rPr>
        <w:t xml:space="preserve"> </w:t>
      </w:r>
      <w:r>
        <w:rPr>
          <w:color w:val="231F20"/>
          <w:spacing w:val="1"/>
        </w:rPr>
        <w:t>(</w:t>
      </w:r>
      <w:r>
        <w:rPr>
          <w:rFonts w:ascii="Times New Roman" w:hAnsi="Times New Roman" w:eastAsia="Times New Roman" w:cs="Times New Roman"/>
          <w:color w:val="231F20"/>
          <w:spacing w:val="1"/>
        </w:rPr>
        <w:t>P&lt;</w:t>
      </w:r>
      <w:r>
        <w:rPr>
          <w:color w:val="231F20"/>
          <w:spacing w:val="1"/>
        </w:rPr>
        <w:t>0.05)。治疗</w:t>
      </w:r>
      <w:r>
        <w:rPr>
          <w:color w:val="231F20"/>
          <w:spacing w:val="-16"/>
        </w:rPr>
        <w:t xml:space="preserve"> </w:t>
      </w:r>
      <w:r>
        <w:rPr>
          <w:color w:val="231F20"/>
          <w:spacing w:val="1"/>
        </w:rPr>
        <w:t>1、3</w:t>
      </w:r>
      <w:r>
        <w:rPr>
          <w:color w:val="231F20"/>
          <w:spacing w:val="-25"/>
        </w:rPr>
        <w:t xml:space="preserve"> </w:t>
      </w:r>
      <w:r>
        <w:rPr>
          <w:color w:val="231F20"/>
        </w:rPr>
        <w:t>d</w:t>
      </w:r>
      <w:r>
        <w:rPr>
          <w:color w:val="231F20"/>
          <w:spacing w:val="-40"/>
        </w:rPr>
        <w:t xml:space="preserve"> </w:t>
      </w:r>
      <w:r>
        <w:rPr>
          <w:color w:val="231F20"/>
        </w:rPr>
        <w:t>后</w:t>
      </w:r>
      <w:r>
        <w:rPr>
          <w:color w:val="231F20"/>
          <w:spacing w:val="-34"/>
        </w:rPr>
        <w:t xml:space="preserve"> </w:t>
      </w:r>
      <w:r>
        <w:rPr>
          <w:color w:val="231F20"/>
        </w:rPr>
        <w:t>,</w:t>
      </w:r>
      <w:r>
        <w:rPr>
          <w:color w:val="231F20"/>
          <w:spacing w:val="-16"/>
        </w:rPr>
        <w:t xml:space="preserve"> </w:t>
      </w:r>
      <w:r>
        <w:rPr>
          <w:color w:val="231F20"/>
        </w:rPr>
        <w:t>两组</w:t>
      </w:r>
      <w:r>
        <w:rPr>
          <w:color w:val="231F20"/>
          <w:spacing w:val="-35"/>
        </w:rPr>
        <w:t xml:space="preserve"> </w:t>
      </w:r>
      <w:r>
        <w:rPr>
          <w:color w:val="231F20"/>
        </w:rPr>
        <w:t>CRP</w:t>
      </w:r>
      <w:r>
        <w:rPr>
          <w:color w:val="231F20"/>
          <w:spacing w:val="-40"/>
        </w:rPr>
        <w:t xml:space="preserve"> </w:t>
      </w:r>
      <w:r>
        <w:rPr>
          <w:color w:val="231F20"/>
        </w:rPr>
        <w:t>水平均低于本组治疗前</w:t>
      </w:r>
      <w:r>
        <w:rPr>
          <w:color w:val="231F20"/>
          <w:spacing w:val="-34"/>
        </w:rPr>
        <w:t xml:space="preserve"> </w:t>
      </w:r>
      <w:r>
        <w:rPr>
          <w:color w:val="231F20"/>
        </w:rPr>
        <w:t>,</w:t>
      </w:r>
      <w:r>
        <w:rPr>
          <w:color w:val="231F20"/>
          <w:spacing w:val="-19"/>
        </w:rPr>
        <w:t xml:space="preserve"> </w:t>
      </w:r>
      <w:r>
        <w:rPr>
          <w:color w:val="231F20"/>
        </w:rPr>
        <w:t>且观察组</w:t>
      </w:r>
      <w:r>
        <w:rPr>
          <w:color w:val="231F20"/>
          <w:spacing w:val="-34"/>
        </w:rPr>
        <w:t xml:space="preserve"> </w:t>
      </w:r>
      <w:r>
        <w:rPr>
          <w:color w:val="231F20"/>
        </w:rPr>
        <w:t>CRP</w:t>
      </w:r>
      <w:r>
        <w:rPr>
          <w:color w:val="231F20"/>
          <w:spacing w:val="-40"/>
        </w:rPr>
        <w:t xml:space="preserve"> </w:t>
      </w:r>
      <w:r>
        <w:rPr>
          <w:color w:val="231F20"/>
        </w:rPr>
        <w:t>水平  </w:t>
      </w:r>
      <w:r>
        <w:rPr>
          <w:color w:val="231F20"/>
          <w:spacing w:val="-9"/>
        </w:rPr>
        <w:t>(10.41±0.81)、(4.45±0.23)mg/L</w:t>
      </w:r>
      <w:r>
        <w:rPr>
          <w:color w:val="231F20"/>
          <w:spacing w:val="-37"/>
        </w:rPr>
        <w:t xml:space="preserve"> </w:t>
      </w:r>
      <w:r>
        <w:rPr>
          <w:color w:val="231F20"/>
          <w:spacing w:val="-9"/>
        </w:rPr>
        <w:t>均明显低于对照组的</w:t>
      </w:r>
      <w:r>
        <w:rPr>
          <w:color w:val="231F20"/>
          <w:spacing w:val="-35"/>
        </w:rPr>
        <w:t xml:space="preserve"> </w:t>
      </w:r>
      <w:r>
        <w:rPr>
          <w:color w:val="231F20"/>
          <w:spacing w:val="-9"/>
        </w:rPr>
        <w:t>(</w:t>
      </w:r>
      <w:r>
        <w:rPr>
          <w:color w:val="231F20"/>
          <w:spacing w:val="-10"/>
        </w:rPr>
        <w:t>13.26±1.06)、(6.16±0.39)mg/L, 差异有统计学意</w:t>
      </w:r>
      <w:r>
        <w:rPr>
          <w:color w:val="231F20"/>
        </w:rPr>
        <w:t xml:space="preserve">  </w:t>
      </w:r>
      <w:r>
        <w:rPr>
          <w:color w:val="231F20"/>
          <w:spacing w:val="-5"/>
        </w:rPr>
        <w:t>义</w:t>
      </w:r>
      <w:r>
        <w:rPr>
          <w:color w:val="231F20"/>
          <w:spacing w:val="-34"/>
        </w:rPr>
        <w:t xml:space="preserve"> </w:t>
      </w:r>
      <w:r>
        <w:rPr>
          <w:color w:val="231F20"/>
          <w:spacing w:val="-5"/>
        </w:rPr>
        <w:t>(</w:t>
      </w:r>
      <w:r>
        <w:rPr>
          <w:rFonts w:ascii="Times New Roman" w:hAnsi="Times New Roman" w:eastAsia="Times New Roman" w:cs="Times New Roman"/>
          <w:color w:val="231F20"/>
          <w:spacing w:val="-5"/>
        </w:rPr>
        <w:t>P&lt;</w:t>
      </w:r>
      <w:r>
        <w:rPr>
          <w:color w:val="231F20"/>
          <w:spacing w:val="-5"/>
        </w:rPr>
        <w:t>0.05)。观察组总有效率</w:t>
      </w:r>
      <w:r>
        <w:rPr>
          <w:color w:val="231F20"/>
          <w:spacing w:val="-35"/>
        </w:rPr>
        <w:t xml:space="preserve"> </w:t>
      </w:r>
      <w:r>
        <w:rPr>
          <w:color w:val="231F20"/>
          <w:spacing w:val="-5"/>
        </w:rPr>
        <w:t>97.06%</w:t>
      </w:r>
      <w:r>
        <w:rPr>
          <w:color w:val="231F20"/>
          <w:spacing w:val="-37"/>
        </w:rPr>
        <w:t xml:space="preserve"> </w:t>
      </w:r>
      <w:r>
        <w:rPr>
          <w:color w:val="231F20"/>
          <w:spacing w:val="-5"/>
        </w:rPr>
        <w:t>高于对照组的</w:t>
      </w:r>
      <w:r>
        <w:rPr>
          <w:color w:val="231F20"/>
          <w:spacing w:val="-40"/>
        </w:rPr>
        <w:t xml:space="preserve"> </w:t>
      </w:r>
      <w:r>
        <w:rPr>
          <w:color w:val="231F20"/>
          <w:spacing w:val="-5"/>
        </w:rPr>
        <w:t>78.79%,</w:t>
      </w:r>
      <w:r>
        <w:rPr>
          <w:color w:val="231F20"/>
          <w:spacing w:val="-23"/>
        </w:rPr>
        <w:t xml:space="preserve"> </w:t>
      </w:r>
      <w:r>
        <w:rPr>
          <w:color w:val="231F20"/>
          <w:spacing w:val="-5"/>
        </w:rPr>
        <w:t>差异有统计学意义</w:t>
      </w:r>
      <w:r>
        <w:rPr>
          <w:color w:val="231F20"/>
          <w:spacing w:val="-36"/>
        </w:rPr>
        <w:t xml:space="preserve"> </w:t>
      </w:r>
      <w:r>
        <w:rPr>
          <w:color w:val="231F20"/>
          <w:spacing w:val="-5"/>
        </w:rPr>
        <w:t>(</w:t>
      </w:r>
      <w:r>
        <w:rPr>
          <w:rFonts w:ascii="Times New Roman" w:hAnsi="Times New Roman" w:eastAsia="Times New Roman" w:cs="Times New Roman"/>
          <w:color w:val="231F20"/>
          <w:spacing w:val="-5"/>
        </w:rPr>
        <w:t>P&lt;</w:t>
      </w:r>
      <w:r>
        <w:rPr>
          <w:color w:val="231F20"/>
          <w:spacing w:val="-5"/>
        </w:rPr>
        <w:t>0.05)。治疗</w:t>
      </w:r>
      <w:r>
        <w:rPr>
          <w:color w:val="231F20"/>
          <w:spacing w:val="-36"/>
        </w:rPr>
        <w:t xml:space="preserve"> </w:t>
      </w:r>
      <w:r>
        <w:rPr>
          <w:color w:val="231F20"/>
          <w:spacing w:val="-5"/>
        </w:rPr>
        <w:t>3</w:t>
      </w:r>
      <w:r>
        <w:rPr>
          <w:color w:val="231F20"/>
          <w:spacing w:val="-25"/>
        </w:rPr>
        <w:t xml:space="preserve"> </w:t>
      </w:r>
      <w:r>
        <w:rPr>
          <w:color w:val="231F20"/>
          <w:spacing w:val="-5"/>
        </w:rPr>
        <w:t>d</w:t>
      </w:r>
      <w:r>
        <w:rPr>
          <w:color w:val="231F20"/>
          <w:spacing w:val="-42"/>
        </w:rPr>
        <w:t xml:space="preserve"> </w:t>
      </w:r>
      <w:r>
        <w:rPr>
          <w:color w:val="231F20"/>
          <w:spacing w:val="-5"/>
        </w:rPr>
        <w:t>后</w:t>
      </w:r>
      <w:r>
        <w:rPr>
          <w:color w:val="231F20"/>
          <w:spacing w:val="-34"/>
        </w:rPr>
        <w:t xml:space="preserve"> </w:t>
      </w:r>
      <w:r>
        <w:rPr>
          <w:color w:val="231F20"/>
          <w:spacing w:val="-5"/>
        </w:rPr>
        <w:t>,</w:t>
      </w:r>
      <w:r>
        <w:rPr>
          <w:color w:val="231F20"/>
        </w:rPr>
        <w:t xml:space="preserve">  </w:t>
      </w:r>
      <w:r>
        <w:rPr>
          <w:color w:val="231F20"/>
          <w:spacing w:val="-5"/>
        </w:rPr>
        <w:t>观察组睡眠质量评分</w:t>
      </w:r>
      <w:r>
        <w:rPr>
          <w:color w:val="231F20"/>
          <w:spacing w:val="-34"/>
        </w:rPr>
        <w:t xml:space="preserve"> </w:t>
      </w:r>
      <w:r>
        <w:rPr>
          <w:color w:val="231F20"/>
          <w:spacing w:val="-5"/>
        </w:rPr>
        <w:t>(6.13±1.81)</w:t>
      </w:r>
      <w:r>
        <w:rPr>
          <w:color w:val="231F20"/>
          <w:spacing w:val="-37"/>
        </w:rPr>
        <w:t xml:space="preserve"> </w:t>
      </w:r>
      <w:r>
        <w:rPr>
          <w:color w:val="231F20"/>
          <w:spacing w:val="-5"/>
        </w:rPr>
        <w:t>分明显低</w:t>
      </w:r>
      <w:r>
        <w:rPr>
          <w:color w:val="231F20"/>
          <w:spacing w:val="-6"/>
        </w:rPr>
        <w:t>于对照组的</w:t>
      </w:r>
      <w:r>
        <w:rPr>
          <w:color w:val="231F20"/>
          <w:spacing w:val="-34"/>
        </w:rPr>
        <w:t xml:space="preserve"> </w:t>
      </w:r>
      <w:r>
        <w:rPr>
          <w:color w:val="231F20"/>
          <w:spacing w:val="-6"/>
        </w:rPr>
        <w:t>(8.92±2.23)</w:t>
      </w:r>
      <w:r>
        <w:rPr>
          <w:color w:val="231F20"/>
          <w:spacing w:val="-38"/>
        </w:rPr>
        <w:t xml:space="preserve"> </w:t>
      </w:r>
      <w:r>
        <w:rPr>
          <w:color w:val="231F20"/>
          <w:spacing w:val="-6"/>
        </w:rPr>
        <w:t>分</w:t>
      </w:r>
      <w:r>
        <w:rPr>
          <w:color w:val="231F20"/>
          <w:spacing w:val="-33"/>
        </w:rPr>
        <w:t xml:space="preserve"> </w:t>
      </w:r>
      <w:r>
        <w:rPr>
          <w:color w:val="231F20"/>
          <w:spacing w:val="-6"/>
        </w:rPr>
        <w:t>, 差异有统计学意义</w:t>
      </w:r>
      <w:r>
        <w:rPr>
          <w:color w:val="231F20"/>
          <w:spacing w:val="-33"/>
        </w:rPr>
        <w:t xml:space="preserve"> </w:t>
      </w:r>
      <w:r>
        <w:rPr>
          <w:color w:val="231F20"/>
          <w:spacing w:val="-6"/>
        </w:rPr>
        <w:t>(</w:t>
      </w:r>
      <w:r>
        <w:rPr>
          <w:rFonts w:ascii="Times New Roman" w:hAnsi="Times New Roman" w:eastAsia="Times New Roman" w:cs="Times New Roman"/>
          <w:color w:val="231F20"/>
          <w:spacing w:val="-6"/>
        </w:rPr>
        <w:t>P&lt;</w:t>
      </w:r>
      <w:r>
        <w:rPr>
          <w:color w:val="231F20"/>
          <w:spacing w:val="-6"/>
        </w:rPr>
        <w:t>0.05)。</w:t>
      </w:r>
      <w:r>
        <w:rPr>
          <w:color w:val="231F20"/>
        </w:rPr>
        <w:t xml:space="preserve"> </w:t>
      </w:r>
      <w:r>
        <w:rPr>
          <w:rFonts w:ascii="Microsoft YaHei" w:hAnsi="Microsoft YaHei" w:eastAsia="Microsoft YaHei" w:cs="Microsoft YaHei"/>
          <w:color w:val="231F20"/>
          <w:spacing w:val="-2"/>
        </w:rPr>
        <w:t>结论   </w:t>
      </w:r>
      <w:r>
        <w:rPr>
          <w:color w:val="231F20"/>
          <w:spacing w:val="-2"/>
        </w:rPr>
        <w:t>小儿急性肠胃炎实施蒙脱石散与双歧杆菌乳杆菌三联活菌片联合治疗</w:t>
      </w:r>
      <w:r>
        <w:rPr>
          <w:color w:val="231F20"/>
          <w:spacing w:val="-35"/>
        </w:rPr>
        <w:t xml:space="preserve"> </w:t>
      </w:r>
      <w:r>
        <w:rPr>
          <w:color w:val="231F20"/>
          <w:spacing w:val="-2"/>
        </w:rPr>
        <w:t>,</w:t>
      </w:r>
      <w:r>
        <w:rPr>
          <w:color w:val="231F20"/>
          <w:spacing w:val="-23"/>
        </w:rPr>
        <w:t xml:space="preserve"> </w:t>
      </w:r>
      <w:r>
        <w:rPr>
          <w:color w:val="231F20"/>
          <w:spacing w:val="-2"/>
        </w:rPr>
        <w:t>能有效缓解患儿病情</w:t>
      </w:r>
      <w:r>
        <w:rPr>
          <w:color w:val="231F20"/>
          <w:spacing w:val="-36"/>
        </w:rPr>
        <w:t xml:space="preserve"> </w:t>
      </w:r>
      <w:r>
        <w:rPr>
          <w:color w:val="231F20"/>
          <w:spacing w:val="-2"/>
        </w:rPr>
        <w:t>,</w:t>
      </w:r>
      <w:r>
        <w:rPr>
          <w:color w:val="231F20"/>
          <w:spacing w:val="-25"/>
        </w:rPr>
        <w:t xml:space="preserve"> </w:t>
      </w:r>
      <w:r>
        <w:rPr>
          <w:color w:val="231F20"/>
          <w:spacing w:val="-2"/>
        </w:rPr>
        <w:t>改</w:t>
      </w:r>
      <w:r>
        <w:rPr>
          <w:color w:val="231F20"/>
        </w:rPr>
        <w:t xml:space="preserve"> </w:t>
      </w:r>
      <w:r>
        <w:rPr>
          <w:color w:val="231F20"/>
          <w:spacing w:val="-4"/>
        </w:rPr>
        <w:t>善患儿临床症状</w:t>
      </w:r>
      <w:r>
        <w:rPr>
          <w:color w:val="231F20"/>
          <w:spacing w:val="-29"/>
        </w:rPr>
        <w:t xml:space="preserve"> </w:t>
      </w:r>
      <w:r>
        <w:rPr>
          <w:color w:val="231F20"/>
          <w:spacing w:val="-4"/>
        </w:rPr>
        <w:t>,</w:t>
      </w:r>
      <w:r>
        <w:rPr>
          <w:color w:val="231F20"/>
          <w:spacing w:val="-43"/>
        </w:rPr>
        <w:t xml:space="preserve"> </w:t>
      </w:r>
      <w:r>
        <w:rPr>
          <w:color w:val="231F20"/>
          <w:spacing w:val="-4"/>
        </w:rPr>
        <w:t>值得在临床上进行应用与推广。</w:t>
      </w:r>
    </w:p>
    <w:p>
      <w:pPr>
        <w:pStyle w:val="BodyText"/>
        <w:ind w:left="1052"/>
        <w:spacing w:before="22" w:line="211" w:lineRule="auto"/>
        <w:rPr/>
      </w:pPr>
      <w:r>
        <w:rPr>
          <w:rFonts w:ascii="Microsoft YaHei" w:hAnsi="Microsoft YaHei" w:eastAsia="Microsoft YaHei" w:cs="Microsoft YaHei"/>
          <w:color w:val="231F20"/>
          <w:spacing w:val="-4"/>
        </w:rPr>
        <w:t>【关键词】</w:t>
      </w:r>
      <w:r>
        <w:rPr>
          <w:rFonts w:ascii="Microsoft YaHei" w:hAnsi="Microsoft YaHei" w:eastAsia="Microsoft YaHei" w:cs="Microsoft YaHei"/>
          <w:color w:val="231F20"/>
          <w:spacing w:val="49"/>
        </w:rPr>
        <w:t xml:space="preserve"> </w:t>
      </w:r>
      <w:r>
        <w:rPr>
          <w:color w:val="231F20"/>
          <w:spacing w:val="-4"/>
        </w:rPr>
        <w:t>小儿急性肠胃炎</w:t>
      </w:r>
      <w:r>
        <w:rPr>
          <w:color w:val="231F20"/>
          <w:spacing w:val="-37"/>
        </w:rPr>
        <w:t xml:space="preserve"> </w:t>
      </w:r>
      <w:r>
        <w:rPr>
          <w:color w:val="231F20"/>
          <w:spacing w:val="-4"/>
        </w:rPr>
        <w:t>；蒙脱石散</w:t>
      </w:r>
      <w:r>
        <w:rPr>
          <w:color w:val="231F20"/>
          <w:spacing w:val="-38"/>
        </w:rPr>
        <w:t xml:space="preserve"> </w:t>
      </w:r>
      <w:r>
        <w:rPr>
          <w:color w:val="231F20"/>
          <w:spacing w:val="-4"/>
        </w:rPr>
        <w:t>；双歧杆菌乳杆菌三联活菌片</w:t>
      </w:r>
      <w:r>
        <w:rPr>
          <w:color w:val="231F20"/>
          <w:spacing w:val="-37"/>
        </w:rPr>
        <w:t xml:space="preserve"> </w:t>
      </w:r>
      <w:r>
        <w:rPr>
          <w:color w:val="231F20"/>
          <w:spacing w:val="-4"/>
        </w:rPr>
        <w:t>；C</w:t>
      </w:r>
      <w:r>
        <w:rPr>
          <w:color w:val="231F20"/>
          <w:spacing w:val="-41"/>
        </w:rPr>
        <w:t xml:space="preserve"> </w:t>
      </w:r>
      <w:r>
        <w:rPr>
          <w:color w:val="231F20"/>
          <w:spacing w:val="-4"/>
        </w:rPr>
        <w:t>反</w:t>
      </w:r>
      <w:r>
        <w:rPr>
          <w:color w:val="231F20"/>
          <w:spacing w:val="-5"/>
        </w:rPr>
        <w:t>应蛋白</w:t>
      </w:r>
    </w:p>
    <w:p>
      <w:pPr>
        <w:pStyle w:val="BodyText"/>
        <w:ind w:left="1158"/>
        <w:spacing w:before="14" w:line="242" w:lineRule="auto"/>
        <w:rPr/>
      </w:pPr>
      <w:r>
        <w:rPr>
          <w:color w:val="231F20"/>
          <w:spacing w:val="-12"/>
        </w:rPr>
        <w:t>DOI</w:t>
      </w:r>
      <w:r>
        <w:rPr>
          <w:color w:val="231F20"/>
          <w:spacing w:val="-35"/>
        </w:rPr>
        <w:t xml:space="preserve"> </w:t>
      </w:r>
      <w:r>
        <w:rPr>
          <w:color w:val="231F20"/>
          <w:spacing w:val="-12"/>
        </w:rPr>
        <w:t>：10.14164/j.cnki.cn11-5</w:t>
      </w:r>
      <w:r>
        <w:rPr>
          <w:color w:val="231F20"/>
          <w:spacing w:val="-13"/>
        </w:rPr>
        <w:t>581/r.2023.21.023</w:t>
      </w:r>
    </w:p>
    <w:p>
      <w:pPr>
        <w:spacing w:line="302" w:lineRule="auto"/>
        <w:rPr>
          <w:rFonts w:ascii="Arial"/>
          <w:sz w:val="21"/>
        </w:rPr>
      </w:pPr>
      <w:r/>
    </w:p>
    <w:p>
      <w:pPr>
        <w:ind w:left="784" w:right="1697" w:firstLine="4"/>
        <w:spacing w:before="52" w:line="310"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4"/>
        </w:rPr>
        <w:t>Observation</w:t>
      </w:r>
      <w:r>
        <w:rPr>
          <w:rFonts w:ascii="Times New Roman" w:hAnsi="Times New Roman" w:eastAsia="Times New Roman" w:cs="Times New Roman"/>
          <w:sz w:val="18"/>
          <w:szCs w:val="18"/>
          <w:color w:val="231F20"/>
          <w:spacing w:val="41"/>
          <w:w w:val="101"/>
        </w:rPr>
        <w:t xml:space="preserve"> </w:t>
      </w:r>
      <w:r>
        <w:rPr>
          <w:rFonts w:ascii="Times New Roman" w:hAnsi="Times New Roman" w:eastAsia="Times New Roman" w:cs="Times New Roman"/>
          <w:sz w:val="18"/>
          <w:szCs w:val="18"/>
          <w:color w:val="231F20"/>
          <w:spacing w:val="14"/>
        </w:rPr>
        <w:t>on</w:t>
      </w:r>
      <w:r>
        <w:rPr>
          <w:rFonts w:ascii="Times New Roman" w:hAnsi="Times New Roman" w:eastAsia="Times New Roman" w:cs="Times New Roman"/>
          <w:sz w:val="18"/>
          <w:szCs w:val="18"/>
          <w:color w:val="231F20"/>
          <w:spacing w:val="40"/>
          <w:w w:val="101"/>
        </w:rPr>
        <w:t xml:space="preserve"> </w:t>
      </w:r>
      <w:r>
        <w:rPr>
          <w:rFonts w:ascii="Times New Roman" w:hAnsi="Times New Roman" w:eastAsia="Times New Roman" w:cs="Times New Roman"/>
          <w:sz w:val="18"/>
          <w:szCs w:val="18"/>
          <w:color w:val="231F20"/>
          <w:spacing w:val="14"/>
        </w:rPr>
        <w:t>the</w:t>
      </w:r>
      <w:r>
        <w:rPr>
          <w:rFonts w:ascii="Times New Roman" w:hAnsi="Times New Roman" w:eastAsia="Times New Roman" w:cs="Times New Roman"/>
          <w:sz w:val="18"/>
          <w:szCs w:val="18"/>
          <w:color w:val="231F20"/>
          <w:spacing w:val="41"/>
          <w:w w:val="101"/>
        </w:rPr>
        <w:t xml:space="preserve"> </w:t>
      </w:r>
      <w:r>
        <w:rPr>
          <w:rFonts w:ascii="Times New Roman" w:hAnsi="Times New Roman" w:eastAsia="Times New Roman" w:cs="Times New Roman"/>
          <w:sz w:val="18"/>
          <w:szCs w:val="18"/>
          <w:color w:val="231F20"/>
          <w:spacing w:val="14"/>
        </w:rPr>
        <w:t>clinic</w:t>
      </w:r>
      <w:r>
        <w:rPr>
          <w:rFonts w:ascii="Times New Roman" w:hAnsi="Times New Roman" w:eastAsia="Times New Roman" w:cs="Times New Roman"/>
          <w:sz w:val="18"/>
          <w:szCs w:val="18"/>
          <w:color w:val="231F20"/>
          <w:spacing w:val="13"/>
        </w:rPr>
        <w:t>al</w:t>
      </w:r>
      <w:r>
        <w:rPr>
          <w:rFonts w:ascii="Times New Roman" w:hAnsi="Times New Roman" w:eastAsia="Times New Roman" w:cs="Times New Roman"/>
          <w:sz w:val="18"/>
          <w:szCs w:val="18"/>
          <w:color w:val="231F20"/>
          <w:spacing w:val="41"/>
        </w:rPr>
        <w:t xml:space="preserve"> </w:t>
      </w:r>
      <w:r>
        <w:rPr>
          <w:rFonts w:ascii="Times New Roman" w:hAnsi="Times New Roman" w:eastAsia="Times New Roman" w:cs="Times New Roman"/>
          <w:sz w:val="18"/>
          <w:szCs w:val="18"/>
          <w:color w:val="231F20"/>
          <w:spacing w:val="13"/>
        </w:rPr>
        <w:t>effect</w:t>
      </w:r>
      <w:r>
        <w:rPr>
          <w:rFonts w:ascii="Times New Roman" w:hAnsi="Times New Roman" w:eastAsia="Times New Roman" w:cs="Times New Roman"/>
          <w:sz w:val="18"/>
          <w:szCs w:val="18"/>
          <w:color w:val="231F20"/>
          <w:spacing w:val="41"/>
          <w:w w:val="101"/>
        </w:rPr>
        <w:t xml:space="preserve"> </w:t>
      </w:r>
      <w:r>
        <w:rPr>
          <w:rFonts w:ascii="Times New Roman" w:hAnsi="Times New Roman" w:eastAsia="Times New Roman" w:cs="Times New Roman"/>
          <w:sz w:val="18"/>
          <w:szCs w:val="18"/>
          <w:color w:val="231F20"/>
          <w:spacing w:val="13"/>
        </w:rPr>
        <w:t>of</w:t>
      </w:r>
      <w:r>
        <w:rPr>
          <w:rFonts w:ascii="Times New Roman" w:hAnsi="Times New Roman" w:eastAsia="Times New Roman" w:cs="Times New Roman"/>
          <w:sz w:val="18"/>
          <w:szCs w:val="18"/>
          <w:color w:val="231F20"/>
          <w:spacing w:val="29"/>
          <w:w w:val="101"/>
        </w:rPr>
        <w:t xml:space="preserve"> </w:t>
      </w:r>
      <w:r>
        <w:rPr>
          <w:rFonts w:ascii="Times New Roman" w:hAnsi="Times New Roman" w:eastAsia="Times New Roman" w:cs="Times New Roman"/>
          <w:sz w:val="18"/>
          <w:szCs w:val="18"/>
          <w:color w:val="231F20"/>
          <w:spacing w:val="13"/>
        </w:rPr>
        <w:t>montmorillonite</w:t>
      </w:r>
      <w:r>
        <w:rPr>
          <w:rFonts w:ascii="Times New Roman" w:hAnsi="Times New Roman" w:eastAsia="Times New Roman" w:cs="Times New Roman"/>
          <w:sz w:val="18"/>
          <w:szCs w:val="18"/>
          <w:color w:val="231F20"/>
          <w:spacing w:val="40"/>
          <w:w w:val="101"/>
        </w:rPr>
        <w:t xml:space="preserve"> </w:t>
      </w:r>
      <w:r>
        <w:rPr>
          <w:rFonts w:ascii="Times New Roman" w:hAnsi="Times New Roman" w:eastAsia="Times New Roman" w:cs="Times New Roman"/>
          <w:sz w:val="18"/>
          <w:szCs w:val="18"/>
          <w:color w:val="231F20"/>
          <w:spacing w:val="13"/>
        </w:rPr>
        <w:t>powder</w:t>
      </w:r>
      <w:r>
        <w:rPr>
          <w:rFonts w:ascii="Times New Roman" w:hAnsi="Times New Roman" w:eastAsia="Times New Roman" w:cs="Times New Roman"/>
          <w:sz w:val="18"/>
          <w:szCs w:val="18"/>
          <w:color w:val="231F20"/>
          <w:spacing w:val="41"/>
        </w:rPr>
        <w:t xml:space="preserve"> </w:t>
      </w:r>
      <w:r>
        <w:rPr>
          <w:rFonts w:ascii="Times New Roman" w:hAnsi="Times New Roman" w:eastAsia="Times New Roman" w:cs="Times New Roman"/>
          <w:sz w:val="18"/>
          <w:szCs w:val="18"/>
          <w:color w:val="231F20"/>
          <w:spacing w:val="13"/>
        </w:rPr>
        <w:t>combined</w:t>
      </w:r>
      <w:r>
        <w:rPr>
          <w:rFonts w:ascii="Times New Roman" w:hAnsi="Times New Roman" w:eastAsia="Times New Roman" w:cs="Times New Roman"/>
          <w:sz w:val="18"/>
          <w:szCs w:val="18"/>
          <w:color w:val="231F20"/>
          <w:spacing w:val="41"/>
        </w:rPr>
        <w:t xml:space="preserve"> </w:t>
      </w:r>
      <w:r>
        <w:rPr>
          <w:rFonts w:ascii="Times New Roman" w:hAnsi="Times New Roman" w:eastAsia="Times New Roman" w:cs="Times New Roman"/>
          <w:sz w:val="18"/>
          <w:szCs w:val="18"/>
          <w:color w:val="231F20"/>
          <w:spacing w:val="13"/>
        </w:rPr>
        <w:t>with</w:t>
      </w:r>
      <w:r>
        <w:rPr>
          <w:rFonts w:ascii="Times New Roman" w:hAnsi="Times New Roman" w:eastAsia="Times New Roman" w:cs="Times New Roman"/>
          <w:sz w:val="18"/>
          <w:szCs w:val="18"/>
          <w:color w:val="231F20"/>
          <w:spacing w:val="40"/>
        </w:rPr>
        <w:t xml:space="preserve"> </w:t>
      </w:r>
      <w:r>
        <w:rPr>
          <w:rFonts w:ascii="Times New Roman" w:hAnsi="Times New Roman" w:eastAsia="Times New Roman" w:cs="Times New Roman"/>
          <w:sz w:val="18"/>
          <w:szCs w:val="18"/>
          <w:color w:val="231F20"/>
          <w:spacing w:val="13"/>
        </w:rPr>
        <w:t>live</w:t>
      </w:r>
      <w:r>
        <w:rPr>
          <w:rFonts w:ascii="Times New Roman" w:hAnsi="Times New Roman" w:eastAsia="Times New Roman" w:cs="Times New Roman"/>
          <w:sz w:val="18"/>
          <w:szCs w:val="18"/>
          <w:color w:val="231F20"/>
          <w:spacing w:val="41"/>
        </w:rPr>
        <w:t xml:space="preserve"> </w:t>
      </w:r>
      <w:r>
        <w:rPr>
          <w:rFonts w:ascii="Times New Roman" w:hAnsi="Times New Roman" w:eastAsia="Times New Roman" w:cs="Times New Roman"/>
          <w:sz w:val="18"/>
          <w:szCs w:val="18"/>
          <w:color w:val="231F20"/>
          <w:spacing w:val="13"/>
        </w:rPr>
        <w:t>combined</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spacing w:val="6"/>
        </w:rPr>
        <w:t>bifidobacterium and lactobacillus tablets in the</w:t>
      </w:r>
      <w:r>
        <w:rPr>
          <w:rFonts w:ascii="Times New Roman" w:hAnsi="Times New Roman" w:eastAsia="Times New Roman" w:cs="Times New Roman"/>
          <w:sz w:val="18"/>
          <w:szCs w:val="18"/>
          <w:color w:val="231F20"/>
          <w:spacing w:val="5"/>
        </w:rPr>
        <w:t xml:space="preserve"> treatment</w:t>
      </w:r>
      <w:r>
        <w:rPr>
          <w:rFonts w:ascii="Times New Roman" w:hAnsi="Times New Roman" w:eastAsia="Times New Roman" w:cs="Times New Roman"/>
          <w:sz w:val="18"/>
          <w:szCs w:val="18"/>
          <w:color w:val="231F20"/>
          <w:spacing w:val="11"/>
          <w:w w:val="101"/>
        </w:rPr>
        <w:t xml:space="preserve"> </w:t>
      </w:r>
      <w:r>
        <w:rPr>
          <w:rFonts w:ascii="Times New Roman" w:hAnsi="Times New Roman" w:eastAsia="Times New Roman" w:cs="Times New Roman"/>
          <w:sz w:val="18"/>
          <w:szCs w:val="18"/>
          <w:color w:val="231F20"/>
          <w:spacing w:val="5"/>
        </w:rPr>
        <w:t>of acute</w:t>
      </w:r>
      <w:r>
        <w:rPr>
          <w:rFonts w:ascii="Times New Roman" w:hAnsi="Times New Roman" w:eastAsia="Times New Roman" w:cs="Times New Roman"/>
          <w:sz w:val="18"/>
          <w:szCs w:val="18"/>
          <w:color w:val="231F20"/>
          <w:spacing w:val="12"/>
        </w:rPr>
        <w:t xml:space="preserve"> </w:t>
      </w:r>
      <w:r>
        <w:rPr>
          <w:rFonts w:ascii="Times New Roman" w:hAnsi="Times New Roman" w:eastAsia="Times New Roman" w:cs="Times New Roman"/>
          <w:sz w:val="18"/>
          <w:szCs w:val="18"/>
          <w:color w:val="231F20"/>
          <w:spacing w:val="5"/>
        </w:rPr>
        <w:t>gastroenteritis</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spacing w:val="5"/>
        </w:rPr>
        <w:t>in</w:t>
      </w:r>
      <w:r>
        <w:rPr>
          <w:rFonts w:ascii="Times New Roman" w:hAnsi="Times New Roman" w:eastAsia="Times New Roman" w:cs="Times New Roman"/>
          <w:sz w:val="18"/>
          <w:szCs w:val="18"/>
          <w:color w:val="231F20"/>
          <w:spacing w:val="12"/>
          <w:w w:val="101"/>
        </w:rPr>
        <w:t xml:space="preserve"> </w:t>
      </w:r>
      <w:r>
        <w:rPr>
          <w:rFonts w:ascii="Times New Roman" w:hAnsi="Times New Roman" w:eastAsia="Times New Roman" w:cs="Times New Roman"/>
          <w:sz w:val="18"/>
          <w:szCs w:val="18"/>
          <w:color w:val="231F20"/>
          <w:spacing w:val="5"/>
        </w:rPr>
        <w:t>children   XIE Min-</w:t>
      </w:r>
      <w:r>
        <w:rPr>
          <w:rFonts w:ascii="Times New Roman" w:hAnsi="Times New Roman" w:eastAsia="Times New Roman" w:cs="Times New Roman"/>
          <w:sz w:val="18"/>
          <w:szCs w:val="18"/>
          <w:color w:val="231F20"/>
          <w:spacing w:val="2"/>
        </w:rPr>
        <w:t xml:space="preserve"> </w:t>
      </w:r>
      <w:r>
        <w:rPr>
          <w:rFonts w:ascii="Times New Roman" w:hAnsi="Times New Roman" w:eastAsia="Times New Roman" w:cs="Times New Roman"/>
          <w:sz w:val="18"/>
          <w:szCs w:val="18"/>
          <w:color w:val="231F20"/>
          <w:spacing w:val="-2"/>
        </w:rPr>
        <w:t>hua. Department of</w:t>
      </w:r>
      <w:r>
        <w:rPr>
          <w:rFonts w:ascii="Times New Roman" w:hAnsi="Times New Roman" w:eastAsia="Times New Roman" w:cs="Times New Roman"/>
          <w:sz w:val="18"/>
          <w:szCs w:val="18"/>
          <w:color w:val="231F20"/>
          <w:spacing w:val="-10"/>
        </w:rPr>
        <w:t xml:space="preserve"> </w:t>
      </w:r>
      <w:r>
        <w:rPr>
          <w:rFonts w:ascii="Times New Roman" w:hAnsi="Times New Roman" w:eastAsia="Times New Roman" w:cs="Times New Roman"/>
          <w:sz w:val="18"/>
          <w:szCs w:val="18"/>
          <w:color w:val="231F20"/>
          <w:spacing w:val="-2"/>
        </w:rPr>
        <w:t>Pediatrics, Shanghang</w:t>
      </w:r>
      <w:r>
        <w:rPr>
          <w:rFonts w:ascii="Times New Roman" w:hAnsi="Times New Roman" w:eastAsia="Times New Roman" w:cs="Times New Roman"/>
          <w:sz w:val="18"/>
          <w:szCs w:val="18"/>
          <w:color w:val="231F20"/>
          <w:spacing w:val="11"/>
        </w:rPr>
        <w:t xml:space="preserve"> </w:t>
      </w:r>
      <w:r>
        <w:rPr>
          <w:rFonts w:ascii="Times New Roman" w:hAnsi="Times New Roman" w:eastAsia="Times New Roman" w:cs="Times New Roman"/>
          <w:sz w:val="18"/>
          <w:szCs w:val="18"/>
          <w:color w:val="231F20"/>
          <w:spacing w:val="-2"/>
        </w:rPr>
        <w:t>County Hospital, Longyan 364200,</w:t>
      </w:r>
      <w:r>
        <w:rPr>
          <w:rFonts w:ascii="Times New Roman" w:hAnsi="Times New Roman" w:eastAsia="Times New Roman" w:cs="Times New Roman"/>
          <w:sz w:val="18"/>
          <w:szCs w:val="18"/>
          <w:color w:val="231F20"/>
          <w:spacing w:val="10"/>
        </w:rPr>
        <w:t xml:space="preserve"> </w:t>
      </w:r>
      <w:r>
        <w:rPr>
          <w:rFonts w:ascii="Times New Roman" w:hAnsi="Times New Roman" w:eastAsia="Times New Roman" w:cs="Times New Roman"/>
          <w:sz w:val="18"/>
          <w:szCs w:val="18"/>
          <w:color w:val="231F20"/>
          <w:spacing w:val="-2"/>
        </w:rPr>
        <w:t>China</w:t>
      </w:r>
    </w:p>
    <w:p>
      <w:pPr>
        <w:pStyle w:val="BodyText"/>
        <w:ind w:left="784" w:right="1686" w:firstLine="268"/>
        <w:spacing w:before="18" w:line="282" w:lineRule="auto"/>
        <w:jc w:val="both"/>
        <w:rPr/>
      </w:pPr>
      <w:r>
        <w:rPr>
          <w:rFonts w:ascii="Microsoft YaHei" w:hAnsi="Microsoft YaHei" w:eastAsia="Microsoft YaHei" w:cs="Microsoft YaHei"/>
          <w:color w:val="231F20"/>
          <w:spacing w:val="-8"/>
        </w:rPr>
        <w:t>【</w:t>
      </w:r>
      <w:r>
        <w:rPr>
          <w:rFonts w:ascii="Times New Roman" w:hAnsi="Times New Roman" w:eastAsia="Times New Roman" w:cs="Times New Roman"/>
          <w:color w:val="231F20"/>
          <w:spacing w:val="-8"/>
        </w:rPr>
        <w:t>Abstract</w:t>
      </w:r>
      <w:r>
        <w:rPr>
          <w:rFonts w:ascii="Microsoft YaHei" w:hAnsi="Microsoft YaHei" w:eastAsia="Microsoft YaHei" w:cs="Microsoft YaHei"/>
          <w:color w:val="231F20"/>
          <w:spacing w:val="-8"/>
        </w:rPr>
        <w:t>】  </w:t>
      </w:r>
      <w:r>
        <w:rPr>
          <w:rFonts w:ascii="Times New Roman" w:hAnsi="Times New Roman" w:eastAsia="Times New Roman" w:cs="Times New Roman"/>
          <w:color w:val="231F20"/>
          <w:spacing w:val="-8"/>
        </w:rPr>
        <w:t>Objective     </w:t>
      </w:r>
      <w:r>
        <w:rPr>
          <w:color w:val="231F20"/>
          <w:spacing w:val="-8"/>
        </w:rPr>
        <w:t>To analyze </w:t>
      </w:r>
      <w:r>
        <w:rPr>
          <w:color w:val="231F20"/>
          <w:spacing w:val="-9"/>
        </w:rPr>
        <w:t>the</w:t>
      </w:r>
      <w:r>
        <w:rPr>
          <w:color w:val="231F20"/>
          <w:spacing w:val="-19"/>
        </w:rPr>
        <w:t xml:space="preserve"> </w:t>
      </w:r>
      <w:r>
        <w:rPr>
          <w:color w:val="231F20"/>
          <w:spacing w:val="-9"/>
        </w:rPr>
        <w:t>clinical</w:t>
      </w:r>
      <w:r>
        <w:rPr>
          <w:color w:val="231F20"/>
          <w:spacing w:val="-19"/>
        </w:rPr>
        <w:t xml:space="preserve"> </w:t>
      </w:r>
      <w:r>
        <w:rPr>
          <w:color w:val="231F20"/>
          <w:spacing w:val="-9"/>
        </w:rPr>
        <w:t>effect</w:t>
      </w:r>
      <w:r>
        <w:rPr>
          <w:color w:val="231F20"/>
          <w:spacing w:val="-19"/>
        </w:rPr>
        <w:t xml:space="preserve"> </w:t>
      </w:r>
      <w:r>
        <w:rPr>
          <w:color w:val="231F20"/>
          <w:spacing w:val="-9"/>
        </w:rPr>
        <w:t>of</w:t>
      </w:r>
      <w:r>
        <w:rPr>
          <w:color w:val="231F20"/>
          <w:spacing w:val="-30"/>
        </w:rPr>
        <w:t xml:space="preserve"> </w:t>
      </w:r>
      <w:r>
        <w:rPr>
          <w:color w:val="231F20"/>
          <w:spacing w:val="-9"/>
        </w:rPr>
        <w:t>montmorillonite</w:t>
      </w:r>
      <w:r>
        <w:rPr>
          <w:color w:val="231F20"/>
          <w:spacing w:val="-21"/>
        </w:rPr>
        <w:t xml:space="preserve"> </w:t>
      </w:r>
      <w:r>
        <w:rPr>
          <w:color w:val="231F20"/>
          <w:spacing w:val="-9"/>
        </w:rPr>
        <w:t>powder</w:t>
      </w:r>
      <w:r>
        <w:rPr>
          <w:color w:val="231F20"/>
          <w:spacing w:val="-20"/>
        </w:rPr>
        <w:t xml:space="preserve"> </w:t>
      </w:r>
      <w:r>
        <w:rPr>
          <w:color w:val="231F20"/>
          <w:spacing w:val="-9"/>
        </w:rPr>
        <w:t>combined</w:t>
      </w:r>
      <w:r>
        <w:rPr>
          <w:color w:val="231F20"/>
          <w:spacing w:val="-23"/>
        </w:rPr>
        <w:t xml:space="preserve"> </w:t>
      </w:r>
      <w:r>
        <w:rPr>
          <w:color w:val="231F20"/>
          <w:spacing w:val="-9"/>
        </w:rPr>
        <w:t>with</w:t>
      </w:r>
      <w:r>
        <w:rPr>
          <w:color w:val="231F20"/>
          <w:spacing w:val="-21"/>
        </w:rPr>
        <w:t xml:space="preserve"> </w:t>
      </w:r>
      <w:r>
        <w:rPr>
          <w:color w:val="231F20"/>
          <w:spacing w:val="-9"/>
        </w:rPr>
        <w:t>live</w:t>
      </w:r>
      <w:r>
        <w:rPr>
          <w:color w:val="231F20"/>
        </w:rPr>
        <w:t xml:space="preserve"> </w:t>
      </w:r>
      <w:r>
        <w:rPr>
          <w:color w:val="231F20"/>
          <w:spacing w:val="-11"/>
        </w:rPr>
        <w:t>combined bifidobacterium and lactobacillus</w:t>
      </w:r>
      <w:r>
        <w:rPr>
          <w:color w:val="231F20"/>
          <w:spacing w:val="-16"/>
        </w:rPr>
        <w:t xml:space="preserve"> </w:t>
      </w:r>
      <w:r>
        <w:rPr>
          <w:color w:val="231F20"/>
          <w:spacing w:val="-12"/>
        </w:rPr>
        <w:t>tablets (trade name: Golden Bifid)</w:t>
      </w:r>
      <w:r>
        <w:rPr>
          <w:color w:val="231F20"/>
          <w:spacing w:val="-13"/>
        </w:rPr>
        <w:t xml:space="preserve"> </w:t>
      </w:r>
      <w:r>
        <w:rPr>
          <w:color w:val="231F20"/>
          <w:spacing w:val="-12"/>
        </w:rPr>
        <w:t>in</w:t>
      </w:r>
      <w:r>
        <w:rPr>
          <w:color w:val="231F20"/>
          <w:spacing w:val="-16"/>
        </w:rPr>
        <w:t xml:space="preserve"> </w:t>
      </w:r>
      <w:r>
        <w:rPr>
          <w:color w:val="231F20"/>
          <w:spacing w:val="-12"/>
        </w:rPr>
        <w:t>the</w:t>
      </w:r>
      <w:r>
        <w:rPr>
          <w:color w:val="231F20"/>
          <w:spacing w:val="-16"/>
        </w:rPr>
        <w:t xml:space="preserve"> </w:t>
      </w:r>
      <w:r>
        <w:rPr>
          <w:color w:val="231F20"/>
          <w:spacing w:val="-12"/>
        </w:rPr>
        <w:t>treatment</w:t>
      </w:r>
      <w:r>
        <w:rPr>
          <w:color w:val="231F20"/>
          <w:spacing w:val="-14"/>
        </w:rPr>
        <w:t xml:space="preserve"> </w:t>
      </w:r>
      <w:r>
        <w:rPr>
          <w:color w:val="231F20"/>
          <w:spacing w:val="-12"/>
        </w:rPr>
        <w:t>of</w:t>
      </w:r>
      <w:r>
        <w:rPr>
          <w:color w:val="231F20"/>
          <w:spacing w:val="-25"/>
        </w:rPr>
        <w:t xml:space="preserve"> </w:t>
      </w:r>
      <w:r>
        <w:rPr>
          <w:color w:val="231F20"/>
          <w:spacing w:val="-12"/>
        </w:rPr>
        <w:t>acute</w:t>
      </w:r>
      <w:r>
        <w:rPr>
          <w:color w:val="231F20"/>
        </w:rPr>
        <w:t xml:space="preserve"> </w:t>
      </w:r>
      <w:r>
        <w:rPr>
          <w:color w:val="231F20"/>
          <w:spacing w:val="-17"/>
        </w:rPr>
        <w:t>gastroenteritis</w:t>
      </w:r>
      <w:r>
        <w:rPr>
          <w:color w:val="231F20"/>
          <w:spacing w:val="-31"/>
        </w:rPr>
        <w:t xml:space="preserve"> </w:t>
      </w:r>
      <w:r>
        <w:rPr>
          <w:color w:val="231F20"/>
          <w:spacing w:val="-17"/>
        </w:rPr>
        <w:t>in</w:t>
      </w:r>
      <w:r>
        <w:rPr>
          <w:color w:val="231F20"/>
          <w:spacing w:val="-31"/>
        </w:rPr>
        <w:t xml:space="preserve"> </w:t>
      </w:r>
      <w:r>
        <w:rPr>
          <w:color w:val="231F20"/>
          <w:spacing w:val="-17"/>
        </w:rPr>
        <w:t>children.</w:t>
      </w:r>
      <w:r>
        <w:rPr>
          <w:color w:val="231F20"/>
          <w:spacing w:val="-35"/>
        </w:rPr>
        <w:t xml:space="preserve"> </w:t>
      </w:r>
      <w:r>
        <w:rPr>
          <w:rFonts w:ascii="Times New Roman" w:hAnsi="Times New Roman" w:eastAsia="Times New Roman" w:cs="Times New Roman"/>
          <w:color w:val="231F20"/>
          <w:spacing w:val="-17"/>
        </w:rPr>
        <w:t>Metho</w:t>
      </w:r>
      <w:r>
        <w:rPr>
          <w:rFonts w:ascii="Times New Roman" w:hAnsi="Times New Roman" w:eastAsia="Times New Roman" w:cs="Times New Roman"/>
          <w:color w:val="231F20"/>
          <w:spacing w:val="-18"/>
        </w:rPr>
        <w:t>ds    </w:t>
      </w:r>
      <w:r>
        <w:rPr>
          <w:color w:val="231F20"/>
          <w:spacing w:val="-18"/>
        </w:rPr>
        <w:t>A</w:t>
      </w:r>
      <w:r>
        <w:rPr>
          <w:color w:val="231F20"/>
          <w:spacing w:val="-34"/>
        </w:rPr>
        <w:t xml:space="preserve"> </w:t>
      </w:r>
      <w:r>
        <w:rPr>
          <w:color w:val="231F20"/>
          <w:spacing w:val="-18"/>
        </w:rPr>
        <w:t>total</w:t>
      </w:r>
      <w:r>
        <w:rPr>
          <w:color w:val="231F20"/>
          <w:spacing w:val="-32"/>
        </w:rPr>
        <w:t xml:space="preserve"> </w:t>
      </w:r>
      <w:r>
        <w:rPr>
          <w:color w:val="231F20"/>
          <w:spacing w:val="-18"/>
        </w:rPr>
        <w:t>of</w:t>
      </w:r>
      <w:r>
        <w:rPr>
          <w:color w:val="231F20"/>
          <w:spacing w:val="-42"/>
        </w:rPr>
        <w:t xml:space="preserve"> </w:t>
      </w:r>
      <w:r>
        <w:rPr>
          <w:color w:val="231F20"/>
          <w:spacing w:val="-18"/>
        </w:rPr>
        <w:t>67</w:t>
      </w:r>
      <w:r>
        <w:rPr>
          <w:color w:val="231F20"/>
          <w:spacing w:val="-32"/>
        </w:rPr>
        <w:t xml:space="preserve"> </w:t>
      </w:r>
      <w:r>
        <w:rPr>
          <w:color w:val="231F20"/>
          <w:spacing w:val="-18"/>
        </w:rPr>
        <w:t>children</w:t>
      </w:r>
      <w:r>
        <w:rPr>
          <w:color w:val="231F20"/>
          <w:spacing w:val="-36"/>
        </w:rPr>
        <w:t xml:space="preserve"> </w:t>
      </w:r>
      <w:r>
        <w:rPr>
          <w:color w:val="231F20"/>
          <w:spacing w:val="-18"/>
        </w:rPr>
        <w:t>with</w:t>
      </w:r>
      <w:r>
        <w:rPr>
          <w:color w:val="231F20"/>
          <w:spacing w:val="-32"/>
        </w:rPr>
        <w:t xml:space="preserve"> </w:t>
      </w:r>
      <w:r>
        <w:rPr>
          <w:color w:val="231F20"/>
          <w:spacing w:val="-18"/>
        </w:rPr>
        <w:t>acute</w:t>
      </w:r>
      <w:r>
        <w:rPr>
          <w:color w:val="231F20"/>
          <w:spacing w:val="-31"/>
        </w:rPr>
        <w:t xml:space="preserve"> </w:t>
      </w:r>
      <w:r>
        <w:rPr>
          <w:color w:val="231F20"/>
          <w:spacing w:val="-18"/>
        </w:rPr>
        <w:t>gastroenteritis</w:t>
      </w:r>
      <w:r>
        <w:rPr>
          <w:color w:val="231F20"/>
          <w:spacing w:val="-35"/>
        </w:rPr>
        <w:t xml:space="preserve"> </w:t>
      </w:r>
      <w:r>
        <w:rPr>
          <w:color w:val="231F20"/>
          <w:spacing w:val="-18"/>
        </w:rPr>
        <w:t>were</w:t>
      </w:r>
      <w:r>
        <w:rPr>
          <w:color w:val="231F20"/>
          <w:spacing w:val="-32"/>
        </w:rPr>
        <w:t xml:space="preserve"> </w:t>
      </w:r>
      <w:r>
        <w:rPr>
          <w:color w:val="231F20"/>
          <w:spacing w:val="-18"/>
        </w:rPr>
        <w:t>divided</w:t>
      </w:r>
      <w:r>
        <w:rPr>
          <w:color w:val="231F20"/>
          <w:spacing w:val="-31"/>
        </w:rPr>
        <w:t xml:space="preserve"> </w:t>
      </w:r>
      <w:r>
        <w:rPr>
          <w:color w:val="231F20"/>
          <w:spacing w:val="-18"/>
        </w:rPr>
        <w:t>into</w:t>
      </w:r>
      <w:r>
        <w:rPr>
          <w:color w:val="231F20"/>
          <w:spacing w:val="-32"/>
        </w:rPr>
        <w:t xml:space="preserve"> </w:t>
      </w:r>
      <w:r>
        <w:rPr>
          <w:color w:val="231F20"/>
          <w:spacing w:val="-18"/>
        </w:rPr>
        <w:t>a</w:t>
      </w:r>
      <w:r>
        <w:rPr>
          <w:color w:val="231F20"/>
          <w:spacing w:val="-32"/>
        </w:rPr>
        <w:t xml:space="preserve"> </w:t>
      </w:r>
      <w:r>
        <w:rPr>
          <w:color w:val="231F20"/>
          <w:spacing w:val="-18"/>
        </w:rPr>
        <w:t>control</w:t>
      </w:r>
      <w:r>
        <w:rPr>
          <w:color w:val="231F20"/>
        </w:rPr>
        <w:t xml:space="preserve"> </w:t>
      </w:r>
      <w:r>
        <w:rPr>
          <w:color w:val="231F20"/>
          <w:spacing w:val="-14"/>
        </w:rPr>
        <w:t>group</w:t>
      </w:r>
      <w:r>
        <w:rPr>
          <w:color w:val="231F20"/>
          <w:spacing w:val="-30"/>
        </w:rPr>
        <w:t xml:space="preserve"> </w:t>
      </w:r>
      <w:r>
        <w:rPr>
          <w:color w:val="231F20"/>
          <w:spacing w:val="-14"/>
        </w:rPr>
        <w:t>(33</w:t>
      </w:r>
      <w:r>
        <w:rPr>
          <w:color w:val="231F20"/>
          <w:spacing w:val="-33"/>
        </w:rPr>
        <w:t xml:space="preserve"> </w:t>
      </w:r>
      <w:r>
        <w:rPr>
          <w:color w:val="231F20"/>
          <w:spacing w:val="-14"/>
        </w:rPr>
        <w:t>cases)</w:t>
      </w:r>
      <w:r>
        <w:rPr>
          <w:color w:val="231F20"/>
          <w:spacing w:val="-34"/>
        </w:rPr>
        <w:t xml:space="preserve"> </w:t>
      </w:r>
      <w:r>
        <w:rPr>
          <w:color w:val="231F20"/>
          <w:spacing w:val="-14"/>
        </w:rPr>
        <w:t>and</w:t>
      </w:r>
      <w:r>
        <w:rPr>
          <w:color w:val="231F20"/>
          <w:spacing w:val="-34"/>
        </w:rPr>
        <w:t xml:space="preserve"> </w:t>
      </w:r>
      <w:r>
        <w:rPr>
          <w:color w:val="231F20"/>
          <w:spacing w:val="-14"/>
        </w:rPr>
        <w:t>an</w:t>
      </w:r>
      <w:r>
        <w:rPr>
          <w:color w:val="231F20"/>
          <w:spacing w:val="-33"/>
        </w:rPr>
        <w:t xml:space="preserve"> </w:t>
      </w:r>
      <w:r>
        <w:rPr>
          <w:color w:val="231F20"/>
          <w:spacing w:val="-14"/>
        </w:rPr>
        <w:t>observation</w:t>
      </w:r>
      <w:r>
        <w:rPr>
          <w:color w:val="231F20"/>
          <w:spacing w:val="-33"/>
        </w:rPr>
        <w:t xml:space="preserve"> </w:t>
      </w:r>
      <w:r>
        <w:rPr>
          <w:color w:val="231F20"/>
          <w:spacing w:val="-14"/>
        </w:rPr>
        <w:t>group</w:t>
      </w:r>
      <w:r>
        <w:rPr>
          <w:color w:val="231F20"/>
          <w:spacing w:val="-30"/>
        </w:rPr>
        <w:t xml:space="preserve"> </w:t>
      </w:r>
      <w:r>
        <w:rPr>
          <w:color w:val="231F20"/>
          <w:spacing w:val="-14"/>
        </w:rPr>
        <w:t>(34</w:t>
      </w:r>
      <w:r>
        <w:rPr>
          <w:color w:val="231F20"/>
          <w:spacing w:val="-33"/>
        </w:rPr>
        <w:t xml:space="preserve"> </w:t>
      </w:r>
      <w:r>
        <w:rPr>
          <w:color w:val="231F20"/>
          <w:spacing w:val="-14"/>
        </w:rPr>
        <w:t>cas</w:t>
      </w:r>
      <w:r>
        <w:rPr>
          <w:color w:val="231F20"/>
          <w:spacing w:val="-15"/>
        </w:rPr>
        <w:t>es)</w:t>
      </w:r>
      <w:r>
        <w:rPr>
          <w:color w:val="231F20"/>
          <w:spacing w:val="-34"/>
        </w:rPr>
        <w:t xml:space="preserve"> </w:t>
      </w:r>
      <w:r>
        <w:rPr>
          <w:color w:val="231F20"/>
          <w:spacing w:val="-15"/>
        </w:rPr>
        <w:t>according</w:t>
      </w:r>
      <w:r>
        <w:rPr>
          <w:color w:val="231F20"/>
          <w:spacing w:val="-36"/>
        </w:rPr>
        <w:t xml:space="preserve"> </w:t>
      </w:r>
      <w:r>
        <w:rPr>
          <w:color w:val="231F20"/>
          <w:spacing w:val="-15"/>
        </w:rPr>
        <w:t>to</w:t>
      </w:r>
      <w:r>
        <w:rPr>
          <w:color w:val="231F20"/>
          <w:spacing w:val="-35"/>
        </w:rPr>
        <w:t xml:space="preserve"> </w:t>
      </w:r>
      <w:r>
        <w:rPr>
          <w:color w:val="231F20"/>
          <w:spacing w:val="-15"/>
        </w:rPr>
        <w:t>random</w:t>
      </w:r>
      <w:r>
        <w:rPr>
          <w:color w:val="231F20"/>
          <w:spacing w:val="-34"/>
        </w:rPr>
        <w:t xml:space="preserve"> </w:t>
      </w:r>
      <w:r>
        <w:rPr>
          <w:color w:val="231F20"/>
          <w:spacing w:val="-15"/>
        </w:rPr>
        <w:t>numerical</w:t>
      </w:r>
      <w:r>
        <w:rPr>
          <w:color w:val="231F20"/>
          <w:spacing w:val="-35"/>
        </w:rPr>
        <w:t xml:space="preserve"> </w:t>
      </w:r>
      <w:r>
        <w:rPr>
          <w:color w:val="231F20"/>
          <w:spacing w:val="-15"/>
        </w:rPr>
        <w:t>table.</w:t>
      </w:r>
      <w:r>
        <w:rPr>
          <w:color w:val="231F20"/>
          <w:spacing w:val="-36"/>
        </w:rPr>
        <w:t xml:space="preserve"> </w:t>
      </w:r>
      <w:r>
        <w:rPr>
          <w:color w:val="231F20"/>
          <w:spacing w:val="-15"/>
        </w:rPr>
        <w:t>The</w:t>
      </w:r>
      <w:r>
        <w:rPr>
          <w:color w:val="231F20"/>
          <w:spacing w:val="-34"/>
        </w:rPr>
        <w:t xml:space="preserve"> </w:t>
      </w:r>
      <w:r>
        <w:rPr>
          <w:color w:val="231F20"/>
          <w:spacing w:val="-15"/>
        </w:rPr>
        <w:t>control</w:t>
      </w:r>
      <w:r>
        <w:rPr>
          <w:color w:val="231F20"/>
          <w:spacing w:val="-33"/>
        </w:rPr>
        <w:t xml:space="preserve"> </w:t>
      </w:r>
      <w:r>
        <w:rPr>
          <w:color w:val="231F20"/>
          <w:spacing w:val="-15"/>
        </w:rPr>
        <w:t>group</w:t>
      </w:r>
      <w:r>
        <w:rPr>
          <w:color w:val="231F20"/>
          <w:spacing w:val="-37"/>
        </w:rPr>
        <w:t xml:space="preserve"> </w:t>
      </w:r>
      <w:r>
        <w:rPr>
          <w:color w:val="231F20"/>
          <w:spacing w:val="-15"/>
        </w:rPr>
        <w:t>was</w:t>
      </w:r>
      <w:r>
        <w:rPr>
          <w:color w:val="231F20"/>
        </w:rPr>
        <w:t xml:space="preserve"> </w:t>
      </w:r>
      <w:r>
        <w:rPr>
          <w:color w:val="231F20"/>
          <w:spacing w:val="-14"/>
        </w:rPr>
        <w:t>treated</w:t>
      </w:r>
      <w:r>
        <w:rPr>
          <w:color w:val="231F20"/>
          <w:spacing w:val="-29"/>
        </w:rPr>
        <w:t xml:space="preserve"> </w:t>
      </w:r>
      <w:r>
        <w:rPr>
          <w:color w:val="231F20"/>
          <w:spacing w:val="-14"/>
        </w:rPr>
        <w:t>with</w:t>
      </w:r>
      <w:r>
        <w:rPr>
          <w:color w:val="231F20"/>
          <w:spacing w:val="-24"/>
        </w:rPr>
        <w:t xml:space="preserve"> </w:t>
      </w:r>
      <w:r>
        <w:rPr>
          <w:color w:val="231F20"/>
          <w:spacing w:val="-14"/>
        </w:rPr>
        <w:t>montmoril</w:t>
      </w:r>
      <w:r>
        <w:rPr>
          <w:color w:val="231F20"/>
          <w:spacing w:val="-15"/>
        </w:rPr>
        <w:t>lonite</w:t>
      </w:r>
      <w:r>
        <w:rPr>
          <w:color w:val="231F20"/>
          <w:spacing w:val="-27"/>
        </w:rPr>
        <w:t xml:space="preserve"> </w:t>
      </w:r>
      <w:r>
        <w:rPr>
          <w:color w:val="231F20"/>
          <w:spacing w:val="-15"/>
        </w:rPr>
        <w:t>powder,</w:t>
      </w:r>
      <w:r>
        <w:rPr>
          <w:color w:val="231F20"/>
          <w:spacing w:val="-25"/>
        </w:rPr>
        <w:t xml:space="preserve"> </w:t>
      </w:r>
      <w:r>
        <w:rPr>
          <w:color w:val="231F20"/>
          <w:spacing w:val="-15"/>
        </w:rPr>
        <w:t>and</w:t>
      </w:r>
      <w:r>
        <w:rPr>
          <w:color w:val="231F20"/>
          <w:spacing w:val="-26"/>
        </w:rPr>
        <w:t xml:space="preserve"> </w:t>
      </w:r>
      <w:r>
        <w:rPr>
          <w:color w:val="231F20"/>
          <w:spacing w:val="-15"/>
        </w:rPr>
        <w:t>the</w:t>
      </w:r>
      <w:r>
        <w:rPr>
          <w:color w:val="231F20"/>
          <w:spacing w:val="-25"/>
        </w:rPr>
        <w:t xml:space="preserve"> </w:t>
      </w:r>
      <w:r>
        <w:rPr>
          <w:color w:val="231F20"/>
          <w:spacing w:val="-15"/>
        </w:rPr>
        <w:t>observation</w:t>
      </w:r>
      <w:r>
        <w:rPr>
          <w:color w:val="231F20"/>
          <w:spacing w:val="-24"/>
        </w:rPr>
        <w:t xml:space="preserve"> </w:t>
      </w:r>
      <w:r>
        <w:rPr>
          <w:color w:val="231F20"/>
          <w:spacing w:val="-15"/>
        </w:rPr>
        <w:t>group</w:t>
      </w:r>
      <w:r>
        <w:rPr>
          <w:color w:val="231F20"/>
          <w:spacing w:val="-29"/>
        </w:rPr>
        <w:t xml:space="preserve"> </w:t>
      </w:r>
      <w:r>
        <w:rPr>
          <w:color w:val="231F20"/>
          <w:spacing w:val="-15"/>
        </w:rPr>
        <w:t>was</w:t>
      </w:r>
      <w:r>
        <w:rPr>
          <w:color w:val="231F20"/>
          <w:spacing w:val="-27"/>
        </w:rPr>
        <w:t xml:space="preserve"> </w:t>
      </w:r>
      <w:r>
        <w:rPr>
          <w:color w:val="231F20"/>
          <w:spacing w:val="-15"/>
        </w:rPr>
        <w:t>treated</w:t>
      </w:r>
      <w:r>
        <w:rPr>
          <w:color w:val="231F20"/>
          <w:spacing w:val="-28"/>
        </w:rPr>
        <w:t xml:space="preserve"> </w:t>
      </w:r>
      <w:r>
        <w:rPr>
          <w:color w:val="231F20"/>
          <w:spacing w:val="-15"/>
        </w:rPr>
        <w:t>with</w:t>
      </w:r>
      <w:r>
        <w:rPr>
          <w:color w:val="231F20"/>
          <w:spacing w:val="-26"/>
        </w:rPr>
        <w:t xml:space="preserve"> </w:t>
      </w:r>
      <w:r>
        <w:rPr>
          <w:color w:val="231F20"/>
          <w:spacing w:val="-15"/>
        </w:rPr>
        <w:t>live</w:t>
      </w:r>
      <w:r>
        <w:rPr>
          <w:color w:val="231F20"/>
          <w:spacing w:val="-24"/>
        </w:rPr>
        <w:t xml:space="preserve"> </w:t>
      </w:r>
      <w:r>
        <w:rPr>
          <w:color w:val="231F20"/>
          <w:spacing w:val="-15"/>
        </w:rPr>
        <w:t>combined</w:t>
      </w:r>
      <w:r>
        <w:rPr>
          <w:color w:val="231F20"/>
          <w:spacing w:val="-26"/>
        </w:rPr>
        <w:t xml:space="preserve"> </w:t>
      </w:r>
      <w:r>
        <w:rPr>
          <w:color w:val="231F20"/>
          <w:spacing w:val="-15"/>
        </w:rPr>
        <w:t>bifidobacterium</w:t>
      </w:r>
      <w:r>
        <w:rPr>
          <w:color w:val="231F20"/>
        </w:rPr>
        <w:t xml:space="preserve"> </w:t>
      </w:r>
      <w:r>
        <w:rPr>
          <w:color w:val="231F20"/>
          <w:spacing w:val="-18"/>
        </w:rPr>
        <w:t>and</w:t>
      </w:r>
      <w:r>
        <w:rPr>
          <w:color w:val="231F20"/>
          <w:spacing w:val="-31"/>
        </w:rPr>
        <w:t xml:space="preserve"> </w:t>
      </w:r>
      <w:r>
        <w:rPr>
          <w:color w:val="231F20"/>
          <w:spacing w:val="-18"/>
        </w:rPr>
        <w:t>lactobacillus</w:t>
      </w:r>
      <w:r>
        <w:rPr>
          <w:color w:val="231F20"/>
          <w:spacing w:val="-31"/>
        </w:rPr>
        <w:t xml:space="preserve"> </w:t>
      </w:r>
      <w:r>
        <w:rPr>
          <w:color w:val="231F20"/>
          <w:spacing w:val="-18"/>
        </w:rPr>
        <w:t>tab</w:t>
      </w:r>
      <w:r>
        <w:rPr>
          <w:color w:val="231F20"/>
          <w:spacing w:val="-19"/>
        </w:rPr>
        <w:t>lets</w:t>
      </w:r>
      <w:r>
        <w:rPr>
          <w:color w:val="231F20"/>
          <w:spacing w:val="-29"/>
        </w:rPr>
        <w:t xml:space="preserve"> </w:t>
      </w:r>
      <w:r>
        <w:rPr>
          <w:color w:val="231F20"/>
          <w:spacing w:val="-19"/>
        </w:rPr>
        <w:t>on</w:t>
      </w:r>
      <w:r>
        <w:rPr>
          <w:color w:val="231F20"/>
          <w:spacing w:val="-32"/>
        </w:rPr>
        <w:t xml:space="preserve"> </w:t>
      </w:r>
      <w:r>
        <w:rPr>
          <w:color w:val="231F20"/>
          <w:spacing w:val="-19"/>
        </w:rPr>
        <w:t>the</w:t>
      </w:r>
      <w:r>
        <w:rPr>
          <w:color w:val="231F20"/>
          <w:spacing w:val="-30"/>
        </w:rPr>
        <w:t xml:space="preserve"> </w:t>
      </w:r>
      <w:r>
        <w:rPr>
          <w:color w:val="231F20"/>
          <w:spacing w:val="-19"/>
        </w:rPr>
        <w:t>basis</w:t>
      </w:r>
      <w:r>
        <w:rPr>
          <w:color w:val="231F20"/>
          <w:spacing w:val="-29"/>
        </w:rPr>
        <w:t xml:space="preserve"> </w:t>
      </w:r>
      <w:r>
        <w:rPr>
          <w:color w:val="231F20"/>
          <w:spacing w:val="-19"/>
        </w:rPr>
        <w:t>of</w:t>
      </w:r>
      <w:r>
        <w:rPr>
          <w:color w:val="231F20"/>
          <w:spacing w:val="-42"/>
        </w:rPr>
        <w:t xml:space="preserve"> </w:t>
      </w:r>
      <w:r>
        <w:rPr>
          <w:color w:val="231F20"/>
          <w:spacing w:val="-19"/>
        </w:rPr>
        <w:t>the</w:t>
      </w:r>
      <w:r>
        <w:rPr>
          <w:color w:val="231F20"/>
          <w:spacing w:val="-29"/>
        </w:rPr>
        <w:t xml:space="preserve"> </w:t>
      </w:r>
      <w:r>
        <w:rPr>
          <w:color w:val="231F20"/>
          <w:spacing w:val="-19"/>
        </w:rPr>
        <w:t>control</w:t>
      </w:r>
      <w:r>
        <w:rPr>
          <w:color w:val="231F20"/>
          <w:spacing w:val="-29"/>
        </w:rPr>
        <w:t xml:space="preserve"> </w:t>
      </w:r>
      <w:r>
        <w:rPr>
          <w:color w:val="231F20"/>
          <w:spacing w:val="-19"/>
        </w:rPr>
        <w:t>group.</w:t>
      </w:r>
      <w:r>
        <w:rPr>
          <w:color w:val="231F20"/>
          <w:spacing w:val="-32"/>
        </w:rPr>
        <w:t xml:space="preserve"> </w:t>
      </w:r>
      <w:r>
        <w:rPr>
          <w:color w:val="231F20"/>
          <w:spacing w:val="-19"/>
        </w:rPr>
        <w:t>The</w:t>
      </w:r>
      <w:r>
        <w:rPr>
          <w:color w:val="231F20"/>
          <w:spacing w:val="-29"/>
        </w:rPr>
        <w:t xml:space="preserve"> </w:t>
      </w:r>
      <w:r>
        <w:rPr>
          <w:color w:val="231F20"/>
          <w:spacing w:val="-19"/>
        </w:rPr>
        <w:t>clinical</w:t>
      </w:r>
      <w:r>
        <w:rPr>
          <w:color w:val="231F20"/>
          <w:spacing w:val="-28"/>
        </w:rPr>
        <w:t xml:space="preserve"> </w:t>
      </w:r>
      <w:r>
        <w:rPr>
          <w:color w:val="231F20"/>
          <w:spacing w:val="-19"/>
        </w:rPr>
        <w:t>efficacy,</w:t>
      </w:r>
      <w:r>
        <w:rPr>
          <w:color w:val="231F20"/>
          <w:spacing w:val="-31"/>
        </w:rPr>
        <w:t xml:space="preserve"> </w:t>
      </w:r>
      <w:r>
        <w:rPr>
          <w:color w:val="231F20"/>
          <w:spacing w:val="-19"/>
        </w:rPr>
        <w:t>the</w:t>
      </w:r>
      <w:r>
        <w:rPr>
          <w:color w:val="231F20"/>
          <w:spacing w:val="-29"/>
        </w:rPr>
        <w:t xml:space="preserve"> </w:t>
      </w:r>
      <w:r>
        <w:rPr>
          <w:color w:val="231F20"/>
          <w:spacing w:val="-19"/>
        </w:rPr>
        <w:t>improvement</w:t>
      </w:r>
      <w:r>
        <w:rPr>
          <w:color w:val="231F20"/>
          <w:spacing w:val="-31"/>
        </w:rPr>
        <w:t xml:space="preserve"> </w:t>
      </w:r>
      <w:r>
        <w:rPr>
          <w:color w:val="231F20"/>
          <w:spacing w:val="-19"/>
        </w:rPr>
        <w:t>time</w:t>
      </w:r>
      <w:r>
        <w:rPr>
          <w:color w:val="231F20"/>
          <w:spacing w:val="-30"/>
        </w:rPr>
        <w:t xml:space="preserve"> </w:t>
      </w:r>
      <w:r>
        <w:rPr>
          <w:color w:val="231F20"/>
          <w:spacing w:val="-19"/>
        </w:rPr>
        <w:t>of</w:t>
      </w:r>
      <w:r>
        <w:rPr>
          <w:color w:val="231F20"/>
          <w:spacing w:val="-39"/>
        </w:rPr>
        <w:t xml:space="preserve"> </w:t>
      </w:r>
      <w:r>
        <w:rPr>
          <w:color w:val="231F20"/>
          <w:spacing w:val="-19"/>
        </w:rPr>
        <w:t>clinical</w:t>
      </w:r>
      <w:r>
        <w:rPr>
          <w:color w:val="231F20"/>
        </w:rPr>
        <w:t xml:space="preserve"> </w:t>
      </w:r>
      <w:r>
        <w:rPr>
          <w:color w:val="231F20"/>
          <w:spacing w:val="-15"/>
        </w:rPr>
        <w:t>symptoms,</w:t>
      </w:r>
      <w:r>
        <w:rPr>
          <w:color w:val="231F20"/>
          <w:spacing w:val="-34"/>
        </w:rPr>
        <w:t xml:space="preserve"> </w:t>
      </w:r>
      <w:r>
        <w:rPr>
          <w:color w:val="231F20"/>
          <w:spacing w:val="-15"/>
        </w:rPr>
        <w:t>the</w:t>
      </w:r>
      <w:r>
        <w:rPr>
          <w:color w:val="231F20"/>
          <w:spacing w:val="-38"/>
        </w:rPr>
        <w:t xml:space="preserve"> </w:t>
      </w:r>
      <w:r>
        <w:rPr>
          <w:color w:val="231F20"/>
          <w:spacing w:val="-15"/>
        </w:rPr>
        <w:t>level</w:t>
      </w:r>
      <w:r>
        <w:rPr>
          <w:color w:val="231F20"/>
          <w:spacing w:val="-36"/>
        </w:rPr>
        <w:t xml:space="preserve"> </w:t>
      </w:r>
      <w:r>
        <w:rPr>
          <w:color w:val="231F20"/>
          <w:spacing w:val="-15"/>
        </w:rPr>
        <w:t>of</w:t>
      </w:r>
      <w:r>
        <w:rPr>
          <w:color w:val="231F20"/>
          <w:spacing w:val="-45"/>
        </w:rPr>
        <w:t xml:space="preserve"> </w:t>
      </w:r>
      <w:r>
        <w:rPr>
          <w:color w:val="231F20"/>
          <w:spacing w:val="-15"/>
        </w:rPr>
        <w:t>C-reactive</w:t>
      </w:r>
      <w:r>
        <w:rPr>
          <w:color w:val="231F20"/>
          <w:spacing w:val="-37"/>
        </w:rPr>
        <w:t xml:space="preserve"> </w:t>
      </w:r>
      <w:r>
        <w:rPr>
          <w:color w:val="231F20"/>
          <w:spacing w:val="-15"/>
        </w:rPr>
        <w:t>protein</w:t>
      </w:r>
      <w:r>
        <w:rPr>
          <w:color w:val="231F20"/>
          <w:spacing w:val="-33"/>
        </w:rPr>
        <w:t xml:space="preserve"> </w:t>
      </w:r>
      <w:r>
        <w:rPr>
          <w:color w:val="231F20"/>
          <w:spacing w:val="-15"/>
        </w:rPr>
        <w:t>(CRP)</w:t>
      </w:r>
      <w:r>
        <w:rPr>
          <w:color w:val="231F20"/>
          <w:spacing w:val="-37"/>
        </w:rPr>
        <w:t xml:space="preserve"> </w:t>
      </w:r>
      <w:r>
        <w:rPr>
          <w:color w:val="231F20"/>
          <w:spacing w:val="-15"/>
        </w:rPr>
        <w:t>and</w:t>
      </w:r>
      <w:r>
        <w:rPr>
          <w:color w:val="231F20"/>
          <w:spacing w:val="-35"/>
        </w:rPr>
        <w:t xml:space="preserve"> </w:t>
      </w:r>
      <w:r>
        <w:rPr>
          <w:color w:val="231F20"/>
          <w:spacing w:val="-15"/>
        </w:rPr>
        <w:t>sleep</w:t>
      </w:r>
      <w:r>
        <w:rPr>
          <w:color w:val="231F20"/>
          <w:spacing w:val="-36"/>
        </w:rPr>
        <w:t xml:space="preserve"> </w:t>
      </w:r>
      <w:r>
        <w:rPr>
          <w:color w:val="231F20"/>
          <w:spacing w:val="-15"/>
        </w:rPr>
        <w:t>quality</w:t>
      </w:r>
      <w:r>
        <w:rPr>
          <w:color w:val="231F20"/>
          <w:spacing w:val="-35"/>
        </w:rPr>
        <w:t xml:space="preserve"> </w:t>
      </w:r>
      <w:r>
        <w:rPr>
          <w:color w:val="231F20"/>
          <w:spacing w:val="-15"/>
        </w:rPr>
        <w:t>score</w:t>
      </w:r>
      <w:r>
        <w:rPr>
          <w:color w:val="231F20"/>
          <w:spacing w:val="-38"/>
        </w:rPr>
        <w:t xml:space="preserve"> </w:t>
      </w:r>
      <w:r>
        <w:rPr>
          <w:color w:val="231F20"/>
          <w:spacing w:val="-15"/>
        </w:rPr>
        <w:t>before</w:t>
      </w:r>
      <w:r>
        <w:rPr>
          <w:color w:val="231F20"/>
          <w:spacing w:val="-36"/>
        </w:rPr>
        <w:t xml:space="preserve"> </w:t>
      </w:r>
      <w:r>
        <w:rPr>
          <w:color w:val="231F20"/>
          <w:spacing w:val="-15"/>
        </w:rPr>
        <w:t>and</w:t>
      </w:r>
      <w:r>
        <w:rPr>
          <w:color w:val="231F20"/>
          <w:spacing w:val="-37"/>
        </w:rPr>
        <w:t xml:space="preserve"> </w:t>
      </w:r>
      <w:r>
        <w:rPr>
          <w:color w:val="231F20"/>
          <w:spacing w:val="-15"/>
        </w:rPr>
        <w:t>after</w:t>
      </w:r>
      <w:r>
        <w:rPr>
          <w:color w:val="231F20"/>
          <w:spacing w:val="-40"/>
        </w:rPr>
        <w:t xml:space="preserve"> </w:t>
      </w:r>
      <w:r>
        <w:rPr>
          <w:color w:val="231F20"/>
          <w:spacing w:val="-15"/>
        </w:rPr>
        <w:t>treatment</w:t>
      </w:r>
      <w:r>
        <w:rPr>
          <w:color w:val="231F20"/>
          <w:spacing w:val="-40"/>
        </w:rPr>
        <w:t xml:space="preserve"> </w:t>
      </w:r>
      <w:r>
        <w:rPr>
          <w:color w:val="231F20"/>
          <w:spacing w:val="-15"/>
        </w:rPr>
        <w:t>were</w:t>
      </w:r>
      <w:r>
        <w:rPr>
          <w:color w:val="231F20"/>
          <w:spacing w:val="-36"/>
        </w:rPr>
        <w:t xml:space="preserve"> </w:t>
      </w:r>
      <w:r>
        <w:rPr>
          <w:color w:val="231F20"/>
          <w:spacing w:val="-15"/>
        </w:rPr>
        <w:t>compared</w:t>
      </w:r>
      <w:r>
        <w:rPr>
          <w:color w:val="231F20"/>
        </w:rPr>
        <w:t xml:space="preserve"> </w:t>
      </w:r>
      <w:r>
        <w:rPr>
          <w:color w:val="231F20"/>
          <w:spacing w:val="-12"/>
        </w:rPr>
        <w:t>between</w:t>
      </w:r>
      <w:r>
        <w:rPr>
          <w:color w:val="231F20"/>
          <w:spacing w:val="-25"/>
        </w:rPr>
        <w:t xml:space="preserve"> </w:t>
      </w:r>
      <w:r>
        <w:rPr>
          <w:color w:val="231F20"/>
          <w:spacing w:val="-12"/>
        </w:rPr>
        <w:t>the</w:t>
      </w:r>
      <w:r>
        <w:rPr>
          <w:color w:val="231F20"/>
          <w:spacing w:val="-25"/>
        </w:rPr>
        <w:t xml:space="preserve"> </w:t>
      </w:r>
      <w:r>
        <w:rPr>
          <w:color w:val="231F20"/>
          <w:spacing w:val="-12"/>
        </w:rPr>
        <w:t>two</w:t>
      </w:r>
      <w:r>
        <w:rPr>
          <w:color w:val="231F20"/>
          <w:spacing w:val="-22"/>
        </w:rPr>
        <w:t xml:space="preserve"> </w:t>
      </w:r>
      <w:r>
        <w:rPr>
          <w:color w:val="231F20"/>
          <w:spacing w:val="-12"/>
        </w:rPr>
        <w:t>groups.</w:t>
      </w:r>
      <w:r>
        <w:rPr>
          <w:color w:val="231F20"/>
          <w:spacing w:val="-23"/>
        </w:rPr>
        <w:t xml:space="preserve"> </w:t>
      </w:r>
      <w:r>
        <w:rPr>
          <w:rFonts w:ascii="Times New Roman" w:hAnsi="Times New Roman" w:eastAsia="Times New Roman" w:cs="Times New Roman"/>
          <w:color w:val="231F20"/>
          <w:spacing w:val="-12"/>
        </w:rPr>
        <w:t>Results    </w:t>
      </w:r>
      <w:r>
        <w:rPr>
          <w:color w:val="231F20"/>
          <w:spacing w:val="-12"/>
        </w:rPr>
        <w:t>In the observation grou</w:t>
      </w:r>
      <w:r>
        <w:rPr>
          <w:color w:val="231F20"/>
          <w:spacing w:val="-13"/>
        </w:rPr>
        <w:t>p,</w:t>
      </w:r>
      <w:r>
        <w:rPr>
          <w:color w:val="231F20"/>
          <w:spacing w:val="-24"/>
        </w:rPr>
        <w:t xml:space="preserve"> </w:t>
      </w:r>
      <w:r>
        <w:rPr>
          <w:color w:val="231F20"/>
          <w:spacing w:val="-13"/>
        </w:rPr>
        <w:t>the</w:t>
      </w:r>
      <w:r>
        <w:rPr>
          <w:color w:val="231F20"/>
          <w:spacing w:val="-27"/>
        </w:rPr>
        <w:t xml:space="preserve"> </w:t>
      </w:r>
      <w:r>
        <w:rPr>
          <w:color w:val="231F20"/>
          <w:spacing w:val="-13"/>
        </w:rPr>
        <w:t>fever subsidence</w:t>
      </w:r>
      <w:r>
        <w:rPr>
          <w:color w:val="231F20"/>
          <w:spacing w:val="-25"/>
        </w:rPr>
        <w:t xml:space="preserve"> </w:t>
      </w:r>
      <w:r>
        <w:rPr>
          <w:color w:val="231F20"/>
          <w:spacing w:val="-13"/>
        </w:rPr>
        <w:t>time,</w:t>
      </w:r>
      <w:r>
        <w:rPr>
          <w:color w:val="231F20"/>
          <w:spacing w:val="-22"/>
        </w:rPr>
        <w:t xml:space="preserve"> </w:t>
      </w:r>
      <w:r>
        <w:rPr>
          <w:color w:val="231F20"/>
          <w:spacing w:val="-13"/>
        </w:rPr>
        <w:t>disappearance</w:t>
      </w:r>
      <w:r>
        <w:rPr>
          <w:color w:val="231F20"/>
          <w:spacing w:val="-25"/>
        </w:rPr>
        <w:t xml:space="preserve"> </w:t>
      </w:r>
      <w:r>
        <w:rPr>
          <w:color w:val="231F20"/>
          <w:spacing w:val="-13"/>
        </w:rPr>
        <w:t>time</w:t>
      </w:r>
      <w:r>
        <w:rPr>
          <w:color w:val="231F20"/>
          <w:spacing w:val="-23"/>
        </w:rPr>
        <w:t xml:space="preserve"> </w:t>
      </w:r>
      <w:r>
        <w:rPr>
          <w:color w:val="231F20"/>
          <w:spacing w:val="-13"/>
        </w:rPr>
        <w:t>of</w:t>
      </w:r>
      <w:r>
        <w:rPr>
          <w:color w:val="231F20"/>
        </w:rPr>
        <w:t xml:space="preserve"> </w:t>
      </w:r>
      <w:r>
        <w:rPr>
          <w:color w:val="231F20"/>
          <w:spacing w:val="-15"/>
        </w:rPr>
        <w:t>abdominal</w:t>
      </w:r>
      <w:r>
        <w:rPr>
          <w:color w:val="231F20"/>
          <w:spacing w:val="-34"/>
        </w:rPr>
        <w:t xml:space="preserve"> </w:t>
      </w:r>
      <w:r>
        <w:rPr>
          <w:color w:val="231F20"/>
          <w:spacing w:val="-15"/>
        </w:rPr>
        <w:t>pain,</w:t>
      </w:r>
      <w:r>
        <w:rPr>
          <w:color w:val="231F20"/>
          <w:spacing w:val="-33"/>
        </w:rPr>
        <w:t xml:space="preserve"> </w:t>
      </w:r>
      <w:r>
        <w:rPr>
          <w:color w:val="231F20"/>
          <w:spacing w:val="-15"/>
        </w:rPr>
        <w:t>disappearance</w:t>
      </w:r>
      <w:r>
        <w:rPr>
          <w:color w:val="231F20"/>
          <w:spacing w:val="-34"/>
        </w:rPr>
        <w:t xml:space="preserve"> </w:t>
      </w:r>
      <w:r>
        <w:rPr>
          <w:color w:val="231F20"/>
          <w:spacing w:val="-15"/>
        </w:rPr>
        <w:t>time</w:t>
      </w:r>
      <w:r>
        <w:rPr>
          <w:color w:val="231F20"/>
          <w:spacing w:val="-33"/>
        </w:rPr>
        <w:t xml:space="preserve"> </w:t>
      </w:r>
      <w:r>
        <w:rPr>
          <w:color w:val="231F20"/>
          <w:spacing w:val="-15"/>
        </w:rPr>
        <w:t>of</w:t>
      </w:r>
      <w:r>
        <w:rPr>
          <w:color w:val="231F20"/>
          <w:spacing w:val="-45"/>
        </w:rPr>
        <w:t xml:space="preserve"> </w:t>
      </w:r>
      <w:r>
        <w:rPr>
          <w:color w:val="231F20"/>
          <w:spacing w:val="-15"/>
        </w:rPr>
        <w:t>vomiting</w:t>
      </w:r>
      <w:r>
        <w:rPr>
          <w:color w:val="231F20"/>
          <w:spacing w:val="-33"/>
        </w:rPr>
        <w:t xml:space="preserve"> </w:t>
      </w:r>
      <w:r>
        <w:rPr>
          <w:color w:val="231F20"/>
          <w:spacing w:val="-15"/>
        </w:rPr>
        <w:t>and</w:t>
      </w:r>
      <w:r>
        <w:rPr>
          <w:color w:val="231F20"/>
          <w:spacing w:val="-34"/>
        </w:rPr>
        <w:t xml:space="preserve"> </w:t>
      </w:r>
      <w:r>
        <w:rPr>
          <w:color w:val="231F20"/>
          <w:spacing w:val="-15"/>
        </w:rPr>
        <w:t>r</w:t>
      </w:r>
      <w:r>
        <w:rPr>
          <w:color w:val="231F20"/>
          <w:spacing w:val="-16"/>
        </w:rPr>
        <w:t>ecovery</w:t>
      </w:r>
      <w:r>
        <w:rPr>
          <w:color w:val="231F20"/>
          <w:spacing w:val="-35"/>
        </w:rPr>
        <w:t xml:space="preserve"> </w:t>
      </w:r>
      <w:r>
        <w:rPr>
          <w:color w:val="231F20"/>
          <w:spacing w:val="-16"/>
        </w:rPr>
        <w:t>time</w:t>
      </w:r>
      <w:r>
        <w:rPr>
          <w:color w:val="231F20"/>
          <w:spacing w:val="-33"/>
        </w:rPr>
        <w:t xml:space="preserve"> </w:t>
      </w:r>
      <w:r>
        <w:rPr>
          <w:color w:val="231F20"/>
          <w:spacing w:val="-16"/>
        </w:rPr>
        <w:t>of</w:t>
      </w:r>
      <w:r>
        <w:rPr>
          <w:color w:val="231F20"/>
          <w:spacing w:val="-43"/>
        </w:rPr>
        <w:t xml:space="preserve"> </w:t>
      </w:r>
      <w:r>
        <w:rPr>
          <w:color w:val="231F20"/>
          <w:spacing w:val="-16"/>
        </w:rPr>
        <w:t>defecation</w:t>
      </w:r>
      <w:r>
        <w:rPr>
          <w:color w:val="231F20"/>
          <w:spacing w:val="-36"/>
        </w:rPr>
        <w:t xml:space="preserve"> </w:t>
      </w:r>
      <w:r>
        <w:rPr>
          <w:color w:val="231F20"/>
          <w:spacing w:val="-16"/>
        </w:rPr>
        <w:t>were</w:t>
      </w:r>
      <w:r>
        <w:rPr>
          <w:color w:val="231F20"/>
          <w:spacing w:val="-30"/>
        </w:rPr>
        <w:t xml:space="preserve"> </w:t>
      </w:r>
      <w:r>
        <w:rPr>
          <w:color w:val="231F20"/>
          <w:spacing w:val="-16"/>
        </w:rPr>
        <w:t>(1.41±0.24),</w:t>
      </w:r>
      <w:r>
        <w:rPr>
          <w:color w:val="231F20"/>
          <w:spacing w:val="-29"/>
        </w:rPr>
        <w:t xml:space="preserve"> </w:t>
      </w:r>
      <w:r>
        <w:rPr>
          <w:color w:val="231F20"/>
          <w:spacing w:val="-16"/>
        </w:rPr>
        <w:t>(2.04±0.43),</w:t>
      </w:r>
      <w:r>
        <w:rPr>
          <w:color w:val="231F20"/>
        </w:rPr>
        <w:t xml:space="preserve"> </w:t>
      </w:r>
      <w:r>
        <w:rPr>
          <w:color w:val="231F20"/>
          <w:spacing w:val="-16"/>
        </w:rPr>
        <w:t>(1.04±0.31)</w:t>
      </w:r>
      <w:r>
        <w:rPr>
          <w:color w:val="231F20"/>
          <w:spacing w:val="-27"/>
        </w:rPr>
        <w:t xml:space="preserve"> </w:t>
      </w:r>
      <w:r>
        <w:rPr>
          <w:color w:val="231F20"/>
          <w:spacing w:val="-16"/>
        </w:rPr>
        <w:t>and</w:t>
      </w:r>
      <w:r>
        <w:rPr>
          <w:color w:val="231F20"/>
          <w:spacing w:val="-22"/>
        </w:rPr>
        <w:t xml:space="preserve"> </w:t>
      </w:r>
      <w:r>
        <w:rPr>
          <w:color w:val="231F20"/>
          <w:spacing w:val="-16"/>
        </w:rPr>
        <w:t>(2.64±0.44)</w:t>
      </w:r>
      <w:r>
        <w:rPr>
          <w:color w:val="231F20"/>
          <w:spacing w:val="-26"/>
        </w:rPr>
        <w:t xml:space="preserve"> </w:t>
      </w:r>
      <w:r>
        <w:rPr>
          <w:color w:val="231F20"/>
          <w:spacing w:val="-16"/>
        </w:rPr>
        <w:t>d,</w:t>
      </w:r>
      <w:r>
        <w:rPr>
          <w:color w:val="231F20"/>
          <w:spacing w:val="-30"/>
        </w:rPr>
        <w:t xml:space="preserve"> </w:t>
      </w:r>
      <w:r>
        <w:rPr>
          <w:color w:val="231F20"/>
          <w:spacing w:val="-16"/>
        </w:rPr>
        <w:t>which</w:t>
      </w:r>
      <w:r>
        <w:rPr>
          <w:color w:val="231F20"/>
          <w:spacing w:val="-29"/>
        </w:rPr>
        <w:t xml:space="preserve"> </w:t>
      </w:r>
      <w:r>
        <w:rPr>
          <w:color w:val="231F20"/>
          <w:spacing w:val="-16"/>
        </w:rPr>
        <w:t>were</w:t>
      </w:r>
      <w:r>
        <w:rPr>
          <w:color w:val="231F20"/>
          <w:spacing w:val="-25"/>
        </w:rPr>
        <w:t xml:space="preserve"> </w:t>
      </w:r>
      <w:r>
        <w:rPr>
          <w:color w:val="231F20"/>
          <w:spacing w:val="-16"/>
        </w:rPr>
        <w:t>shorter</w:t>
      </w:r>
      <w:r>
        <w:rPr>
          <w:color w:val="231F20"/>
          <w:spacing w:val="-30"/>
        </w:rPr>
        <w:t xml:space="preserve"> </w:t>
      </w:r>
      <w:r>
        <w:rPr>
          <w:color w:val="231F20"/>
          <w:spacing w:val="-16"/>
        </w:rPr>
        <w:t>than</w:t>
      </w:r>
      <w:r>
        <w:rPr>
          <w:color w:val="231F20"/>
          <w:spacing w:val="-28"/>
        </w:rPr>
        <w:t xml:space="preserve"> </w:t>
      </w:r>
      <w:r>
        <w:rPr>
          <w:color w:val="231F20"/>
          <w:spacing w:val="-16"/>
        </w:rPr>
        <w:t>those</w:t>
      </w:r>
      <w:r>
        <w:rPr>
          <w:color w:val="231F20"/>
          <w:spacing w:val="-26"/>
        </w:rPr>
        <w:t xml:space="preserve"> </w:t>
      </w:r>
      <w:r>
        <w:rPr>
          <w:color w:val="231F20"/>
          <w:spacing w:val="-16"/>
        </w:rPr>
        <w:t>of</w:t>
      </w:r>
      <w:r>
        <w:rPr>
          <w:color w:val="231F20"/>
          <w:spacing w:val="-33"/>
        </w:rPr>
        <w:t xml:space="preserve"> </w:t>
      </w:r>
      <w:r>
        <w:rPr>
          <w:color w:val="231F20"/>
          <w:spacing w:val="-16"/>
        </w:rPr>
        <w:t>(2.36</w:t>
      </w:r>
      <w:r>
        <w:rPr>
          <w:color w:val="231F20"/>
          <w:spacing w:val="-17"/>
        </w:rPr>
        <w:t>±0.48),</w:t>
      </w:r>
      <w:r>
        <w:rPr>
          <w:color w:val="231F20"/>
          <w:spacing w:val="-23"/>
        </w:rPr>
        <w:t xml:space="preserve"> </w:t>
      </w:r>
      <w:r>
        <w:rPr>
          <w:color w:val="231F20"/>
          <w:spacing w:val="-17"/>
        </w:rPr>
        <w:t>(4.29±0.79),</w:t>
      </w:r>
      <w:r>
        <w:rPr>
          <w:color w:val="231F20"/>
          <w:spacing w:val="-23"/>
        </w:rPr>
        <w:t xml:space="preserve"> </w:t>
      </w:r>
      <w:r>
        <w:rPr>
          <w:color w:val="231F20"/>
          <w:spacing w:val="-17"/>
        </w:rPr>
        <w:t>(2.69±0.65)</w:t>
      </w:r>
      <w:r>
        <w:rPr>
          <w:color w:val="231F20"/>
          <w:spacing w:val="-26"/>
        </w:rPr>
        <w:t xml:space="preserve"> </w:t>
      </w:r>
      <w:r>
        <w:rPr>
          <w:color w:val="231F20"/>
          <w:spacing w:val="-17"/>
        </w:rPr>
        <w:t>and</w:t>
      </w:r>
      <w:r>
        <w:rPr>
          <w:color w:val="231F20"/>
        </w:rPr>
        <w:t xml:space="preserve"> </w:t>
      </w:r>
      <w:r>
        <w:rPr>
          <w:color w:val="231F20"/>
          <w:spacing w:val="-18"/>
        </w:rPr>
        <w:t>(4.36±0.79)</w:t>
      </w:r>
      <w:r>
        <w:rPr>
          <w:color w:val="231F20"/>
          <w:spacing w:val="-23"/>
        </w:rPr>
        <w:t xml:space="preserve"> </w:t>
      </w:r>
      <w:r>
        <w:rPr>
          <w:color w:val="231F20"/>
          <w:spacing w:val="-18"/>
        </w:rPr>
        <w:t>d</w:t>
      </w:r>
      <w:r>
        <w:rPr>
          <w:color w:val="231F20"/>
          <w:spacing w:val="-23"/>
        </w:rPr>
        <w:t xml:space="preserve"> </w:t>
      </w:r>
      <w:r>
        <w:rPr>
          <w:color w:val="231F20"/>
          <w:spacing w:val="-18"/>
        </w:rPr>
        <w:t>in</w:t>
      </w:r>
      <w:r>
        <w:rPr>
          <w:color w:val="231F20"/>
          <w:spacing w:val="-26"/>
        </w:rPr>
        <w:t xml:space="preserve"> </w:t>
      </w:r>
      <w:r>
        <w:rPr>
          <w:color w:val="231F20"/>
          <w:spacing w:val="-18"/>
        </w:rPr>
        <w:t>the</w:t>
      </w:r>
      <w:r>
        <w:rPr>
          <w:color w:val="231F20"/>
          <w:spacing w:val="-24"/>
        </w:rPr>
        <w:t xml:space="preserve"> </w:t>
      </w:r>
      <w:r>
        <w:rPr>
          <w:color w:val="231F20"/>
          <w:spacing w:val="-18"/>
        </w:rPr>
        <w:t>control</w:t>
      </w:r>
      <w:r>
        <w:rPr>
          <w:color w:val="231F20"/>
          <w:spacing w:val="-23"/>
        </w:rPr>
        <w:t xml:space="preserve"> </w:t>
      </w:r>
      <w:r>
        <w:rPr>
          <w:color w:val="231F20"/>
          <w:spacing w:val="-18"/>
        </w:rPr>
        <w:t>group,</w:t>
      </w:r>
      <w:r>
        <w:rPr>
          <w:color w:val="231F20"/>
          <w:spacing w:val="-24"/>
        </w:rPr>
        <w:t xml:space="preserve"> </w:t>
      </w:r>
      <w:r>
        <w:rPr>
          <w:color w:val="231F20"/>
          <w:spacing w:val="-18"/>
        </w:rPr>
        <w:t>and</w:t>
      </w:r>
      <w:r>
        <w:rPr>
          <w:color w:val="231F20"/>
          <w:spacing w:val="-26"/>
        </w:rPr>
        <w:t xml:space="preserve"> </w:t>
      </w:r>
      <w:r>
        <w:rPr>
          <w:color w:val="231F20"/>
          <w:spacing w:val="-18"/>
        </w:rPr>
        <w:t>the</w:t>
      </w:r>
      <w:r>
        <w:rPr>
          <w:color w:val="231F20"/>
          <w:spacing w:val="-24"/>
        </w:rPr>
        <w:t xml:space="preserve"> </w:t>
      </w:r>
      <w:r>
        <w:rPr>
          <w:color w:val="231F20"/>
          <w:spacing w:val="-18"/>
        </w:rPr>
        <w:t>differences</w:t>
      </w:r>
      <w:r>
        <w:rPr>
          <w:color w:val="231F20"/>
          <w:spacing w:val="-28"/>
        </w:rPr>
        <w:t xml:space="preserve"> </w:t>
      </w:r>
      <w:r>
        <w:rPr>
          <w:color w:val="231F20"/>
          <w:spacing w:val="-18"/>
        </w:rPr>
        <w:t>were</w:t>
      </w:r>
      <w:r>
        <w:rPr>
          <w:color w:val="231F20"/>
          <w:spacing w:val="-22"/>
        </w:rPr>
        <w:t xml:space="preserve"> </w:t>
      </w:r>
      <w:r>
        <w:rPr>
          <w:color w:val="231F20"/>
          <w:spacing w:val="-18"/>
        </w:rPr>
        <w:t>stat</w:t>
      </w:r>
      <w:r>
        <w:rPr>
          <w:color w:val="231F20"/>
          <w:spacing w:val="-19"/>
        </w:rPr>
        <w:t>istically</w:t>
      </w:r>
      <w:r>
        <w:rPr>
          <w:color w:val="231F20"/>
          <w:spacing w:val="-23"/>
        </w:rPr>
        <w:t xml:space="preserve"> </w:t>
      </w:r>
      <w:r>
        <w:rPr>
          <w:color w:val="231F20"/>
          <w:spacing w:val="-19"/>
        </w:rPr>
        <w:t>significant</w:t>
      </w:r>
      <w:r>
        <w:rPr>
          <w:color w:val="231F20"/>
          <w:spacing w:val="-20"/>
        </w:rPr>
        <w:t xml:space="preserve"> </w:t>
      </w:r>
      <w:r>
        <w:rPr>
          <w:color w:val="231F20"/>
          <w:spacing w:val="-19"/>
        </w:rPr>
        <w:t>(</w:t>
      </w:r>
      <w:r>
        <w:rPr>
          <w:rFonts w:ascii="Times New Roman" w:hAnsi="Times New Roman" w:eastAsia="Times New Roman" w:cs="Times New Roman"/>
          <w:color w:val="231F20"/>
          <w:spacing w:val="-19"/>
        </w:rPr>
        <w:t>P&lt;</w:t>
      </w:r>
      <w:r>
        <w:rPr>
          <w:color w:val="231F20"/>
          <w:spacing w:val="-19"/>
        </w:rPr>
        <w:t>0.05).</w:t>
      </w:r>
      <w:r>
        <w:rPr>
          <w:color w:val="231F20"/>
          <w:spacing w:val="-25"/>
        </w:rPr>
        <w:t xml:space="preserve"> </w:t>
      </w:r>
      <w:r>
        <w:rPr>
          <w:color w:val="231F20"/>
          <w:spacing w:val="-19"/>
        </w:rPr>
        <w:t>After 1 and</w:t>
      </w:r>
      <w:r>
        <w:rPr>
          <w:color w:val="231F20"/>
          <w:spacing w:val="-21"/>
        </w:rPr>
        <w:t xml:space="preserve"> </w:t>
      </w:r>
      <w:r>
        <w:rPr>
          <w:color w:val="231F20"/>
          <w:spacing w:val="-19"/>
        </w:rPr>
        <w:t>3</w:t>
      </w:r>
      <w:r>
        <w:rPr>
          <w:color w:val="231F20"/>
          <w:spacing w:val="-24"/>
        </w:rPr>
        <w:t xml:space="preserve"> </w:t>
      </w:r>
      <w:r>
        <w:rPr>
          <w:color w:val="231F20"/>
          <w:spacing w:val="-19"/>
        </w:rPr>
        <w:t>d</w:t>
      </w:r>
      <w:r>
        <w:rPr>
          <w:color w:val="231F20"/>
        </w:rPr>
        <w:t xml:space="preserve"> </w:t>
      </w:r>
      <w:r>
        <w:rPr>
          <w:color w:val="231F20"/>
          <w:spacing w:val="-14"/>
        </w:rPr>
        <w:t>of</w:t>
      </w:r>
      <w:r>
        <w:rPr>
          <w:color w:val="231F20"/>
          <w:spacing w:val="-37"/>
        </w:rPr>
        <w:t xml:space="preserve"> </w:t>
      </w:r>
      <w:r>
        <w:rPr>
          <w:color w:val="231F20"/>
          <w:spacing w:val="-14"/>
        </w:rPr>
        <w:t>treatment,</w:t>
      </w:r>
      <w:r>
        <w:rPr>
          <w:color w:val="231F20"/>
          <w:spacing w:val="-21"/>
        </w:rPr>
        <w:t xml:space="preserve"> </w:t>
      </w:r>
      <w:r>
        <w:rPr>
          <w:color w:val="231F20"/>
          <w:spacing w:val="-14"/>
        </w:rPr>
        <w:t>CRP</w:t>
      </w:r>
      <w:r>
        <w:rPr>
          <w:color w:val="231F20"/>
          <w:spacing w:val="-25"/>
        </w:rPr>
        <w:t xml:space="preserve"> </w:t>
      </w:r>
      <w:r>
        <w:rPr>
          <w:color w:val="231F20"/>
          <w:spacing w:val="-14"/>
        </w:rPr>
        <w:t>levels</w:t>
      </w:r>
      <w:r>
        <w:rPr>
          <w:color w:val="231F20"/>
          <w:spacing w:val="-23"/>
        </w:rPr>
        <w:t xml:space="preserve"> </w:t>
      </w:r>
      <w:r>
        <w:rPr>
          <w:color w:val="231F20"/>
          <w:spacing w:val="-14"/>
        </w:rPr>
        <w:t>in</w:t>
      </w:r>
      <w:r>
        <w:rPr>
          <w:color w:val="231F20"/>
          <w:spacing w:val="-25"/>
        </w:rPr>
        <w:t xml:space="preserve"> </w:t>
      </w:r>
      <w:r>
        <w:rPr>
          <w:color w:val="231F20"/>
          <w:spacing w:val="-14"/>
        </w:rPr>
        <w:t>both</w:t>
      </w:r>
      <w:r>
        <w:rPr>
          <w:color w:val="231F20"/>
          <w:spacing w:val="-23"/>
        </w:rPr>
        <w:t xml:space="preserve"> </w:t>
      </w:r>
      <w:r>
        <w:rPr>
          <w:color w:val="231F20"/>
          <w:spacing w:val="-14"/>
        </w:rPr>
        <w:t>groups</w:t>
      </w:r>
      <w:r>
        <w:rPr>
          <w:color w:val="231F20"/>
          <w:spacing w:val="-28"/>
        </w:rPr>
        <w:t xml:space="preserve"> </w:t>
      </w:r>
      <w:r>
        <w:rPr>
          <w:color w:val="231F20"/>
          <w:spacing w:val="-14"/>
        </w:rPr>
        <w:t>were</w:t>
      </w:r>
      <w:r>
        <w:rPr>
          <w:color w:val="231F20"/>
          <w:spacing w:val="-25"/>
        </w:rPr>
        <w:t xml:space="preserve"> </w:t>
      </w:r>
      <w:r>
        <w:rPr>
          <w:color w:val="231F20"/>
          <w:spacing w:val="-14"/>
        </w:rPr>
        <w:t>lower</w:t>
      </w:r>
      <w:r>
        <w:rPr>
          <w:color w:val="231F20"/>
          <w:spacing w:val="-27"/>
        </w:rPr>
        <w:t xml:space="preserve"> </w:t>
      </w:r>
      <w:r>
        <w:rPr>
          <w:color w:val="231F20"/>
          <w:spacing w:val="-14"/>
        </w:rPr>
        <w:t>than</w:t>
      </w:r>
      <w:r>
        <w:rPr>
          <w:color w:val="231F20"/>
          <w:spacing w:val="-26"/>
        </w:rPr>
        <w:t xml:space="preserve"> </w:t>
      </w:r>
      <w:r>
        <w:rPr>
          <w:color w:val="231F20"/>
          <w:spacing w:val="-14"/>
        </w:rPr>
        <w:t>those</w:t>
      </w:r>
      <w:r>
        <w:rPr>
          <w:color w:val="231F20"/>
          <w:spacing w:val="-25"/>
        </w:rPr>
        <w:t xml:space="preserve"> </w:t>
      </w:r>
      <w:r>
        <w:rPr>
          <w:color w:val="231F20"/>
          <w:spacing w:val="-14"/>
        </w:rPr>
        <w:t>before</w:t>
      </w:r>
      <w:r>
        <w:rPr>
          <w:color w:val="231F20"/>
          <w:spacing w:val="-26"/>
        </w:rPr>
        <w:t xml:space="preserve"> </w:t>
      </w:r>
      <w:r>
        <w:rPr>
          <w:color w:val="231F20"/>
          <w:spacing w:val="-14"/>
        </w:rPr>
        <w:t>t</w:t>
      </w:r>
      <w:r>
        <w:rPr>
          <w:color w:val="231F20"/>
          <w:spacing w:val="-15"/>
        </w:rPr>
        <w:t>reatment</w:t>
      </w:r>
      <w:r>
        <w:rPr>
          <w:color w:val="231F20"/>
          <w:spacing w:val="-23"/>
        </w:rPr>
        <w:t xml:space="preserve"> </w:t>
      </w:r>
      <w:r>
        <w:rPr>
          <w:color w:val="231F20"/>
          <w:spacing w:val="-15"/>
        </w:rPr>
        <w:t>in</w:t>
      </w:r>
      <w:r>
        <w:rPr>
          <w:color w:val="231F20"/>
          <w:spacing w:val="-26"/>
        </w:rPr>
        <w:t xml:space="preserve"> </w:t>
      </w:r>
      <w:r>
        <w:rPr>
          <w:color w:val="231F20"/>
          <w:spacing w:val="-15"/>
        </w:rPr>
        <w:t>this</w:t>
      </w:r>
      <w:r>
        <w:rPr>
          <w:color w:val="231F20"/>
          <w:spacing w:val="-23"/>
        </w:rPr>
        <w:t xml:space="preserve"> </w:t>
      </w:r>
      <w:r>
        <w:rPr>
          <w:color w:val="231F20"/>
          <w:spacing w:val="-15"/>
        </w:rPr>
        <w:t>group;</w:t>
      </w:r>
      <w:r>
        <w:rPr>
          <w:color w:val="231F20"/>
          <w:spacing w:val="-21"/>
        </w:rPr>
        <w:t xml:space="preserve"> </w:t>
      </w:r>
      <w:r>
        <w:rPr>
          <w:color w:val="231F20"/>
          <w:spacing w:val="-15"/>
        </w:rPr>
        <w:t>CRP</w:t>
      </w:r>
      <w:r>
        <w:rPr>
          <w:color w:val="231F20"/>
          <w:spacing w:val="-26"/>
        </w:rPr>
        <w:t xml:space="preserve"> </w:t>
      </w:r>
      <w:r>
        <w:rPr>
          <w:color w:val="231F20"/>
          <w:spacing w:val="-15"/>
        </w:rPr>
        <w:t>levels</w:t>
      </w:r>
      <w:r>
        <w:rPr>
          <w:color w:val="231F20"/>
          <w:spacing w:val="-27"/>
        </w:rPr>
        <w:t xml:space="preserve"> </w:t>
      </w:r>
      <w:r>
        <w:rPr>
          <w:color w:val="231F20"/>
          <w:spacing w:val="-15"/>
        </w:rPr>
        <w:t>were</w:t>
      </w:r>
      <w:r>
        <w:rPr>
          <w:color w:val="231F20"/>
        </w:rPr>
        <w:t xml:space="preserve"> </w:t>
      </w:r>
      <w:r>
        <w:rPr>
          <w:color w:val="231F20"/>
          <w:spacing w:val="-13"/>
        </w:rPr>
        <w:t>(10.41±0.81)</w:t>
      </w:r>
      <w:r>
        <w:rPr>
          <w:color w:val="231F20"/>
          <w:spacing w:val="-20"/>
        </w:rPr>
        <w:t xml:space="preserve"> </w:t>
      </w:r>
      <w:r>
        <w:rPr>
          <w:color w:val="231F20"/>
          <w:spacing w:val="-13"/>
        </w:rPr>
        <w:t>and (4.45±0.23)</w:t>
      </w:r>
      <w:r>
        <w:rPr>
          <w:color w:val="231F20"/>
          <w:spacing w:val="-20"/>
        </w:rPr>
        <w:t xml:space="preserve"> </w:t>
      </w:r>
      <w:r>
        <w:rPr>
          <w:color w:val="231F20"/>
          <w:spacing w:val="-13"/>
        </w:rPr>
        <w:t>mg/L</w:t>
      </w:r>
      <w:r>
        <w:rPr>
          <w:color w:val="231F20"/>
          <w:spacing w:val="-19"/>
        </w:rPr>
        <w:t xml:space="preserve"> </w:t>
      </w:r>
      <w:r>
        <w:rPr>
          <w:color w:val="231F20"/>
          <w:spacing w:val="-13"/>
        </w:rPr>
        <w:t>in</w:t>
      </w:r>
      <w:r>
        <w:rPr>
          <w:color w:val="231F20"/>
          <w:spacing w:val="-22"/>
        </w:rPr>
        <w:t xml:space="preserve"> </w:t>
      </w:r>
      <w:r>
        <w:rPr>
          <w:color w:val="231F20"/>
          <w:spacing w:val="-13"/>
        </w:rPr>
        <w:t>the</w:t>
      </w:r>
      <w:r>
        <w:rPr>
          <w:color w:val="231F20"/>
          <w:spacing w:val="-20"/>
        </w:rPr>
        <w:t xml:space="preserve"> </w:t>
      </w:r>
      <w:r>
        <w:rPr>
          <w:color w:val="231F20"/>
          <w:spacing w:val="-13"/>
        </w:rPr>
        <w:t>observation</w:t>
      </w:r>
      <w:r>
        <w:rPr>
          <w:color w:val="231F20"/>
          <w:spacing w:val="-19"/>
        </w:rPr>
        <w:t xml:space="preserve"> </w:t>
      </w:r>
      <w:r>
        <w:rPr>
          <w:color w:val="231F20"/>
          <w:spacing w:val="-13"/>
        </w:rPr>
        <w:t>group,</w:t>
      </w:r>
      <w:r>
        <w:rPr>
          <w:color w:val="231F20"/>
          <w:spacing w:val="-23"/>
        </w:rPr>
        <w:t xml:space="preserve"> </w:t>
      </w:r>
      <w:r>
        <w:rPr>
          <w:color w:val="231F20"/>
          <w:spacing w:val="-13"/>
        </w:rPr>
        <w:t>which</w:t>
      </w:r>
      <w:r>
        <w:rPr>
          <w:color w:val="231F20"/>
          <w:spacing w:val="-23"/>
        </w:rPr>
        <w:t xml:space="preserve"> </w:t>
      </w:r>
      <w:r>
        <w:rPr>
          <w:color w:val="231F20"/>
          <w:spacing w:val="-13"/>
        </w:rPr>
        <w:t>were</w:t>
      </w:r>
      <w:r>
        <w:rPr>
          <w:color w:val="231F20"/>
          <w:spacing w:val="-19"/>
        </w:rPr>
        <w:t xml:space="preserve"> </w:t>
      </w:r>
      <w:r>
        <w:rPr>
          <w:color w:val="231F20"/>
          <w:spacing w:val="-13"/>
        </w:rPr>
        <w:t>sig</w:t>
      </w:r>
      <w:r>
        <w:rPr>
          <w:color w:val="231F20"/>
          <w:spacing w:val="-14"/>
        </w:rPr>
        <w:t>nificantly</w:t>
      </w:r>
      <w:r>
        <w:rPr>
          <w:color w:val="231F20"/>
          <w:spacing w:val="-21"/>
        </w:rPr>
        <w:t xml:space="preserve"> </w:t>
      </w:r>
      <w:r>
        <w:rPr>
          <w:color w:val="231F20"/>
          <w:spacing w:val="-14"/>
        </w:rPr>
        <w:t>lower</w:t>
      </w:r>
      <w:r>
        <w:rPr>
          <w:color w:val="231F20"/>
          <w:spacing w:val="-23"/>
        </w:rPr>
        <w:t xml:space="preserve"> </w:t>
      </w:r>
      <w:r>
        <w:rPr>
          <w:color w:val="231F20"/>
          <w:spacing w:val="-14"/>
        </w:rPr>
        <w:t>than</w:t>
      </w:r>
      <w:r>
        <w:rPr>
          <w:color w:val="231F20"/>
          <w:spacing w:val="-22"/>
        </w:rPr>
        <w:t xml:space="preserve"> </w:t>
      </w:r>
      <w:r>
        <w:rPr>
          <w:color w:val="231F20"/>
          <w:spacing w:val="-14"/>
        </w:rPr>
        <w:t>those</w:t>
      </w:r>
      <w:r>
        <w:rPr>
          <w:color w:val="231F20"/>
          <w:spacing w:val="-20"/>
        </w:rPr>
        <w:t xml:space="preserve"> </w:t>
      </w:r>
      <w:r>
        <w:rPr>
          <w:color w:val="231F20"/>
          <w:spacing w:val="-14"/>
        </w:rPr>
        <w:t>of</w:t>
      </w:r>
      <w:r>
        <w:rPr>
          <w:color w:val="231F20"/>
        </w:rPr>
        <w:t xml:space="preserve"> </w:t>
      </w:r>
      <w:r>
        <w:rPr>
          <w:color w:val="231F20"/>
          <w:spacing w:val="-19"/>
        </w:rPr>
        <w:t>(13.26±1.06)</w:t>
      </w:r>
      <w:r>
        <w:rPr>
          <w:color w:val="231F20"/>
          <w:spacing w:val="-22"/>
        </w:rPr>
        <w:t xml:space="preserve"> </w:t>
      </w:r>
      <w:r>
        <w:rPr>
          <w:color w:val="231F20"/>
          <w:spacing w:val="-19"/>
        </w:rPr>
        <w:t>and</w:t>
      </w:r>
      <w:r>
        <w:rPr>
          <w:color w:val="231F20"/>
          <w:spacing w:val="-24"/>
        </w:rPr>
        <w:t xml:space="preserve"> </w:t>
      </w:r>
      <w:r>
        <w:rPr>
          <w:color w:val="231F20"/>
          <w:spacing w:val="-19"/>
        </w:rPr>
        <w:t>(6.16±0.39)</w:t>
      </w:r>
      <w:r>
        <w:rPr>
          <w:color w:val="231F20"/>
          <w:spacing w:val="-29"/>
        </w:rPr>
        <w:t xml:space="preserve"> </w:t>
      </w:r>
      <w:r>
        <w:rPr>
          <w:color w:val="231F20"/>
          <w:spacing w:val="-19"/>
        </w:rPr>
        <w:t>mg/L</w:t>
      </w:r>
      <w:r>
        <w:rPr>
          <w:color w:val="231F20"/>
          <w:spacing w:val="-27"/>
        </w:rPr>
        <w:t xml:space="preserve"> </w:t>
      </w:r>
      <w:r>
        <w:rPr>
          <w:color w:val="231F20"/>
          <w:spacing w:val="-19"/>
        </w:rPr>
        <w:t>in</w:t>
      </w:r>
      <w:r>
        <w:rPr>
          <w:color w:val="231F20"/>
          <w:spacing w:val="-30"/>
        </w:rPr>
        <w:t xml:space="preserve"> </w:t>
      </w:r>
      <w:r>
        <w:rPr>
          <w:color w:val="231F20"/>
          <w:spacing w:val="-19"/>
        </w:rPr>
        <w:t>the</w:t>
      </w:r>
      <w:r>
        <w:rPr>
          <w:color w:val="231F20"/>
          <w:spacing w:val="-28"/>
        </w:rPr>
        <w:t xml:space="preserve"> </w:t>
      </w:r>
      <w:r>
        <w:rPr>
          <w:color w:val="231F20"/>
          <w:spacing w:val="-19"/>
        </w:rPr>
        <w:t>control</w:t>
      </w:r>
      <w:r>
        <w:rPr>
          <w:color w:val="231F20"/>
          <w:spacing w:val="-27"/>
        </w:rPr>
        <w:t xml:space="preserve"> </w:t>
      </w:r>
      <w:r>
        <w:rPr>
          <w:color w:val="231F20"/>
          <w:spacing w:val="-19"/>
        </w:rPr>
        <w:t>group;</w:t>
      </w:r>
      <w:r>
        <w:rPr>
          <w:color w:val="231F20"/>
          <w:spacing w:val="-30"/>
        </w:rPr>
        <w:t xml:space="preserve"> </w:t>
      </w:r>
      <w:r>
        <w:rPr>
          <w:color w:val="231F20"/>
          <w:spacing w:val="-19"/>
        </w:rPr>
        <w:t>the</w:t>
      </w:r>
      <w:r>
        <w:rPr>
          <w:color w:val="231F20"/>
          <w:spacing w:val="-28"/>
        </w:rPr>
        <w:t xml:space="preserve"> </w:t>
      </w:r>
      <w:r>
        <w:rPr>
          <w:color w:val="231F20"/>
          <w:spacing w:val="-19"/>
        </w:rPr>
        <w:t>differences</w:t>
      </w:r>
      <w:r>
        <w:rPr>
          <w:color w:val="231F20"/>
          <w:spacing w:val="-31"/>
        </w:rPr>
        <w:t xml:space="preserve"> </w:t>
      </w:r>
      <w:r>
        <w:rPr>
          <w:color w:val="231F20"/>
          <w:spacing w:val="-19"/>
        </w:rPr>
        <w:t>were</w:t>
      </w:r>
      <w:r>
        <w:rPr>
          <w:color w:val="231F20"/>
          <w:spacing w:val="-27"/>
        </w:rPr>
        <w:t xml:space="preserve"> </w:t>
      </w:r>
      <w:r>
        <w:rPr>
          <w:color w:val="231F20"/>
          <w:spacing w:val="-19"/>
        </w:rPr>
        <w:t>statistically</w:t>
      </w:r>
      <w:r>
        <w:rPr>
          <w:color w:val="231F20"/>
          <w:spacing w:val="-26"/>
        </w:rPr>
        <w:t xml:space="preserve"> </w:t>
      </w:r>
      <w:r>
        <w:rPr>
          <w:color w:val="231F20"/>
          <w:spacing w:val="-19"/>
        </w:rPr>
        <w:t>significant</w:t>
      </w:r>
      <w:r>
        <w:rPr>
          <w:color w:val="231F20"/>
          <w:spacing w:val="-24"/>
        </w:rPr>
        <w:t xml:space="preserve"> </w:t>
      </w:r>
      <w:r>
        <w:rPr>
          <w:color w:val="231F20"/>
          <w:spacing w:val="-19"/>
        </w:rPr>
        <w:t>(</w:t>
      </w:r>
      <w:r>
        <w:rPr>
          <w:rFonts w:ascii="Times New Roman" w:hAnsi="Times New Roman" w:eastAsia="Times New Roman" w:cs="Times New Roman"/>
          <w:color w:val="231F20"/>
          <w:spacing w:val="-19"/>
        </w:rPr>
        <w:t>P&lt;</w:t>
      </w:r>
      <w:r>
        <w:rPr>
          <w:color w:val="231F20"/>
          <w:spacing w:val="-19"/>
        </w:rPr>
        <w:t>0.05).</w:t>
      </w:r>
      <w:r>
        <w:rPr>
          <w:color w:val="231F20"/>
        </w:rPr>
        <w:t xml:space="preserve"> </w:t>
      </w:r>
      <w:r>
        <w:rPr>
          <w:color w:val="231F20"/>
          <w:spacing w:val="-15"/>
        </w:rPr>
        <w:t>The</w:t>
      </w:r>
      <w:r>
        <w:rPr>
          <w:color w:val="231F20"/>
          <w:spacing w:val="-34"/>
        </w:rPr>
        <w:t xml:space="preserve"> </w:t>
      </w:r>
      <w:r>
        <w:rPr>
          <w:color w:val="231F20"/>
          <w:spacing w:val="-15"/>
        </w:rPr>
        <w:t>total</w:t>
      </w:r>
      <w:r>
        <w:rPr>
          <w:color w:val="231F20"/>
          <w:spacing w:val="-32"/>
        </w:rPr>
        <w:t xml:space="preserve"> </w:t>
      </w:r>
      <w:r>
        <w:rPr>
          <w:color w:val="231F20"/>
          <w:spacing w:val="-15"/>
        </w:rPr>
        <w:t>effective</w:t>
      </w:r>
      <w:r>
        <w:rPr>
          <w:color w:val="231F20"/>
          <w:spacing w:val="-32"/>
        </w:rPr>
        <w:t xml:space="preserve"> </w:t>
      </w:r>
      <w:r>
        <w:rPr>
          <w:color w:val="231F20"/>
          <w:spacing w:val="-15"/>
        </w:rPr>
        <w:t>rate</w:t>
      </w:r>
      <w:r>
        <w:rPr>
          <w:color w:val="231F20"/>
          <w:spacing w:val="-33"/>
        </w:rPr>
        <w:t xml:space="preserve"> </w:t>
      </w:r>
      <w:r>
        <w:rPr>
          <w:color w:val="231F20"/>
          <w:spacing w:val="-15"/>
        </w:rPr>
        <w:t>of</w:t>
      </w:r>
      <w:r>
        <w:rPr>
          <w:color w:val="231F20"/>
          <w:spacing w:val="-44"/>
        </w:rPr>
        <w:t xml:space="preserve"> </w:t>
      </w:r>
      <w:r>
        <w:rPr>
          <w:color w:val="231F20"/>
          <w:spacing w:val="-15"/>
        </w:rPr>
        <w:t>the</w:t>
      </w:r>
      <w:r>
        <w:rPr>
          <w:color w:val="231F20"/>
          <w:spacing w:val="-33"/>
        </w:rPr>
        <w:t xml:space="preserve"> </w:t>
      </w:r>
      <w:r>
        <w:rPr>
          <w:color w:val="231F20"/>
          <w:spacing w:val="-15"/>
        </w:rPr>
        <w:t>observation</w:t>
      </w:r>
      <w:r>
        <w:rPr>
          <w:color w:val="231F20"/>
          <w:spacing w:val="-31"/>
        </w:rPr>
        <w:t xml:space="preserve"> </w:t>
      </w:r>
      <w:r>
        <w:rPr>
          <w:color w:val="231F20"/>
          <w:spacing w:val="-15"/>
        </w:rPr>
        <w:t>group</w:t>
      </w:r>
      <w:r>
        <w:rPr>
          <w:color w:val="231F20"/>
          <w:spacing w:val="-36"/>
        </w:rPr>
        <w:t xml:space="preserve"> </w:t>
      </w:r>
      <w:r>
        <w:rPr>
          <w:color w:val="231F20"/>
          <w:spacing w:val="-15"/>
        </w:rPr>
        <w:t>was</w:t>
      </w:r>
      <w:r>
        <w:rPr>
          <w:color w:val="231F20"/>
          <w:spacing w:val="-32"/>
        </w:rPr>
        <w:t xml:space="preserve"> </w:t>
      </w:r>
      <w:r>
        <w:rPr>
          <w:color w:val="231F20"/>
          <w:spacing w:val="-15"/>
        </w:rPr>
        <w:t>97</w:t>
      </w:r>
      <w:r>
        <w:rPr>
          <w:color w:val="231F20"/>
          <w:spacing w:val="-16"/>
        </w:rPr>
        <w:t>.06%,</w:t>
      </w:r>
      <w:r>
        <w:rPr>
          <w:color w:val="231F20"/>
          <w:spacing w:val="-36"/>
        </w:rPr>
        <w:t xml:space="preserve"> </w:t>
      </w:r>
      <w:r>
        <w:rPr>
          <w:color w:val="231F20"/>
          <w:spacing w:val="-16"/>
        </w:rPr>
        <w:t>which</w:t>
      </w:r>
      <w:r>
        <w:rPr>
          <w:color w:val="231F20"/>
          <w:spacing w:val="-35"/>
        </w:rPr>
        <w:t xml:space="preserve"> </w:t>
      </w:r>
      <w:r>
        <w:rPr>
          <w:color w:val="231F20"/>
          <w:spacing w:val="-16"/>
        </w:rPr>
        <w:t>was</w:t>
      </w:r>
      <w:r>
        <w:rPr>
          <w:color w:val="231F20"/>
          <w:spacing w:val="-33"/>
        </w:rPr>
        <w:t xml:space="preserve"> </w:t>
      </w:r>
      <w:r>
        <w:rPr>
          <w:color w:val="231F20"/>
          <w:spacing w:val="-16"/>
        </w:rPr>
        <w:t>higher</w:t>
      </w:r>
      <w:r>
        <w:rPr>
          <w:color w:val="231F20"/>
          <w:spacing w:val="-36"/>
        </w:rPr>
        <w:t xml:space="preserve"> </w:t>
      </w:r>
      <w:r>
        <w:rPr>
          <w:color w:val="231F20"/>
          <w:spacing w:val="-16"/>
        </w:rPr>
        <w:t>than</w:t>
      </w:r>
      <w:r>
        <w:rPr>
          <w:color w:val="231F20"/>
          <w:spacing w:val="-34"/>
        </w:rPr>
        <w:t xml:space="preserve"> </w:t>
      </w:r>
      <w:r>
        <w:rPr>
          <w:color w:val="231F20"/>
          <w:spacing w:val="-16"/>
        </w:rPr>
        <w:t>that</w:t>
      </w:r>
      <w:r>
        <w:rPr>
          <w:color w:val="231F20"/>
          <w:spacing w:val="-32"/>
        </w:rPr>
        <w:t xml:space="preserve"> </w:t>
      </w:r>
      <w:r>
        <w:rPr>
          <w:color w:val="231F20"/>
          <w:spacing w:val="-16"/>
        </w:rPr>
        <w:t>of</w:t>
      </w:r>
      <w:r>
        <w:rPr>
          <w:color w:val="231F20"/>
          <w:spacing w:val="-44"/>
        </w:rPr>
        <w:t xml:space="preserve"> </w:t>
      </w:r>
      <w:r>
        <w:rPr>
          <w:color w:val="231F20"/>
          <w:spacing w:val="-16"/>
        </w:rPr>
        <w:t>78.79%</w:t>
      </w:r>
      <w:r>
        <w:rPr>
          <w:color w:val="231F20"/>
          <w:spacing w:val="-33"/>
        </w:rPr>
        <w:t xml:space="preserve"> </w:t>
      </w:r>
      <w:r>
        <w:rPr>
          <w:color w:val="231F20"/>
          <w:spacing w:val="-16"/>
        </w:rPr>
        <w:t>of</w:t>
      </w:r>
      <w:r>
        <w:rPr>
          <w:color w:val="231F20"/>
          <w:spacing w:val="-44"/>
        </w:rPr>
        <w:t xml:space="preserve"> </w:t>
      </w:r>
      <w:r>
        <w:rPr>
          <w:color w:val="231F20"/>
          <w:spacing w:val="-16"/>
        </w:rPr>
        <w:t>the</w:t>
      </w:r>
      <w:r>
        <w:rPr>
          <w:color w:val="231F20"/>
          <w:spacing w:val="-32"/>
        </w:rPr>
        <w:t xml:space="preserve"> </w:t>
      </w:r>
      <w:r>
        <w:rPr>
          <w:color w:val="231F20"/>
          <w:spacing w:val="-16"/>
        </w:rPr>
        <w:t>control</w:t>
      </w:r>
      <w:r>
        <w:rPr>
          <w:color w:val="231F20"/>
        </w:rPr>
        <w:t xml:space="preserve"> </w:t>
      </w:r>
      <w:r>
        <w:rPr>
          <w:color w:val="231F20"/>
          <w:spacing w:val="-19"/>
        </w:rPr>
        <w:t>group,</w:t>
      </w:r>
      <w:r>
        <w:rPr>
          <w:color w:val="231F20"/>
          <w:spacing w:val="-26"/>
        </w:rPr>
        <w:t xml:space="preserve"> </w:t>
      </w:r>
      <w:r>
        <w:rPr>
          <w:color w:val="231F20"/>
          <w:spacing w:val="-19"/>
        </w:rPr>
        <w:t>and</w:t>
      </w:r>
      <w:r>
        <w:rPr>
          <w:color w:val="231F20"/>
          <w:spacing w:val="-27"/>
        </w:rPr>
        <w:t xml:space="preserve"> </w:t>
      </w:r>
      <w:r>
        <w:rPr>
          <w:color w:val="231F20"/>
          <w:spacing w:val="-19"/>
        </w:rPr>
        <w:t>the</w:t>
      </w:r>
      <w:r>
        <w:rPr>
          <w:color w:val="231F20"/>
          <w:spacing w:val="-25"/>
        </w:rPr>
        <w:t xml:space="preserve"> </w:t>
      </w:r>
      <w:r>
        <w:rPr>
          <w:color w:val="231F20"/>
          <w:spacing w:val="-19"/>
        </w:rPr>
        <w:t>differenc</w:t>
      </w:r>
      <w:r>
        <w:rPr>
          <w:color w:val="231F20"/>
          <w:spacing w:val="-20"/>
        </w:rPr>
        <w:t>e</w:t>
      </w:r>
      <w:r>
        <w:rPr>
          <w:color w:val="231F20"/>
          <w:spacing w:val="-29"/>
        </w:rPr>
        <w:t xml:space="preserve"> </w:t>
      </w:r>
      <w:r>
        <w:rPr>
          <w:color w:val="231F20"/>
          <w:spacing w:val="-20"/>
        </w:rPr>
        <w:t>was</w:t>
      </w:r>
      <w:r>
        <w:rPr>
          <w:color w:val="231F20"/>
          <w:spacing w:val="-25"/>
        </w:rPr>
        <w:t xml:space="preserve"> </w:t>
      </w:r>
      <w:r>
        <w:rPr>
          <w:color w:val="231F20"/>
          <w:spacing w:val="-20"/>
        </w:rPr>
        <w:t>statistically</w:t>
      </w:r>
      <w:r>
        <w:rPr>
          <w:color w:val="231F20"/>
          <w:spacing w:val="-24"/>
        </w:rPr>
        <w:t xml:space="preserve"> </w:t>
      </w:r>
      <w:r>
        <w:rPr>
          <w:color w:val="231F20"/>
          <w:spacing w:val="-20"/>
        </w:rPr>
        <w:t>significant</w:t>
      </w:r>
      <w:r>
        <w:rPr>
          <w:color w:val="231F20"/>
          <w:spacing w:val="-22"/>
        </w:rPr>
        <w:t xml:space="preserve"> </w:t>
      </w:r>
      <w:r>
        <w:rPr>
          <w:color w:val="231F20"/>
          <w:spacing w:val="-20"/>
        </w:rPr>
        <w:t>(</w:t>
      </w:r>
      <w:r>
        <w:rPr>
          <w:rFonts w:ascii="Times New Roman" w:hAnsi="Times New Roman" w:eastAsia="Times New Roman" w:cs="Times New Roman"/>
          <w:color w:val="231F20"/>
          <w:spacing w:val="-20"/>
        </w:rPr>
        <w:t>P&lt;</w:t>
      </w:r>
      <w:r>
        <w:rPr>
          <w:color w:val="231F20"/>
          <w:spacing w:val="-20"/>
        </w:rPr>
        <w:t>0.05).</w:t>
      </w:r>
      <w:r>
        <w:rPr>
          <w:color w:val="231F20"/>
          <w:spacing w:val="-26"/>
        </w:rPr>
        <w:t xml:space="preserve"> </w:t>
      </w:r>
      <w:r>
        <w:rPr>
          <w:color w:val="231F20"/>
          <w:spacing w:val="-20"/>
        </w:rPr>
        <w:t>After</w:t>
      </w:r>
      <w:r>
        <w:rPr>
          <w:color w:val="231F20"/>
          <w:spacing w:val="-24"/>
        </w:rPr>
        <w:t xml:space="preserve"> </w:t>
      </w:r>
      <w:r>
        <w:rPr>
          <w:color w:val="231F20"/>
          <w:spacing w:val="-20"/>
        </w:rPr>
        <w:t>3</w:t>
      </w:r>
      <w:r>
        <w:rPr>
          <w:color w:val="231F20"/>
          <w:spacing w:val="-25"/>
        </w:rPr>
        <w:t xml:space="preserve"> </w:t>
      </w:r>
      <w:r>
        <w:rPr>
          <w:color w:val="231F20"/>
          <w:spacing w:val="-20"/>
        </w:rPr>
        <w:t>d</w:t>
      </w:r>
      <w:r>
        <w:rPr>
          <w:color w:val="231F20"/>
          <w:spacing w:val="-26"/>
        </w:rPr>
        <w:t xml:space="preserve"> </w:t>
      </w:r>
      <w:r>
        <w:rPr>
          <w:color w:val="231F20"/>
          <w:spacing w:val="-20"/>
        </w:rPr>
        <w:t>of</w:t>
      </w:r>
      <w:r>
        <w:rPr>
          <w:color w:val="231F20"/>
          <w:spacing w:val="-38"/>
        </w:rPr>
        <w:t xml:space="preserve"> </w:t>
      </w:r>
      <w:r>
        <w:rPr>
          <w:color w:val="231F20"/>
          <w:spacing w:val="-20"/>
        </w:rPr>
        <w:t>treatment,</w:t>
      </w:r>
      <w:r>
        <w:rPr>
          <w:color w:val="231F20"/>
          <w:spacing w:val="-28"/>
        </w:rPr>
        <w:t xml:space="preserve"> </w:t>
      </w:r>
      <w:r>
        <w:rPr>
          <w:color w:val="231F20"/>
          <w:spacing w:val="-20"/>
        </w:rPr>
        <w:t>the</w:t>
      </w:r>
      <w:r>
        <w:rPr>
          <w:color w:val="231F20"/>
          <w:spacing w:val="-24"/>
        </w:rPr>
        <w:t xml:space="preserve"> </w:t>
      </w:r>
      <w:r>
        <w:rPr>
          <w:color w:val="231F20"/>
          <w:spacing w:val="-20"/>
        </w:rPr>
        <w:t>sleep</w:t>
      </w:r>
      <w:r>
        <w:rPr>
          <w:color w:val="231F20"/>
          <w:spacing w:val="-25"/>
        </w:rPr>
        <w:t xml:space="preserve"> </w:t>
      </w:r>
      <w:r>
        <w:rPr>
          <w:color w:val="231F20"/>
          <w:spacing w:val="-20"/>
        </w:rPr>
        <w:t>quality</w:t>
      </w:r>
      <w:r>
        <w:rPr>
          <w:color w:val="231F20"/>
          <w:spacing w:val="-24"/>
        </w:rPr>
        <w:t xml:space="preserve"> </w:t>
      </w:r>
      <w:r>
        <w:rPr>
          <w:color w:val="231F20"/>
          <w:spacing w:val="-20"/>
        </w:rPr>
        <w:t>score</w:t>
      </w:r>
      <w:r>
        <w:rPr>
          <w:color w:val="231F20"/>
          <w:spacing w:val="-25"/>
        </w:rPr>
        <w:t xml:space="preserve"> </w:t>
      </w:r>
      <w:r>
        <w:rPr>
          <w:color w:val="231F20"/>
          <w:spacing w:val="-20"/>
        </w:rPr>
        <w:t>of</w:t>
      </w:r>
      <w:r>
        <w:rPr>
          <w:color w:val="231F20"/>
        </w:rPr>
        <w:t xml:space="preserve"> </w:t>
      </w:r>
      <w:r>
        <w:rPr>
          <w:color w:val="231F20"/>
          <w:spacing w:val="-18"/>
        </w:rPr>
        <w:t>(6.13±1.81)</w:t>
      </w:r>
      <w:r>
        <w:rPr>
          <w:color w:val="231F20"/>
          <w:spacing w:val="-36"/>
        </w:rPr>
        <w:t xml:space="preserve"> </w:t>
      </w:r>
      <w:r>
        <w:rPr>
          <w:color w:val="231F20"/>
          <w:spacing w:val="-18"/>
        </w:rPr>
        <w:t>points</w:t>
      </w:r>
      <w:r>
        <w:rPr>
          <w:color w:val="231F20"/>
          <w:spacing w:val="-35"/>
        </w:rPr>
        <w:t xml:space="preserve"> </w:t>
      </w:r>
      <w:r>
        <w:rPr>
          <w:color w:val="231F20"/>
          <w:spacing w:val="-18"/>
        </w:rPr>
        <w:t>in</w:t>
      </w:r>
      <w:r>
        <w:rPr>
          <w:color w:val="231F20"/>
          <w:spacing w:val="-38"/>
        </w:rPr>
        <w:t xml:space="preserve"> </w:t>
      </w:r>
      <w:r>
        <w:rPr>
          <w:color w:val="231F20"/>
          <w:spacing w:val="-18"/>
        </w:rPr>
        <w:t>the</w:t>
      </w:r>
      <w:r>
        <w:rPr>
          <w:color w:val="231F20"/>
          <w:spacing w:val="-35"/>
        </w:rPr>
        <w:t xml:space="preserve"> </w:t>
      </w:r>
      <w:r>
        <w:rPr>
          <w:color w:val="231F20"/>
          <w:spacing w:val="-18"/>
        </w:rPr>
        <w:t>observation</w:t>
      </w:r>
      <w:r>
        <w:rPr>
          <w:color w:val="231F20"/>
          <w:spacing w:val="-35"/>
        </w:rPr>
        <w:t xml:space="preserve"> </w:t>
      </w:r>
      <w:r>
        <w:rPr>
          <w:color w:val="231F20"/>
          <w:spacing w:val="-18"/>
        </w:rPr>
        <w:t>group</w:t>
      </w:r>
      <w:r>
        <w:rPr>
          <w:color w:val="231F20"/>
          <w:spacing w:val="-39"/>
        </w:rPr>
        <w:t xml:space="preserve"> </w:t>
      </w:r>
      <w:r>
        <w:rPr>
          <w:color w:val="231F20"/>
          <w:spacing w:val="-18"/>
        </w:rPr>
        <w:t>was</w:t>
      </w:r>
      <w:r>
        <w:rPr>
          <w:color w:val="231F20"/>
          <w:spacing w:val="-34"/>
        </w:rPr>
        <w:t xml:space="preserve"> </w:t>
      </w:r>
      <w:r>
        <w:rPr>
          <w:color w:val="231F20"/>
          <w:spacing w:val="-18"/>
        </w:rPr>
        <w:t>significantly</w:t>
      </w:r>
      <w:r>
        <w:rPr>
          <w:color w:val="231F20"/>
          <w:spacing w:val="-36"/>
        </w:rPr>
        <w:t xml:space="preserve"> </w:t>
      </w:r>
      <w:r>
        <w:rPr>
          <w:color w:val="231F20"/>
          <w:spacing w:val="-18"/>
        </w:rPr>
        <w:t>l</w:t>
      </w:r>
      <w:r>
        <w:rPr>
          <w:color w:val="231F20"/>
          <w:spacing w:val="-19"/>
        </w:rPr>
        <w:t>ower</w:t>
      </w:r>
      <w:r>
        <w:rPr>
          <w:color w:val="231F20"/>
          <w:spacing w:val="-39"/>
        </w:rPr>
        <w:t xml:space="preserve"> </w:t>
      </w:r>
      <w:r>
        <w:rPr>
          <w:color w:val="231F20"/>
          <w:spacing w:val="-19"/>
        </w:rPr>
        <w:t>than</w:t>
      </w:r>
      <w:r>
        <w:rPr>
          <w:color w:val="231F20"/>
          <w:spacing w:val="-37"/>
        </w:rPr>
        <w:t xml:space="preserve"> </w:t>
      </w:r>
      <w:r>
        <w:rPr>
          <w:color w:val="231F20"/>
          <w:spacing w:val="-19"/>
        </w:rPr>
        <w:t>that</w:t>
      </w:r>
      <w:r>
        <w:rPr>
          <w:color w:val="231F20"/>
          <w:spacing w:val="-36"/>
        </w:rPr>
        <w:t xml:space="preserve"> </w:t>
      </w:r>
      <w:r>
        <w:rPr>
          <w:color w:val="231F20"/>
          <w:spacing w:val="-19"/>
        </w:rPr>
        <w:t>of</w:t>
      </w:r>
      <w:r>
        <w:rPr>
          <w:color w:val="231F20"/>
          <w:spacing w:val="-42"/>
        </w:rPr>
        <w:t xml:space="preserve"> </w:t>
      </w:r>
      <w:r>
        <w:rPr>
          <w:color w:val="231F20"/>
          <w:spacing w:val="-19"/>
        </w:rPr>
        <w:t>(8.92±2.23)</w:t>
      </w:r>
      <w:r>
        <w:rPr>
          <w:color w:val="231F20"/>
          <w:spacing w:val="-37"/>
        </w:rPr>
        <w:t xml:space="preserve"> </w:t>
      </w:r>
      <w:r>
        <w:rPr>
          <w:color w:val="231F20"/>
          <w:spacing w:val="-19"/>
        </w:rPr>
        <w:t>points</w:t>
      </w:r>
      <w:r>
        <w:rPr>
          <w:color w:val="231F20"/>
          <w:spacing w:val="-35"/>
        </w:rPr>
        <w:t xml:space="preserve"> </w:t>
      </w:r>
      <w:r>
        <w:rPr>
          <w:color w:val="231F20"/>
          <w:spacing w:val="-19"/>
        </w:rPr>
        <w:t>in</w:t>
      </w:r>
      <w:r>
        <w:rPr>
          <w:color w:val="231F20"/>
          <w:spacing w:val="-37"/>
        </w:rPr>
        <w:t xml:space="preserve"> </w:t>
      </w:r>
      <w:r>
        <w:rPr>
          <w:color w:val="231F20"/>
          <w:spacing w:val="-19"/>
        </w:rPr>
        <w:t>the</w:t>
      </w:r>
      <w:r>
        <w:rPr>
          <w:color w:val="231F20"/>
          <w:spacing w:val="-35"/>
        </w:rPr>
        <w:t xml:space="preserve"> </w:t>
      </w:r>
      <w:r>
        <w:rPr>
          <w:color w:val="231F20"/>
          <w:spacing w:val="-19"/>
        </w:rPr>
        <w:t>control</w:t>
      </w:r>
      <w:r>
        <w:rPr>
          <w:color w:val="231F20"/>
        </w:rPr>
        <w:t xml:space="preserve"> </w:t>
      </w:r>
      <w:r>
        <w:rPr>
          <w:color w:val="231F20"/>
          <w:spacing w:val="-15"/>
        </w:rPr>
        <w:t>group,</w:t>
      </w:r>
      <w:r>
        <w:rPr>
          <w:color w:val="231F20"/>
          <w:spacing w:val="-32"/>
        </w:rPr>
        <w:t xml:space="preserve"> </w:t>
      </w:r>
      <w:r>
        <w:rPr>
          <w:color w:val="231F20"/>
          <w:spacing w:val="-15"/>
        </w:rPr>
        <w:t>and</w:t>
      </w:r>
      <w:r>
        <w:rPr>
          <w:color w:val="231F20"/>
          <w:spacing w:val="-34"/>
        </w:rPr>
        <w:t xml:space="preserve"> </w:t>
      </w:r>
      <w:r>
        <w:rPr>
          <w:color w:val="231F20"/>
          <w:spacing w:val="-15"/>
        </w:rPr>
        <w:t>the</w:t>
      </w:r>
      <w:r>
        <w:rPr>
          <w:color w:val="231F20"/>
          <w:spacing w:val="-32"/>
        </w:rPr>
        <w:t xml:space="preserve"> </w:t>
      </w:r>
      <w:r>
        <w:rPr>
          <w:color w:val="231F20"/>
          <w:spacing w:val="-15"/>
        </w:rPr>
        <w:t>difference</w:t>
      </w:r>
      <w:r>
        <w:rPr>
          <w:color w:val="231F20"/>
          <w:spacing w:val="-35"/>
        </w:rPr>
        <w:t xml:space="preserve"> </w:t>
      </w:r>
      <w:r>
        <w:rPr>
          <w:color w:val="231F20"/>
          <w:spacing w:val="-15"/>
        </w:rPr>
        <w:t>was</w:t>
      </w:r>
      <w:r>
        <w:rPr>
          <w:color w:val="231F20"/>
          <w:spacing w:val="-31"/>
        </w:rPr>
        <w:t xml:space="preserve"> </w:t>
      </w:r>
      <w:r>
        <w:rPr>
          <w:color w:val="231F20"/>
          <w:spacing w:val="-15"/>
        </w:rPr>
        <w:t>stati</w:t>
      </w:r>
      <w:r>
        <w:rPr>
          <w:color w:val="231F20"/>
          <w:spacing w:val="-16"/>
        </w:rPr>
        <w:t>stically</w:t>
      </w:r>
      <w:r>
        <w:rPr>
          <w:color w:val="231F20"/>
          <w:spacing w:val="-30"/>
        </w:rPr>
        <w:t xml:space="preserve"> </w:t>
      </w:r>
      <w:r>
        <w:rPr>
          <w:color w:val="231F20"/>
          <w:spacing w:val="-16"/>
        </w:rPr>
        <w:t>significant</w:t>
      </w:r>
      <w:r>
        <w:rPr>
          <w:color w:val="231F20"/>
          <w:spacing w:val="-29"/>
        </w:rPr>
        <w:t xml:space="preserve"> </w:t>
      </w:r>
      <w:r>
        <w:rPr>
          <w:color w:val="231F20"/>
          <w:spacing w:val="-16"/>
        </w:rPr>
        <w:t>(</w:t>
      </w:r>
      <w:r>
        <w:rPr>
          <w:rFonts w:ascii="Times New Roman" w:hAnsi="Times New Roman" w:eastAsia="Times New Roman" w:cs="Times New Roman"/>
          <w:color w:val="231F20"/>
          <w:spacing w:val="-16"/>
        </w:rPr>
        <w:t>P&lt;</w:t>
      </w:r>
      <w:r>
        <w:rPr>
          <w:color w:val="231F20"/>
          <w:spacing w:val="-16"/>
        </w:rPr>
        <w:t>0.05).</w:t>
      </w:r>
      <w:r>
        <w:rPr>
          <w:color w:val="231F20"/>
          <w:spacing w:val="-28"/>
        </w:rPr>
        <w:t xml:space="preserve"> </w:t>
      </w:r>
      <w:r>
        <w:rPr>
          <w:rFonts w:ascii="Times New Roman" w:hAnsi="Times New Roman" w:eastAsia="Times New Roman" w:cs="Times New Roman"/>
          <w:color w:val="231F20"/>
          <w:spacing w:val="-16"/>
        </w:rPr>
        <w:t>Conclusion    </w:t>
      </w:r>
      <w:r>
        <w:rPr>
          <w:color w:val="231F20"/>
          <w:spacing w:val="-16"/>
        </w:rPr>
        <w:t>The</w:t>
      </w:r>
      <w:r>
        <w:rPr>
          <w:color w:val="231F20"/>
          <w:spacing w:val="-31"/>
        </w:rPr>
        <w:t xml:space="preserve"> </w:t>
      </w:r>
      <w:r>
        <w:rPr>
          <w:color w:val="231F20"/>
          <w:spacing w:val="-16"/>
        </w:rPr>
        <w:t>combination</w:t>
      </w:r>
      <w:r>
        <w:rPr>
          <w:color w:val="231F20"/>
          <w:spacing w:val="-32"/>
        </w:rPr>
        <w:t xml:space="preserve"> </w:t>
      </w:r>
      <w:r>
        <w:rPr>
          <w:color w:val="231F20"/>
          <w:spacing w:val="-16"/>
        </w:rPr>
        <w:t>of</w:t>
      </w:r>
      <w:r>
        <w:rPr>
          <w:color w:val="231F20"/>
          <w:spacing w:val="-43"/>
        </w:rPr>
        <w:t xml:space="preserve"> </w:t>
      </w:r>
      <w:r>
        <w:rPr>
          <w:color w:val="231F20"/>
          <w:spacing w:val="-16"/>
        </w:rPr>
        <w:t>montmorillonite</w:t>
      </w:r>
      <w:r>
        <w:rPr>
          <w:color w:val="231F20"/>
        </w:rPr>
        <w:t xml:space="preserve"> </w:t>
      </w:r>
      <w:r>
        <w:rPr>
          <w:color w:val="231F20"/>
          <w:spacing w:val="-17"/>
        </w:rPr>
        <w:t>powder</w:t>
      </w:r>
      <w:r>
        <w:rPr>
          <w:color w:val="231F20"/>
          <w:spacing w:val="-25"/>
        </w:rPr>
        <w:t xml:space="preserve"> </w:t>
      </w:r>
      <w:r>
        <w:rPr>
          <w:color w:val="231F20"/>
          <w:spacing w:val="-17"/>
        </w:rPr>
        <w:t>and</w:t>
      </w:r>
      <w:r>
        <w:rPr>
          <w:color w:val="231F20"/>
          <w:spacing w:val="-26"/>
        </w:rPr>
        <w:t xml:space="preserve"> </w:t>
      </w:r>
      <w:r>
        <w:rPr>
          <w:color w:val="231F20"/>
          <w:spacing w:val="-17"/>
        </w:rPr>
        <w:t>live</w:t>
      </w:r>
      <w:r>
        <w:rPr>
          <w:color w:val="231F20"/>
          <w:spacing w:val="-23"/>
        </w:rPr>
        <w:t xml:space="preserve"> </w:t>
      </w:r>
      <w:r>
        <w:rPr>
          <w:color w:val="231F20"/>
          <w:spacing w:val="-17"/>
        </w:rPr>
        <w:t>combined</w:t>
      </w:r>
      <w:r>
        <w:rPr>
          <w:color w:val="231F20"/>
          <w:spacing w:val="-26"/>
        </w:rPr>
        <w:t xml:space="preserve"> </w:t>
      </w:r>
      <w:r>
        <w:rPr>
          <w:color w:val="231F20"/>
          <w:spacing w:val="-17"/>
        </w:rPr>
        <w:t>bifidobacterium</w:t>
      </w:r>
      <w:r>
        <w:rPr>
          <w:color w:val="231F20"/>
          <w:spacing w:val="-25"/>
        </w:rPr>
        <w:t xml:space="preserve"> </w:t>
      </w:r>
      <w:r>
        <w:rPr>
          <w:color w:val="231F20"/>
          <w:spacing w:val="-17"/>
        </w:rPr>
        <w:t>and</w:t>
      </w:r>
      <w:r>
        <w:rPr>
          <w:color w:val="231F20"/>
          <w:spacing w:val="-26"/>
        </w:rPr>
        <w:t xml:space="preserve"> </w:t>
      </w:r>
      <w:r>
        <w:rPr>
          <w:color w:val="231F20"/>
          <w:spacing w:val="-17"/>
        </w:rPr>
        <w:t>lactobacillus</w:t>
      </w:r>
      <w:r>
        <w:rPr>
          <w:color w:val="231F20"/>
          <w:spacing w:val="-26"/>
        </w:rPr>
        <w:t xml:space="preserve"> </w:t>
      </w:r>
      <w:r>
        <w:rPr>
          <w:color w:val="231F20"/>
          <w:spacing w:val="-17"/>
        </w:rPr>
        <w:t>tablets</w:t>
      </w:r>
      <w:r>
        <w:rPr>
          <w:color w:val="231F20"/>
          <w:spacing w:val="-29"/>
        </w:rPr>
        <w:t xml:space="preserve"> </w:t>
      </w:r>
      <w:r>
        <w:rPr>
          <w:color w:val="231F20"/>
          <w:spacing w:val="-17"/>
        </w:rPr>
        <w:t>for</w:t>
      </w:r>
      <w:r>
        <w:rPr>
          <w:color w:val="231F20"/>
          <w:spacing w:val="-28"/>
        </w:rPr>
        <w:t xml:space="preserve"> </w:t>
      </w:r>
      <w:r>
        <w:rPr>
          <w:color w:val="231F20"/>
          <w:spacing w:val="-17"/>
        </w:rPr>
        <w:t>the</w:t>
      </w:r>
      <w:r>
        <w:rPr>
          <w:color w:val="231F20"/>
          <w:spacing w:val="-27"/>
        </w:rPr>
        <w:t xml:space="preserve"> </w:t>
      </w:r>
      <w:r>
        <w:rPr>
          <w:color w:val="231F20"/>
          <w:spacing w:val="-17"/>
        </w:rPr>
        <w:t>treatment</w:t>
      </w:r>
      <w:r>
        <w:rPr>
          <w:color w:val="231F20"/>
          <w:spacing w:val="-24"/>
        </w:rPr>
        <w:t xml:space="preserve"> </w:t>
      </w:r>
      <w:r>
        <w:rPr>
          <w:color w:val="231F20"/>
          <w:spacing w:val="-17"/>
        </w:rPr>
        <w:t>of</w:t>
      </w:r>
      <w:r>
        <w:rPr>
          <w:color w:val="231F20"/>
          <w:spacing w:val="-36"/>
        </w:rPr>
        <w:t xml:space="preserve"> </w:t>
      </w:r>
      <w:r>
        <w:rPr>
          <w:color w:val="231F20"/>
          <w:spacing w:val="-17"/>
        </w:rPr>
        <w:t>acute</w:t>
      </w:r>
      <w:r>
        <w:rPr>
          <w:color w:val="231F20"/>
          <w:spacing w:val="-23"/>
        </w:rPr>
        <w:t xml:space="preserve"> </w:t>
      </w:r>
      <w:r>
        <w:rPr>
          <w:color w:val="231F20"/>
          <w:spacing w:val="-17"/>
        </w:rPr>
        <w:t>gastroenteritis</w:t>
      </w:r>
      <w:r>
        <w:rPr>
          <w:color w:val="231F20"/>
          <w:spacing w:val="-24"/>
        </w:rPr>
        <w:t xml:space="preserve"> </w:t>
      </w:r>
      <w:r>
        <w:rPr>
          <w:color w:val="231F20"/>
          <w:spacing w:val="-17"/>
        </w:rPr>
        <w:t>in</w:t>
      </w:r>
      <w:r>
        <w:rPr>
          <w:color w:val="231F20"/>
        </w:rPr>
        <w:t xml:space="preserve"> </w:t>
      </w:r>
      <w:r>
        <w:rPr>
          <w:color w:val="231F20"/>
          <w:spacing w:val="-18"/>
        </w:rPr>
        <w:t>children</w:t>
      </w:r>
      <w:r>
        <w:rPr>
          <w:color w:val="231F20"/>
          <w:spacing w:val="-36"/>
        </w:rPr>
        <w:t xml:space="preserve"> </w:t>
      </w:r>
      <w:r>
        <w:rPr>
          <w:color w:val="231F20"/>
          <w:spacing w:val="-18"/>
        </w:rPr>
        <w:t>can</w:t>
      </w:r>
      <w:r>
        <w:rPr>
          <w:color w:val="231F20"/>
          <w:spacing w:val="-36"/>
        </w:rPr>
        <w:t xml:space="preserve"> </w:t>
      </w:r>
      <w:r>
        <w:rPr>
          <w:color w:val="231F20"/>
          <w:spacing w:val="-18"/>
        </w:rPr>
        <w:t>effectively</w:t>
      </w:r>
      <w:r>
        <w:rPr>
          <w:color w:val="231F20"/>
          <w:spacing w:val="-37"/>
        </w:rPr>
        <w:t xml:space="preserve"> </w:t>
      </w:r>
      <w:r>
        <w:rPr>
          <w:color w:val="231F20"/>
          <w:spacing w:val="-18"/>
        </w:rPr>
        <w:t>alleviate</w:t>
      </w:r>
      <w:r>
        <w:rPr>
          <w:color w:val="231F20"/>
          <w:spacing w:val="-38"/>
        </w:rPr>
        <w:t xml:space="preserve"> </w:t>
      </w:r>
      <w:r>
        <w:rPr>
          <w:color w:val="231F20"/>
          <w:spacing w:val="-18"/>
        </w:rPr>
        <w:t>the</w:t>
      </w:r>
      <w:r>
        <w:rPr>
          <w:color w:val="231F20"/>
          <w:spacing w:val="-36"/>
        </w:rPr>
        <w:t xml:space="preserve"> </w:t>
      </w:r>
      <w:r>
        <w:rPr>
          <w:color w:val="231F20"/>
          <w:spacing w:val="-18"/>
        </w:rPr>
        <w:t>condition</w:t>
      </w:r>
      <w:r>
        <w:rPr>
          <w:color w:val="231F20"/>
          <w:spacing w:val="-36"/>
        </w:rPr>
        <w:t xml:space="preserve"> </w:t>
      </w:r>
      <w:r>
        <w:rPr>
          <w:color w:val="231F20"/>
          <w:spacing w:val="-18"/>
        </w:rPr>
        <w:t>of</w:t>
      </w:r>
      <w:r>
        <w:rPr>
          <w:color w:val="231F20"/>
          <w:spacing w:val="-47"/>
        </w:rPr>
        <w:t xml:space="preserve"> </w:t>
      </w:r>
      <w:r>
        <w:rPr>
          <w:color w:val="231F20"/>
          <w:spacing w:val="-18"/>
        </w:rPr>
        <w:t>children</w:t>
      </w:r>
      <w:r>
        <w:rPr>
          <w:color w:val="231F20"/>
          <w:spacing w:val="-37"/>
        </w:rPr>
        <w:t xml:space="preserve"> </w:t>
      </w:r>
      <w:r>
        <w:rPr>
          <w:color w:val="231F20"/>
          <w:spacing w:val="-18"/>
        </w:rPr>
        <w:t>and</w:t>
      </w:r>
      <w:r>
        <w:rPr>
          <w:color w:val="231F20"/>
          <w:spacing w:val="-36"/>
        </w:rPr>
        <w:t xml:space="preserve"> </w:t>
      </w:r>
      <w:r>
        <w:rPr>
          <w:color w:val="231F20"/>
          <w:spacing w:val="-18"/>
        </w:rPr>
        <w:t>im</w:t>
      </w:r>
      <w:r>
        <w:rPr>
          <w:color w:val="231F20"/>
          <w:spacing w:val="-19"/>
        </w:rPr>
        <w:t>prove</w:t>
      </w:r>
      <w:r>
        <w:rPr>
          <w:color w:val="231F20"/>
          <w:spacing w:val="-38"/>
        </w:rPr>
        <w:t xml:space="preserve"> </w:t>
      </w:r>
      <w:r>
        <w:rPr>
          <w:color w:val="231F20"/>
          <w:spacing w:val="-19"/>
        </w:rPr>
        <w:t>the</w:t>
      </w:r>
      <w:r>
        <w:rPr>
          <w:color w:val="231F20"/>
          <w:spacing w:val="-36"/>
        </w:rPr>
        <w:t xml:space="preserve"> </w:t>
      </w:r>
      <w:r>
        <w:rPr>
          <w:color w:val="231F20"/>
          <w:spacing w:val="-19"/>
        </w:rPr>
        <w:t>clinical</w:t>
      </w:r>
      <w:r>
        <w:rPr>
          <w:color w:val="231F20"/>
          <w:spacing w:val="-35"/>
        </w:rPr>
        <w:t xml:space="preserve"> </w:t>
      </w:r>
      <w:r>
        <w:rPr>
          <w:color w:val="231F20"/>
          <w:spacing w:val="-19"/>
        </w:rPr>
        <w:t>symptoms</w:t>
      </w:r>
      <w:r>
        <w:rPr>
          <w:color w:val="231F20"/>
          <w:spacing w:val="-37"/>
        </w:rPr>
        <w:t xml:space="preserve"> </w:t>
      </w:r>
      <w:r>
        <w:rPr>
          <w:color w:val="231F20"/>
          <w:spacing w:val="-19"/>
        </w:rPr>
        <w:t>of</w:t>
      </w:r>
      <w:r>
        <w:rPr>
          <w:color w:val="231F20"/>
          <w:spacing w:val="-47"/>
        </w:rPr>
        <w:t xml:space="preserve"> </w:t>
      </w:r>
      <w:r>
        <w:rPr>
          <w:color w:val="231F20"/>
          <w:spacing w:val="-19"/>
        </w:rPr>
        <w:t>children,</w:t>
      </w:r>
      <w:r>
        <w:rPr>
          <w:color w:val="231F20"/>
          <w:spacing w:val="-36"/>
        </w:rPr>
        <w:t xml:space="preserve"> </w:t>
      </w:r>
      <w:r>
        <w:rPr>
          <w:color w:val="231F20"/>
          <w:spacing w:val="-19"/>
        </w:rPr>
        <w:t>and</w:t>
      </w:r>
      <w:r>
        <w:rPr>
          <w:color w:val="231F20"/>
          <w:spacing w:val="-37"/>
        </w:rPr>
        <w:t xml:space="preserve"> </w:t>
      </w:r>
      <w:r>
        <w:rPr>
          <w:color w:val="231F20"/>
          <w:spacing w:val="-19"/>
        </w:rPr>
        <w:t>it</w:t>
      </w:r>
      <w:r>
        <w:rPr>
          <w:color w:val="231F20"/>
          <w:spacing w:val="-36"/>
        </w:rPr>
        <w:t xml:space="preserve"> </w:t>
      </w:r>
      <w:r>
        <w:rPr>
          <w:color w:val="231F20"/>
          <w:spacing w:val="-19"/>
        </w:rPr>
        <w:t>is</w:t>
      </w:r>
      <w:r>
        <w:rPr>
          <w:color w:val="231F20"/>
        </w:rPr>
        <w:t xml:space="preserve"> </w:t>
      </w:r>
      <w:r>
        <w:rPr>
          <w:color w:val="231F20"/>
          <w:spacing w:val="-17"/>
        </w:rPr>
        <w:t>worthy</w:t>
      </w:r>
      <w:r>
        <w:rPr>
          <w:color w:val="231F20"/>
          <w:spacing w:val="-24"/>
        </w:rPr>
        <w:t xml:space="preserve"> </w:t>
      </w:r>
      <w:r>
        <w:rPr>
          <w:color w:val="231F20"/>
          <w:spacing w:val="-17"/>
        </w:rPr>
        <w:t>of</w:t>
      </w:r>
      <w:r>
        <w:rPr>
          <w:color w:val="231F20"/>
          <w:spacing w:val="-51"/>
        </w:rPr>
        <w:t xml:space="preserve"> </w:t>
      </w:r>
      <w:r>
        <w:rPr>
          <w:color w:val="231F20"/>
          <w:spacing w:val="-17"/>
        </w:rPr>
        <w:t>clinical</w:t>
      </w:r>
      <w:r>
        <w:rPr>
          <w:color w:val="231F20"/>
          <w:spacing w:val="-40"/>
        </w:rPr>
        <w:t xml:space="preserve"> </w:t>
      </w:r>
      <w:r>
        <w:rPr>
          <w:color w:val="231F20"/>
          <w:spacing w:val="-17"/>
        </w:rPr>
        <w:t>application</w:t>
      </w:r>
      <w:r>
        <w:rPr>
          <w:color w:val="231F20"/>
          <w:spacing w:val="-41"/>
        </w:rPr>
        <w:t xml:space="preserve"> </w:t>
      </w:r>
      <w:r>
        <w:rPr>
          <w:color w:val="231F20"/>
          <w:spacing w:val="-17"/>
        </w:rPr>
        <w:t>and</w:t>
      </w:r>
      <w:r>
        <w:rPr>
          <w:color w:val="231F20"/>
          <w:spacing w:val="-42"/>
        </w:rPr>
        <w:t xml:space="preserve"> </w:t>
      </w:r>
      <w:r>
        <w:rPr>
          <w:color w:val="231F20"/>
          <w:spacing w:val="-17"/>
        </w:rPr>
        <w:t>promotion.</w:t>
      </w:r>
    </w:p>
    <w:p>
      <w:pPr>
        <w:pStyle w:val="BodyText"/>
        <w:ind w:left="787" w:right="1701" w:firstLine="265"/>
        <w:spacing w:before="2" w:line="247" w:lineRule="auto"/>
        <w:rPr/>
      </w:pPr>
      <w:r>
        <w:rPr>
          <w:rFonts w:ascii="Microsoft YaHei" w:hAnsi="Microsoft YaHei" w:eastAsia="Microsoft YaHei" w:cs="Microsoft YaHei"/>
          <w:color w:val="231F20"/>
          <w:spacing w:val="-13"/>
        </w:rPr>
        <w:t>【</w:t>
      </w:r>
      <w:r>
        <w:rPr>
          <w:rFonts w:ascii="Times New Roman" w:hAnsi="Times New Roman" w:eastAsia="Times New Roman" w:cs="Times New Roman"/>
          <w:color w:val="231F20"/>
          <w:spacing w:val="-13"/>
        </w:rPr>
        <w:t>Key</w:t>
      </w:r>
      <w:r>
        <w:rPr>
          <w:rFonts w:ascii="Times New Roman" w:hAnsi="Times New Roman" w:eastAsia="Times New Roman" w:cs="Times New Roman"/>
          <w:color w:val="231F20"/>
          <w:spacing w:val="20"/>
          <w:w w:val="102"/>
        </w:rPr>
        <w:t xml:space="preserve"> </w:t>
      </w:r>
      <w:r>
        <w:rPr>
          <w:rFonts w:ascii="Times New Roman" w:hAnsi="Times New Roman" w:eastAsia="Times New Roman" w:cs="Times New Roman"/>
          <w:color w:val="231F20"/>
          <w:spacing w:val="-13"/>
        </w:rPr>
        <w:t>words</w:t>
      </w:r>
      <w:r>
        <w:rPr>
          <w:rFonts w:ascii="Times New Roman" w:hAnsi="Times New Roman" w:eastAsia="Times New Roman" w:cs="Times New Roman"/>
          <w:color w:val="231F20"/>
          <w:spacing w:val="-9"/>
        </w:rPr>
        <w:t xml:space="preserve"> </w:t>
      </w:r>
      <w:r>
        <w:rPr>
          <w:rFonts w:ascii="Microsoft YaHei" w:hAnsi="Microsoft YaHei" w:eastAsia="Microsoft YaHei" w:cs="Microsoft YaHei"/>
          <w:color w:val="231F20"/>
          <w:spacing w:val="-13"/>
        </w:rPr>
        <w:t>】</w:t>
      </w:r>
      <w:r>
        <w:rPr>
          <w:rFonts w:ascii="Microsoft YaHei" w:hAnsi="Microsoft YaHei" w:eastAsia="Microsoft YaHei" w:cs="Microsoft YaHei"/>
          <w:color w:val="231F20"/>
          <w:spacing w:val="22"/>
          <w:w w:val="101"/>
        </w:rPr>
        <w:t xml:space="preserve"> </w:t>
      </w:r>
      <w:r>
        <w:rPr>
          <w:color w:val="231F20"/>
          <w:spacing w:val="-13"/>
        </w:rPr>
        <w:t>Acute</w:t>
      </w:r>
      <w:r>
        <w:rPr>
          <w:color w:val="231F20"/>
          <w:spacing w:val="-24"/>
        </w:rPr>
        <w:t xml:space="preserve"> </w:t>
      </w:r>
      <w:r>
        <w:rPr>
          <w:color w:val="231F20"/>
          <w:spacing w:val="-13"/>
        </w:rPr>
        <w:t>gastroenteritis</w:t>
      </w:r>
      <w:r>
        <w:rPr>
          <w:color w:val="231F20"/>
          <w:spacing w:val="-25"/>
        </w:rPr>
        <w:t xml:space="preserve"> </w:t>
      </w:r>
      <w:r>
        <w:rPr>
          <w:color w:val="231F20"/>
          <w:spacing w:val="-13"/>
        </w:rPr>
        <w:t>in</w:t>
      </w:r>
      <w:r>
        <w:rPr>
          <w:color w:val="231F20"/>
          <w:spacing w:val="-24"/>
        </w:rPr>
        <w:t xml:space="preserve"> </w:t>
      </w:r>
      <w:r>
        <w:rPr>
          <w:color w:val="231F20"/>
          <w:spacing w:val="-13"/>
        </w:rPr>
        <w:t>ch</w:t>
      </w:r>
      <w:r>
        <w:rPr>
          <w:color w:val="231F20"/>
          <w:spacing w:val="-14"/>
        </w:rPr>
        <w:t>ildren;</w:t>
      </w:r>
      <w:r>
        <w:rPr>
          <w:color w:val="231F20"/>
          <w:spacing w:val="-22"/>
        </w:rPr>
        <w:t xml:space="preserve"> </w:t>
      </w:r>
      <w:r>
        <w:rPr>
          <w:color w:val="231F20"/>
          <w:spacing w:val="-14"/>
        </w:rPr>
        <w:t>Montmorillonite</w:t>
      </w:r>
      <w:r>
        <w:rPr>
          <w:color w:val="231F20"/>
          <w:spacing w:val="-26"/>
        </w:rPr>
        <w:t xml:space="preserve"> </w:t>
      </w:r>
      <w:r>
        <w:rPr>
          <w:color w:val="231F20"/>
          <w:spacing w:val="-14"/>
        </w:rPr>
        <w:t>powder;</w:t>
      </w:r>
      <w:r>
        <w:rPr>
          <w:color w:val="231F20"/>
          <w:spacing w:val="-24"/>
        </w:rPr>
        <w:t xml:space="preserve"> </w:t>
      </w:r>
      <w:r>
        <w:rPr>
          <w:color w:val="231F20"/>
          <w:spacing w:val="-14"/>
        </w:rPr>
        <w:t>Live</w:t>
      </w:r>
      <w:r>
        <w:rPr>
          <w:color w:val="231F20"/>
          <w:spacing w:val="-24"/>
        </w:rPr>
        <w:t xml:space="preserve"> </w:t>
      </w:r>
      <w:r>
        <w:rPr>
          <w:color w:val="231F20"/>
          <w:spacing w:val="-14"/>
        </w:rPr>
        <w:t>combined</w:t>
      </w:r>
      <w:r>
        <w:rPr>
          <w:color w:val="231F20"/>
          <w:spacing w:val="-26"/>
        </w:rPr>
        <w:t xml:space="preserve"> </w:t>
      </w:r>
      <w:r>
        <w:rPr>
          <w:color w:val="231F20"/>
          <w:spacing w:val="-14"/>
        </w:rPr>
        <w:t>bifidobacterium</w:t>
      </w:r>
      <w:r>
        <w:rPr>
          <w:color w:val="231F20"/>
        </w:rPr>
        <w:t xml:space="preserve"> </w:t>
      </w:r>
      <w:r>
        <w:rPr>
          <w:color w:val="231F20"/>
          <w:spacing w:val="-19"/>
        </w:rPr>
        <w:t>and</w:t>
      </w:r>
      <w:r>
        <w:rPr>
          <w:color w:val="231F20"/>
          <w:spacing w:val="-41"/>
        </w:rPr>
        <w:t xml:space="preserve"> </w:t>
      </w:r>
      <w:r>
        <w:rPr>
          <w:color w:val="231F20"/>
          <w:spacing w:val="-19"/>
        </w:rPr>
        <w:t>lactobacillus</w:t>
      </w:r>
      <w:r>
        <w:rPr>
          <w:color w:val="231F20"/>
          <w:spacing w:val="-43"/>
        </w:rPr>
        <w:t xml:space="preserve"> </w:t>
      </w:r>
      <w:r>
        <w:rPr>
          <w:color w:val="231F20"/>
          <w:spacing w:val="-19"/>
        </w:rPr>
        <w:t>tablets;</w:t>
      </w:r>
      <w:r>
        <w:rPr>
          <w:color w:val="231F20"/>
          <w:spacing w:val="-38"/>
        </w:rPr>
        <w:t xml:space="preserve"> </w:t>
      </w:r>
      <w:r>
        <w:rPr>
          <w:color w:val="231F20"/>
          <w:spacing w:val="-19"/>
        </w:rPr>
        <w:t>C-reactive</w:t>
      </w:r>
      <w:r>
        <w:rPr>
          <w:color w:val="231F20"/>
          <w:spacing w:val="-42"/>
        </w:rPr>
        <w:t xml:space="preserve"> </w:t>
      </w:r>
      <w:r>
        <w:rPr>
          <w:color w:val="231F20"/>
          <w:spacing w:val="-19"/>
        </w:rPr>
        <w:t>protein</w:t>
      </w:r>
    </w:p>
    <w:p>
      <w:pPr>
        <w:spacing w:line="291" w:lineRule="auto"/>
        <w:rPr>
          <w:rFonts w:ascii="Arial"/>
          <w:sz w:val="21"/>
        </w:rPr>
      </w:pPr>
      <w:r/>
    </w:p>
    <w:p>
      <w:pPr>
        <w:spacing w:line="292" w:lineRule="auto"/>
        <w:rPr>
          <w:rFonts w:ascii="Arial"/>
          <w:sz w:val="21"/>
        </w:rPr>
      </w:pPr>
      <w:r>
        <w:pict>
          <v:shape id="_x0000_s4" style="position:absolute;margin-left:39.3416pt;margin-top:5.22435pt;mso-position-vertical-relative:text;mso-position-horizontal-relative:text;width:70.9pt;height:0.45pt;z-index:251658240;" filled="false" strokecolor="#231F20" strokeweight="0.43pt" coordsize="1418,8" coordorigin="0,0" path="m0,4l1417,4e">
            <v:stroke joinstyle="miter" miterlimit="10"/>
          </v:shape>
        </w:pict>
      </w:r>
      <w:r/>
    </w:p>
    <w:p>
      <w:pPr>
        <w:pStyle w:val="BodyText"/>
        <w:ind w:left="1068"/>
        <w:spacing w:before="52" w:line="213" w:lineRule="auto"/>
        <w:rPr>
          <w:sz w:val="16"/>
          <w:szCs w:val="16"/>
        </w:rPr>
      </w:pPr>
      <w:r>
        <w:rPr>
          <w:sz w:val="16"/>
          <w:szCs w:val="16"/>
          <w:color w:val="231F20"/>
          <w:spacing w:val="-2"/>
        </w:rPr>
        <w:t>作者单位</w:t>
      </w:r>
      <w:r>
        <w:rPr>
          <w:sz w:val="16"/>
          <w:szCs w:val="16"/>
          <w:color w:val="231F20"/>
          <w:spacing w:val="-32"/>
        </w:rPr>
        <w:t xml:space="preserve"> </w:t>
      </w:r>
      <w:r>
        <w:rPr>
          <w:sz w:val="16"/>
          <w:szCs w:val="16"/>
          <w:color w:val="231F20"/>
          <w:spacing w:val="-2"/>
        </w:rPr>
        <w:t>：364200  福建省龙岩市上杭县</w:t>
      </w:r>
      <w:r>
        <w:rPr>
          <w:sz w:val="16"/>
          <w:szCs w:val="16"/>
          <w:color w:val="231F20"/>
          <w:spacing w:val="-3"/>
        </w:rPr>
        <w:t>医院儿科</w:t>
      </w:r>
    </w:p>
    <w:p>
      <w:pPr>
        <w:spacing w:line="213" w:lineRule="auto"/>
        <w:sectPr>
          <w:headerReference w:type="default" r:id="rId1"/>
          <w:pgSz w:w="12246" w:h="17179"/>
          <w:pgMar w:top="400" w:right="1305" w:bottom="0" w:left="407" w:header="0" w:footer="0" w:gutter="0"/>
        </w:sectPr>
        <w:rPr>
          <w:sz w:val="16"/>
          <w:szCs w:val="16"/>
        </w:rPr>
      </w:pPr>
    </w:p>
    <w:p>
      <w:pPr>
        <w:spacing w:line="168" w:lineRule="exact"/>
        <w:rPr/>
      </w:pPr>
      <w:r/>
    </w:p>
    <w:p>
      <w:pPr>
        <w:spacing w:line="168" w:lineRule="exact"/>
        <w:sectPr>
          <w:headerReference w:type="default" r:id="rId2"/>
          <w:footerReference w:type="default" r:id="rId3"/>
          <w:pgSz w:w="12246" w:h="17179"/>
          <w:pgMar w:top="1542" w:right="1110" w:bottom="1457" w:left="407" w:header="1219" w:footer="1150" w:gutter="0"/>
          <w:cols w:equalWidth="0" w:num="1">
            <w:col w:w="10728" w:space="0"/>
          </w:cols>
        </w:sectPr>
        <w:rPr/>
      </w:pPr>
    </w:p>
    <w:p>
      <w:pPr>
        <w:ind w:left="899" w:right="176" w:firstLine="420"/>
        <w:spacing w:before="43" w:line="21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受多种因素影响 , 儿童群体罹患急性肠胃炎的几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率较高 , 从临床治疗情况来看 , 小儿急性肠胃</w:t>
      </w:r>
      <w:r>
        <w:rPr>
          <w:rFonts w:ascii="Microsoft YaHei" w:hAnsi="Microsoft YaHei" w:eastAsia="Microsoft YaHei" w:cs="Microsoft YaHei"/>
          <w:sz w:val="20"/>
          <w:szCs w:val="20"/>
          <w:color w:val="231F20"/>
          <w:spacing w:val="-2"/>
        </w:rPr>
        <w:t>炎将导致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患儿出现不同程度的腹泻。轻度腹泻患儿的排便次数</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4"/>
        </w:rPr>
        <w:t>&lt;10 次 /d, 颜色多为黄色或黄绿色 ,</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4"/>
        </w:rPr>
        <w:t>质地为少量黏液或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白色皂块 , 粪质不多 , 有时大便会呈现为“蛋花汤样”；</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重度腹泻患儿平均每天腹泻数次至数十次 , 排出大量</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
        </w:rPr>
        <w:t>水样便 , 其中夹带有少量的黏液 , 除此之外患</w:t>
      </w:r>
      <w:r>
        <w:rPr>
          <w:rFonts w:ascii="Microsoft YaHei" w:hAnsi="Microsoft YaHei" w:eastAsia="Microsoft YaHei" w:cs="Microsoft YaHei"/>
          <w:sz w:val="20"/>
          <w:szCs w:val="20"/>
          <w:color w:val="231F20"/>
          <w:spacing w:val="-2"/>
        </w:rPr>
        <w:t>儿还会出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现恶心呕吐、食欲减退等症状 , 甚至有些患儿会吐出  </w:t>
      </w:r>
      <w:r>
        <w:rPr>
          <w:rFonts w:ascii="Microsoft YaHei" w:hAnsi="Microsoft YaHei" w:eastAsia="Microsoft YaHei" w:cs="Microsoft YaHei"/>
          <w:sz w:val="20"/>
          <w:szCs w:val="20"/>
          <w:color w:val="231F20"/>
          <w:spacing w:val="-10"/>
        </w:rPr>
        <w:t>咖啡样物</w:t>
      </w:r>
      <w:r>
        <w:rPr>
          <w:rFonts w:ascii="Microsoft YaHei" w:hAnsi="Microsoft YaHei" w:eastAsia="Microsoft YaHei" w:cs="Microsoft YaHei"/>
          <w:sz w:val="11"/>
          <w:szCs w:val="11"/>
          <w:color w:val="231F20"/>
          <w:spacing w:val="-10"/>
          <w:position w:val="8"/>
        </w:rPr>
        <w:t>［1, 2］</w:t>
      </w:r>
      <w:r>
        <w:rPr>
          <w:rFonts w:ascii="Microsoft YaHei" w:hAnsi="Microsoft YaHei" w:eastAsia="Microsoft YaHei" w:cs="Microsoft YaHei"/>
          <w:sz w:val="20"/>
          <w:szCs w:val="20"/>
          <w:color w:val="231F20"/>
          <w:spacing w:val="-1"/>
        </w:rPr>
        <w:t>, 若不及时对患儿的病情进行治疗与干预</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患儿不仅身心健康会受到损害 , 甚至会直接威胁到患</w:t>
      </w:r>
    </w:p>
    <w:p>
      <w:pPr>
        <w:spacing w:line="14" w:lineRule="auto"/>
        <w:rPr>
          <w:rFonts w:ascii="Arial"/>
          <w:sz w:val="2"/>
        </w:rPr>
      </w:pPr>
      <w:r>
        <w:rPr>
          <w:rFonts w:ascii="Arial" w:hAnsi="Arial" w:eastAsia="Arial" w:cs="Arial"/>
          <w:sz w:val="2"/>
          <w:szCs w:val="2"/>
        </w:rPr>
        <w:br w:type="column"/>
      </w:r>
    </w:p>
    <w:p>
      <w:pPr>
        <w:ind w:left="6" w:right="80" w:hanging="6"/>
        <w:spacing w:before="44" w:line="20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儿的生命安全 ,</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因此 , 必须第一时间为患儿实施系统全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面的临床治疗。</w:t>
      </w:r>
    </w:p>
    <w:p>
      <w:pPr>
        <w:ind w:left="9"/>
        <w:spacing w:line="20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4"/>
        </w:rPr>
        <w:t>资料与方法</w:t>
      </w:r>
    </w:p>
    <w:p>
      <w:pPr>
        <w:pStyle w:val="BodyText"/>
        <w:ind w:right="79" w:firstLine="9"/>
        <w:spacing w:before="26" w:line="209"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7"/>
        </w:rPr>
        <w:t>1.</w:t>
      </w:r>
      <w:r>
        <w:rPr>
          <w:rFonts w:ascii="Times New Roman" w:hAnsi="Times New Roman" w:eastAsia="Times New Roman" w:cs="Times New Roman"/>
          <w:sz w:val="20"/>
          <w:szCs w:val="20"/>
          <w:color w:val="231F20"/>
          <w:spacing w:val="30"/>
        </w:rPr>
        <w:t xml:space="preserve"> </w:t>
      </w:r>
      <w:r>
        <w:rPr>
          <w:rFonts w:ascii="Times New Roman" w:hAnsi="Times New Roman" w:eastAsia="Times New Roman" w:cs="Times New Roman"/>
          <w:sz w:val="20"/>
          <w:szCs w:val="20"/>
          <w:color w:val="231F20"/>
          <w:spacing w:val="-7"/>
        </w:rPr>
        <w:t>1    </w:t>
      </w:r>
      <w:r>
        <w:rPr>
          <w:sz w:val="20"/>
          <w:szCs w:val="20"/>
          <w:color w:val="231F20"/>
          <w:spacing w:val="-7"/>
        </w:rPr>
        <w:t>一般资料</w:t>
      </w:r>
      <w:r>
        <w:rPr>
          <w:sz w:val="20"/>
          <w:szCs w:val="20"/>
          <w:color w:val="231F20"/>
          <w:spacing w:val="5"/>
        </w:rPr>
        <w:t xml:space="preserve">  </w:t>
      </w:r>
      <w:r>
        <w:rPr>
          <w:rFonts w:ascii="Microsoft YaHei" w:hAnsi="Microsoft YaHei" w:eastAsia="Microsoft YaHei" w:cs="Microsoft YaHei"/>
          <w:sz w:val="20"/>
          <w:szCs w:val="20"/>
          <w:color w:val="231F20"/>
          <w:spacing w:val="-7"/>
        </w:rPr>
        <w:t>选取本院 2021 年 9 月</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rPr>
        <w:t>~2022 年</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7"/>
        </w:rPr>
        <w:t>9</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收治的 67 例急性肠胃炎患儿为研究对象 , 根据随机数</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字表法分为对照组 (33 例 ) 与观察组 (34 例 )。对照组</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8"/>
        </w:rPr>
        <w:t>中男</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8"/>
        </w:rPr>
        <w:t>19 例 ,</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女</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14 例 ；年龄</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8"/>
        </w:rPr>
        <w:t>1~5 岁 ,</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8"/>
        </w:rPr>
        <w:t>平均年龄 (3.15±</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0.85) 岁。观察组中男 20 例 ,</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6"/>
        </w:rPr>
        <w:t>女</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1</w:t>
      </w:r>
      <w:r>
        <w:rPr>
          <w:rFonts w:ascii="Microsoft YaHei" w:hAnsi="Microsoft YaHei" w:eastAsia="Microsoft YaHei" w:cs="Microsoft YaHei"/>
          <w:sz w:val="20"/>
          <w:szCs w:val="20"/>
          <w:color w:val="231F20"/>
          <w:spacing w:val="-7"/>
        </w:rPr>
        <w:t>4 例 ；年龄</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7"/>
        </w:rPr>
        <w:t>1~5 岁 ,</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平均年龄 (3.17±0.81) 岁。两组一般资料对比 , 差异无</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统计学意义 (</w:t>
      </w:r>
      <w:r>
        <w:rPr>
          <w:rFonts w:ascii="Times New Roman" w:hAnsi="Times New Roman" w:eastAsia="Times New Roman" w:cs="Times New Roman"/>
          <w:sz w:val="20"/>
          <w:szCs w:val="20"/>
          <w:color w:val="231F20"/>
          <w:spacing w:val="-4"/>
        </w:rPr>
        <w:t>P&gt;</w:t>
      </w:r>
      <w:r>
        <w:rPr>
          <w:rFonts w:ascii="Microsoft YaHei" w:hAnsi="Microsoft YaHei" w:eastAsia="Microsoft YaHei" w:cs="Microsoft YaHei"/>
          <w:sz w:val="20"/>
          <w:szCs w:val="20"/>
          <w:color w:val="231F20"/>
          <w:spacing w:val="-4"/>
        </w:rPr>
        <w:t>0.05), 具有可比性。见表 1。</w:t>
      </w:r>
    </w:p>
    <w:p>
      <w:pPr>
        <w:spacing w:line="209" w:lineRule="auto"/>
        <w:sectPr>
          <w:type w:val="continuous"/>
          <w:pgSz w:w="12246" w:h="17179"/>
          <w:pgMar w:top="1542" w:right="1110" w:bottom="1457" w:left="407" w:header="1219" w:footer="1150" w:gutter="0"/>
          <w:cols w:equalWidth="0" w:num="2">
            <w:col w:w="5845" w:space="100"/>
            <w:col w:w="4783" w:space="0"/>
          </w:cols>
        </w:sectPr>
        <w:rPr>
          <w:rFonts w:ascii="Microsoft YaHei" w:hAnsi="Microsoft YaHei" w:eastAsia="Microsoft YaHei" w:cs="Microsoft YaHei"/>
          <w:sz w:val="20"/>
          <w:szCs w:val="20"/>
        </w:rPr>
      </w:pPr>
    </w:p>
    <w:p>
      <w:pPr>
        <w:ind w:left="4484"/>
        <w:spacing w:before="82" w:line="245" w:lineRule="exact"/>
        <w:outlineLvl w:val="0"/>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6"/>
          <w:position w:val="1"/>
        </w:rPr>
        <w:t>表 </w:t>
      </w:r>
      <w:r>
        <w:rPr>
          <w:rFonts w:ascii="Times New Roman" w:hAnsi="Times New Roman" w:eastAsia="Times New Roman" w:cs="Times New Roman"/>
          <w:sz w:val="18"/>
          <w:szCs w:val="18"/>
          <w:color w:val="231F20"/>
          <w:spacing w:val="-6"/>
          <w:position w:val="1"/>
        </w:rPr>
        <w:t>1    </w:t>
      </w:r>
      <w:r>
        <w:rPr>
          <w:rFonts w:ascii="Microsoft YaHei" w:hAnsi="Microsoft YaHei" w:eastAsia="Microsoft YaHei" w:cs="Microsoft YaHei"/>
          <w:sz w:val="18"/>
          <w:szCs w:val="18"/>
          <w:color w:val="231F20"/>
          <w:spacing w:val="-6"/>
          <w:position w:val="1"/>
        </w:rPr>
        <w:t>两组一般资料对比</w:t>
      </w:r>
      <w:r>
        <w:rPr>
          <w:rFonts w:ascii="Microsoft YaHei" w:hAnsi="Microsoft YaHei" w:eastAsia="Microsoft YaHei" w:cs="Microsoft YaHei"/>
          <w:sz w:val="18"/>
          <w:szCs w:val="18"/>
          <w:color w:val="231F20"/>
          <w:position w:val="1"/>
        </w:rPr>
        <w:t xml:space="preserve"> </w:t>
      </w:r>
      <w:r>
        <w:rPr>
          <w:rFonts w:ascii="Microsoft YaHei" w:hAnsi="Microsoft YaHei" w:eastAsia="Microsoft YaHei" w:cs="Microsoft YaHei"/>
          <w:sz w:val="18"/>
          <w:szCs w:val="18"/>
          <w:color w:val="231F20"/>
          <w:spacing w:val="-6"/>
          <w:position w:val="1"/>
        </w:rPr>
        <w:t>(n,</w:t>
      </w:r>
      <w:r>
        <w:rPr>
          <w:rFonts w:ascii="Microsoft YaHei" w:hAnsi="Microsoft YaHei" w:eastAsia="Microsoft YaHei" w:cs="Microsoft YaHei"/>
          <w:sz w:val="18"/>
          <w:szCs w:val="18"/>
          <w:color w:val="231F20"/>
          <w:spacing w:val="-12"/>
          <w:position w:val="1"/>
        </w:rPr>
        <w:t xml:space="preserve"> </w:t>
      </w:r>
      <w:r>
        <w:rPr>
          <w:rFonts w:ascii="Times New Roman" w:hAnsi="Times New Roman" w:eastAsia="Times New Roman" w:cs="Times New Roman"/>
          <w:sz w:val="18"/>
          <w:szCs w:val="18"/>
          <w:color w:val="231F20"/>
          <w:spacing w:val="-6"/>
          <w:position w:val="1"/>
        </w:rPr>
        <w:t>x</w:t>
      </w:r>
      <w:r>
        <w:rPr>
          <w:rFonts w:ascii="Microsoft YaHei" w:hAnsi="Microsoft YaHei" w:eastAsia="Microsoft YaHei" w:cs="Microsoft YaHei"/>
          <w:sz w:val="18"/>
          <w:szCs w:val="18"/>
          <w:color w:val="231F20"/>
          <w:spacing w:val="-6"/>
          <w:position w:val="8"/>
        </w:rPr>
        <w:t>- </w:t>
      </w:r>
      <w:r>
        <w:rPr>
          <w:rFonts w:ascii="Microsoft YaHei" w:hAnsi="Microsoft YaHei" w:eastAsia="Microsoft YaHei" w:cs="Microsoft YaHei"/>
          <w:sz w:val="18"/>
          <w:szCs w:val="18"/>
          <w:color w:val="231F20"/>
          <w:spacing w:val="-6"/>
          <w:position w:val="1"/>
        </w:rPr>
        <w:t>±</w:t>
      </w:r>
      <w:r>
        <w:rPr>
          <w:rFonts w:ascii="Times New Roman" w:hAnsi="Times New Roman" w:eastAsia="Times New Roman" w:cs="Times New Roman"/>
          <w:sz w:val="18"/>
          <w:szCs w:val="18"/>
          <w:color w:val="231F20"/>
          <w:spacing w:val="-7"/>
          <w:position w:val="1"/>
        </w:rPr>
        <w:t>s</w:t>
      </w:r>
      <w:r>
        <w:rPr>
          <w:rFonts w:ascii="Microsoft YaHei" w:hAnsi="Microsoft YaHei" w:eastAsia="Microsoft YaHei" w:cs="Microsoft YaHei"/>
          <w:sz w:val="18"/>
          <w:szCs w:val="18"/>
          <w:color w:val="231F20"/>
          <w:spacing w:val="-7"/>
          <w:position w:val="1"/>
        </w:rPr>
        <w:t>)</w:t>
      </w:r>
    </w:p>
    <w:tbl>
      <w:tblPr>
        <w:tblStyle w:val="TableNormal"/>
        <w:tblW w:w="9751" w:type="dxa"/>
        <w:tblInd w:w="89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89"/>
        <w:gridCol w:w="1912"/>
        <w:gridCol w:w="3900"/>
        <w:gridCol w:w="1950"/>
      </w:tblGrid>
      <w:tr>
        <w:trPr>
          <w:trHeight w:val="296" w:hRule="atLeast"/>
        </w:trPr>
        <w:tc>
          <w:tcPr>
            <w:tcW w:w="1989" w:type="dxa"/>
            <w:vAlign w:val="top"/>
            <w:vMerge w:val="restart"/>
            <w:tcBorders>
              <w:bottom w:val="nil"/>
              <w:top w:val="single" w:color="231F20" w:sz="4" w:space="0"/>
            </w:tcBorders>
          </w:tcPr>
          <w:p>
            <w:pPr>
              <w:ind w:left="818"/>
              <w:spacing w:before="220" w:line="17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组别</w:t>
            </w:r>
          </w:p>
        </w:tc>
        <w:tc>
          <w:tcPr>
            <w:tcW w:w="1912" w:type="dxa"/>
            <w:vAlign w:val="top"/>
            <w:vMerge w:val="restart"/>
            <w:tcBorders>
              <w:bottom w:val="nil"/>
              <w:top w:val="single" w:color="231F20" w:sz="4" w:space="0"/>
            </w:tcBorders>
          </w:tcPr>
          <w:p>
            <w:pPr>
              <w:ind w:left="780"/>
              <w:spacing w:before="220" w:line="17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2"/>
              </w:rPr>
              <w:t>例数</w:t>
            </w:r>
          </w:p>
        </w:tc>
        <w:tc>
          <w:tcPr>
            <w:tcW w:w="3900" w:type="dxa"/>
            <w:vAlign w:val="top"/>
            <w:tcBorders>
              <w:bottom w:val="single" w:color="231F20" w:sz="2" w:space="0"/>
              <w:top w:val="single" w:color="231F20" w:sz="4" w:space="0"/>
            </w:tcBorders>
          </w:tcPr>
          <w:p>
            <w:pPr>
              <w:ind w:left="1792"/>
              <w:spacing w:before="70" w:line="17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性别</w:t>
            </w:r>
          </w:p>
        </w:tc>
        <w:tc>
          <w:tcPr>
            <w:tcW w:w="1950" w:type="dxa"/>
            <w:vAlign w:val="top"/>
            <w:vMerge w:val="restart"/>
            <w:tcBorders>
              <w:bottom w:val="nil"/>
              <w:top w:val="single" w:color="231F20" w:sz="4" w:space="0"/>
            </w:tcBorders>
          </w:tcPr>
          <w:p>
            <w:pPr>
              <w:ind w:left="473"/>
              <w:spacing w:before="216" w:line="20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4"/>
              </w:rPr>
              <w:t>平均年龄 ( 岁 )</w:t>
            </w:r>
          </w:p>
        </w:tc>
      </w:tr>
      <w:tr>
        <w:trPr>
          <w:trHeight w:val="294" w:hRule="atLeast"/>
        </w:trPr>
        <w:tc>
          <w:tcPr>
            <w:tcW w:w="1989" w:type="dxa"/>
            <w:vAlign w:val="top"/>
            <w:vMerge w:val="continue"/>
            <w:tcBorders>
              <w:bottom w:val="single" w:color="231F20" w:sz="2" w:space="0"/>
              <w:top w:val="nil"/>
            </w:tcBorders>
          </w:tcPr>
          <w:p>
            <w:pPr>
              <w:rPr>
                <w:rFonts w:ascii="Arial"/>
                <w:sz w:val="21"/>
              </w:rPr>
            </w:pPr>
            <w:r/>
          </w:p>
        </w:tc>
        <w:tc>
          <w:tcPr>
            <w:tcW w:w="1912" w:type="dxa"/>
            <w:vAlign w:val="top"/>
            <w:vMerge w:val="continue"/>
            <w:tcBorders>
              <w:bottom w:val="single" w:color="231F20" w:sz="2" w:space="0"/>
              <w:top w:val="nil"/>
            </w:tcBorders>
          </w:tcPr>
          <w:p>
            <w:pPr>
              <w:rPr>
                <w:rFonts w:ascii="Arial"/>
                <w:sz w:val="21"/>
              </w:rPr>
            </w:pPr>
            <w:r/>
          </w:p>
        </w:tc>
        <w:tc>
          <w:tcPr>
            <w:tcW w:w="3900" w:type="dxa"/>
            <w:vAlign w:val="top"/>
            <w:tcBorders>
              <w:bottom w:val="single" w:color="231F20" w:sz="2" w:space="0"/>
              <w:top w:val="single" w:color="231F20" w:sz="2" w:space="0"/>
            </w:tcBorders>
          </w:tcPr>
          <w:p>
            <w:pPr>
              <w:ind w:left="897"/>
              <w:spacing w:before="72"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男                               </w:t>
            </w:r>
            <w:r>
              <w:rPr>
                <w:rFonts w:ascii="Microsoft YaHei" w:hAnsi="Microsoft YaHei" w:eastAsia="Microsoft YaHei" w:cs="Microsoft YaHei"/>
                <w:sz w:val="16"/>
                <w:szCs w:val="16"/>
                <w:color w:val="231F20"/>
                <w:spacing w:val="-1"/>
              </w:rPr>
              <w:t xml:space="preserve">       女</w:t>
            </w:r>
          </w:p>
        </w:tc>
        <w:tc>
          <w:tcPr>
            <w:tcW w:w="1950" w:type="dxa"/>
            <w:vAlign w:val="top"/>
            <w:vMerge w:val="continue"/>
            <w:tcBorders>
              <w:bottom w:val="single" w:color="231F20" w:sz="2" w:space="0"/>
              <w:top w:val="nil"/>
            </w:tcBorders>
          </w:tcPr>
          <w:p>
            <w:pPr>
              <w:rPr>
                <w:rFonts w:ascii="Arial"/>
                <w:sz w:val="21"/>
              </w:rPr>
            </w:pPr>
            <w:r/>
          </w:p>
        </w:tc>
      </w:tr>
      <w:tr>
        <w:trPr>
          <w:trHeight w:val="291" w:hRule="atLeast"/>
        </w:trPr>
        <w:tc>
          <w:tcPr>
            <w:tcW w:w="1989" w:type="dxa"/>
            <w:vAlign w:val="top"/>
            <w:tcBorders>
              <w:top w:val="single" w:color="231F20" w:sz="2" w:space="0"/>
            </w:tcBorders>
          </w:tcPr>
          <w:p>
            <w:pPr>
              <w:ind w:left="737"/>
              <w:spacing w:before="75" w:line="17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对照组</w:t>
            </w:r>
          </w:p>
        </w:tc>
        <w:tc>
          <w:tcPr>
            <w:tcW w:w="1912" w:type="dxa"/>
            <w:vAlign w:val="top"/>
            <w:tcBorders>
              <w:top w:val="single" w:color="231F20" w:sz="2" w:space="0"/>
            </w:tcBorders>
          </w:tcPr>
          <w:p>
            <w:pPr>
              <w:ind w:left="863"/>
              <w:spacing w:before="68"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9"/>
              </w:rPr>
              <w:t>33</w:t>
            </w:r>
          </w:p>
        </w:tc>
        <w:tc>
          <w:tcPr>
            <w:tcW w:w="3900" w:type="dxa"/>
            <w:vAlign w:val="top"/>
            <w:tcBorders>
              <w:top w:val="single" w:color="231F20" w:sz="2" w:space="0"/>
            </w:tcBorders>
          </w:tcPr>
          <w:p>
            <w:pPr>
              <w:ind w:left="912"/>
              <w:spacing w:before="68"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8"/>
              </w:rPr>
              <w:t>19</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8"/>
              </w:rPr>
              <w:t>14</w:t>
            </w:r>
          </w:p>
        </w:tc>
        <w:tc>
          <w:tcPr>
            <w:tcW w:w="1950" w:type="dxa"/>
            <w:vAlign w:val="top"/>
            <w:tcBorders>
              <w:top w:val="single" w:color="231F20" w:sz="2" w:space="0"/>
            </w:tcBorders>
          </w:tcPr>
          <w:p>
            <w:pPr>
              <w:ind w:left="624"/>
              <w:spacing w:before="68"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5"/>
              </w:rPr>
              <w:t>3.15±0.85</w:t>
            </w:r>
          </w:p>
        </w:tc>
      </w:tr>
      <w:tr>
        <w:trPr>
          <w:trHeight w:val="297" w:hRule="atLeast"/>
        </w:trPr>
        <w:tc>
          <w:tcPr>
            <w:tcW w:w="1989" w:type="dxa"/>
            <w:vAlign w:val="top"/>
          </w:tcPr>
          <w:p>
            <w:pPr>
              <w:ind w:left="741"/>
              <w:spacing w:before="80"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2"/>
              </w:rPr>
              <w:t>观察组</w:t>
            </w:r>
          </w:p>
        </w:tc>
        <w:tc>
          <w:tcPr>
            <w:tcW w:w="1912" w:type="dxa"/>
            <w:vAlign w:val="top"/>
          </w:tcPr>
          <w:p>
            <w:pPr>
              <w:ind w:left="863"/>
              <w:spacing w:before="7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9"/>
              </w:rPr>
              <w:t>34</w:t>
            </w:r>
          </w:p>
        </w:tc>
        <w:tc>
          <w:tcPr>
            <w:tcW w:w="3900" w:type="dxa"/>
            <w:vAlign w:val="top"/>
          </w:tcPr>
          <w:p>
            <w:pPr>
              <w:ind w:left="899"/>
              <w:spacing w:before="7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5"/>
              </w:rPr>
              <w:t>20</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5"/>
              </w:rPr>
              <w:t>14</w:t>
            </w:r>
          </w:p>
        </w:tc>
        <w:tc>
          <w:tcPr>
            <w:tcW w:w="1950" w:type="dxa"/>
            <w:vAlign w:val="top"/>
          </w:tcPr>
          <w:p>
            <w:pPr>
              <w:ind w:left="624"/>
              <w:spacing w:before="7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5"/>
              </w:rPr>
              <w:t>3.17±0.81</w:t>
            </w:r>
          </w:p>
        </w:tc>
      </w:tr>
      <w:tr>
        <w:trPr>
          <w:trHeight w:val="323" w:hRule="atLeast"/>
        </w:trPr>
        <w:tc>
          <w:tcPr>
            <w:tcW w:w="1989" w:type="dxa"/>
            <w:vAlign w:val="top"/>
          </w:tcPr>
          <w:p>
            <w:pPr>
              <w:pStyle w:val="TableText"/>
              <w:ind w:left="866"/>
              <w:spacing w:before="60" w:line="238" w:lineRule="exact"/>
              <w:rPr/>
            </w:pPr>
            <w:r>
              <w:rPr>
                <w:i/>
                <w:iCs/>
                <w:color w:val="231F20"/>
                <w:spacing w:val="-44"/>
                <w:position w:val="1"/>
              </w:rPr>
              <w:t>χ</w:t>
            </w:r>
            <w:r>
              <w:rPr>
                <w:sz w:val="9"/>
                <w:szCs w:val="9"/>
                <w:color w:val="231F20"/>
                <w:spacing w:val="-2"/>
                <w:position w:val="8"/>
              </w:rPr>
              <w:t>2</w:t>
            </w:r>
            <w:r>
              <w:rPr>
                <w:color w:val="231F20"/>
                <w:spacing w:val="-14"/>
                <w:w w:val="95"/>
                <w:position w:val="1"/>
              </w:rPr>
              <w:t>/</w:t>
            </w:r>
            <w:r>
              <w:rPr>
                <w:i/>
                <w:iCs/>
                <w:color w:val="231F20"/>
                <w:spacing w:val="-14"/>
                <w:w w:val="95"/>
                <w:position w:val="1"/>
              </w:rPr>
              <w:t>t</w:t>
            </w:r>
          </w:p>
        </w:tc>
        <w:tc>
          <w:tcPr>
            <w:tcW w:w="1912" w:type="dxa"/>
            <w:vAlign w:val="top"/>
          </w:tcPr>
          <w:p>
            <w:pPr>
              <w:rPr>
                <w:rFonts w:ascii="Arial"/>
                <w:sz w:val="21"/>
              </w:rPr>
            </w:pPr>
            <w:r/>
          </w:p>
        </w:tc>
        <w:tc>
          <w:tcPr>
            <w:tcW w:w="3900" w:type="dxa"/>
            <w:vAlign w:val="top"/>
          </w:tcPr>
          <w:p>
            <w:pPr>
              <w:ind w:left="1774"/>
              <w:spacing w:before="80"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0"/>
              </w:rPr>
              <w:t>0.011</w:t>
            </w:r>
          </w:p>
        </w:tc>
        <w:tc>
          <w:tcPr>
            <w:tcW w:w="1950" w:type="dxa"/>
            <w:vAlign w:val="top"/>
          </w:tcPr>
          <w:p>
            <w:pPr>
              <w:ind w:left="800"/>
              <w:spacing w:before="80"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0"/>
              </w:rPr>
              <w:t>0.099</w:t>
            </w:r>
          </w:p>
        </w:tc>
      </w:tr>
      <w:tr>
        <w:trPr>
          <w:trHeight w:val="286" w:hRule="atLeast"/>
        </w:trPr>
        <w:tc>
          <w:tcPr>
            <w:tcW w:w="1989" w:type="dxa"/>
            <w:vAlign w:val="top"/>
            <w:tcBorders>
              <w:bottom w:val="single" w:color="231F20" w:sz="4" w:space="0"/>
            </w:tcBorders>
          </w:tcPr>
          <w:p>
            <w:pPr>
              <w:ind w:left="925"/>
              <w:spacing w:before="88"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1912" w:type="dxa"/>
            <w:vAlign w:val="top"/>
            <w:tcBorders>
              <w:bottom w:val="single" w:color="231F20" w:sz="4" w:space="0"/>
            </w:tcBorders>
          </w:tcPr>
          <w:p>
            <w:pPr>
              <w:rPr>
                <w:rFonts w:ascii="Arial"/>
                <w:sz w:val="21"/>
              </w:rPr>
            </w:pPr>
            <w:r/>
          </w:p>
        </w:tc>
        <w:tc>
          <w:tcPr>
            <w:tcW w:w="3900" w:type="dxa"/>
            <w:vAlign w:val="top"/>
            <w:tcBorders>
              <w:bottom w:val="single" w:color="231F20" w:sz="4" w:space="0"/>
            </w:tcBorders>
          </w:tcPr>
          <w:p>
            <w:pPr>
              <w:ind w:left="1774"/>
              <w:spacing w:before="58" w:line="19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0"/>
              </w:rPr>
              <w:t>0.918</w:t>
            </w:r>
          </w:p>
        </w:tc>
        <w:tc>
          <w:tcPr>
            <w:tcW w:w="1950" w:type="dxa"/>
            <w:vAlign w:val="top"/>
            <w:tcBorders>
              <w:bottom w:val="single" w:color="231F20" w:sz="4" w:space="0"/>
            </w:tcBorders>
          </w:tcPr>
          <w:p>
            <w:pPr>
              <w:ind w:left="800"/>
              <w:spacing w:before="58" w:line="19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0"/>
              </w:rPr>
              <w:t>0.922</w:t>
            </w:r>
          </w:p>
        </w:tc>
      </w:tr>
    </w:tbl>
    <w:p>
      <w:pPr>
        <w:ind w:left="1187"/>
        <w:spacing w:before="56"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9"/>
        </w:rPr>
        <w:t>注 ：两组对比 , </w:t>
      </w:r>
      <w:r>
        <w:rPr>
          <w:rFonts w:ascii="Times New Roman" w:hAnsi="Times New Roman" w:eastAsia="Times New Roman" w:cs="Times New Roman"/>
          <w:sz w:val="18"/>
          <w:szCs w:val="18"/>
          <w:color w:val="231F20"/>
          <w:spacing w:val="-9"/>
        </w:rPr>
        <w:t>P</w:t>
      </w:r>
      <w:r>
        <w:rPr>
          <w:rFonts w:ascii="Microsoft YaHei" w:hAnsi="Microsoft YaHei" w:eastAsia="Microsoft YaHei" w:cs="Microsoft YaHei"/>
          <w:sz w:val="18"/>
          <w:szCs w:val="18"/>
          <w:color w:val="231F20"/>
          <w:spacing w:val="-9"/>
        </w:rPr>
        <w:t>&gt;0.05</w:t>
      </w:r>
    </w:p>
    <w:p>
      <w:pPr>
        <w:spacing w:line="44" w:lineRule="exact"/>
        <w:rPr/>
      </w:pPr>
      <w:r/>
    </w:p>
    <w:p>
      <w:pPr>
        <w:spacing w:line="44" w:lineRule="exact"/>
        <w:sectPr>
          <w:type w:val="continuous"/>
          <w:pgSz w:w="12246" w:h="17179"/>
          <w:pgMar w:top="1542" w:right="1110" w:bottom="1457" w:left="407" w:header="1219" w:footer="1150" w:gutter="0"/>
          <w:cols w:equalWidth="0" w:num="1">
            <w:col w:w="10728" w:space="0"/>
          </w:cols>
        </w:sectPr>
        <w:rPr/>
      </w:pPr>
    </w:p>
    <w:p>
      <w:pPr>
        <w:pStyle w:val="BodyText"/>
        <w:ind w:left="899" w:right="176" w:firstLine="9"/>
        <w:spacing w:before="52" w:line="208"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1.</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rPr>
        <w:t>2    </w:t>
      </w:r>
      <w:r>
        <w:rPr>
          <w:sz w:val="20"/>
          <w:szCs w:val="20"/>
          <w:color w:val="231F20"/>
        </w:rPr>
        <w:t>方法  </w:t>
      </w:r>
      <w:r>
        <w:rPr>
          <w:rFonts w:ascii="Microsoft YaHei" w:hAnsi="Microsoft YaHei" w:eastAsia="Microsoft YaHei" w:cs="Microsoft YaHei"/>
          <w:sz w:val="20"/>
          <w:szCs w:val="20"/>
          <w:color w:val="231F20"/>
        </w:rPr>
        <w:t>两组患儿入院后立即接受常规治疗 , 包括  </w:t>
      </w:r>
      <w:r>
        <w:rPr>
          <w:rFonts w:ascii="Microsoft YaHei" w:hAnsi="Microsoft YaHei" w:eastAsia="Microsoft YaHei" w:cs="Microsoft YaHei"/>
          <w:sz w:val="20"/>
          <w:szCs w:val="20"/>
          <w:color w:val="231F20"/>
          <w:spacing w:val="4"/>
        </w:rPr>
        <w:t>密切观察患儿各项生命体征 ,</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4"/>
        </w:rPr>
        <w:t>进行补液、抗感染、维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持水电解质平衡等治疗 ,</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治疗期间叮嘱患</w:t>
      </w:r>
      <w:r>
        <w:rPr>
          <w:rFonts w:ascii="Microsoft YaHei" w:hAnsi="Microsoft YaHei" w:eastAsia="Microsoft YaHei" w:cs="Microsoft YaHei"/>
          <w:sz w:val="20"/>
          <w:szCs w:val="20"/>
          <w:color w:val="231F20"/>
          <w:spacing w:val="4"/>
        </w:rPr>
        <w:t>儿家属为患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儿准备清淡的饮食 , 鼓励其大量饮水 , 谨防出</w:t>
      </w:r>
      <w:r>
        <w:rPr>
          <w:rFonts w:ascii="Microsoft YaHei" w:hAnsi="Microsoft YaHei" w:eastAsia="Microsoft YaHei" w:cs="Microsoft YaHei"/>
          <w:sz w:val="20"/>
          <w:szCs w:val="20"/>
          <w:color w:val="231F20"/>
          <w:spacing w:val="-2"/>
        </w:rPr>
        <w:t>现脱水现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象 , 后续可根据患儿临床症状好转程度、排便情况对</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4"/>
        </w:rPr>
        <w:t>饮食结构进行调整。对照组实施蒙脱石散 ( 海南先生</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1"/>
        </w:rPr>
        <w:t>药业有限公司 ,</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1"/>
        </w:rPr>
        <w:t>国药准字 H19990307, 规格：3 g×1</w:t>
      </w:r>
      <w:r>
        <w:rPr>
          <w:rFonts w:ascii="Microsoft YaHei" w:hAnsi="Microsoft YaHei" w:eastAsia="Microsoft YaHei" w:cs="Microsoft YaHei"/>
          <w:sz w:val="20"/>
          <w:szCs w:val="20"/>
          <w:color w:val="231F20"/>
          <w:spacing w:val="-12"/>
        </w:rPr>
        <w:t>0 袋 )</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治疗 , 针对</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0"/>
        </w:rPr>
        <w:t>1~2 岁的患儿 , 应用剂量为 3 g/ 次 , 3 次 </w:t>
      </w:r>
      <w:r>
        <w:rPr>
          <w:rFonts w:ascii="Microsoft YaHei" w:hAnsi="Microsoft YaHei" w:eastAsia="Microsoft YaHei" w:cs="Microsoft YaHei"/>
          <w:sz w:val="20"/>
          <w:szCs w:val="20"/>
          <w:color w:val="231F20"/>
          <w:spacing w:val="-11"/>
        </w:rPr>
        <w:t>/d；</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年龄 4~5 岁的患儿 ,</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1"/>
        </w:rPr>
        <w:t>应用剂量为 3~6</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1"/>
        </w:rPr>
        <w:t>g/ 次 ,</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1"/>
        </w:rPr>
        <w:t>3 次 /d。观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察组在对照组基础上应用双歧杆菌乳杆菌三联活菌片  </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内蒙古双奇药业股份有限公司 ,</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国药准字 H41020309,</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规格 ：0.5 g×24 片 ) 治疗 , 针对</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8"/>
        </w:rPr>
        <w:t>1~2 岁的患儿 , 应用剂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量为</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0"/>
        </w:rPr>
        <w:t>1.0</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0"/>
        </w:rPr>
        <w:t>g/ 次 ,</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10"/>
        </w:rPr>
        <w:t>3 次 /d ；年龄 3~5</w:t>
      </w:r>
      <w:r>
        <w:rPr>
          <w:rFonts w:ascii="Microsoft YaHei" w:hAnsi="Microsoft YaHei" w:eastAsia="Microsoft YaHei" w:cs="Microsoft YaHei"/>
          <w:sz w:val="20"/>
          <w:szCs w:val="20"/>
          <w:color w:val="231F20"/>
          <w:spacing w:val="-11"/>
        </w:rPr>
        <w:t xml:space="preserve"> 岁的患儿 ,</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1"/>
        </w:rPr>
        <w:t>应用剂量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为</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2"/>
        </w:rPr>
        <w:t>1.5 g/ 次 , 3 次 /d。两组均治疗</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2"/>
        </w:rPr>
        <w:t>1 周。</w:t>
      </w:r>
    </w:p>
    <w:p>
      <w:pPr>
        <w:pStyle w:val="BodyText"/>
        <w:ind w:left="898" w:right="176" w:firstLine="10"/>
        <w:spacing w:before="26" w:line="204" w:lineRule="auto"/>
        <w:rPr>
          <w:rFonts w:ascii="Microsoft YaHei" w:hAnsi="Microsoft YaHei" w:eastAsia="Microsoft YaHei" w:cs="Microsoft YaHei"/>
          <w:sz w:val="20"/>
          <w:szCs w:val="20"/>
        </w:rPr>
      </w:pPr>
      <w:r>
        <w:pict>
          <v:shape id="_x0000_s10" style="position:absolute;margin-left:45.1529pt;margin-top:136.794pt;mso-position-vertical-relative:text;mso-position-horizontal-relative:text;width:487.6pt;height:0.75pt;z-index:251659264;" filled="false" strokecolor="#231F20" strokeweight="0.71pt" coordsize="9752,15" coordorigin="0,0" path="m0,7l1625,7m1625,7l3250,7m3250,7l4875,7m4875,7l6500,7m6500,7l8125,7m8125,7l9751,7e">
            <v:stroke joinstyle="miter" miterlimit="10"/>
          </v:shape>
        </w:pict>
      </w:r>
      <w:r>
        <w:rPr>
          <w:rFonts w:ascii="Times New Roman" w:hAnsi="Times New Roman" w:eastAsia="Times New Roman" w:cs="Times New Roman"/>
          <w:sz w:val="20"/>
          <w:szCs w:val="20"/>
          <w:color w:val="231F20"/>
          <w:spacing w:val="6"/>
        </w:rPr>
        <w:t>1.</w:t>
      </w:r>
      <w:r>
        <w:rPr>
          <w:rFonts w:ascii="Times New Roman" w:hAnsi="Times New Roman" w:eastAsia="Times New Roman" w:cs="Times New Roman"/>
          <w:sz w:val="20"/>
          <w:szCs w:val="20"/>
          <w:color w:val="231F20"/>
          <w:spacing w:val="23"/>
          <w:w w:val="101"/>
        </w:rPr>
        <w:t xml:space="preserve"> </w:t>
      </w:r>
      <w:r>
        <w:rPr>
          <w:rFonts w:ascii="Times New Roman" w:hAnsi="Times New Roman" w:eastAsia="Times New Roman" w:cs="Times New Roman"/>
          <w:sz w:val="20"/>
          <w:szCs w:val="20"/>
          <w:color w:val="231F20"/>
          <w:spacing w:val="6"/>
        </w:rPr>
        <w:t>3    </w:t>
      </w:r>
      <w:r>
        <w:rPr>
          <w:sz w:val="20"/>
          <w:szCs w:val="20"/>
          <w:color w:val="231F20"/>
          <w:spacing w:val="6"/>
        </w:rPr>
        <w:t>观察指标及判定标准  </w:t>
      </w:r>
      <w:r>
        <w:rPr>
          <w:rFonts w:ascii="Microsoft YaHei" w:hAnsi="Microsoft YaHei" w:eastAsia="Microsoft YaHei" w:cs="Microsoft YaHei"/>
          <w:sz w:val="20"/>
          <w:szCs w:val="20"/>
          <w:color w:val="231F20"/>
          <w:spacing w:val="6"/>
        </w:rPr>
        <w:t>①对比两组症状改善时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间 , 包括退热时间、腹痛消失时间、呕吐消失消失、排</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便恢复正常时间 ；②对比两组治疗前后 ( 治疗</w:t>
      </w:r>
      <w:r>
        <w:rPr>
          <w:rFonts w:ascii="Microsoft YaHei" w:hAnsi="Microsoft YaHei" w:eastAsia="Microsoft YaHei" w:cs="Microsoft YaHei"/>
          <w:sz w:val="20"/>
          <w:szCs w:val="20"/>
          <w:color w:val="231F20"/>
          <w:spacing w:val="32"/>
          <w:w w:val="101"/>
        </w:rPr>
        <w:t xml:space="preserve"> </w:t>
      </w:r>
      <w:r>
        <w:rPr>
          <w:rFonts w:ascii="Microsoft YaHei" w:hAnsi="Microsoft YaHei" w:eastAsia="Microsoft YaHei" w:cs="Microsoft YaHei"/>
          <w:sz w:val="20"/>
          <w:szCs w:val="20"/>
          <w:color w:val="231F20"/>
          <w:spacing w:val="-2"/>
        </w:rPr>
        <w:t>1、3 d</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后</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6"/>
        </w:rPr>
        <w:t>) 的 CRP 水平 , 采用免疫荧光法进行 CRP 水平检测；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③对比两组临床疗效 , 依据参考文献［3］将临床疗效</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分为显效、有效及无效 ,</w:t>
      </w:r>
      <w:r>
        <w:rPr>
          <w:rFonts w:ascii="Microsoft YaHei" w:hAnsi="Microsoft YaHei" w:eastAsia="Microsoft YaHei" w:cs="Microsoft YaHei"/>
          <w:sz w:val="20"/>
          <w:szCs w:val="20"/>
          <w:color w:val="231F20"/>
          <w:spacing w:val="23"/>
          <w:w w:val="101"/>
        </w:rPr>
        <w:t xml:space="preserve"> </w:t>
      </w:r>
      <w:r>
        <w:rPr>
          <w:rFonts w:ascii="Microsoft YaHei" w:hAnsi="Microsoft YaHei" w:eastAsia="Microsoft YaHei" w:cs="Microsoft YaHei"/>
          <w:sz w:val="20"/>
          <w:szCs w:val="20"/>
          <w:color w:val="231F20"/>
          <w:spacing w:val="-5"/>
        </w:rPr>
        <w:t>总有效率 =( 显效 + 有效 )/ 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例数</w:t>
      </w:r>
      <w:r>
        <w:rPr>
          <w:rFonts w:ascii="Microsoft YaHei" w:hAnsi="Microsoft YaHei" w:eastAsia="Microsoft YaHei" w:cs="Microsoft YaHei"/>
          <w:sz w:val="20"/>
          <w:szCs w:val="20"/>
          <w:color w:val="231F20"/>
          <w:spacing w:val="63"/>
        </w:rPr>
        <w:t xml:space="preserve"> </w:t>
      </w:r>
      <w:r>
        <w:rPr>
          <w:rFonts w:ascii="Microsoft YaHei" w:hAnsi="Microsoft YaHei" w:eastAsia="Microsoft YaHei" w:cs="Microsoft YaHei"/>
          <w:sz w:val="20"/>
          <w:szCs w:val="20"/>
          <w:color w:val="231F20"/>
          <w:spacing w:val="-4"/>
        </w:rPr>
        <w:t>×100%。④对比两组治疗前后</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 治疗 3 d 后 )</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睡眠质量评分 ,</w:t>
      </w:r>
      <w:r>
        <w:rPr>
          <w:rFonts w:ascii="Microsoft YaHei" w:hAnsi="Microsoft YaHei" w:eastAsia="Microsoft YaHei" w:cs="Microsoft YaHei"/>
          <w:sz w:val="20"/>
          <w:szCs w:val="20"/>
          <w:color w:val="231F20"/>
          <w:spacing w:val="22"/>
          <w:w w:val="101"/>
        </w:rPr>
        <w:t xml:space="preserve"> </w:t>
      </w:r>
      <w:r>
        <w:rPr>
          <w:rFonts w:ascii="Microsoft YaHei" w:hAnsi="Microsoft YaHei" w:eastAsia="Microsoft YaHei" w:cs="Microsoft YaHei"/>
          <w:sz w:val="20"/>
          <w:szCs w:val="20"/>
          <w:color w:val="231F20"/>
        </w:rPr>
        <w:t>采用匹兹堡睡眠质量指数 (PSQI) 对患</w:t>
      </w:r>
    </w:p>
    <w:p>
      <w:pPr>
        <w:spacing w:line="14" w:lineRule="auto"/>
        <w:rPr>
          <w:rFonts w:ascii="Arial"/>
          <w:sz w:val="2"/>
        </w:rPr>
      </w:pPr>
      <w:r>
        <w:rPr>
          <w:rFonts w:ascii="Arial" w:hAnsi="Arial" w:eastAsia="Arial" w:cs="Arial"/>
          <w:sz w:val="2"/>
          <w:szCs w:val="2"/>
        </w:rPr>
        <w:br w:type="column"/>
      </w:r>
    </w:p>
    <w:p>
      <w:pPr>
        <w:ind w:right="80"/>
        <w:spacing w:before="43" w:line="21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儿的睡眠质量进行评分 ,</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主要对患儿入睡时间、睡眠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效率及睡眠质量等进行评估 ,</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分值范围为 0~21 分 ,</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分越高 , 则说明患儿睡眠质量越差。</w:t>
      </w:r>
    </w:p>
    <w:p>
      <w:pPr>
        <w:pStyle w:val="BodyText"/>
        <w:ind w:right="80" w:firstLine="8"/>
        <w:spacing w:before="2" w:line="195"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1.</w:t>
      </w:r>
      <w:r>
        <w:rPr>
          <w:rFonts w:ascii="Times New Roman" w:hAnsi="Times New Roman" w:eastAsia="Times New Roman" w:cs="Times New Roman"/>
          <w:sz w:val="20"/>
          <w:szCs w:val="20"/>
          <w:color w:val="231F20"/>
          <w:spacing w:val="38"/>
        </w:rPr>
        <w:t xml:space="preserve"> </w:t>
      </w:r>
      <w:r>
        <w:rPr>
          <w:rFonts w:ascii="Times New Roman" w:hAnsi="Times New Roman" w:eastAsia="Times New Roman" w:cs="Times New Roman"/>
          <w:sz w:val="20"/>
          <w:szCs w:val="20"/>
          <w:color w:val="231F20"/>
          <w:spacing w:val="-1"/>
        </w:rPr>
        <w:t>4    </w:t>
      </w:r>
      <w:r>
        <w:rPr>
          <w:sz w:val="20"/>
          <w:szCs w:val="20"/>
          <w:color w:val="231F20"/>
          <w:spacing w:val="-1"/>
        </w:rPr>
        <w:t>统计学方法  </w:t>
      </w:r>
      <w:r>
        <w:rPr>
          <w:rFonts w:ascii="Microsoft YaHei" w:hAnsi="Microsoft YaHei" w:eastAsia="Microsoft YaHei" w:cs="Microsoft YaHei"/>
          <w:sz w:val="20"/>
          <w:szCs w:val="20"/>
          <w:color w:val="231F20"/>
          <w:spacing w:val="-1"/>
        </w:rPr>
        <w:t>采用 SPSS21.0 统计学软件对研究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数据进行统计分析。计量资料以均数</w:t>
      </w:r>
      <w:r>
        <w:rPr>
          <w:rFonts w:ascii="Microsoft YaHei" w:hAnsi="Microsoft YaHei" w:eastAsia="Microsoft YaHei" w:cs="Microsoft YaHei"/>
          <w:sz w:val="20"/>
          <w:szCs w:val="20"/>
          <w:color w:val="231F20"/>
          <w:spacing w:val="59"/>
          <w:w w:val="101"/>
        </w:rPr>
        <w:t xml:space="preserve"> </w:t>
      </w:r>
      <w:r>
        <w:rPr>
          <w:rFonts w:ascii="Microsoft YaHei" w:hAnsi="Microsoft YaHei" w:eastAsia="Microsoft YaHei" w:cs="Microsoft YaHei"/>
          <w:sz w:val="20"/>
          <w:szCs w:val="20"/>
          <w:color w:val="231F20"/>
          <w:spacing w:val="-5"/>
        </w:rPr>
        <w:t>± 标准差 ( </w:t>
      </w:r>
      <w:r>
        <w:rPr>
          <w:rFonts w:ascii="Times New Roman" w:hAnsi="Times New Roman" w:eastAsia="Times New Roman" w:cs="Times New Roman"/>
          <w:sz w:val="20"/>
          <w:szCs w:val="20"/>
          <w:color w:val="231F20"/>
          <w:spacing w:val="-5"/>
        </w:rPr>
        <w:t>x</w:t>
      </w:r>
      <w:r>
        <w:rPr>
          <w:rFonts w:ascii="Microsoft YaHei" w:hAnsi="Microsoft YaHei" w:eastAsia="Microsoft YaHei" w:cs="Microsoft YaHei"/>
          <w:sz w:val="20"/>
          <w:szCs w:val="20"/>
          <w:color w:val="231F20"/>
          <w:spacing w:val="-5"/>
          <w:position w:val="7"/>
        </w:rPr>
        <w:t>- </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s</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表示 ,</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采用 </w:t>
      </w:r>
      <w:r>
        <w:rPr>
          <w:rFonts w:ascii="Times New Roman" w:hAnsi="Times New Roman" w:eastAsia="Times New Roman" w:cs="Times New Roman"/>
          <w:sz w:val="20"/>
          <w:szCs w:val="20"/>
          <w:color w:val="231F20"/>
          <w:spacing w:val="1"/>
        </w:rPr>
        <w:t>t </w:t>
      </w:r>
      <w:r>
        <w:rPr>
          <w:rFonts w:ascii="Microsoft YaHei" w:hAnsi="Microsoft YaHei" w:eastAsia="Microsoft YaHei" w:cs="Microsoft YaHei"/>
          <w:sz w:val="20"/>
          <w:szCs w:val="20"/>
          <w:color w:val="231F20"/>
          <w:spacing w:val="1"/>
        </w:rPr>
        <w:t>检验 ；计数资料以率 (%) 表示 </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采用</w:t>
      </w:r>
      <w:r>
        <w:rPr>
          <w:rFonts w:ascii="Microsoft YaHei" w:hAnsi="Microsoft YaHei" w:eastAsia="Microsoft YaHei" w:cs="Microsoft YaHei"/>
          <w:sz w:val="20"/>
          <w:szCs w:val="20"/>
          <w:color w:val="231F20"/>
          <w:spacing w:val="33"/>
        </w:rPr>
        <w:t xml:space="preserve"> </w:t>
      </w:r>
      <w:r>
        <w:rPr>
          <w:rFonts w:ascii="Times New Roman" w:hAnsi="Times New Roman" w:eastAsia="Times New Roman" w:cs="Times New Roman"/>
          <w:sz w:val="20"/>
          <w:szCs w:val="20"/>
          <w:i/>
          <w:iCs/>
          <w:color w:val="231F20"/>
        </w:rPr>
        <w:t>χ</w:t>
      </w:r>
      <w:r>
        <w:rPr>
          <w:rFonts w:ascii="Microsoft YaHei" w:hAnsi="Microsoft YaHei" w:eastAsia="Microsoft YaHei" w:cs="Microsoft YaHei"/>
          <w:sz w:val="11"/>
          <w:szCs w:val="11"/>
          <w:color w:val="231F20"/>
          <w:position w:val="9"/>
        </w:rPr>
        <w:t>2 </w:t>
      </w:r>
      <w:r>
        <w:rPr>
          <w:rFonts w:ascii="Microsoft YaHei" w:hAnsi="Microsoft YaHei" w:eastAsia="Microsoft YaHei" w:cs="Microsoft YaHei"/>
          <w:sz w:val="20"/>
          <w:szCs w:val="20"/>
          <w:color w:val="231F20"/>
          <w:spacing w:val="-4"/>
        </w:rPr>
        <w:t>检验。</w:t>
      </w:r>
      <w:r>
        <w:rPr>
          <w:rFonts w:ascii="Times New Roman" w:hAnsi="Times New Roman" w:eastAsia="Times New Roman" w:cs="Times New Roman"/>
          <w:sz w:val="20"/>
          <w:szCs w:val="20"/>
          <w:color w:val="231F20"/>
          <w:spacing w:val="-4"/>
        </w:rPr>
        <w:t>P&lt;</w:t>
      </w:r>
      <w:r>
        <w:rPr>
          <w:rFonts w:ascii="Microsoft YaHei" w:hAnsi="Microsoft YaHei" w:eastAsia="Microsoft YaHei" w:cs="Microsoft YaHei"/>
          <w:sz w:val="20"/>
          <w:szCs w:val="20"/>
          <w:color w:val="231F20"/>
          <w:spacing w:val="-4"/>
        </w:rPr>
        <w:t>0.05 为差异有统计学意义。</w:t>
      </w:r>
    </w:p>
    <w:p>
      <w:pPr>
        <w:spacing w:before="1" w:line="203"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2</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4"/>
        </w:rPr>
        <w:t>结果</w:t>
      </w:r>
    </w:p>
    <w:p>
      <w:pPr>
        <w:pStyle w:val="BodyText"/>
        <w:spacing w:before="17" w:line="207"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2"/>
        </w:rPr>
        <w:t>2.</w:t>
      </w:r>
      <w:r>
        <w:rPr>
          <w:rFonts w:ascii="Times New Roman" w:hAnsi="Times New Roman" w:eastAsia="Times New Roman" w:cs="Times New Roman"/>
          <w:sz w:val="20"/>
          <w:szCs w:val="20"/>
          <w:color w:val="231F20"/>
          <w:spacing w:val="30"/>
        </w:rPr>
        <w:t xml:space="preserve"> </w:t>
      </w:r>
      <w:r>
        <w:rPr>
          <w:rFonts w:ascii="Times New Roman" w:hAnsi="Times New Roman" w:eastAsia="Times New Roman" w:cs="Times New Roman"/>
          <w:sz w:val="20"/>
          <w:szCs w:val="20"/>
          <w:color w:val="231F20"/>
          <w:spacing w:val="2"/>
        </w:rPr>
        <w:t>1    </w:t>
      </w:r>
      <w:r>
        <w:rPr>
          <w:sz w:val="20"/>
          <w:szCs w:val="20"/>
          <w:color w:val="231F20"/>
          <w:spacing w:val="2"/>
        </w:rPr>
        <w:t>两组临床症状改善时间对比  </w:t>
      </w:r>
      <w:r>
        <w:rPr>
          <w:rFonts w:ascii="Microsoft YaHei" w:hAnsi="Microsoft YaHei" w:eastAsia="Microsoft YaHei" w:cs="Microsoft YaHei"/>
          <w:sz w:val="20"/>
          <w:szCs w:val="20"/>
          <w:color w:val="231F20"/>
          <w:spacing w:val="2"/>
        </w:rPr>
        <w:t>观</w:t>
      </w:r>
      <w:r>
        <w:rPr>
          <w:rFonts w:ascii="Microsoft YaHei" w:hAnsi="Microsoft YaHei" w:eastAsia="Microsoft YaHei" w:cs="Microsoft YaHei"/>
          <w:sz w:val="20"/>
          <w:szCs w:val="20"/>
          <w:color w:val="231F20"/>
          <w:spacing w:val="1"/>
        </w:rPr>
        <w:t>察组退热时间、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腹痛消失时间、呕吐消失消失、排便恢复正常</w:t>
      </w:r>
      <w:r>
        <w:rPr>
          <w:rFonts w:ascii="Microsoft YaHei" w:hAnsi="Microsoft YaHei" w:eastAsia="Microsoft YaHei" w:cs="Microsoft YaHei"/>
          <w:sz w:val="20"/>
          <w:szCs w:val="20"/>
          <w:color w:val="231F20"/>
          <w:spacing w:val="3"/>
        </w:rPr>
        <w:t>时间均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短于对照组 , 差异有统计学意义 (</w:t>
      </w:r>
      <w:r>
        <w:rPr>
          <w:rFonts w:ascii="Times New Roman" w:hAnsi="Times New Roman" w:eastAsia="Times New Roman" w:cs="Times New Roman"/>
          <w:sz w:val="20"/>
          <w:szCs w:val="20"/>
          <w:color w:val="231F20"/>
          <w:spacing w:val="-4"/>
        </w:rPr>
        <w:t>P&lt;</w:t>
      </w:r>
      <w:r>
        <w:rPr>
          <w:rFonts w:ascii="Microsoft YaHei" w:hAnsi="Microsoft YaHei" w:eastAsia="Microsoft YaHei" w:cs="Microsoft YaHei"/>
          <w:sz w:val="20"/>
          <w:szCs w:val="20"/>
          <w:color w:val="231F20"/>
          <w:spacing w:val="-4"/>
        </w:rPr>
        <w:t>0.05)。见表 2。</w:t>
      </w:r>
    </w:p>
    <w:p>
      <w:pPr>
        <w:pStyle w:val="BodyText"/>
        <w:ind w:left="5" w:hanging="5"/>
        <w:spacing w:before="10" w:line="208"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3"/>
        </w:rPr>
        <w:t>2.</w:t>
      </w:r>
      <w:r>
        <w:rPr>
          <w:rFonts w:ascii="Times New Roman" w:hAnsi="Times New Roman" w:eastAsia="Times New Roman" w:cs="Times New Roman"/>
          <w:sz w:val="20"/>
          <w:szCs w:val="20"/>
          <w:color w:val="231F20"/>
          <w:spacing w:val="36"/>
          <w:w w:val="101"/>
        </w:rPr>
        <w:t xml:space="preserve"> </w:t>
      </w:r>
      <w:r>
        <w:rPr>
          <w:rFonts w:ascii="Times New Roman" w:hAnsi="Times New Roman" w:eastAsia="Times New Roman" w:cs="Times New Roman"/>
          <w:sz w:val="20"/>
          <w:szCs w:val="20"/>
          <w:color w:val="231F20"/>
          <w:spacing w:val="13"/>
        </w:rPr>
        <w:t>2    </w:t>
      </w:r>
      <w:r>
        <w:rPr>
          <w:sz w:val="20"/>
          <w:szCs w:val="20"/>
          <w:color w:val="231F20"/>
          <w:spacing w:val="13"/>
        </w:rPr>
        <w:t>两组治疗前后</w:t>
      </w:r>
      <w:r>
        <w:rPr>
          <w:sz w:val="20"/>
          <w:szCs w:val="20"/>
          <w:color w:val="231F20"/>
          <w:spacing w:val="-35"/>
        </w:rPr>
        <w:t xml:space="preserve"> </w:t>
      </w:r>
      <w:r>
        <w:rPr>
          <w:sz w:val="20"/>
          <w:szCs w:val="20"/>
          <w:color w:val="231F20"/>
        </w:rPr>
        <w:t>CRP</w:t>
      </w:r>
      <w:r>
        <w:rPr>
          <w:sz w:val="20"/>
          <w:szCs w:val="20"/>
          <w:color w:val="231F20"/>
          <w:spacing w:val="-41"/>
        </w:rPr>
        <w:t xml:space="preserve"> </w:t>
      </w:r>
      <w:r>
        <w:rPr>
          <w:sz w:val="20"/>
          <w:szCs w:val="20"/>
          <w:color w:val="231F20"/>
          <w:spacing w:val="13"/>
        </w:rPr>
        <w:t>水平对比  </w:t>
      </w:r>
      <w:r>
        <w:rPr>
          <w:rFonts w:ascii="Microsoft YaHei" w:hAnsi="Microsoft YaHei" w:eastAsia="Microsoft YaHei" w:cs="Microsoft YaHei"/>
          <w:sz w:val="20"/>
          <w:szCs w:val="20"/>
          <w:color w:val="231F20"/>
          <w:spacing w:val="13"/>
        </w:rPr>
        <w:t>治疗前 ,</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13"/>
        </w:rPr>
        <w:t>两组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CRP 水平对比 ,</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差异无统计学意义 (</w:t>
      </w:r>
      <w:r>
        <w:rPr>
          <w:rFonts w:ascii="Times New Roman" w:hAnsi="Times New Roman" w:eastAsia="Times New Roman" w:cs="Times New Roman"/>
          <w:sz w:val="20"/>
          <w:szCs w:val="20"/>
          <w:color w:val="231F20"/>
          <w:spacing w:val="-2"/>
        </w:rPr>
        <w:t>P&gt;</w:t>
      </w:r>
      <w:r>
        <w:rPr>
          <w:rFonts w:ascii="Microsoft YaHei" w:hAnsi="Microsoft YaHei" w:eastAsia="Microsoft YaHei" w:cs="Microsoft YaHei"/>
          <w:sz w:val="20"/>
          <w:szCs w:val="20"/>
          <w:color w:val="231F20"/>
          <w:spacing w:val="-2"/>
        </w:rPr>
        <w:t>0.05)。治疗</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1、</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3 d 后 , 两组 CRP 水平均低于本组治疗前 </w:t>
      </w:r>
      <w:r>
        <w:rPr>
          <w:rFonts w:ascii="Microsoft YaHei" w:hAnsi="Microsoft YaHei" w:eastAsia="Microsoft YaHei" w:cs="Microsoft YaHei"/>
          <w:sz w:val="20"/>
          <w:szCs w:val="20"/>
          <w:color w:val="231F20"/>
          <w:spacing w:val="-4"/>
        </w:rPr>
        <w:t>, 且观察组低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于对照组 , 差异有统计学意义 (</w:t>
      </w:r>
      <w:r>
        <w:rPr>
          <w:rFonts w:ascii="Times New Roman" w:hAnsi="Times New Roman" w:eastAsia="Times New Roman" w:cs="Times New Roman"/>
          <w:sz w:val="20"/>
          <w:szCs w:val="20"/>
          <w:color w:val="231F20"/>
          <w:spacing w:val="-4"/>
        </w:rPr>
        <w:t>P&lt;</w:t>
      </w:r>
      <w:r>
        <w:rPr>
          <w:rFonts w:ascii="Microsoft YaHei" w:hAnsi="Microsoft YaHei" w:eastAsia="Microsoft YaHei" w:cs="Microsoft YaHei"/>
          <w:sz w:val="20"/>
          <w:szCs w:val="20"/>
          <w:color w:val="231F20"/>
          <w:spacing w:val="-4"/>
        </w:rPr>
        <w:t>0.05)</w:t>
      </w:r>
      <w:r>
        <w:rPr>
          <w:rFonts w:ascii="Microsoft YaHei" w:hAnsi="Microsoft YaHei" w:eastAsia="Microsoft YaHei" w:cs="Microsoft YaHei"/>
          <w:sz w:val="20"/>
          <w:szCs w:val="20"/>
          <w:color w:val="231F20"/>
          <w:spacing w:val="-5"/>
        </w:rPr>
        <w:t>。见表 3。</w:t>
      </w:r>
    </w:p>
    <w:p>
      <w:pPr>
        <w:pStyle w:val="BodyText"/>
        <w:ind w:right="79"/>
        <w:spacing w:before="17" w:line="20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6"/>
        </w:rPr>
        <w:t>2.</w:t>
      </w:r>
      <w:r>
        <w:rPr>
          <w:rFonts w:ascii="Times New Roman" w:hAnsi="Times New Roman" w:eastAsia="Times New Roman" w:cs="Times New Roman"/>
          <w:sz w:val="20"/>
          <w:szCs w:val="20"/>
          <w:color w:val="231F20"/>
          <w:spacing w:val="33"/>
          <w:w w:val="101"/>
        </w:rPr>
        <w:t xml:space="preserve"> </w:t>
      </w:r>
      <w:r>
        <w:rPr>
          <w:rFonts w:ascii="Times New Roman" w:hAnsi="Times New Roman" w:eastAsia="Times New Roman" w:cs="Times New Roman"/>
          <w:sz w:val="20"/>
          <w:szCs w:val="20"/>
          <w:color w:val="231F20"/>
          <w:spacing w:val="6"/>
        </w:rPr>
        <w:t>3    </w:t>
      </w:r>
      <w:r>
        <w:rPr>
          <w:sz w:val="20"/>
          <w:szCs w:val="20"/>
          <w:color w:val="231F20"/>
          <w:spacing w:val="6"/>
        </w:rPr>
        <w:t>两组临床疗效对比  </w:t>
      </w:r>
      <w:r>
        <w:rPr>
          <w:rFonts w:ascii="Microsoft YaHei" w:hAnsi="Microsoft YaHei" w:eastAsia="Microsoft YaHei" w:cs="Microsoft YaHei"/>
          <w:sz w:val="20"/>
          <w:szCs w:val="20"/>
          <w:color w:val="231F20"/>
          <w:spacing w:val="6"/>
        </w:rPr>
        <w:t>观察组总有效率高于对照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组 , 差异有统计学意义 (</w:t>
      </w:r>
      <w:r>
        <w:rPr>
          <w:rFonts w:ascii="Times New Roman" w:hAnsi="Times New Roman" w:eastAsia="Times New Roman" w:cs="Times New Roman"/>
          <w:sz w:val="20"/>
          <w:szCs w:val="20"/>
          <w:color w:val="231F20"/>
          <w:spacing w:val="-5"/>
        </w:rPr>
        <w:t>P&lt;</w:t>
      </w:r>
      <w:r>
        <w:rPr>
          <w:rFonts w:ascii="Microsoft YaHei" w:hAnsi="Microsoft YaHei" w:eastAsia="Microsoft YaHei" w:cs="Microsoft YaHei"/>
          <w:sz w:val="20"/>
          <w:szCs w:val="20"/>
          <w:color w:val="231F20"/>
          <w:spacing w:val="-5"/>
        </w:rPr>
        <w:t>0.05)。见表 4。</w:t>
      </w:r>
    </w:p>
    <w:p>
      <w:pPr>
        <w:pStyle w:val="BodyText"/>
        <w:ind w:left="1" w:right="79" w:hanging="1"/>
        <w:spacing w:before="10" w:line="208"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2.</w:t>
      </w:r>
      <w:r>
        <w:rPr>
          <w:rFonts w:ascii="Times New Roman" w:hAnsi="Times New Roman" w:eastAsia="Times New Roman" w:cs="Times New Roman"/>
          <w:sz w:val="20"/>
          <w:szCs w:val="20"/>
          <w:color w:val="231F20"/>
          <w:spacing w:val="34"/>
        </w:rPr>
        <w:t xml:space="preserve"> </w:t>
      </w:r>
      <w:r>
        <w:rPr>
          <w:rFonts w:ascii="Times New Roman" w:hAnsi="Times New Roman" w:eastAsia="Times New Roman" w:cs="Times New Roman"/>
          <w:sz w:val="20"/>
          <w:szCs w:val="20"/>
          <w:color w:val="231F20"/>
        </w:rPr>
        <w:t>4    </w:t>
      </w:r>
      <w:r>
        <w:rPr>
          <w:sz w:val="20"/>
          <w:szCs w:val="20"/>
          <w:color w:val="231F20"/>
        </w:rPr>
        <w:t>两组治疗前后睡眠质量评分对比  </w:t>
      </w:r>
      <w:r>
        <w:rPr>
          <w:rFonts w:ascii="Microsoft YaHei" w:hAnsi="Microsoft YaHei" w:eastAsia="Microsoft YaHei" w:cs="Microsoft YaHei"/>
          <w:sz w:val="20"/>
          <w:szCs w:val="20"/>
          <w:color w:val="231F20"/>
        </w:rPr>
        <w:t>治疗前 , 两组 </w:t>
      </w:r>
      <w:r>
        <w:rPr>
          <w:rFonts w:ascii="Microsoft YaHei" w:hAnsi="Microsoft YaHei" w:eastAsia="Microsoft YaHei" w:cs="Microsoft YaHei"/>
          <w:sz w:val="20"/>
          <w:szCs w:val="20"/>
          <w:color w:val="231F20"/>
          <w:spacing w:val="-3"/>
        </w:rPr>
        <w:t>睡眠质量评分对比 , 差异无统计学意义 (</w:t>
      </w:r>
      <w:r>
        <w:rPr>
          <w:rFonts w:ascii="Times New Roman" w:hAnsi="Times New Roman" w:eastAsia="Times New Roman" w:cs="Times New Roman"/>
          <w:sz w:val="20"/>
          <w:szCs w:val="20"/>
          <w:color w:val="231F20"/>
          <w:spacing w:val="-3"/>
        </w:rPr>
        <w:t>P&gt;</w:t>
      </w:r>
      <w:r>
        <w:rPr>
          <w:rFonts w:ascii="Microsoft YaHei" w:hAnsi="Microsoft YaHei" w:eastAsia="Microsoft YaHei" w:cs="Microsoft YaHei"/>
          <w:sz w:val="20"/>
          <w:szCs w:val="20"/>
          <w:color w:val="231F20"/>
          <w:spacing w:val="-3"/>
        </w:rPr>
        <w:t>0.05)。治疗</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3 d 后 ,</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
        </w:rPr>
        <w:t>观察组睡眠质量评分明显低于对照组 , 差异有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统计学意义 (</w:t>
      </w:r>
      <w:r>
        <w:rPr>
          <w:rFonts w:ascii="Times New Roman" w:hAnsi="Times New Roman" w:eastAsia="Times New Roman" w:cs="Times New Roman"/>
          <w:sz w:val="20"/>
          <w:szCs w:val="20"/>
          <w:color w:val="231F20"/>
          <w:spacing w:val="-6"/>
        </w:rPr>
        <w:t>P&lt;</w:t>
      </w:r>
      <w:r>
        <w:rPr>
          <w:rFonts w:ascii="Microsoft YaHei" w:hAnsi="Microsoft YaHei" w:eastAsia="Microsoft YaHei" w:cs="Microsoft YaHei"/>
          <w:sz w:val="20"/>
          <w:szCs w:val="20"/>
          <w:color w:val="231F20"/>
          <w:spacing w:val="-6"/>
        </w:rPr>
        <w:t>0.05)。见表 5。</w:t>
      </w:r>
    </w:p>
    <w:p>
      <w:pPr>
        <w:spacing w:line="208" w:lineRule="auto"/>
        <w:sectPr>
          <w:type w:val="continuous"/>
          <w:pgSz w:w="12246" w:h="17179"/>
          <w:pgMar w:top="1542" w:right="1110" w:bottom="1457" w:left="407" w:header="1219" w:footer="1150" w:gutter="0"/>
          <w:cols w:equalWidth="0" w:num="2">
            <w:col w:w="5845" w:space="100"/>
            <w:col w:w="4783" w:space="0"/>
          </w:cols>
        </w:sectPr>
        <w:rPr>
          <w:rFonts w:ascii="Microsoft YaHei" w:hAnsi="Microsoft YaHei" w:eastAsia="Microsoft YaHei" w:cs="Microsoft YaHei"/>
          <w:sz w:val="20"/>
          <w:szCs w:val="20"/>
        </w:rPr>
      </w:pPr>
    </w:p>
    <w:p>
      <w:pPr>
        <w:pStyle w:val="BodyText"/>
        <w:ind w:left="4101"/>
        <w:spacing w:before="130" w:line="266" w:lineRule="exact"/>
        <w:rPr/>
      </w:pPr>
      <w:r>
        <w:rPr>
          <w:rFonts w:ascii="Microsoft YaHei" w:hAnsi="Microsoft YaHei" w:eastAsia="Microsoft YaHei" w:cs="Microsoft YaHei"/>
          <w:color w:val="231F20"/>
          <w:spacing w:val="-7"/>
          <w:position w:val="2"/>
        </w:rPr>
        <w:t>表 </w:t>
      </w:r>
      <w:r>
        <w:rPr>
          <w:rFonts w:ascii="Times New Roman" w:hAnsi="Times New Roman" w:eastAsia="Times New Roman" w:cs="Times New Roman"/>
          <w:color w:val="231F20"/>
          <w:spacing w:val="-7"/>
          <w:position w:val="2"/>
        </w:rPr>
        <w:t>2    </w:t>
      </w:r>
      <w:r>
        <w:rPr>
          <w:color w:val="231F20"/>
          <w:spacing w:val="-7"/>
          <w:position w:val="2"/>
        </w:rPr>
        <w:t>两组临床症状改善时间对比</w:t>
      </w:r>
      <w:r>
        <w:rPr>
          <w:color w:val="231F20"/>
          <w:spacing w:val="-35"/>
          <w:position w:val="2"/>
        </w:rPr>
        <w:t xml:space="preserve"> </w:t>
      </w:r>
      <w:r>
        <w:rPr>
          <w:rFonts w:ascii="Microsoft YaHei" w:hAnsi="Microsoft YaHei" w:eastAsia="Microsoft YaHei" w:cs="Microsoft YaHei"/>
          <w:color w:val="231F20"/>
          <w:spacing w:val="-7"/>
          <w:position w:val="2"/>
        </w:rPr>
        <w:t>(</w:t>
      </w:r>
      <w:r>
        <w:rPr>
          <w:rFonts w:ascii="Microsoft YaHei" w:hAnsi="Microsoft YaHei" w:eastAsia="Microsoft YaHei" w:cs="Microsoft YaHei"/>
          <w:color w:val="231F20"/>
          <w:spacing w:val="-12"/>
          <w:position w:val="2"/>
        </w:rPr>
        <w:t xml:space="preserve"> </w:t>
      </w:r>
      <w:r>
        <w:rPr>
          <w:rFonts w:ascii="Times New Roman" w:hAnsi="Times New Roman" w:eastAsia="Times New Roman" w:cs="Times New Roman"/>
          <w:color w:val="231F20"/>
          <w:spacing w:val="-7"/>
          <w:position w:val="2"/>
        </w:rPr>
        <w:t>x</w:t>
      </w:r>
      <w:r>
        <w:rPr>
          <w:rFonts w:ascii="Microsoft YaHei" w:hAnsi="Microsoft YaHei" w:eastAsia="Microsoft YaHei" w:cs="Microsoft YaHei"/>
          <w:color w:val="231F20"/>
          <w:spacing w:val="-7"/>
          <w:position w:val="9"/>
        </w:rPr>
        <w:t>- </w:t>
      </w:r>
      <w:r>
        <w:rPr>
          <w:rFonts w:ascii="Microsoft YaHei" w:hAnsi="Microsoft YaHei" w:eastAsia="Microsoft YaHei" w:cs="Microsoft YaHei"/>
          <w:color w:val="231F20"/>
          <w:spacing w:val="-7"/>
          <w:position w:val="2"/>
        </w:rPr>
        <w:t>±</w:t>
      </w:r>
      <w:r>
        <w:rPr>
          <w:rFonts w:ascii="Times New Roman" w:hAnsi="Times New Roman" w:eastAsia="Times New Roman" w:cs="Times New Roman"/>
          <w:color w:val="231F20"/>
          <w:spacing w:val="-7"/>
          <w:position w:val="2"/>
        </w:rPr>
        <w:t>s</w:t>
      </w:r>
      <w:r>
        <w:rPr>
          <w:color w:val="231F20"/>
          <w:spacing w:val="-7"/>
          <w:position w:val="2"/>
        </w:rPr>
        <w:t>,</w:t>
      </w:r>
      <w:r>
        <w:rPr>
          <w:color w:val="231F20"/>
          <w:spacing w:val="-40"/>
          <w:position w:val="2"/>
        </w:rPr>
        <w:t xml:space="preserve"> </w:t>
      </w:r>
      <w:r>
        <w:rPr>
          <w:color w:val="231F20"/>
          <w:spacing w:val="-7"/>
          <w:position w:val="2"/>
        </w:rPr>
        <w:t>d)</w:t>
      </w:r>
    </w:p>
    <w:p>
      <w:pPr>
        <w:pStyle w:val="BodyText"/>
        <w:ind w:left="1551"/>
        <w:spacing w:before="49" w:line="220" w:lineRule="exact"/>
        <w:rPr>
          <w:sz w:val="16"/>
          <w:szCs w:val="16"/>
        </w:rPr>
      </w:pPr>
      <w:r>
        <w:pict>
          <v:shape id="_x0000_s12" style="position:absolute;margin-left:45.0109pt;margin-top:14.3291pt;mso-position-vertical-relative:text;mso-position-horizontal-relative:text;width:487.6pt;height:0.45pt;z-index:251660288;" filled="false" strokecolor="#231F20" strokeweight="0.43pt" coordsize="9752,8" coordorigin="0,0" path="m0,4l1625,4m1625,4l3250,4m3250,4l4875,4m4875,4l6500,4m6500,4l8125,4m8125,4l9751,4e">
            <v:stroke joinstyle="miter" miterlimit="10"/>
          </v:shape>
        </w:pict>
      </w:r>
      <w:r>
        <w:rPr>
          <w:sz w:val="16"/>
          <w:szCs w:val="16"/>
          <w:color w:val="231F20"/>
          <w:position w:val="1"/>
        </w:rPr>
        <w:t>组别                例数</w:t>
      </w:r>
      <w:r>
        <w:rPr>
          <w:sz w:val="16"/>
          <w:szCs w:val="16"/>
          <w:color w:val="231F20"/>
          <w:spacing w:val="2"/>
          <w:position w:val="1"/>
        </w:rPr>
        <w:t xml:space="preserve">              </w:t>
      </w:r>
      <w:r>
        <w:rPr>
          <w:sz w:val="16"/>
          <w:szCs w:val="16"/>
          <w:color w:val="231F20"/>
          <w:position w:val="1"/>
        </w:rPr>
        <w:t>退热时间</w:t>
      </w:r>
      <w:r>
        <w:rPr>
          <w:sz w:val="16"/>
          <w:szCs w:val="16"/>
          <w:color w:val="231F20"/>
          <w:spacing w:val="3"/>
          <w:position w:val="1"/>
        </w:rPr>
        <w:t xml:space="preserve">          </w:t>
      </w:r>
      <w:r>
        <w:rPr>
          <w:sz w:val="16"/>
          <w:szCs w:val="16"/>
          <w:color w:val="231F20"/>
          <w:position w:val="1"/>
        </w:rPr>
        <w:t>腹痛消失时间</w:t>
      </w:r>
      <w:r>
        <w:rPr>
          <w:sz w:val="16"/>
          <w:szCs w:val="16"/>
          <w:color w:val="231F20"/>
          <w:spacing w:val="4"/>
          <w:position w:val="1"/>
        </w:rPr>
        <w:t xml:space="preserve">        </w:t>
      </w:r>
      <w:r>
        <w:rPr>
          <w:sz w:val="16"/>
          <w:szCs w:val="16"/>
          <w:color w:val="231F20"/>
          <w:position w:val="1"/>
        </w:rPr>
        <w:t>呕吐消失消失</w:t>
      </w:r>
      <w:r>
        <w:rPr>
          <w:sz w:val="16"/>
          <w:szCs w:val="16"/>
          <w:color w:val="231F20"/>
          <w:spacing w:val="5"/>
          <w:position w:val="1"/>
        </w:rPr>
        <w:t xml:space="preserve">      </w:t>
      </w:r>
      <w:r>
        <w:rPr>
          <w:sz w:val="16"/>
          <w:szCs w:val="16"/>
          <w:color w:val="231F20"/>
          <w:position w:val="1"/>
        </w:rPr>
        <w:t>排便恢复正常时间</w:t>
      </w:r>
    </w:p>
    <w:p>
      <w:pPr>
        <w:spacing w:line="86" w:lineRule="exact"/>
        <w:rPr/>
      </w:pPr>
      <w:r/>
    </w:p>
    <w:tbl>
      <w:tblPr>
        <w:tblStyle w:val="TableNormal"/>
        <w:tblW w:w="8761" w:type="dxa"/>
        <w:tblInd w:w="14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4"/>
        <w:gridCol w:w="1405"/>
        <w:gridCol w:w="1783"/>
        <w:gridCol w:w="1626"/>
        <w:gridCol w:w="1624"/>
        <w:gridCol w:w="1189"/>
      </w:tblGrid>
      <w:tr>
        <w:trPr>
          <w:trHeight w:val="232" w:hRule="atLeast"/>
        </w:trPr>
        <w:tc>
          <w:tcPr>
            <w:tcW w:w="1134" w:type="dxa"/>
            <w:vAlign w:val="top"/>
          </w:tcPr>
          <w:p>
            <w:pPr>
              <w:pStyle w:val="TableText"/>
              <w:spacing w:before="7" w:line="205" w:lineRule="auto"/>
              <w:rPr/>
            </w:pPr>
            <w:r>
              <w:rPr>
                <w:color w:val="231F20"/>
                <w:spacing w:val="-1"/>
              </w:rPr>
              <w:t>对照组</w:t>
            </w:r>
          </w:p>
        </w:tc>
        <w:tc>
          <w:tcPr>
            <w:tcW w:w="1405" w:type="dxa"/>
            <w:vAlign w:val="top"/>
          </w:tcPr>
          <w:p>
            <w:pPr>
              <w:pStyle w:val="TableText"/>
              <w:ind w:left="656"/>
              <w:spacing w:line="221" w:lineRule="exact"/>
              <w:rPr/>
            </w:pPr>
            <w:r>
              <w:rPr>
                <w:color w:val="231F20"/>
                <w:spacing w:val="-3"/>
                <w:position w:val="1"/>
              </w:rPr>
              <w:t>33</w:t>
            </w:r>
          </w:p>
        </w:tc>
        <w:tc>
          <w:tcPr>
            <w:tcW w:w="1783" w:type="dxa"/>
            <w:vAlign w:val="top"/>
          </w:tcPr>
          <w:p>
            <w:pPr>
              <w:pStyle w:val="TableText"/>
              <w:ind w:left="595"/>
              <w:spacing w:line="221" w:lineRule="exact"/>
              <w:rPr/>
            </w:pPr>
            <w:r>
              <w:rPr>
                <w:color w:val="231F20"/>
                <w:spacing w:val="-10"/>
                <w:position w:val="1"/>
              </w:rPr>
              <w:t>2.36±0.48</w:t>
            </w:r>
          </w:p>
        </w:tc>
        <w:tc>
          <w:tcPr>
            <w:tcW w:w="1626" w:type="dxa"/>
            <w:vAlign w:val="top"/>
          </w:tcPr>
          <w:p>
            <w:pPr>
              <w:pStyle w:val="TableText"/>
              <w:ind w:left="435"/>
              <w:spacing w:line="221" w:lineRule="exact"/>
              <w:rPr/>
            </w:pPr>
            <w:r>
              <w:rPr>
                <w:color w:val="231F20"/>
                <w:spacing w:val="-10"/>
                <w:position w:val="1"/>
              </w:rPr>
              <w:t>4.29±0.79</w:t>
            </w:r>
          </w:p>
        </w:tc>
        <w:tc>
          <w:tcPr>
            <w:tcW w:w="1624" w:type="dxa"/>
            <w:vAlign w:val="top"/>
          </w:tcPr>
          <w:p>
            <w:pPr>
              <w:pStyle w:val="TableText"/>
              <w:ind w:left="437"/>
              <w:spacing w:line="221" w:lineRule="exact"/>
              <w:rPr/>
            </w:pPr>
            <w:r>
              <w:rPr>
                <w:color w:val="231F20"/>
                <w:spacing w:val="-10"/>
                <w:position w:val="1"/>
              </w:rPr>
              <w:t>2.69±0.65</w:t>
            </w:r>
          </w:p>
        </w:tc>
        <w:tc>
          <w:tcPr>
            <w:tcW w:w="1189" w:type="dxa"/>
            <w:vAlign w:val="top"/>
          </w:tcPr>
          <w:p>
            <w:pPr>
              <w:pStyle w:val="TableText"/>
              <w:ind w:left="435"/>
              <w:spacing w:line="221" w:lineRule="exact"/>
              <w:rPr/>
            </w:pPr>
            <w:r>
              <w:rPr>
                <w:color w:val="231F20"/>
                <w:spacing w:val="-10"/>
                <w:position w:val="1"/>
              </w:rPr>
              <w:t>4.36±0.79</w:t>
            </w:r>
          </w:p>
        </w:tc>
      </w:tr>
      <w:tr>
        <w:trPr>
          <w:trHeight w:val="310" w:hRule="atLeast"/>
        </w:trPr>
        <w:tc>
          <w:tcPr>
            <w:tcW w:w="1134" w:type="dxa"/>
            <w:vAlign w:val="top"/>
          </w:tcPr>
          <w:p>
            <w:pPr>
              <w:pStyle w:val="TableText"/>
              <w:ind w:left="3"/>
              <w:spacing w:before="72" w:line="211" w:lineRule="auto"/>
              <w:rPr/>
            </w:pPr>
            <w:r>
              <w:rPr>
                <w:color w:val="231F20"/>
                <w:spacing w:val="-2"/>
              </w:rPr>
              <w:t>观察组</w:t>
            </w:r>
          </w:p>
        </w:tc>
        <w:tc>
          <w:tcPr>
            <w:tcW w:w="1405" w:type="dxa"/>
            <w:vAlign w:val="top"/>
          </w:tcPr>
          <w:p>
            <w:pPr>
              <w:pStyle w:val="TableText"/>
              <w:ind w:left="656"/>
              <w:spacing w:before="68" w:line="231" w:lineRule="exact"/>
              <w:rPr/>
            </w:pPr>
            <w:r>
              <w:rPr>
                <w:color w:val="231F20"/>
                <w:spacing w:val="-3"/>
                <w:position w:val="1"/>
              </w:rPr>
              <w:t>34</w:t>
            </w:r>
          </w:p>
        </w:tc>
        <w:tc>
          <w:tcPr>
            <w:tcW w:w="1783" w:type="dxa"/>
            <w:vAlign w:val="top"/>
          </w:tcPr>
          <w:p>
            <w:pPr>
              <w:pStyle w:val="TableText"/>
              <w:ind w:left="607"/>
              <w:spacing w:before="48" w:line="247" w:lineRule="exact"/>
              <w:rPr>
                <w:sz w:val="9"/>
                <w:szCs w:val="9"/>
              </w:rPr>
            </w:pPr>
            <w:r>
              <w:rPr>
                <w:color w:val="231F20"/>
                <w:spacing w:val="-12"/>
                <w:position w:val="2"/>
              </w:rPr>
              <w:t>1.41±0.24</w:t>
            </w:r>
            <w:r>
              <w:rPr>
                <w:sz w:val="9"/>
                <w:szCs w:val="9"/>
                <w:color w:val="231F20"/>
                <w:spacing w:val="4"/>
                <w:position w:val="9"/>
              </w:rPr>
              <w:t>a</w:t>
            </w:r>
          </w:p>
        </w:tc>
        <w:tc>
          <w:tcPr>
            <w:tcW w:w="1626" w:type="dxa"/>
            <w:vAlign w:val="top"/>
          </w:tcPr>
          <w:p>
            <w:pPr>
              <w:pStyle w:val="TableText"/>
              <w:ind w:left="436"/>
              <w:spacing w:before="48" w:line="247" w:lineRule="exact"/>
              <w:rPr>
                <w:sz w:val="9"/>
                <w:szCs w:val="9"/>
              </w:rPr>
            </w:pPr>
            <w:r>
              <w:rPr>
                <w:color w:val="231F20"/>
                <w:spacing w:val="-10"/>
                <w:position w:val="2"/>
              </w:rPr>
              <w:t>2.04±0.43</w:t>
            </w:r>
            <w:r>
              <w:rPr>
                <w:sz w:val="9"/>
                <w:szCs w:val="9"/>
                <w:color w:val="231F20"/>
                <w:position w:val="9"/>
              </w:rPr>
              <w:t>a</w:t>
            </w:r>
          </w:p>
        </w:tc>
        <w:tc>
          <w:tcPr>
            <w:tcW w:w="1624" w:type="dxa"/>
            <w:vAlign w:val="top"/>
          </w:tcPr>
          <w:p>
            <w:pPr>
              <w:pStyle w:val="TableText"/>
              <w:ind w:left="449"/>
              <w:spacing w:before="48" w:line="247" w:lineRule="exact"/>
              <w:rPr>
                <w:sz w:val="9"/>
                <w:szCs w:val="9"/>
              </w:rPr>
            </w:pPr>
            <w:r>
              <w:rPr>
                <w:color w:val="231F20"/>
                <w:spacing w:val="-12"/>
                <w:position w:val="2"/>
              </w:rPr>
              <w:t>1.04±0.31</w:t>
            </w:r>
            <w:r>
              <w:rPr>
                <w:sz w:val="9"/>
                <w:szCs w:val="9"/>
                <w:color w:val="231F20"/>
                <w:spacing w:val="4"/>
                <w:position w:val="9"/>
              </w:rPr>
              <w:t>a</w:t>
            </w:r>
          </w:p>
        </w:tc>
        <w:tc>
          <w:tcPr>
            <w:tcW w:w="1189" w:type="dxa"/>
            <w:vAlign w:val="top"/>
          </w:tcPr>
          <w:p>
            <w:pPr>
              <w:pStyle w:val="TableText"/>
              <w:spacing w:before="48" w:line="247" w:lineRule="exact"/>
              <w:jc w:val="right"/>
              <w:rPr>
                <w:sz w:val="9"/>
                <w:szCs w:val="9"/>
              </w:rPr>
            </w:pPr>
            <w:r>
              <w:rPr>
                <w:color w:val="231F20"/>
                <w:spacing w:val="-10"/>
                <w:position w:val="2"/>
              </w:rPr>
              <w:t>2.64±0.44</w:t>
            </w:r>
            <w:r>
              <w:rPr>
                <w:sz w:val="9"/>
                <w:szCs w:val="9"/>
                <w:color w:val="231F20"/>
                <w:spacing w:val="-3"/>
                <w:w w:val="98"/>
                <w:position w:val="9"/>
              </w:rPr>
              <w:t>a</w:t>
            </w:r>
          </w:p>
        </w:tc>
      </w:tr>
      <w:tr>
        <w:trPr>
          <w:trHeight w:val="300" w:hRule="atLeast"/>
        </w:trPr>
        <w:tc>
          <w:tcPr>
            <w:tcW w:w="1134" w:type="dxa"/>
            <w:vAlign w:val="top"/>
          </w:tcPr>
          <w:p>
            <w:pPr>
              <w:ind w:left="217"/>
              <w:spacing w:before="116" w:line="11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position w:val="-2"/>
              </w:rPr>
              <w:t>t</w:t>
            </w:r>
          </w:p>
        </w:tc>
        <w:tc>
          <w:tcPr>
            <w:tcW w:w="1405" w:type="dxa"/>
            <w:vAlign w:val="top"/>
          </w:tcPr>
          <w:p>
            <w:pPr>
              <w:rPr>
                <w:rFonts w:ascii="Arial"/>
                <w:sz w:val="21"/>
              </w:rPr>
            </w:pPr>
            <w:r/>
          </w:p>
        </w:tc>
        <w:tc>
          <w:tcPr>
            <w:tcW w:w="1783" w:type="dxa"/>
            <w:vAlign w:val="top"/>
          </w:tcPr>
          <w:p>
            <w:pPr>
              <w:pStyle w:val="TableText"/>
              <w:ind w:left="748"/>
              <w:spacing w:before="58" w:line="231" w:lineRule="exact"/>
              <w:rPr/>
            </w:pPr>
            <w:r>
              <w:rPr>
                <w:color w:val="231F20"/>
                <w:spacing w:val="-9"/>
                <w:position w:val="1"/>
              </w:rPr>
              <w:t>10.292</w:t>
            </w:r>
          </w:p>
        </w:tc>
        <w:tc>
          <w:tcPr>
            <w:tcW w:w="1626" w:type="dxa"/>
            <w:vAlign w:val="top"/>
          </w:tcPr>
          <w:p>
            <w:pPr>
              <w:pStyle w:val="TableText"/>
              <w:ind w:left="590"/>
              <w:spacing w:before="58" w:line="231" w:lineRule="exact"/>
              <w:rPr/>
            </w:pPr>
            <w:r>
              <w:rPr>
                <w:color w:val="231F20"/>
                <w:spacing w:val="-9"/>
                <w:position w:val="1"/>
              </w:rPr>
              <w:t>14.538</w:t>
            </w:r>
          </w:p>
        </w:tc>
        <w:tc>
          <w:tcPr>
            <w:tcW w:w="1624" w:type="dxa"/>
            <w:vAlign w:val="top"/>
          </w:tcPr>
          <w:p>
            <w:pPr>
              <w:pStyle w:val="TableText"/>
              <w:ind w:left="589"/>
              <w:spacing w:before="58" w:line="231" w:lineRule="exact"/>
              <w:rPr/>
            </w:pPr>
            <w:r>
              <w:rPr>
                <w:color w:val="231F20"/>
                <w:spacing w:val="-9"/>
                <w:position w:val="1"/>
              </w:rPr>
              <w:t>13.325</w:t>
            </w:r>
          </w:p>
        </w:tc>
        <w:tc>
          <w:tcPr>
            <w:tcW w:w="1189" w:type="dxa"/>
            <w:vAlign w:val="top"/>
          </w:tcPr>
          <w:p>
            <w:pPr>
              <w:pStyle w:val="TableText"/>
              <w:ind w:left="590"/>
              <w:spacing w:before="58" w:line="231" w:lineRule="exact"/>
              <w:rPr/>
            </w:pPr>
            <w:r>
              <w:rPr>
                <w:color w:val="231F20"/>
                <w:spacing w:val="-9"/>
                <w:position w:val="1"/>
              </w:rPr>
              <w:t>11.053</w:t>
            </w:r>
          </w:p>
        </w:tc>
      </w:tr>
      <w:tr>
        <w:trPr>
          <w:trHeight w:val="242" w:hRule="atLeast"/>
        </w:trPr>
        <w:tc>
          <w:tcPr>
            <w:tcW w:w="1134" w:type="dxa"/>
            <w:vAlign w:val="top"/>
          </w:tcPr>
          <w:p>
            <w:pPr>
              <w:ind w:left="187"/>
              <w:spacing w:before="90"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1405" w:type="dxa"/>
            <w:vAlign w:val="top"/>
          </w:tcPr>
          <w:p>
            <w:pPr>
              <w:spacing w:line="231" w:lineRule="exact"/>
              <w:rPr>
                <w:rFonts w:ascii="Arial"/>
                <w:sz w:val="20"/>
              </w:rPr>
            </w:pPr>
            <w:r/>
          </w:p>
        </w:tc>
        <w:tc>
          <w:tcPr>
            <w:tcW w:w="1783" w:type="dxa"/>
            <w:vAlign w:val="top"/>
          </w:tcPr>
          <w:p>
            <w:pPr>
              <w:pStyle w:val="TableText"/>
              <w:ind w:left="774"/>
              <w:spacing w:before="58" w:line="200" w:lineRule="auto"/>
              <w:rPr/>
            </w:pPr>
            <w:r>
              <w:rPr>
                <w:color w:val="231F20"/>
                <w:spacing w:val="-8"/>
              </w:rPr>
              <w:t>0.000</w:t>
            </w:r>
          </w:p>
        </w:tc>
        <w:tc>
          <w:tcPr>
            <w:tcW w:w="1626" w:type="dxa"/>
            <w:vAlign w:val="top"/>
          </w:tcPr>
          <w:p>
            <w:pPr>
              <w:pStyle w:val="TableText"/>
              <w:ind w:left="616"/>
              <w:spacing w:before="58" w:line="200" w:lineRule="auto"/>
              <w:rPr/>
            </w:pPr>
            <w:r>
              <w:rPr>
                <w:color w:val="231F20"/>
                <w:spacing w:val="-8"/>
              </w:rPr>
              <w:t>0.000</w:t>
            </w:r>
          </w:p>
        </w:tc>
        <w:tc>
          <w:tcPr>
            <w:tcW w:w="1624" w:type="dxa"/>
            <w:vAlign w:val="top"/>
          </w:tcPr>
          <w:p>
            <w:pPr>
              <w:pStyle w:val="TableText"/>
              <w:ind w:left="615"/>
              <w:spacing w:before="58" w:line="200" w:lineRule="auto"/>
              <w:rPr/>
            </w:pPr>
            <w:r>
              <w:rPr>
                <w:color w:val="231F20"/>
                <w:spacing w:val="-8"/>
              </w:rPr>
              <w:t>0.000</w:t>
            </w:r>
          </w:p>
        </w:tc>
        <w:tc>
          <w:tcPr>
            <w:tcW w:w="1189" w:type="dxa"/>
            <w:vAlign w:val="top"/>
          </w:tcPr>
          <w:p>
            <w:pPr>
              <w:pStyle w:val="TableText"/>
              <w:ind w:left="616"/>
              <w:spacing w:before="58" w:line="200" w:lineRule="auto"/>
              <w:rPr/>
            </w:pPr>
            <w:r>
              <w:rPr>
                <w:color w:val="231F20"/>
                <w:spacing w:val="-8"/>
              </w:rPr>
              <w:t>0.000</w:t>
            </w:r>
          </w:p>
        </w:tc>
      </w:tr>
    </w:tbl>
    <w:p>
      <w:pPr>
        <w:spacing w:line="14" w:lineRule="auto"/>
        <w:rPr>
          <w:rFonts w:ascii="Arial"/>
          <w:sz w:val="2"/>
        </w:rPr>
      </w:pPr>
      <w:r/>
    </w:p>
    <w:p>
      <w:pPr>
        <w:spacing w:line="14" w:lineRule="auto"/>
        <w:sectPr>
          <w:type w:val="continuous"/>
          <w:pgSz w:w="12246" w:h="17179"/>
          <w:pgMar w:top="1542" w:right="1110" w:bottom="1457" w:left="407" w:header="1219" w:footer="1150" w:gutter="0"/>
          <w:cols w:equalWidth="0" w:num="1">
            <w:col w:w="10728" w:space="0"/>
          </w:cols>
        </w:sectPr>
        <w:rPr>
          <w:rFonts w:ascii="Arial" w:hAnsi="Arial" w:eastAsia="Arial" w:cs="Arial"/>
          <w:sz w:val="2"/>
          <w:szCs w:val="2"/>
        </w:rPr>
      </w:pPr>
    </w:p>
    <w:p>
      <w:pPr>
        <w:pStyle w:val="BodyText"/>
        <w:ind w:left="3824"/>
        <w:spacing w:before="206" w:line="245" w:lineRule="exact"/>
        <w:outlineLvl w:val="0"/>
        <w:rPr/>
      </w:pPr>
      <w:r>
        <w:rPr>
          <w:rFonts w:ascii="Microsoft YaHei" w:hAnsi="Microsoft YaHei" w:eastAsia="Microsoft YaHei" w:cs="Microsoft YaHei"/>
          <w:color w:val="231F20"/>
          <w:spacing w:val="-5"/>
          <w:position w:val="1"/>
        </w:rPr>
        <w:t>表 </w:t>
      </w:r>
      <w:r>
        <w:rPr>
          <w:rFonts w:ascii="Times New Roman" w:hAnsi="Times New Roman" w:eastAsia="Times New Roman" w:cs="Times New Roman"/>
          <w:color w:val="231F20"/>
          <w:spacing w:val="-5"/>
          <w:position w:val="1"/>
        </w:rPr>
        <w:t>3    </w:t>
      </w:r>
      <w:r>
        <w:rPr>
          <w:color w:val="231F20"/>
          <w:spacing w:val="-5"/>
          <w:position w:val="1"/>
        </w:rPr>
        <w:t>两组治疗前后</w:t>
      </w:r>
      <w:r>
        <w:rPr>
          <w:color w:val="231F20"/>
          <w:spacing w:val="-38"/>
          <w:position w:val="1"/>
        </w:rPr>
        <w:t xml:space="preserve"> </w:t>
      </w:r>
      <w:r>
        <w:rPr>
          <w:color w:val="231F20"/>
          <w:spacing w:val="-5"/>
          <w:position w:val="1"/>
        </w:rPr>
        <w:t>CRP</w:t>
      </w:r>
      <w:r>
        <w:rPr>
          <w:color w:val="231F20"/>
          <w:spacing w:val="-42"/>
          <w:position w:val="1"/>
        </w:rPr>
        <w:t xml:space="preserve"> </w:t>
      </w:r>
      <w:r>
        <w:rPr>
          <w:color w:val="231F20"/>
          <w:spacing w:val="-5"/>
          <w:position w:val="1"/>
        </w:rPr>
        <w:t>水平对比</w:t>
      </w:r>
      <w:r>
        <w:rPr>
          <w:color w:val="231F20"/>
          <w:spacing w:val="-37"/>
          <w:position w:val="1"/>
        </w:rPr>
        <w:t xml:space="preserve"> </w:t>
      </w:r>
      <w:r>
        <w:rPr>
          <w:rFonts w:ascii="Microsoft YaHei" w:hAnsi="Microsoft YaHei" w:eastAsia="Microsoft YaHei" w:cs="Microsoft YaHei"/>
          <w:color w:val="231F20"/>
          <w:spacing w:val="-5"/>
          <w:position w:val="1"/>
        </w:rPr>
        <w:t>(</w:t>
      </w:r>
      <w:r>
        <w:rPr>
          <w:rFonts w:ascii="Microsoft YaHei" w:hAnsi="Microsoft YaHei" w:eastAsia="Microsoft YaHei" w:cs="Microsoft YaHei"/>
          <w:color w:val="231F20"/>
          <w:spacing w:val="-12"/>
          <w:position w:val="1"/>
        </w:rPr>
        <w:t xml:space="preserve"> </w:t>
      </w:r>
      <w:r>
        <w:rPr>
          <w:rFonts w:ascii="Times New Roman" w:hAnsi="Times New Roman" w:eastAsia="Times New Roman" w:cs="Times New Roman"/>
          <w:color w:val="231F20"/>
          <w:spacing w:val="-5"/>
          <w:position w:val="1"/>
        </w:rPr>
        <w:t>x</w:t>
      </w:r>
      <w:r>
        <w:rPr>
          <w:rFonts w:ascii="Microsoft YaHei" w:hAnsi="Microsoft YaHei" w:eastAsia="Microsoft YaHei" w:cs="Microsoft YaHei"/>
          <w:color w:val="231F20"/>
          <w:spacing w:val="-5"/>
          <w:position w:val="8"/>
        </w:rPr>
        <w:t>- </w:t>
      </w:r>
      <w:r>
        <w:rPr>
          <w:rFonts w:ascii="Microsoft YaHei" w:hAnsi="Microsoft YaHei" w:eastAsia="Microsoft YaHei" w:cs="Microsoft YaHei"/>
          <w:color w:val="231F20"/>
          <w:spacing w:val="-5"/>
          <w:position w:val="1"/>
        </w:rPr>
        <w:t>±</w:t>
      </w:r>
      <w:r>
        <w:rPr>
          <w:rFonts w:ascii="Times New Roman" w:hAnsi="Times New Roman" w:eastAsia="Times New Roman" w:cs="Times New Roman"/>
          <w:color w:val="231F20"/>
          <w:spacing w:val="-5"/>
          <w:position w:val="1"/>
        </w:rPr>
        <w:t>s</w:t>
      </w:r>
      <w:r>
        <w:rPr>
          <w:color w:val="231F20"/>
          <w:spacing w:val="-5"/>
          <w:position w:val="1"/>
        </w:rPr>
        <w:t>,</w:t>
      </w:r>
      <w:r>
        <w:rPr>
          <w:color w:val="231F20"/>
          <w:spacing w:val="-41"/>
          <w:position w:val="1"/>
        </w:rPr>
        <w:t xml:space="preserve"> </w:t>
      </w:r>
      <w:r>
        <w:rPr>
          <w:color w:val="231F20"/>
          <w:spacing w:val="-5"/>
          <w:position w:val="1"/>
        </w:rPr>
        <w:t>mg/L)</w:t>
      </w:r>
    </w:p>
    <w:tbl>
      <w:tblPr>
        <w:tblStyle w:val="TableNormal"/>
        <w:tblW w:w="9751" w:type="dxa"/>
        <w:tblInd w:w="7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88"/>
        <w:gridCol w:w="1800"/>
        <w:gridCol w:w="2057"/>
        <w:gridCol w:w="1995"/>
        <w:gridCol w:w="1911"/>
      </w:tblGrid>
      <w:tr>
        <w:trPr>
          <w:trHeight w:val="296" w:hRule="atLeast"/>
        </w:trPr>
        <w:tc>
          <w:tcPr>
            <w:tcW w:w="1988" w:type="dxa"/>
            <w:vAlign w:val="top"/>
            <w:tcBorders>
              <w:bottom w:val="single" w:color="231F20" w:sz="2" w:space="0"/>
              <w:top w:val="single" w:color="231F20" w:sz="4" w:space="0"/>
            </w:tcBorders>
          </w:tcPr>
          <w:p>
            <w:pPr>
              <w:pStyle w:val="TableText"/>
              <w:ind w:left="818"/>
              <w:spacing w:before="69" w:line="212" w:lineRule="auto"/>
              <w:rPr/>
            </w:pPr>
            <w:r>
              <w:rPr>
                <w:color w:val="231F20"/>
                <w:spacing w:val="-1"/>
              </w:rPr>
              <w:t>组别</w:t>
            </w:r>
          </w:p>
        </w:tc>
        <w:tc>
          <w:tcPr>
            <w:tcW w:w="1800" w:type="dxa"/>
            <w:vAlign w:val="top"/>
            <w:tcBorders>
              <w:bottom w:val="single" w:color="231F20" w:sz="2" w:space="0"/>
              <w:top w:val="single" w:color="231F20" w:sz="4" w:space="0"/>
            </w:tcBorders>
          </w:tcPr>
          <w:p>
            <w:pPr>
              <w:pStyle w:val="TableText"/>
              <w:ind w:left="781"/>
              <w:spacing w:before="69" w:line="212" w:lineRule="auto"/>
              <w:rPr/>
            </w:pPr>
            <w:r>
              <w:rPr>
                <w:color w:val="231F20"/>
                <w:spacing w:val="-2"/>
              </w:rPr>
              <w:t>例数</w:t>
            </w:r>
          </w:p>
        </w:tc>
        <w:tc>
          <w:tcPr>
            <w:tcW w:w="2057" w:type="dxa"/>
            <w:vAlign w:val="top"/>
            <w:tcBorders>
              <w:bottom w:val="single" w:color="231F20" w:sz="2" w:space="0"/>
              <w:top w:val="single" w:color="231F20" w:sz="4" w:space="0"/>
            </w:tcBorders>
          </w:tcPr>
          <w:p>
            <w:pPr>
              <w:pStyle w:val="TableText"/>
              <w:ind w:left="852"/>
              <w:spacing w:before="70" w:line="212" w:lineRule="auto"/>
              <w:rPr/>
            </w:pPr>
            <w:r>
              <w:rPr>
                <w:color w:val="231F20"/>
                <w:spacing w:val="-2"/>
              </w:rPr>
              <w:t>治疗前</w:t>
            </w:r>
          </w:p>
        </w:tc>
        <w:tc>
          <w:tcPr>
            <w:tcW w:w="1995" w:type="dxa"/>
            <w:vAlign w:val="top"/>
            <w:tcBorders>
              <w:bottom w:val="single" w:color="231F20" w:sz="2" w:space="0"/>
              <w:top w:val="single" w:color="231F20" w:sz="4" w:space="0"/>
            </w:tcBorders>
          </w:tcPr>
          <w:p>
            <w:pPr>
              <w:pStyle w:val="TableText"/>
              <w:ind w:left="606"/>
              <w:spacing w:before="71" w:line="211" w:lineRule="auto"/>
              <w:rPr/>
            </w:pPr>
            <w:r>
              <w:rPr>
                <w:color w:val="231F20"/>
                <w:spacing w:val="-6"/>
              </w:rPr>
              <w:t>治疗</w:t>
            </w:r>
            <w:r>
              <w:rPr>
                <w:color w:val="231F20"/>
                <w:spacing w:val="-23"/>
              </w:rPr>
              <w:t xml:space="preserve"> </w:t>
            </w:r>
            <w:r>
              <w:rPr>
                <w:color w:val="231F20"/>
                <w:spacing w:val="-6"/>
              </w:rPr>
              <w:t>1</w:t>
            </w:r>
            <w:r>
              <w:rPr>
                <w:color w:val="231F20"/>
                <w:spacing w:val="-35"/>
              </w:rPr>
              <w:t xml:space="preserve"> </w:t>
            </w:r>
            <w:r>
              <w:rPr>
                <w:color w:val="231F20"/>
                <w:spacing w:val="-6"/>
              </w:rPr>
              <w:t>d</w:t>
            </w:r>
            <w:r>
              <w:rPr>
                <w:color w:val="231F20"/>
                <w:spacing w:val="-38"/>
              </w:rPr>
              <w:t xml:space="preserve"> </w:t>
            </w:r>
            <w:r>
              <w:rPr>
                <w:color w:val="231F20"/>
                <w:spacing w:val="-6"/>
              </w:rPr>
              <w:t>后</w:t>
            </w:r>
          </w:p>
        </w:tc>
        <w:tc>
          <w:tcPr>
            <w:tcW w:w="1911" w:type="dxa"/>
            <w:vAlign w:val="top"/>
            <w:tcBorders>
              <w:bottom w:val="single" w:color="231F20" w:sz="2" w:space="0"/>
              <w:top w:val="single" w:color="231F20" w:sz="4" w:space="0"/>
            </w:tcBorders>
          </w:tcPr>
          <w:p>
            <w:pPr>
              <w:pStyle w:val="TableText"/>
              <w:ind w:left="561"/>
              <w:spacing w:before="71" w:line="211" w:lineRule="auto"/>
              <w:rPr/>
            </w:pPr>
            <w:r>
              <w:rPr>
                <w:color w:val="231F20"/>
                <w:spacing w:val="-4"/>
              </w:rPr>
              <w:t>治疗</w:t>
            </w:r>
            <w:r>
              <w:rPr>
                <w:color w:val="231F20"/>
                <w:spacing w:val="-33"/>
              </w:rPr>
              <w:t xml:space="preserve"> </w:t>
            </w:r>
            <w:r>
              <w:rPr>
                <w:color w:val="231F20"/>
                <w:spacing w:val="-4"/>
              </w:rPr>
              <w:t>3</w:t>
            </w:r>
            <w:r>
              <w:rPr>
                <w:color w:val="231F20"/>
                <w:spacing w:val="-35"/>
              </w:rPr>
              <w:t xml:space="preserve"> </w:t>
            </w:r>
            <w:r>
              <w:rPr>
                <w:color w:val="231F20"/>
                <w:spacing w:val="-4"/>
              </w:rPr>
              <w:t>d</w:t>
            </w:r>
            <w:r>
              <w:rPr>
                <w:color w:val="231F20"/>
                <w:spacing w:val="-38"/>
              </w:rPr>
              <w:t xml:space="preserve"> </w:t>
            </w:r>
            <w:r>
              <w:rPr>
                <w:color w:val="231F20"/>
                <w:spacing w:val="-4"/>
              </w:rPr>
              <w:t>后</w:t>
            </w:r>
          </w:p>
        </w:tc>
      </w:tr>
      <w:tr>
        <w:trPr>
          <w:trHeight w:val="287" w:hRule="atLeast"/>
        </w:trPr>
        <w:tc>
          <w:tcPr>
            <w:tcW w:w="1988" w:type="dxa"/>
            <w:vAlign w:val="top"/>
            <w:tcBorders>
              <w:top w:val="single" w:color="231F20" w:sz="2" w:space="0"/>
            </w:tcBorders>
          </w:tcPr>
          <w:p>
            <w:pPr>
              <w:pStyle w:val="TableText"/>
              <w:ind w:left="737"/>
              <w:spacing w:before="72" w:line="205" w:lineRule="auto"/>
              <w:rPr/>
            </w:pPr>
            <w:r>
              <w:rPr>
                <w:color w:val="231F20"/>
                <w:spacing w:val="-1"/>
              </w:rPr>
              <w:t>对照组</w:t>
            </w:r>
          </w:p>
        </w:tc>
        <w:tc>
          <w:tcPr>
            <w:tcW w:w="1800" w:type="dxa"/>
            <w:vAlign w:val="top"/>
            <w:tcBorders>
              <w:top w:val="single" w:color="231F20" w:sz="2" w:space="0"/>
            </w:tcBorders>
          </w:tcPr>
          <w:p>
            <w:pPr>
              <w:pStyle w:val="TableText"/>
              <w:ind w:left="864"/>
              <w:spacing w:before="65" w:line="211" w:lineRule="exact"/>
              <w:rPr/>
            </w:pPr>
            <w:r>
              <w:rPr>
                <w:color w:val="231F20"/>
                <w:spacing w:val="-3"/>
                <w:position w:val="1"/>
              </w:rPr>
              <w:t>33</w:t>
            </w:r>
          </w:p>
        </w:tc>
        <w:tc>
          <w:tcPr>
            <w:tcW w:w="2057" w:type="dxa"/>
            <w:vAlign w:val="top"/>
            <w:tcBorders>
              <w:top w:val="single" w:color="231F20" w:sz="2" w:space="0"/>
            </w:tcBorders>
          </w:tcPr>
          <w:p>
            <w:pPr>
              <w:pStyle w:val="TableText"/>
              <w:ind w:left="707"/>
              <w:spacing w:before="65" w:line="211" w:lineRule="exact"/>
              <w:rPr/>
            </w:pPr>
            <w:r>
              <w:rPr>
                <w:color w:val="231F20"/>
                <w:spacing w:val="-11"/>
                <w:position w:val="1"/>
              </w:rPr>
              <w:t>15.23±1.45</w:t>
            </w:r>
          </w:p>
        </w:tc>
        <w:tc>
          <w:tcPr>
            <w:tcW w:w="1995" w:type="dxa"/>
            <w:vAlign w:val="top"/>
            <w:tcBorders>
              <w:top w:val="single" w:color="231F20" w:sz="2" w:space="0"/>
            </w:tcBorders>
          </w:tcPr>
          <w:p>
            <w:pPr>
              <w:pStyle w:val="TableText"/>
              <w:ind w:left="580"/>
              <w:spacing w:before="46" w:line="230" w:lineRule="exact"/>
              <w:rPr>
                <w:sz w:val="9"/>
                <w:szCs w:val="9"/>
              </w:rPr>
            </w:pPr>
            <w:r>
              <w:rPr>
                <w:color w:val="231F20"/>
                <w:spacing w:val="-11"/>
                <w:position w:val="1"/>
              </w:rPr>
              <w:t>13.26±1.06</w:t>
            </w:r>
            <w:r>
              <w:rPr>
                <w:sz w:val="9"/>
                <w:szCs w:val="9"/>
                <w:color w:val="231F20"/>
                <w:spacing w:val="5"/>
                <w:position w:val="8"/>
              </w:rPr>
              <w:t>a</w:t>
            </w:r>
          </w:p>
        </w:tc>
        <w:tc>
          <w:tcPr>
            <w:tcW w:w="1911" w:type="dxa"/>
            <w:vAlign w:val="top"/>
            <w:tcBorders>
              <w:top w:val="single" w:color="231F20" w:sz="2" w:space="0"/>
            </w:tcBorders>
          </w:tcPr>
          <w:p>
            <w:pPr>
              <w:pStyle w:val="TableText"/>
              <w:ind w:left="562"/>
              <w:spacing w:before="46" w:line="230" w:lineRule="exact"/>
              <w:rPr>
                <w:sz w:val="9"/>
                <w:szCs w:val="9"/>
              </w:rPr>
            </w:pPr>
            <w:r>
              <w:rPr>
                <w:color w:val="231F20"/>
                <w:spacing w:val="-11"/>
                <w:position w:val="1"/>
              </w:rPr>
              <w:t>6.16±0.39</w:t>
            </w:r>
            <w:r>
              <w:rPr>
                <w:sz w:val="9"/>
                <w:szCs w:val="9"/>
                <w:color w:val="231F20"/>
                <w:spacing w:val="7"/>
                <w:position w:val="8"/>
              </w:rPr>
              <w:t>a</w:t>
            </w:r>
          </w:p>
        </w:tc>
      </w:tr>
      <w:tr>
        <w:trPr>
          <w:trHeight w:val="316" w:hRule="atLeast"/>
        </w:trPr>
        <w:tc>
          <w:tcPr>
            <w:tcW w:w="1988" w:type="dxa"/>
            <w:vAlign w:val="top"/>
          </w:tcPr>
          <w:p>
            <w:pPr>
              <w:pStyle w:val="TableText"/>
              <w:ind w:left="741"/>
              <w:spacing w:before="83" w:line="211" w:lineRule="auto"/>
              <w:rPr/>
            </w:pPr>
            <w:r>
              <w:rPr>
                <w:color w:val="231F20"/>
                <w:spacing w:val="-2"/>
              </w:rPr>
              <w:t>观察组</w:t>
            </w:r>
          </w:p>
        </w:tc>
        <w:tc>
          <w:tcPr>
            <w:tcW w:w="1800" w:type="dxa"/>
            <w:vAlign w:val="top"/>
          </w:tcPr>
          <w:p>
            <w:pPr>
              <w:pStyle w:val="TableText"/>
              <w:ind w:left="864"/>
              <w:spacing w:before="79" w:line="226" w:lineRule="exact"/>
              <w:rPr/>
            </w:pPr>
            <w:r>
              <w:rPr>
                <w:color w:val="231F20"/>
                <w:spacing w:val="-3"/>
                <w:position w:val="1"/>
              </w:rPr>
              <w:t>34</w:t>
            </w:r>
          </w:p>
        </w:tc>
        <w:tc>
          <w:tcPr>
            <w:tcW w:w="2057" w:type="dxa"/>
            <w:vAlign w:val="top"/>
          </w:tcPr>
          <w:p>
            <w:pPr>
              <w:pStyle w:val="TableText"/>
              <w:ind w:left="707"/>
              <w:spacing w:before="79" w:line="226" w:lineRule="exact"/>
              <w:rPr/>
            </w:pPr>
            <w:r>
              <w:rPr>
                <w:color w:val="231F20"/>
                <w:spacing w:val="-11"/>
                <w:position w:val="1"/>
              </w:rPr>
              <w:t>15.36±1.44</w:t>
            </w:r>
          </w:p>
        </w:tc>
        <w:tc>
          <w:tcPr>
            <w:tcW w:w="1995" w:type="dxa"/>
            <w:vAlign w:val="top"/>
          </w:tcPr>
          <w:p>
            <w:pPr>
              <w:pStyle w:val="TableText"/>
              <w:ind w:left="577"/>
              <w:spacing w:before="59" w:line="246" w:lineRule="exact"/>
              <w:rPr>
                <w:sz w:val="9"/>
                <w:szCs w:val="9"/>
              </w:rPr>
            </w:pPr>
            <w:r>
              <w:rPr>
                <w:color w:val="231F20"/>
                <w:spacing w:val="-11"/>
                <w:position w:val="1"/>
              </w:rPr>
              <w:t>10.41±0.81</w:t>
            </w:r>
            <w:r>
              <w:rPr>
                <w:sz w:val="9"/>
                <w:szCs w:val="9"/>
                <w:color w:val="231F20"/>
                <w:spacing w:val="2"/>
                <w:position w:val="8"/>
              </w:rPr>
              <w:t>ab</w:t>
            </w:r>
          </w:p>
        </w:tc>
        <w:tc>
          <w:tcPr>
            <w:tcW w:w="1911" w:type="dxa"/>
            <w:vAlign w:val="top"/>
          </w:tcPr>
          <w:p>
            <w:pPr>
              <w:pStyle w:val="TableText"/>
              <w:ind w:left="556"/>
              <w:spacing w:before="59" w:line="246" w:lineRule="exact"/>
              <w:rPr>
                <w:sz w:val="9"/>
                <w:szCs w:val="9"/>
              </w:rPr>
            </w:pPr>
            <w:r>
              <w:rPr>
                <w:color w:val="231F20"/>
                <w:spacing w:val="-10"/>
                <w:position w:val="1"/>
              </w:rPr>
              <w:t>4.45±0.23</w:t>
            </w:r>
            <w:r>
              <w:rPr>
                <w:sz w:val="9"/>
                <w:szCs w:val="9"/>
                <w:color w:val="231F20"/>
                <w:position w:val="8"/>
              </w:rPr>
              <w:t>ab</w:t>
            </w:r>
          </w:p>
        </w:tc>
      </w:tr>
      <w:tr>
        <w:trPr>
          <w:trHeight w:val="291" w:hRule="atLeast"/>
        </w:trPr>
        <w:tc>
          <w:tcPr>
            <w:tcW w:w="1988" w:type="dxa"/>
            <w:vAlign w:val="top"/>
          </w:tcPr>
          <w:p>
            <w:pPr>
              <w:ind w:left="955"/>
              <w:spacing w:before="121" w:line="117"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position w:val="-2"/>
              </w:rPr>
              <w:t>t</w:t>
            </w:r>
          </w:p>
        </w:tc>
        <w:tc>
          <w:tcPr>
            <w:tcW w:w="1800" w:type="dxa"/>
            <w:vAlign w:val="top"/>
          </w:tcPr>
          <w:p>
            <w:pPr>
              <w:rPr>
                <w:rFonts w:ascii="Arial"/>
                <w:sz w:val="21"/>
              </w:rPr>
            </w:pPr>
            <w:r/>
          </w:p>
        </w:tc>
        <w:tc>
          <w:tcPr>
            <w:tcW w:w="2057" w:type="dxa"/>
            <w:vAlign w:val="top"/>
          </w:tcPr>
          <w:p>
            <w:pPr>
              <w:pStyle w:val="TableText"/>
              <w:ind w:left="912"/>
              <w:spacing w:before="63" w:line="217" w:lineRule="exact"/>
              <w:rPr/>
            </w:pPr>
            <w:r>
              <w:rPr>
                <w:color w:val="231F20"/>
                <w:spacing w:val="-8"/>
                <w:position w:val="1"/>
              </w:rPr>
              <w:t>0.368</w:t>
            </w:r>
          </w:p>
        </w:tc>
        <w:tc>
          <w:tcPr>
            <w:tcW w:w="1995" w:type="dxa"/>
            <w:vAlign w:val="top"/>
          </w:tcPr>
          <w:p>
            <w:pPr>
              <w:pStyle w:val="TableText"/>
              <w:ind w:left="780"/>
              <w:spacing w:before="63" w:line="217" w:lineRule="exact"/>
              <w:rPr/>
            </w:pPr>
            <w:r>
              <w:rPr>
                <w:color w:val="231F20"/>
                <w:spacing w:val="-9"/>
                <w:position w:val="1"/>
              </w:rPr>
              <w:t>12.389</w:t>
            </w:r>
          </w:p>
        </w:tc>
        <w:tc>
          <w:tcPr>
            <w:tcW w:w="1911" w:type="dxa"/>
            <w:vAlign w:val="top"/>
          </w:tcPr>
          <w:p>
            <w:pPr>
              <w:pStyle w:val="TableText"/>
              <w:ind w:left="722"/>
              <w:spacing w:before="63" w:line="217" w:lineRule="exact"/>
              <w:rPr/>
            </w:pPr>
            <w:r>
              <w:rPr>
                <w:color w:val="231F20"/>
                <w:spacing w:val="-7"/>
                <w:position w:val="1"/>
              </w:rPr>
              <w:t>21.939</w:t>
            </w:r>
          </w:p>
        </w:tc>
      </w:tr>
      <w:tr>
        <w:trPr>
          <w:trHeight w:val="302" w:hRule="atLeast"/>
        </w:trPr>
        <w:tc>
          <w:tcPr>
            <w:tcW w:w="1988" w:type="dxa"/>
            <w:vAlign w:val="top"/>
            <w:tcBorders>
              <w:bottom w:val="single" w:color="231F20" w:sz="4" w:space="0"/>
            </w:tcBorders>
          </w:tcPr>
          <w:p>
            <w:pPr>
              <w:ind w:left="925"/>
              <w:spacing w:before="104"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1800" w:type="dxa"/>
            <w:vAlign w:val="top"/>
            <w:tcBorders>
              <w:bottom w:val="single" w:color="231F20" w:sz="4" w:space="0"/>
            </w:tcBorders>
          </w:tcPr>
          <w:p>
            <w:pPr>
              <w:rPr>
                <w:rFonts w:ascii="Arial"/>
                <w:sz w:val="21"/>
              </w:rPr>
            </w:pPr>
            <w:r/>
          </w:p>
        </w:tc>
        <w:tc>
          <w:tcPr>
            <w:tcW w:w="2057" w:type="dxa"/>
            <w:vAlign w:val="top"/>
            <w:tcBorders>
              <w:bottom w:val="single" w:color="231F20" w:sz="4" w:space="0"/>
            </w:tcBorders>
          </w:tcPr>
          <w:p>
            <w:pPr>
              <w:pStyle w:val="TableText"/>
              <w:ind w:left="912"/>
              <w:spacing w:before="73" w:line="218" w:lineRule="exact"/>
              <w:rPr/>
            </w:pPr>
            <w:r>
              <w:rPr>
                <w:color w:val="231F20"/>
                <w:spacing w:val="-8"/>
                <w:position w:val="1"/>
              </w:rPr>
              <w:t>0.714</w:t>
            </w:r>
          </w:p>
        </w:tc>
        <w:tc>
          <w:tcPr>
            <w:tcW w:w="1995" w:type="dxa"/>
            <w:vAlign w:val="top"/>
            <w:tcBorders>
              <w:bottom w:val="single" w:color="231F20" w:sz="4" w:space="0"/>
            </w:tcBorders>
          </w:tcPr>
          <w:p>
            <w:pPr>
              <w:pStyle w:val="TableText"/>
              <w:ind w:left="806"/>
              <w:spacing w:before="73" w:line="218" w:lineRule="exact"/>
              <w:rPr/>
            </w:pPr>
            <w:r>
              <w:rPr>
                <w:color w:val="231F20"/>
                <w:spacing w:val="-8"/>
                <w:position w:val="1"/>
              </w:rPr>
              <w:t>0.000</w:t>
            </w:r>
          </w:p>
        </w:tc>
        <w:tc>
          <w:tcPr>
            <w:tcW w:w="1911" w:type="dxa"/>
            <w:vAlign w:val="top"/>
            <w:tcBorders>
              <w:bottom w:val="single" w:color="231F20" w:sz="4" w:space="0"/>
            </w:tcBorders>
          </w:tcPr>
          <w:p>
            <w:pPr>
              <w:pStyle w:val="TableText"/>
              <w:ind w:left="761"/>
              <w:spacing w:before="73" w:line="218" w:lineRule="exact"/>
              <w:rPr/>
            </w:pPr>
            <w:r>
              <w:rPr>
                <w:color w:val="231F20"/>
                <w:spacing w:val="-8"/>
                <w:position w:val="1"/>
              </w:rPr>
              <w:t>0.000</w:t>
            </w:r>
          </w:p>
        </w:tc>
      </w:tr>
    </w:tbl>
    <w:p>
      <w:pPr>
        <w:pStyle w:val="BodyText"/>
        <w:ind w:left="1073"/>
        <w:spacing w:before="33" w:line="259" w:lineRule="exact"/>
        <w:rPr/>
      </w:pPr>
      <w:r>
        <w:rPr>
          <w:color w:val="231F20"/>
          <w:spacing w:val="-9"/>
          <w:position w:val="1"/>
        </w:rPr>
        <w:t>注</w:t>
      </w:r>
      <w:r>
        <w:rPr>
          <w:color w:val="231F20"/>
          <w:spacing w:val="-29"/>
          <w:position w:val="1"/>
        </w:rPr>
        <w:t xml:space="preserve"> </w:t>
      </w:r>
      <w:r>
        <w:rPr>
          <w:color w:val="231F20"/>
          <w:spacing w:val="-9"/>
          <w:position w:val="1"/>
        </w:rPr>
        <w:t>：与本组治疗前对比</w:t>
      </w:r>
      <w:r>
        <w:rPr>
          <w:color w:val="231F20"/>
          <w:spacing w:val="-36"/>
          <w:position w:val="1"/>
        </w:rPr>
        <w:t xml:space="preserve"> </w:t>
      </w:r>
      <w:r>
        <w:rPr>
          <w:color w:val="231F20"/>
          <w:spacing w:val="-9"/>
          <w:position w:val="1"/>
        </w:rPr>
        <w:t>,</w:t>
      </w:r>
      <w:r>
        <w:rPr>
          <w:color w:val="231F20"/>
          <w:spacing w:val="-43"/>
          <w:position w:val="1"/>
        </w:rPr>
        <w:t xml:space="preserve"> </w:t>
      </w:r>
      <w:r>
        <w:rPr>
          <w:sz w:val="10"/>
          <w:szCs w:val="10"/>
          <w:color w:val="231F20"/>
          <w:spacing w:val="-9"/>
          <w:position w:val="9"/>
        </w:rPr>
        <w:t>a</w:t>
      </w:r>
      <w:r>
        <w:rPr>
          <w:rFonts w:ascii="Times New Roman" w:hAnsi="Times New Roman" w:eastAsia="Times New Roman" w:cs="Times New Roman"/>
          <w:color w:val="231F20"/>
          <w:spacing w:val="-9"/>
          <w:position w:val="1"/>
        </w:rPr>
        <w:t>P&lt;</w:t>
      </w:r>
      <w:r>
        <w:rPr>
          <w:color w:val="231F20"/>
          <w:spacing w:val="-9"/>
          <w:position w:val="1"/>
        </w:rPr>
        <w:t>0.05</w:t>
      </w:r>
      <w:r>
        <w:rPr>
          <w:color w:val="231F20"/>
          <w:spacing w:val="-37"/>
          <w:position w:val="1"/>
        </w:rPr>
        <w:t xml:space="preserve"> </w:t>
      </w:r>
      <w:r>
        <w:rPr>
          <w:color w:val="231F20"/>
          <w:spacing w:val="-9"/>
          <w:position w:val="1"/>
        </w:rPr>
        <w:t>；与对照组治疗</w:t>
      </w:r>
      <w:r>
        <w:rPr>
          <w:color w:val="231F20"/>
          <w:spacing w:val="-25"/>
          <w:position w:val="1"/>
        </w:rPr>
        <w:t xml:space="preserve"> </w:t>
      </w:r>
      <w:r>
        <w:rPr>
          <w:color w:val="231F20"/>
          <w:spacing w:val="-9"/>
          <w:position w:val="1"/>
        </w:rPr>
        <w:t>1</w:t>
      </w:r>
      <w:r>
        <w:rPr>
          <w:color w:val="231F20"/>
          <w:spacing w:val="-10"/>
          <w:position w:val="1"/>
        </w:rPr>
        <w:t>、3</w:t>
      </w:r>
      <w:r>
        <w:rPr>
          <w:color w:val="231F20"/>
          <w:spacing w:val="-40"/>
          <w:position w:val="1"/>
        </w:rPr>
        <w:t xml:space="preserve"> </w:t>
      </w:r>
      <w:r>
        <w:rPr>
          <w:color w:val="231F20"/>
          <w:spacing w:val="-10"/>
          <w:position w:val="1"/>
        </w:rPr>
        <w:t>d</w:t>
      </w:r>
      <w:r>
        <w:rPr>
          <w:color w:val="231F20"/>
          <w:spacing w:val="-43"/>
          <w:position w:val="1"/>
        </w:rPr>
        <w:t xml:space="preserve"> </w:t>
      </w:r>
      <w:r>
        <w:rPr>
          <w:color w:val="231F20"/>
          <w:spacing w:val="-10"/>
          <w:position w:val="1"/>
        </w:rPr>
        <w:t>后对比</w:t>
      </w:r>
      <w:r>
        <w:rPr>
          <w:color w:val="231F20"/>
          <w:spacing w:val="-35"/>
          <w:position w:val="1"/>
        </w:rPr>
        <w:t xml:space="preserve"> </w:t>
      </w:r>
      <w:r>
        <w:rPr>
          <w:color w:val="231F20"/>
          <w:spacing w:val="-10"/>
          <w:position w:val="1"/>
        </w:rPr>
        <w:t>,</w:t>
      </w:r>
      <w:r>
        <w:rPr>
          <w:color w:val="231F20"/>
          <w:spacing w:val="-44"/>
          <w:position w:val="1"/>
        </w:rPr>
        <w:t xml:space="preserve"> </w:t>
      </w:r>
      <w:r>
        <w:rPr>
          <w:sz w:val="10"/>
          <w:szCs w:val="10"/>
          <w:color w:val="231F20"/>
          <w:spacing w:val="-5"/>
          <w:position w:val="9"/>
        </w:rPr>
        <w:t>b</w:t>
      </w:r>
      <w:r>
        <w:rPr>
          <w:rFonts w:ascii="Times New Roman" w:hAnsi="Times New Roman" w:eastAsia="Times New Roman" w:cs="Times New Roman"/>
          <w:color w:val="231F20"/>
          <w:spacing w:val="-5"/>
          <w:position w:val="1"/>
        </w:rPr>
        <w:t>P&lt;</w:t>
      </w:r>
      <w:r>
        <w:rPr>
          <w:color w:val="231F20"/>
          <w:spacing w:val="-5"/>
          <w:position w:val="1"/>
        </w:rPr>
        <w:t>0.05</w:t>
      </w:r>
    </w:p>
    <w:p>
      <w:pPr>
        <w:pStyle w:val="BodyText"/>
        <w:ind w:left="4461"/>
        <w:spacing w:before="56" w:line="190" w:lineRule="auto"/>
        <w:outlineLvl w:val="0"/>
        <w:rPr/>
      </w:pPr>
      <w:r>
        <w:rPr>
          <w:rFonts w:ascii="Microsoft YaHei" w:hAnsi="Microsoft YaHei" w:eastAsia="Microsoft YaHei" w:cs="Microsoft YaHei"/>
          <w:color w:val="231F20"/>
          <w:spacing w:val="-5"/>
        </w:rPr>
        <w:t>表 </w:t>
      </w:r>
      <w:r>
        <w:rPr>
          <w:rFonts w:ascii="Times New Roman" w:hAnsi="Times New Roman" w:eastAsia="Times New Roman" w:cs="Times New Roman"/>
          <w:color w:val="231F20"/>
          <w:spacing w:val="-5"/>
        </w:rPr>
        <w:t>4    </w:t>
      </w:r>
      <w:r>
        <w:rPr>
          <w:color w:val="231F20"/>
          <w:spacing w:val="-5"/>
        </w:rPr>
        <w:t>两组临床疗效对比</w:t>
      </w:r>
      <w:r>
        <w:rPr>
          <w:color w:val="231F20"/>
          <w:spacing w:val="-37"/>
        </w:rPr>
        <w:t xml:space="preserve"> </w:t>
      </w:r>
      <w:r>
        <w:rPr>
          <w:color w:val="231F20"/>
          <w:spacing w:val="-5"/>
        </w:rPr>
        <w:t>(n,</w:t>
      </w:r>
      <w:r>
        <w:rPr>
          <w:color w:val="231F20"/>
          <w:spacing w:val="-38"/>
        </w:rPr>
        <w:t xml:space="preserve"> </w:t>
      </w:r>
      <w:r>
        <w:rPr>
          <w:color w:val="231F20"/>
          <w:spacing w:val="-5"/>
        </w:rPr>
        <w:t>%)</w:t>
      </w:r>
    </w:p>
    <w:tbl>
      <w:tblPr>
        <w:tblStyle w:val="TableNormal"/>
        <w:tblW w:w="9751" w:type="dxa"/>
        <w:tblInd w:w="7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64"/>
        <w:gridCol w:w="1586"/>
        <w:gridCol w:w="1624"/>
        <w:gridCol w:w="1625"/>
        <w:gridCol w:w="1549"/>
        <w:gridCol w:w="1703"/>
      </w:tblGrid>
      <w:tr>
        <w:trPr>
          <w:trHeight w:val="295" w:hRule="atLeast"/>
        </w:trPr>
        <w:tc>
          <w:tcPr>
            <w:tcW w:w="1664" w:type="dxa"/>
            <w:vAlign w:val="top"/>
            <w:tcBorders>
              <w:bottom w:val="single" w:color="231F20" w:sz="2" w:space="0"/>
              <w:top w:val="single" w:color="231F20" w:sz="4" w:space="0"/>
            </w:tcBorders>
          </w:tcPr>
          <w:p>
            <w:pPr>
              <w:pStyle w:val="TableText"/>
              <w:ind w:left="655"/>
              <w:spacing w:before="69" w:line="212" w:lineRule="auto"/>
              <w:rPr/>
            </w:pPr>
            <w:r>
              <w:rPr>
                <w:color w:val="231F20"/>
                <w:spacing w:val="-1"/>
              </w:rPr>
              <w:t>组别</w:t>
            </w:r>
          </w:p>
        </w:tc>
        <w:tc>
          <w:tcPr>
            <w:tcW w:w="1586" w:type="dxa"/>
            <w:vAlign w:val="top"/>
            <w:tcBorders>
              <w:bottom w:val="single" w:color="231F20" w:sz="2" w:space="0"/>
              <w:top w:val="single" w:color="231F20" w:sz="4" w:space="0"/>
            </w:tcBorders>
          </w:tcPr>
          <w:p>
            <w:pPr>
              <w:pStyle w:val="TableText"/>
              <w:ind w:left="618"/>
              <w:spacing w:before="69" w:line="212" w:lineRule="auto"/>
              <w:rPr/>
            </w:pPr>
            <w:r>
              <w:rPr>
                <w:color w:val="231F20"/>
                <w:spacing w:val="-2"/>
              </w:rPr>
              <w:t>例数</w:t>
            </w:r>
          </w:p>
        </w:tc>
        <w:tc>
          <w:tcPr>
            <w:tcW w:w="1624" w:type="dxa"/>
            <w:vAlign w:val="top"/>
            <w:tcBorders>
              <w:bottom w:val="single" w:color="231F20" w:sz="2" w:space="0"/>
              <w:top w:val="single" w:color="231F20" w:sz="4" w:space="0"/>
            </w:tcBorders>
          </w:tcPr>
          <w:p>
            <w:pPr>
              <w:pStyle w:val="TableText"/>
              <w:ind w:left="656"/>
              <w:spacing w:before="70" w:line="211" w:lineRule="auto"/>
              <w:rPr/>
            </w:pPr>
            <w:r>
              <w:rPr>
                <w:color w:val="231F20"/>
                <w:spacing w:val="-1"/>
              </w:rPr>
              <w:t>显效</w:t>
            </w:r>
          </w:p>
        </w:tc>
        <w:tc>
          <w:tcPr>
            <w:tcW w:w="1625" w:type="dxa"/>
            <w:vAlign w:val="top"/>
            <w:tcBorders>
              <w:bottom w:val="single" w:color="231F20" w:sz="2" w:space="0"/>
              <w:top w:val="single" w:color="231F20" w:sz="4" w:space="0"/>
            </w:tcBorders>
          </w:tcPr>
          <w:p>
            <w:pPr>
              <w:pStyle w:val="TableText"/>
              <w:ind w:left="657"/>
              <w:spacing w:before="70" w:line="211" w:lineRule="auto"/>
              <w:rPr/>
            </w:pPr>
            <w:r>
              <w:rPr>
                <w:color w:val="231F20"/>
                <w:spacing w:val="-1"/>
              </w:rPr>
              <w:t>有效</w:t>
            </w:r>
          </w:p>
        </w:tc>
        <w:tc>
          <w:tcPr>
            <w:tcW w:w="1549" w:type="dxa"/>
            <w:vAlign w:val="top"/>
            <w:tcBorders>
              <w:bottom w:val="single" w:color="231F20" w:sz="2" w:space="0"/>
              <w:top w:val="single" w:color="231F20" w:sz="4" w:space="0"/>
            </w:tcBorders>
          </w:tcPr>
          <w:p>
            <w:pPr>
              <w:pStyle w:val="TableText"/>
              <w:ind w:left="656"/>
              <w:spacing w:before="70" w:line="211" w:lineRule="auto"/>
              <w:rPr/>
            </w:pPr>
            <w:r>
              <w:rPr>
                <w:color w:val="231F20"/>
                <w:spacing w:val="-1"/>
              </w:rPr>
              <w:t>无效</w:t>
            </w:r>
          </w:p>
        </w:tc>
        <w:tc>
          <w:tcPr>
            <w:tcW w:w="1703" w:type="dxa"/>
            <w:vAlign w:val="top"/>
            <w:tcBorders>
              <w:bottom w:val="single" w:color="231F20" w:sz="2" w:space="0"/>
              <w:top w:val="single" w:color="231F20" w:sz="4" w:space="0"/>
            </w:tcBorders>
          </w:tcPr>
          <w:p>
            <w:pPr>
              <w:pStyle w:val="TableText"/>
              <w:ind w:left="580"/>
              <w:spacing w:before="68" w:line="214" w:lineRule="auto"/>
              <w:rPr/>
            </w:pPr>
            <w:r>
              <w:rPr>
                <w:color w:val="231F20"/>
                <w:spacing w:val="-2"/>
              </w:rPr>
              <w:t>总有效率</w:t>
            </w:r>
          </w:p>
        </w:tc>
      </w:tr>
      <w:tr>
        <w:trPr>
          <w:trHeight w:val="291" w:hRule="atLeast"/>
        </w:trPr>
        <w:tc>
          <w:tcPr>
            <w:tcW w:w="1664" w:type="dxa"/>
            <w:vAlign w:val="top"/>
            <w:tcBorders>
              <w:top w:val="single" w:color="231F20" w:sz="2" w:space="0"/>
            </w:tcBorders>
          </w:tcPr>
          <w:p>
            <w:pPr>
              <w:pStyle w:val="TableText"/>
              <w:ind w:left="575"/>
              <w:spacing w:before="73" w:line="205" w:lineRule="auto"/>
              <w:rPr/>
            </w:pPr>
            <w:r>
              <w:rPr>
                <w:color w:val="231F20"/>
                <w:spacing w:val="-1"/>
              </w:rPr>
              <w:t>对照组</w:t>
            </w:r>
          </w:p>
        </w:tc>
        <w:tc>
          <w:tcPr>
            <w:tcW w:w="1586" w:type="dxa"/>
            <w:vAlign w:val="top"/>
            <w:tcBorders>
              <w:top w:val="single" w:color="231F20" w:sz="2" w:space="0"/>
            </w:tcBorders>
          </w:tcPr>
          <w:p>
            <w:pPr>
              <w:pStyle w:val="TableText"/>
              <w:ind w:left="701"/>
              <w:spacing w:before="66" w:line="214" w:lineRule="exact"/>
              <w:rPr/>
            </w:pPr>
            <w:r>
              <w:rPr>
                <w:color w:val="231F20"/>
                <w:spacing w:val="-3"/>
                <w:position w:val="1"/>
              </w:rPr>
              <w:t>33</w:t>
            </w:r>
          </w:p>
        </w:tc>
        <w:tc>
          <w:tcPr>
            <w:tcW w:w="1624" w:type="dxa"/>
            <w:vAlign w:val="top"/>
            <w:tcBorders>
              <w:top w:val="single" w:color="231F20" w:sz="2" w:space="0"/>
            </w:tcBorders>
          </w:tcPr>
          <w:p>
            <w:pPr>
              <w:pStyle w:val="TableText"/>
              <w:ind w:left="751"/>
              <w:spacing w:before="66" w:line="214" w:lineRule="exact"/>
              <w:rPr/>
            </w:pPr>
            <w:r>
              <w:rPr>
                <w:color w:val="231F20"/>
                <w:spacing w:val="-5"/>
                <w:position w:val="1"/>
              </w:rPr>
              <w:t>16</w:t>
            </w:r>
          </w:p>
        </w:tc>
        <w:tc>
          <w:tcPr>
            <w:tcW w:w="1625" w:type="dxa"/>
            <w:vAlign w:val="top"/>
            <w:tcBorders>
              <w:top w:val="single" w:color="231F20" w:sz="2" w:space="0"/>
            </w:tcBorders>
          </w:tcPr>
          <w:p>
            <w:pPr>
              <w:pStyle w:val="TableText"/>
              <w:ind w:left="752"/>
              <w:spacing w:before="66" w:line="214" w:lineRule="exact"/>
              <w:rPr/>
            </w:pPr>
            <w:r>
              <w:rPr>
                <w:color w:val="231F20"/>
                <w:spacing w:val="-5"/>
                <w:position w:val="1"/>
              </w:rPr>
              <w:t>10</w:t>
            </w:r>
          </w:p>
        </w:tc>
        <w:tc>
          <w:tcPr>
            <w:tcW w:w="1549" w:type="dxa"/>
            <w:vAlign w:val="top"/>
            <w:tcBorders>
              <w:top w:val="single" w:color="231F20" w:sz="2" w:space="0"/>
            </w:tcBorders>
          </w:tcPr>
          <w:p>
            <w:pPr>
              <w:pStyle w:val="TableText"/>
              <w:ind w:left="777"/>
              <w:spacing w:before="66" w:line="214" w:lineRule="exact"/>
              <w:rPr/>
            </w:pPr>
            <w:r>
              <w:rPr>
                <w:color w:val="231F20"/>
                <w:position w:val="1"/>
              </w:rPr>
              <w:t>7</w:t>
            </w:r>
          </w:p>
        </w:tc>
        <w:tc>
          <w:tcPr>
            <w:tcW w:w="1703" w:type="dxa"/>
            <w:vAlign w:val="top"/>
            <w:tcBorders>
              <w:top w:val="single" w:color="231F20" w:sz="2" w:space="0"/>
            </w:tcBorders>
          </w:tcPr>
          <w:p>
            <w:pPr>
              <w:pStyle w:val="TableText"/>
              <w:ind w:left="715"/>
              <w:spacing w:before="66" w:line="214" w:lineRule="exact"/>
              <w:rPr/>
            </w:pPr>
            <w:r>
              <w:rPr>
                <w:color w:val="231F20"/>
                <w:spacing w:val="-8"/>
                <w:position w:val="1"/>
              </w:rPr>
              <w:t>78.79</w:t>
            </w:r>
          </w:p>
        </w:tc>
      </w:tr>
      <w:tr>
        <w:trPr>
          <w:trHeight w:val="297" w:hRule="atLeast"/>
        </w:trPr>
        <w:tc>
          <w:tcPr>
            <w:tcW w:w="1664" w:type="dxa"/>
            <w:vAlign w:val="top"/>
          </w:tcPr>
          <w:p>
            <w:pPr>
              <w:pStyle w:val="TableText"/>
              <w:ind w:left="578"/>
              <w:spacing w:before="80" w:line="211" w:lineRule="auto"/>
              <w:rPr/>
            </w:pPr>
            <w:r>
              <w:rPr>
                <w:color w:val="231F20"/>
                <w:spacing w:val="-2"/>
              </w:rPr>
              <w:t>观察组</w:t>
            </w:r>
          </w:p>
        </w:tc>
        <w:tc>
          <w:tcPr>
            <w:tcW w:w="1586" w:type="dxa"/>
            <w:vAlign w:val="top"/>
          </w:tcPr>
          <w:p>
            <w:pPr>
              <w:pStyle w:val="TableText"/>
              <w:ind w:left="701"/>
              <w:spacing w:before="76" w:line="210" w:lineRule="exact"/>
              <w:rPr/>
            </w:pPr>
            <w:r>
              <w:rPr>
                <w:color w:val="231F20"/>
                <w:spacing w:val="-3"/>
                <w:position w:val="1"/>
              </w:rPr>
              <w:t>34</w:t>
            </w:r>
          </w:p>
        </w:tc>
        <w:tc>
          <w:tcPr>
            <w:tcW w:w="1624" w:type="dxa"/>
            <w:vAlign w:val="top"/>
          </w:tcPr>
          <w:p>
            <w:pPr>
              <w:pStyle w:val="TableText"/>
              <w:ind w:left="737"/>
              <w:spacing w:before="76" w:line="210" w:lineRule="exact"/>
              <w:rPr/>
            </w:pPr>
            <w:r>
              <w:rPr>
                <w:color w:val="231F20"/>
                <w:spacing w:val="-2"/>
                <w:position w:val="1"/>
              </w:rPr>
              <w:t>22</w:t>
            </w:r>
          </w:p>
        </w:tc>
        <w:tc>
          <w:tcPr>
            <w:tcW w:w="1625" w:type="dxa"/>
            <w:vAlign w:val="top"/>
          </w:tcPr>
          <w:p>
            <w:pPr>
              <w:pStyle w:val="TableText"/>
              <w:ind w:left="752"/>
              <w:spacing w:before="76" w:line="210" w:lineRule="exact"/>
              <w:rPr/>
            </w:pPr>
            <w:r>
              <w:rPr>
                <w:color w:val="231F20"/>
                <w:spacing w:val="-5"/>
                <w:position w:val="1"/>
              </w:rPr>
              <w:t>11</w:t>
            </w:r>
          </w:p>
        </w:tc>
        <w:tc>
          <w:tcPr>
            <w:tcW w:w="1549" w:type="dxa"/>
            <w:vAlign w:val="top"/>
          </w:tcPr>
          <w:p>
            <w:pPr>
              <w:pStyle w:val="TableText"/>
              <w:ind w:left="792"/>
              <w:spacing w:before="76" w:line="210" w:lineRule="exact"/>
              <w:rPr/>
            </w:pPr>
            <w:r>
              <w:rPr>
                <w:color w:val="231F20"/>
                <w:position w:val="1"/>
              </w:rPr>
              <w:t>1</w:t>
            </w:r>
          </w:p>
        </w:tc>
        <w:tc>
          <w:tcPr>
            <w:tcW w:w="1703" w:type="dxa"/>
            <w:vAlign w:val="top"/>
          </w:tcPr>
          <w:p>
            <w:pPr>
              <w:pStyle w:val="TableText"/>
              <w:ind w:left="715"/>
              <w:spacing w:before="56" w:line="230" w:lineRule="exact"/>
              <w:rPr>
                <w:sz w:val="9"/>
                <w:szCs w:val="9"/>
              </w:rPr>
            </w:pPr>
            <w:r>
              <w:rPr>
                <w:color w:val="231F20"/>
                <w:spacing w:val="-10"/>
                <w:position w:val="1"/>
              </w:rPr>
              <w:t>97.06</w:t>
            </w:r>
            <w:r>
              <w:rPr>
                <w:sz w:val="9"/>
                <w:szCs w:val="9"/>
                <w:color w:val="231F20"/>
                <w:spacing w:val="1"/>
                <w:position w:val="8"/>
              </w:rPr>
              <w:t>a</w:t>
            </w:r>
          </w:p>
        </w:tc>
      </w:tr>
      <w:tr>
        <w:trPr>
          <w:trHeight w:val="322" w:hRule="atLeast"/>
        </w:trPr>
        <w:tc>
          <w:tcPr>
            <w:tcW w:w="1664" w:type="dxa"/>
            <w:vAlign w:val="top"/>
          </w:tcPr>
          <w:p>
            <w:pPr>
              <w:pStyle w:val="TableText"/>
              <w:ind w:left="748"/>
              <w:spacing w:before="60" w:line="249" w:lineRule="exact"/>
              <w:rPr>
                <w:sz w:val="9"/>
                <w:szCs w:val="9"/>
              </w:rPr>
            </w:pPr>
            <w:r>
              <w:rPr>
                <w:i/>
                <w:iCs/>
                <w:color w:val="231F20"/>
                <w:spacing w:val="-44"/>
                <w:position w:val="1"/>
              </w:rPr>
              <w:t>χ</w:t>
            </w:r>
            <w:r>
              <w:rPr>
                <w:sz w:val="9"/>
                <w:szCs w:val="9"/>
                <w:color w:val="231F20"/>
                <w:position w:val="7"/>
              </w:rPr>
              <w:t>2</w:t>
            </w:r>
          </w:p>
        </w:tc>
        <w:tc>
          <w:tcPr>
            <w:tcW w:w="1586" w:type="dxa"/>
            <w:vAlign w:val="top"/>
          </w:tcPr>
          <w:p>
            <w:pPr>
              <w:rPr>
                <w:rFonts w:ascii="Arial"/>
                <w:sz w:val="21"/>
              </w:rPr>
            </w:pPr>
            <w:r/>
          </w:p>
        </w:tc>
        <w:tc>
          <w:tcPr>
            <w:tcW w:w="1624" w:type="dxa"/>
            <w:vAlign w:val="top"/>
          </w:tcPr>
          <w:p>
            <w:pPr>
              <w:rPr>
                <w:rFonts w:ascii="Arial"/>
                <w:sz w:val="21"/>
              </w:rPr>
            </w:pPr>
            <w:r/>
          </w:p>
        </w:tc>
        <w:tc>
          <w:tcPr>
            <w:tcW w:w="1625" w:type="dxa"/>
            <w:vAlign w:val="top"/>
          </w:tcPr>
          <w:p>
            <w:pPr>
              <w:rPr>
                <w:rFonts w:ascii="Arial"/>
                <w:sz w:val="21"/>
              </w:rPr>
            </w:pPr>
            <w:r/>
          </w:p>
        </w:tc>
        <w:tc>
          <w:tcPr>
            <w:tcW w:w="1549" w:type="dxa"/>
            <w:vAlign w:val="top"/>
          </w:tcPr>
          <w:p>
            <w:pPr>
              <w:rPr>
                <w:rFonts w:ascii="Arial"/>
                <w:sz w:val="21"/>
              </w:rPr>
            </w:pPr>
            <w:r/>
          </w:p>
        </w:tc>
        <w:tc>
          <w:tcPr>
            <w:tcW w:w="1703" w:type="dxa"/>
            <w:vAlign w:val="top"/>
          </w:tcPr>
          <w:p>
            <w:pPr>
              <w:pStyle w:val="TableText"/>
              <w:ind w:left="716"/>
              <w:spacing w:before="79" w:line="231" w:lineRule="exact"/>
              <w:rPr/>
            </w:pPr>
            <w:r>
              <w:rPr>
                <w:color w:val="231F20"/>
                <w:spacing w:val="-8"/>
                <w:position w:val="1"/>
              </w:rPr>
              <w:t>5.317</w:t>
            </w:r>
          </w:p>
        </w:tc>
      </w:tr>
      <w:tr>
        <w:trPr>
          <w:trHeight w:val="287" w:hRule="atLeast"/>
        </w:trPr>
        <w:tc>
          <w:tcPr>
            <w:tcW w:w="1664" w:type="dxa"/>
            <w:vAlign w:val="top"/>
            <w:tcBorders>
              <w:bottom w:val="single" w:color="231F20" w:sz="4" w:space="0"/>
            </w:tcBorders>
          </w:tcPr>
          <w:p>
            <w:pPr>
              <w:ind w:left="763"/>
              <w:spacing w:before="89"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1586" w:type="dxa"/>
            <w:vAlign w:val="top"/>
            <w:tcBorders>
              <w:bottom w:val="single" w:color="231F20" w:sz="4" w:space="0"/>
            </w:tcBorders>
          </w:tcPr>
          <w:p>
            <w:pPr>
              <w:rPr>
                <w:rFonts w:ascii="Arial"/>
                <w:sz w:val="21"/>
              </w:rPr>
            </w:pPr>
            <w:r/>
          </w:p>
        </w:tc>
        <w:tc>
          <w:tcPr>
            <w:tcW w:w="1624" w:type="dxa"/>
            <w:vAlign w:val="top"/>
            <w:tcBorders>
              <w:bottom w:val="single" w:color="231F20" w:sz="4" w:space="0"/>
            </w:tcBorders>
          </w:tcPr>
          <w:p>
            <w:pPr>
              <w:rPr>
                <w:rFonts w:ascii="Arial"/>
                <w:sz w:val="21"/>
              </w:rPr>
            </w:pPr>
            <w:r/>
          </w:p>
        </w:tc>
        <w:tc>
          <w:tcPr>
            <w:tcW w:w="1625" w:type="dxa"/>
            <w:vAlign w:val="top"/>
            <w:tcBorders>
              <w:bottom w:val="single" w:color="231F20" w:sz="4" w:space="0"/>
            </w:tcBorders>
          </w:tcPr>
          <w:p>
            <w:pPr>
              <w:rPr>
                <w:rFonts w:ascii="Arial"/>
                <w:sz w:val="21"/>
              </w:rPr>
            </w:pPr>
            <w:r/>
          </w:p>
        </w:tc>
        <w:tc>
          <w:tcPr>
            <w:tcW w:w="1549" w:type="dxa"/>
            <w:vAlign w:val="top"/>
            <w:tcBorders>
              <w:bottom w:val="single" w:color="231F20" w:sz="4" w:space="0"/>
            </w:tcBorders>
          </w:tcPr>
          <w:p>
            <w:pPr>
              <w:rPr>
                <w:rFonts w:ascii="Arial"/>
                <w:sz w:val="21"/>
              </w:rPr>
            </w:pPr>
            <w:r/>
          </w:p>
        </w:tc>
        <w:tc>
          <w:tcPr>
            <w:tcW w:w="1703" w:type="dxa"/>
            <w:vAlign w:val="top"/>
            <w:tcBorders>
              <w:bottom w:val="single" w:color="231F20" w:sz="4" w:space="0"/>
            </w:tcBorders>
          </w:tcPr>
          <w:p>
            <w:pPr>
              <w:pStyle w:val="TableText"/>
              <w:ind w:left="715"/>
              <w:spacing w:before="58" w:line="218" w:lineRule="exact"/>
              <w:rPr/>
            </w:pPr>
            <w:r>
              <w:rPr>
                <w:color w:val="231F20"/>
                <w:spacing w:val="-8"/>
                <w:position w:val="1"/>
              </w:rPr>
              <w:t>0.021</w:t>
            </w:r>
          </w:p>
        </w:tc>
      </w:tr>
    </w:tbl>
    <w:p>
      <w:pPr>
        <w:pStyle w:val="BodyText"/>
        <w:ind w:left="1073"/>
        <w:spacing w:before="33" w:line="259" w:lineRule="exact"/>
        <w:rPr/>
      </w:pPr>
      <w:r>
        <w:rPr>
          <w:color w:val="231F20"/>
          <w:spacing w:val="-10"/>
          <w:position w:val="2"/>
        </w:rPr>
        <w:t>注</w:t>
      </w:r>
      <w:r>
        <w:rPr>
          <w:color w:val="231F20"/>
          <w:spacing w:val="-29"/>
          <w:position w:val="2"/>
        </w:rPr>
        <w:t xml:space="preserve"> </w:t>
      </w:r>
      <w:r>
        <w:rPr>
          <w:color w:val="231F20"/>
          <w:spacing w:val="-10"/>
          <w:position w:val="2"/>
        </w:rPr>
        <w:t>：与对照组对比</w:t>
      </w:r>
      <w:r>
        <w:rPr>
          <w:color w:val="231F20"/>
          <w:spacing w:val="-36"/>
          <w:position w:val="2"/>
        </w:rPr>
        <w:t xml:space="preserve"> </w:t>
      </w:r>
      <w:r>
        <w:rPr>
          <w:color w:val="231F20"/>
          <w:spacing w:val="-10"/>
          <w:position w:val="2"/>
        </w:rPr>
        <w:t>,</w:t>
      </w:r>
      <w:r>
        <w:rPr>
          <w:color w:val="231F20"/>
          <w:spacing w:val="-43"/>
          <w:position w:val="2"/>
        </w:rPr>
        <w:t xml:space="preserve"> </w:t>
      </w:r>
      <w:r>
        <w:rPr>
          <w:sz w:val="10"/>
          <w:szCs w:val="10"/>
          <w:color w:val="231F20"/>
          <w:spacing w:val="-10"/>
          <w:position w:val="10"/>
        </w:rPr>
        <w:t>a</w:t>
      </w:r>
      <w:r>
        <w:rPr>
          <w:rFonts w:ascii="Times New Roman" w:hAnsi="Times New Roman" w:eastAsia="Times New Roman" w:cs="Times New Roman"/>
          <w:color w:val="231F20"/>
          <w:spacing w:val="-10"/>
          <w:position w:val="2"/>
        </w:rPr>
        <w:t>P&lt;</w:t>
      </w:r>
      <w:r>
        <w:rPr>
          <w:color w:val="231F20"/>
          <w:spacing w:val="-10"/>
          <w:position w:val="2"/>
        </w:rPr>
        <w:t>0.05</w:t>
      </w:r>
    </w:p>
    <w:p>
      <w:pPr>
        <w:pStyle w:val="BodyText"/>
        <w:ind w:left="3740"/>
        <w:spacing w:before="55" w:line="245" w:lineRule="exact"/>
        <w:outlineLvl w:val="0"/>
        <w:rPr/>
      </w:pPr>
      <w:r>
        <w:rPr>
          <w:rFonts w:ascii="Microsoft YaHei" w:hAnsi="Microsoft YaHei" w:eastAsia="Microsoft YaHei" w:cs="Microsoft YaHei"/>
          <w:color w:val="231F20"/>
          <w:spacing w:val="-6"/>
          <w:position w:val="1"/>
        </w:rPr>
        <w:t>表 </w:t>
      </w:r>
      <w:r>
        <w:rPr>
          <w:rFonts w:ascii="Times New Roman" w:hAnsi="Times New Roman" w:eastAsia="Times New Roman" w:cs="Times New Roman"/>
          <w:color w:val="231F20"/>
          <w:spacing w:val="-6"/>
          <w:position w:val="1"/>
        </w:rPr>
        <w:t>5    </w:t>
      </w:r>
      <w:r>
        <w:rPr>
          <w:color w:val="231F20"/>
          <w:spacing w:val="-6"/>
          <w:position w:val="1"/>
        </w:rPr>
        <w:t>两组治疗前后睡眠质量评分对比</w:t>
      </w:r>
      <w:r>
        <w:rPr>
          <w:color w:val="231F20"/>
          <w:spacing w:val="-32"/>
          <w:position w:val="1"/>
        </w:rPr>
        <w:t xml:space="preserve"> </w:t>
      </w:r>
      <w:r>
        <w:rPr>
          <w:rFonts w:ascii="Microsoft YaHei" w:hAnsi="Microsoft YaHei" w:eastAsia="Microsoft YaHei" w:cs="Microsoft YaHei"/>
          <w:color w:val="231F20"/>
          <w:spacing w:val="-6"/>
          <w:position w:val="1"/>
        </w:rPr>
        <w:t>(</w:t>
      </w:r>
      <w:r>
        <w:rPr>
          <w:rFonts w:ascii="Microsoft YaHei" w:hAnsi="Microsoft YaHei" w:eastAsia="Microsoft YaHei" w:cs="Microsoft YaHei"/>
          <w:color w:val="231F20"/>
          <w:spacing w:val="-12"/>
          <w:position w:val="1"/>
        </w:rPr>
        <w:t xml:space="preserve"> </w:t>
      </w:r>
      <w:r>
        <w:rPr>
          <w:rFonts w:ascii="Times New Roman" w:hAnsi="Times New Roman" w:eastAsia="Times New Roman" w:cs="Times New Roman"/>
          <w:color w:val="231F20"/>
          <w:spacing w:val="-6"/>
          <w:position w:val="1"/>
        </w:rPr>
        <w:t>x</w:t>
      </w:r>
      <w:r>
        <w:rPr>
          <w:rFonts w:ascii="Microsoft YaHei" w:hAnsi="Microsoft YaHei" w:eastAsia="Microsoft YaHei" w:cs="Microsoft YaHei"/>
          <w:color w:val="231F20"/>
          <w:spacing w:val="-6"/>
          <w:position w:val="8"/>
        </w:rPr>
        <w:t>- </w:t>
      </w:r>
      <w:r>
        <w:rPr>
          <w:rFonts w:ascii="Microsoft YaHei" w:hAnsi="Microsoft YaHei" w:eastAsia="Microsoft YaHei" w:cs="Microsoft YaHei"/>
          <w:color w:val="231F20"/>
          <w:spacing w:val="-6"/>
          <w:position w:val="1"/>
        </w:rPr>
        <w:t>±</w:t>
      </w:r>
      <w:r>
        <w:rPr>
          <w:rFonts w:ascii="Times New Roman" w:hAnsi="Times New Roman" w:eastAsia="Times New Roman" w:cs="Times New Roman"/>
          <w:color w:val="231F20"/>
          <w:spacing w:val="-6"/>
          <w:position w:val="1"/>
        </w:rPr>
        <w:t>s</w:t>
      </w:r>
      <w:r>
        <w:rPr>
          <w:color w:val="231F20"/>
          <w:spacing w:val="-6"/>
          <w:position w:val="1"/>
        </w:rPr>
        <w:t>,</w:t>
      </w:r>
      <w:r>
        <w:rPr>
          <w:color w:val="231F20"/>
          <w:spacing w:val="-41"/>
          <w:position w:val="1"/>
        </w:rPr>
        <w:t xml:space="preserve"> </w:t>
      </w:r>
      <w:r>
        <w:rPr>
          <w:color w:val="231F20"/>
          <w:spacing w:val="-6"/>
          <w:position w:val="1"/>
        </w:rPr>
        <w:t>分</w:t>
      </w:r>
      <w:r>
        <w:rPr>
          <w:color w:val="231F20"/>
          <w:spacing w:val="-44"/>
          <w:position w:val="1"/>
        </w:rPr>
        <w:t xml:space="preserve"> </w:t>
      </w:r>
      <w:r>
        <w:rPr>
          <w:color w:val="231F20"/>
          <w:spacing w:val="-6"/>
          <w:position w:val="1"/>
        </w:rPr>
        <w:t>)</w:t>
      </w:r>
    </w:p>
    <w:tbl>
      <w:tblPr>
        <w:tblStyle w:val="TableNormal"/>
        <w:tblW w:w="9751" w:type="dxa"/>
        <w:tblInd w:w="7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76"/>
        <w:gridCol w:w="2288"/>
        <w:gridCol w:w="2558"/>
        <w:gridCol w:w="2429"/>
      </w:tblGrid>
      <w:tr>
        <w:trPr>
          <w:trHeight w:val="295" w:hRule="atLeast"/>
        </w:trPr>
        <w:tc>
          <w:tcPr>
            <w:tcW w:w="2476" w:type="dxa"/>
            <w:vAlign w:val="top"/>
            <w:tcBorders>
              <w:bottom w:val="single" w:color="231F20" w:sz="2" w:space="0"/>
              <w:top w:val="single" w:color="231F20" w:sz="4" w:space="0"/>
            </w:tcBorders>
          </w:tcPr>
          <w:p>
            <w:pPr>
              <w:pStyle w:val="TableText"/>
              <w:ind w:left="1062"/>
              <w:spacing w:before="69" w:line="212" w:lineRule="auto"/>
              <w:rPr/>
            </w:pPr>
            <w:r>
              <w:rPr>
                <w:color w:val="231F20"/>
                <w:spacing w:val="-1"/>
              </w:rPr>
              <w:t>组别</w:t>
            </w:r>
          </w:p>
        </w:tc>
        <w:tc>
          <w:tcPr>
            <w:tcW w:w="2288" w:type="dxa"/>
            <w:vAlign w:val="top"/>
            <w:tcBorders>
              <w:bottom w:val="single" w:color="231F20" w:sz="2" w:space="0"/>
              <w:top w:val="single" w:color="231F20" w:sz="4" w:space="0"/>
            </w:tcBorders>
          </w:tcPr>
          <w:p>
            <w:pPr>
              <w:pStyle w:val="TableText"/>
              <w:ind w:left="1025"/>
              <w:spacing w:before="69" w:line="212" w:lineRule="auto"/>
              <w:rPr/>
            </w:pPr>
            <w:r>
              <w:rPr>
                <w:color w:val="231F20"/>
                <w:spacing w:val="-2"/>
              </w:rPr>
              <w:t>例数</w:t>
            </w:r>
          </w:p>
        </w:tc>
        <w:tc>
          <w:tcPr>
            <w:tcW w:w="2558" w:type="dxa"/>
            <w:vAlign w:val="top"/>
            <w:tcBorders>
              <w:bottom w:val="single" w:color="231F20" w:sz="2" w:space="0"/>
              <w:top w:val="single" w:color="231F20" w:sz="4" w:space="0"/>
            </w:tcBorders>
          </w:tcPr>
          <w:p>
            <w:pPr>
              <w:pStyle w:val="TableText"/>
              <w:ind w:left="1095"/>
              <w:spacing w:before="70" w:line="212" w:lineRule="auto"/>
              <w:rPr/>
            </w:pPr>
            <w:r>
              <w:rPr>
                <w:color w:val="231F20"/>
                <w:spacing w:val="-2"/>
              </w:rPr>
              <w:t>治疗前</w:t>
            </w:r>
          </w:p>
        </w:tc>
        <w:tc>
          <w:tcPr>
            <w:tcW w:w="2429" w:type="dxa"/>
            <w:vAlign w:val="top"/>
            <w:tcBorders>
              <w:bottom w:val="single" w:color="231F20" w:sz="2" w:space="0"/>
              <w:top w:val="single" w:color="231F20" w:sz="4" w:space="0"/>
            </w:tcBorders>
          </w:tcPr>
          <w:p>
            <w:pPr>
              <w:pStyle w:val="TableText"/>
              <w:ind w:left="836"/>
              <w:spacing w:before="70" w:line="211" w:lineRule="auto"/>
              <w:rPr/>
            </w:pPr>
            <w:r>
              <w:rPr>
                <w:color w:val="231F20"/>
                <w:spacing w:val="-4"/>
              </w:rPr>
              <w:t>治疗</w:t>
            </w:r>
            <w:r>
              <w:rPr>
                <w:color w:val="231F20"/>
                <w:spacing w:val="-33"/>
              </w:rPr>
              <w:t xml:space="preserve"> </w:t>
            </w:r>
            <w:r>
              <w:rPr>
                <w:color w:val="231F20"/>
                <w:spacing w:val="-4"/>
              </w:rPr>
              <w:t>3</w:t>
            </w:r>
            <w:r>
              <w:rPr>
                <w:color w:val="231F20"/>
                <w:spacing w:val="-35"/>
              </w:rPr>
              <w:t xml:space="preserve"> </w:t>
            </w:r>
            <w:r>
              <w:rPr>
                <w:color w:val="231F20"/>
                <w:spacing w:val="-4"/>
              </w:rPr>
              <w:t>d</w:t>
            </w:r>
            <w:r>
              <w:rPr>
                <w:color w:val="231F20"/>
                <w:spacing w:val="-38"/>
              </w:rPr>
              <w:t xml:space="preserve"> </w:t>
            </w:r>
            <w:r>
              <w:rPr>
                <w:color w:val="231F20"/>
                <w:spacing w:val="-4"/>
              </w:rPr>
              <w:t>后</w:t>
            </w:r>
          </w:p>
        </w:tc>
      </w:tr>
      <w:tr>
        <w:trPr>
          <w:trHeight w:val="290" w:hRule="atLeast"/>
        </w:trPr>
        <w:tc>
          <w:tcPr>
            <w:tcW w:w="2476" w:type="dxa"/>
            <w:vAlign w:val="top"/>
            <w:tcBorders>
              <w:top w:val="single" w:color="231F20" w:sz="2" w:space="0"/>
            </w:tcBorders>
          </w:tcPr>
          <w:p>
            <w:pPr>
              <w:pStyle w:val="TableText"/>
              <w:ind w:left="981"/>
              <w:spacing w:before="73" w:line="205" w:lineRule="auto"/>
              <w:rPr/>
            </w:pPr>
            <w:r>
              <w:rPr>
                <w:color w:val="231F20"/>
                <w:spacing w:val="-1"/>
              </w:rPr>
              <w:t>对照组</w:t>
            </w:r>
          </w:p>
        </w:tc>
        <w:tc>
          <w:tcPr>
            <w:tcW w:w="2288" w:type="dxa"/>
            <w:vAlign w:val="top"/>
            <w:tcBorders>
              <w:top w:val="single" w:color="231F20" w:sz="2" w:space="0"/>
            </w:tcBorders>
          </w:tcPr>
          <w:p>
            <w:pPr>
              <w:pStyle w:val="TableText"/>
              <w:ind w:left="1108"/>
              <w:spacing w:before="66" w:line="213" w:lineRule="exact"/>
              <w:rPr/>
            </w:pPr>
            <w:r>
              <w:rPr>
                <w:color w:val="231F20"/>
                <w:spacing w:val="-3"/>
                <w:position w:val="1"/>
              </w:rPr>
              <w:t>33</w:t>
            </w:r>
          </w:p>
        </w:tc>
        <w:tc>
          <w:tcPr>
            <w:tcW w:w="2558" w:type="dxa"/>
            <w:vAlign w:val="top"/>
            <w:tcBorders>
              <w:top w:val="single" w:color="231F20" w:sz="2" w:space="0"/>
            </w:tcBorders>
          </w:tcPr>
          <w:p>
            <w:pPr>
              <w:pStyle w:val="TableText"/>
              <w:ind w:left="950"/>
              <w:spacing w:before="66" w:line="213" w:lineRule="exact"/>
              <w:rPr/>
            </w:pPr>
            <w:r>
              <w:rPr>
                <w:color w:val="231F20"/>
                <w:spacing w:val="-11"/>
                <w:position w:val="1"/>
              </w:rPr>
              <w:t>13.26±2.15</w:t>
            </w:r>
          </w:p>
        </w:tc>
        <w:tc>
          <w:tcPr>
            <w:tcW w:w="2429" w:type="dxa"/>
            <w:vAlign w:val="top"/>
            <w:tcBorders>
              <w:top w:val="single" w:color="231F20" w:sz="2" w:space="0"/>
            </w:tcBorders>
          </w:tcPr>
          <w:p>
            <w:pPr>
              <w:pStyle w:val="TableText"/>
              <w:ind w:left="859"/>
              <w:spacing w:before="66" w:line="213" w:lineRule="exact"/>
              <w:rPr/>
            </w:pPr>
            <w:r>
              <w:rPr>
                <w:color w:val="231F20"/>
                <w:spacing w:val="-11"/>
                <w:position w:val="1"/>
              </w:rPr>
              <w:t>8.92±2.23</w:t>
            </w:r>
          </w:p>
        </w:tc>
      </w:tr>
      <w:tr>
        <w:trPr>
          <w:trHeight w:val="311" w:hRule="atLeast"/>
        </w:trPr>
        <w:tc>
          <w:tcPr>
            <w:tcW w:w="2476" w:type="dxa"/>
            <w:vAlign w:val="top"/>
          </w:tcPr>
          <w:p>
            <w:pPr>
              <w:pStyle w:val="TableText"/>
              <w:ind w:left="985"/>
              <w:spacing w:before="80" w:line="211" w:lineRule="auto"/>
              <w:rPr/>
            </w:pPr>
            <w:r>
              <w:rPr>
                <w:color w:val="231F20"/>
                <w:spacing w:val="-2"/>
              </w:rPr>
              <w:t>观察组</w:t>
            </w:r>
          </w:p>
        </w:tc>
        <w:tc>
          <w:tcPr>
            <w:tcW w:w="2288" w:type="dxa"/>
            <w:vAlign w:val="top"/>
          </w:tcPr>
          <w:p>
            <w:pPr>
              <w:pStyle w:val="TableText"/>
              <w:ind w:left="1108"/>
              <w:spacing w:before="76" w:line="224" w:lineRule="exact"/>
              <w:rPr/>
            </w:pPr>
            <w:r>
              <w:rPr>
                <w:color w:val="231F20"/>
                <w:spacing w:val="-3"/>
                <w:position w:val="1"/>
              </w:rPr>
              <w:t>34</w:t>
            </w:r>
          </w:p>
        </w:tc>
        <w:tc>
          <w:tcPr>
            <w:tcW w:w="2558" w:type="dxa"/>
            <w:vAlign w:val="top"/>
          </w:tcPr>
          <w:p>
            <w:pPr>
              <w:pStyle w:val="TableText"/>
              <w:ind w:left="950"/>
              <w:spacing w:before="76" w:line="224" w:lineRule="exact"/>
              <w:rPr/>
            </w:pPr>
            <w:r>
              <w:rPr>
                <w:color w:val="231F20"/>
                <w:spacing w:val="-11"/>
                <w:position w:val="1"/>
              </w:rPr>
              <w:t>13.28±2.18</w:t>
            </w:r>
          </w:p>
        </w:tc>
        <w:tc>
          <w:tcPr>
            <w:tcW w:w="2429" w:type="dxa"/>
            <w:vAlign w:val="top"/>
          </w:tcPr>
          <w:p>
            <w:pPr>
              <w:pStyle w:val="TableText"/>
              <w:ind w:left="856"/>
              <w:spacing w:before="57" w:line="243" w:lineRule="exact"/>
              <w:rPr>
                <w:sz w:val="9"/>
                <w:szCs w:val="9"/>
              </w:rPr>
            </w:pPr>
            <w:r>
              <w:rPr>
                <w:color w:val="231F20"/>
                <w:spacing w:val="-11"/>
                <w:position w:val="2"/>
              </w:rPr>
              <w:t>6.13±1.81</w:t>
            </w:r>
            <w:r>
              <w:rPr>
                <w:sz w:val="9"/>
                <w:szCs w:val="9"/>
                <w:color w:val="231F20"/>
                <w:spacing w:val="7"/>
                <w:position w:val="9"/>
              </w:rPr>
              <w:t>a</w:t>
            </w:r>
          </w:p>
        </w:tc>
      </w:tr>
      <w:tr>
        <w:trPr>
          <w:trHeight w:val="292" w:hRule="atLeast"/>
        </w:trPr>
        <w:tc>
          <w:tcPr>
            <w:tcW w:w="2476" w:type="dxa"/>
            <w:vAlign w:val="top"/>
          </w:tcPr>
          <w:p>
            <w:pPr>
              <w:ind w:left="1199"/>
              <w:spacing w:before="123" w:line="117"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position w:val="-2"/>
              </w:rPr>
              <w:t>t</w:t>
            </w:r>
          </w:p>
        </w:tc>
        <w:tc>
          <w:tcPr>
            <w:tcW w:w="2288" w:type="dxa"/>
            <w:vAlign w:val="top"/>
          </w:tcPr>
          <w:p>
            <w:pPr>
              <w:rPr>
                <w:rFonts w:ascii="Arial"/>
                <w:sz w:val="21"/>
              </w:rPr>
            </w:pPr>
            <w:r/>
          </w:p>
        </w:tc>
        <w:tc>
          <w:tcPr>
            <w:tcW w:w="2558" w:type="dxa"/>
            <w:vAlign w:val="top"/>
          </w:tcPr>
          <w:p>
            <w:pPr>
              <w:pStyle w:val="TableText"/>
              <w:ind w:left="1155"/>
              <w:spacing w:before="65" w:line="217" w:lineRule="exact"/>
              <w:rPr/>
            </w:pPr>
            <w:r>
              <w:rPr>
                <w:color w:val="231F20"/>
                <w:spacing w:val="-8"/>
                <w:position w:val="1"/>
              </w:rPr>
              <w:t>0.038</w:t>
            </w:r>
          </w:p>
        </w:tc>
        <w:tc>
          <w:tcPr>
            <w:tcW w:w="2429" w:type="dxa"/>
            <w:vAlign w:val="top"/>
          </w:tcPr>
          <w:p>
            <w:pPr>
              <w:pStyle w:val="TableText"/>
              <w:ind w:left="1036"/>
              <w:spacing w:before="65" w:line="217" w:lineRule="exact"/>
              <w:rPr/>
            </w:pPr>
            <w:r>
              <w:rPr>
                <w:color w:val="231F20"/>
                <w:spacing w:val="-8"/>
                <w:position w:val="1"/>
              </w:rPr>
              <w:t>5.631</w:t>
            </w:r>
          </w:p>
        </w:tc>
      </w:tr>
      <w:tr>
        <w:trPr>
          <w:trHeight w:val="302" w:hRule="atLeast"/>
        </w:trPr>
        <w:tc>
          <w:tcPr>
            <w:tcW w:w="2476" w:type="dxa"/>
            <w:vAlign w:val="top"/>
            <w:tcBorders>
              <w:bottom w:val="single" w:color="231F20" w:sz="4" w:space="0"/>
            </w:tcBorders>
          </w:tcPr>
          <w:p>
            <w:pPr>
              <w:ind w:left="1169"/>
              <w:spacing w:before="104"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2288" w:type="dxa"/>
            <w:vAlign w:val="top"/>
            <w:tcBorders>
              <w:bottom w:val="single" w:color="231F20" w:sz="4" w:space="0"/>
            </w:tcBorders>
          </w:tcPr>
          <w:p>
            <w:pPr>
              <w:rPr>
                <w:rFonts w:ascii="Arial"/>
                <w:sz w:val="21"/>
              </w:rPr>
            </w:pPr>
            <w:r/>
          </w:p>
        </w:tc>
        <w:tc>
          <w:tcPr>
            <w:tcW w:w="2558" w:type="dxa"/>
            <w:vAlign w:val="top"/>
            <w:tcBorders>
              <w:bottom w:val="single" w:color="231F20" w:sz="4" w:space="0"/>
            </w:tcBorders>
          </w:tcPr>
          <w:p>
            <w:pPr>
              <w:pStyle w:val="TableText"/>
              <w:ind w:left="1155"/>
              <w:spacing w:before="74" w:line="218" w:lineRule="exact"/>
              <w:rPr/>
            </w:pPr>
            <w:r>
              <w:rPr>
                <w:color w:val="231F20"/>
                <w:spacing w:val="-8"/>
                <w:position w:val="1"/>
              </w:rPr>
              <w:t>0.970</w:t>
            </w:r>
          </w:p>
        </w:tc>
        <w:tc>
          <w:tcPr>
            <w:tcW w:w="2429" w:type="dxa"/>
            <w:vAlign w:val="top"/>
            <w:tcBorders>
              <w:bottom w:val="single" w:color="231F20" w:sz="4" w:space="0"/>
            </w:tcBorders>
          </w:tcPr>
          <w:p>
            <w:pPr>
              <w:pStyle w:val="TableText"/>
              <w:ind w:left="1035"/>
              <w:spacing w:before="74" w:line="218" w:lineRule="exact"/>
              <w:rPr/>
            </w:pPr>
            <w:r>
              <w:rPr>
                <w:color w:val="231F20"/>
                <w:spacing w:val="-8"/>
                <w:position w:val="1"/>
              </w:rPr>
              <w:t>0.000</w:t>
            </w:r>
          </w:p>
        </w:tc>
      </w:tr>
    </w:tbl>
    <w:p>
      <w:pPr>
        <w:spacing w:line="14" w:lineRule="auto"/>
        <w:rPr>
          <w:rFonts w:ascii="Arial"/>
          <w:sz w:val="2"/>
        </w:rPr>
      </w:pPr>
      <w:r/>
    </w:p>
    <w:p>
      <w:pPr>
        <w:spacing w:line="14" w:lineRule="auto"/>
        <w:sectPr>
          <w:headerReference w:type="default" r:id="rId4"/>
          <w:footerReference w:type="default" r:id="rId5"/>
          <w:pgSz w:w="12246" w:h="17179"/>
          <w:pgMar w:top="1542" w:right="1222" w:bottom="400" w:left="407" w:header="1219" w:footer="0" w:gutter="0"/>
          <w:cols w:equalWidth="0" w:num="1">
            <w:col w:w="10615" w:space="0"/>
          </w:cols>
        </w:sectPr>
        <w:rPr>
          <w:rFonts w:ascii="Arial" w:hAnsi="Arial" w:eastAsia="Arial" w:cs="Arial"/>
          <w:sz w:val="2"/>
          <w:szCs w:val="2"/>
        </w:rPr>
      </w:pPr>
    </w:p>
    <w:p>
      <w:pPr>
        <w:pStyle w:val="BodyText"/>
        <w:ind w:left="1073"/>
        <w:spacing w:before="33" w:line="260" w:lineRule="exact"/>
        <w:rPr/>
      </w:pPr>
      <w:r>
        <w:rPr>
          <w:color w:val="231F20"/>
          <w:spacing w:val="-10"/>
          <w:position w:val="2"/>
        </w:rPr>
        <w:t>注</w:t>
      </w:r>
      <w:r>
        <w:rPr>
          <w:color w:val="231F20"/>
          <w:spacing w:val="-29"/>
          <w:position w:val="2"/>
        </w:rPr>
        <w:t xml:space="preserve"> </w:t>
      </w:r>
      <w:r>
        <w:rPr>
          <w:color w:val="231F20"/>
          <w:spacing w:val="-10"/>
          <w:position w:val="2"/>
        </w:rPr>
        <w:t>：与对照组对比</w:t>
      </w:r>
      <w:r>
        <w:rPr>
          <w:color w:val="231F20"/>
          <w:spacing w:val="-36"/>
          <w:position w:val="2"/>
        </w:rPr>
        <w:t xml:space="preserve"> </w:t>
      </w:r>
      <w:r>
        <w:rPr>
          <w:color w:val="231F20"/>
          <w:spacing w:val="-10"/>
          <w:position w:val="2"/>
        </w:rPr>
        <w:t>,</w:t>
      </w:r>
      <w:r>
        <w:rPr>
          <w:color w:val="231F20"/>
          <w:spacing w:val="-43"/>
          <w:position w:val="2"/>
        </w:rPr>
        <w:t xml:space="preserve"> </w:t>
      </w:r>
      <w:r>
        <w:rPr>
          <w:sz w:val="10"/>
          <w:szCs w:val="10"/>
          <w:color w:val="231F20"/>
          <w:spacing w:val="-10"/>
          <w:position w:val="10"/>
        </w:rPr>
        <w:t>a</w:t>
      </w:r>
      <w:r>
        <w:rPr>
          <w:rFonts w:ascii="Times New Roman" w:hAnsi="Times New Roman" w:eastAsia="Times New Roman" w:cs="Times New Roman"/>
          <w:color w:val="231F20"/>
          <w:spacing w:val="-10"/>
          <w:position w:val="2"/>
        </w:rPr>
        <w:t>P&lt;</w:t>
      </w:r>
      <w:r>
        <w:rPr>
          <w:color w:val="231F20"/>
          <w:spacing w:val="-10"/>
          <w:position w:val="2"/>
        </w:rPr>
        <w:t>0.05</w:t>
      </w:r>
    </w:p>
    <w:p>
      <w:pPr>
        <w:ind w:left="785"/>
        <w:spacing w:before="158"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3"/>
        </w:rPr>
        <w:t>3</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3"/>
        </w:rPr>
        <w:t>讨论</w:t>
      </w:r>
    </w:p>
    <w:p>
      <w:pPr>
        <w:ind w:left="785" w:right="167" w:firstLine="420"/>
        <w:spacing w:before="11" w:line="21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小儿急性肠胃炎是儿科十分常见的疾病。与成人</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5"/>
        </w:rPr>
        <w:t>群体相比 ,</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5"/>
        </w:rPr>
        <w:t>儿童消化系统发育尚不成熟 ,</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消化功能较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弱 , 且胃酸分泌功能低下 , 若儿童饮食不规律</w:t>
      </w:r>
      <w:r>
        <w:rPr>
          <w:rFonts w:ascii="Microsoft YaHei" w:hAnsi="Microsoft YaHei" w:eastAsia="Microsoft YaHei" w:cs="Microsoft YaHei"/>
          <w:sz w:val="20"/>
          <w:szCs w:val="20"/>
          <w:color w:val="231F20"/>
          <w:spacing w:val="-2"/>
        </w:rPr>
        <w:t>或短时间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内摄入过多食物 ,</w:t>
      </w:r>
      <w:r>
        <w:rPr>
          <w:rFonts w:ascii="Microsoft YaHei" w:hAnsi="Microsoft YaHei" w:eastAsia="Microsoft YaHei" w:cs="Microsoft YaHei"/>
          <w:sz w:val="20"/>
          <w:szCs w:val="20"/>
          <w:color w:val="231F20"/>
          <w:spacing w:val="20"/>
          <w:w w:val="101"/>
        </w:rPr>
        <w:t xml:space="preserve"> </w:t>
      </w:r>
      <w:r>
        <w:rPr>
          <w:rFonts w:ascii="Microsoft YaHei" w:hAnsi="Microsoft YaHei" w:eastAsia="Microsoft YaHei" w:cs="Microsoft YaHei"/>
          <w:sz w:val="20"/>
          <w:szCs w:val="20"/>
          <w:color w:val="231F20"/>
          <w:spacing w:val="4"/>
        </w:rPr>
        <w:t>很有可能诱发积食现象 ,</w:t>
      </w:r>
      <w:r>
        <w:rPr>
          <w:rFonts w:ascii="Microsoft YaHei" w:hAnsi="Microsoft YaHei" w:eastAsia="Microsoft YaHei" w:cs="Microsoft YaHei"/>
          <w:sz w:val="20"/>
          <w:szCs w:val="20"/>
          <w:color w:val="231F20"/>
          <w:spacing w:val="47"/>
          <w:w w:val="101"/>
        </w:rPr>
        <w:t xml:space="preserve"> </w:t>
      </w:r>
      <w:r>
        <w:rPr>
          <w:rFonts w:ascii="Microsoft YaHei" w:hAnsi="Microsoft YaHei" w:eastAsia="Microsoft YaHei" w:cs="Microsoft YaHei"/>
          <w:sz w:val="20"/>
          <w:szCs w:val="20"/>
          <w:color w:val="231F20"/>
          <w:spacing w:val="4"/>
        </w:rPr>
        <w:t>胃肠道负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担将增大 , 并由此诱发消化不良、急性肠胃炎等疾病。</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
        </w:rPr>
        <w:t>另外 , 多数儿童的免疫能力较差 , 肠胃对细菌</w:t>
      </w:r>
      <w:r>
        <w:rPr>
          <w:rFonts w:ascii="Microsoft YaHei" w:hAnsi="Microsoft YaHei" w:eastAsia="Microsoft YaHei" w:cs="Microsoft YaHei"/>
          <w:sz w:val="20"/>
          <w:szCs w:val="20"/>
          <w:color w:val="231F20"/>
          <w:spacing w:val="-2"/>
        </w:rPr>
        <w:t>、病毒的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防御能力低下 ,</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4"/>
        </w:rPr>
        <w:t>当儿童受到病毒或细菌感染及饮食结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构发生变化时就很有可能引起急性肠胃炎。从患病情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况来看 , 急性肠胃炎会导致患儿出现不同程度的腹泻 ,</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病情严重的患儿甚至会出现呕吐、腹痛、食欲减退等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病症 , 若是未能及时进行科学系统的治疗与干预 </w:t>
      </w:r>
      <w:r>
        <w:rPr>
          <w:rFonts w:ascii="Microsoft YaHei" w:hAnsi="Microsoft YaHei" w:eastAsia="Microsoft YaHei" w:cs="Microsoft YaHei"/>
          <w:sz w:val="20"/>
          <w:szCs w:val="20"/>
          <w:color w:val="231F20"/>
          <w:spacing w:val="-2"/>
        </w:rPr>
        <w:t>, 患儿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极有可能出现水电解质紊乱及脱水等现象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不仅对患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儿的生长发育造成严重影响 , 甚至有可能危及患儿的</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3"/>
          <w:position w:val="-3"/>
        </w:rPr>
        <w:t>生命安全</w:t>
      </w:r>
      <w:r>
        <w:rPr>
          <w:rFonts w:ascii="Microsoft YaHei" w:hAnsi="Microsoft YaHei" w:eastAsia="Microsoft YaHei" w:cs="Microsoft YaHei"/>
          <w:sz w:val="11"/>
          <w:szCs w:val="11"/>
          <w:color w:val="231F20"/>
          <w:spacing w:val="-3"/>
          <w:position w:val="6"/>
        </w:rPr>
        <w:t>［3-5］</w:t>
      </w:r>
      <w:r>
        <w:rPr>
          <w:rFonts w:ascii="Microsoft YaHei" w:hAnsi="Microsoft YaHei" w:eastAsia="Microsoft YaHei" w:cs="Microsoft YaHei"/>
          <w:sz w:val="20"/>
          <w:szCs w:val="20"/>
          <w:color w:val="231F20"/>
          <w:spacing w:val="-3"/>
          <w:position w:val="-3"/>
        </w:rPr>
        <w:t>。</w:t>
      </w:r>
    </w:p>
    <w:p>
      <w:pPr>
        <w:ind w:left="785" w:right="162" w:firstLine="421"/>
        <w:spacing w:before="6" w:line="20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针对小儿急性肠胃炎 ,</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临床主张为患儿进</w:t>
      </w:r>
      <w:r>
        <w:rPr>
          <w:rFonts w:ascii="Microsoft YaHei" w:hAnsi="Microsoft YaHei" w:eastAsia="Microsoft YaHei" w:cs="Microsoft YaHei"/>
          <w:sz w:val="20"/>
          <w:szCs w:val="20"/>
          <w:color w:val="231F20"/>
          <w:spacing w:val="3"/>
        </w:rPr>
        <w:t>行基础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治疗 ,</w:t>
      </w:r>
      <w:r>
        <w:rPr>
          <w:rFonts w:ascii="Microsoft YaHei" w:hAnsi="Microsoft YaHei" w:eastAsia="Microsoft YaHei" w:cs="Microsoft YaHei"/>
          <w:sz w:val="20"/>
          <w:szCs w:val="20"/>
          <w:color w:val="231F20"/>
          <w:spacing w:val="47"/>
        </w:rPr>
        <w:t xml:space="preserve"> </w:t>
      </w:r>
      <w:r>
        <w:rPr>
          <w:rFonts w:ascii="Microsoft YaHei" w:hAnsi="Microsoft YaHei" w:eastAsia="Microsoft YaHei" w:cs="Microsoft YaHei"/>
          <w:sz w:val="20"/>
          <w:szCs w:val="20"/>
          <w:color w:val="231F20"/>
          <w:spacing w:val="7"/>
        </w:rPr>
        <w:t>即开展抗病毒感染、抗炎、促进电解质平衡、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补液等措施。医学研究发现 ,</w:t>
      </w:r>
      <w:r>
        <w:rPr>
          <w:rFonts w:ascii="Microsoft YaHei" w:hAnsi="Microsoft YaHei" w:eastAsia="Microsoft YaHei" w:cs="Microsoft YaHei"/>
          <w:sz w:val="20"/>
          <w:szCs w:val="20"/>
          <w:color w:val="231F20"/>
          <w:spacing w:val="39"/>
          <w:w w:val="101"/>
        </w:rPr>
        <w:t xml:space="preserve"> </w:t>
      </w:r>
      <w:r>
        <w:rPr>
          <w:rFonts w:ascii="Microsoft YaHei" w:hAnsi="Microsoft YaHei" w:eastAsia="Microsoft YaHei" w:cs="Microsoft YaHei"/>
          <w:sz w:val="20"/>
          <w:szCs w:val="20"/>
          <w:color w:val="231F20"/>
          <w:spacing w:val="4"/>
        </w:rPr>
        <w:t>为急性肠胃炎患儿实施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基础治疗时还需要对其肠黏膜功能提供相应的保护 ,</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
        </w:rPr>
        <w:t>尽量维持肠道的菌群平衡 , 加快肠道功能的恢复 </w:t>
      </w:r>
      <w:r>
        <w:rPr>
          <w:rFonts w:ascii="Microsoft YaHei" w:hAnsi="Microsoft YaHei" w:eastAsia="Microsoft YaHei" w:cs="Microsoft YaHei"/>
          <w:sz w:val="20"/>
          <w:szCs w:val="20"/>
          <w:color w:val="231F20"/>
          <w:spacing w:val="-2"/>
        </w:rPr>
        <w:t>, 减少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疾病对患儿的影响。蒙脱石散是用于治疗成人及儿童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腹泻的常用药物 , 经药理研究分析可知 , 蒙脱</w:t>
      </w:r>
      <w:r>
        <w:rPr>
          <w:rFonts w:ascii="Microsoft YaHei" w:hAnsi="Microsoft YaHei" w:eastAsia="Microsoft YaHei" w:cs="Microsoft YaHei"/>
          <w:sz w:val="20"/>
          <w:szCs w:val="20"/>
          <w:color w:val="231F20"/>
          <w:spacing w:val="-2"/>
        </w:rPr>
        <w:t>石散对大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肠杆菌、金黄色葡萄球菌、轮状病毒等都有较为理想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的吸附效果 ,</w:t>
      </w:r>
      <w:r>
        <w:rPr>
          <w:rFonts w:ascii="Microsoft YaHei" w:hAnsi="Microsoft YaHei" w:eastAsia="Microsoft YaHei" w:cs="Microsoft YaHei"/>
          <w:sz w:val="20"/>
          <w:szCs w:val="20"/>
          <w:color w:val="231F20"/>
          <w:spacing w:val="54"/>
        </w:rPr>
        <w:t xml:space="preserve"> </w:t>
      </w:r>
      <w:r>
        <w:rPr>
          <w:rFonts w:ascii="Microsoft YaHei" w:hAnsi="Microsoft YaHei" w:eastAsia="Microsoft YaHei" w:cs="Microsoft YaHei"/>
          <w:sz w:val="20"/>
          <w:szCs w:val="20"/>
          <w:color w:val="231F20"/>
          <w:spacing w:val="3"/>
        </w:rPr>
        <w:t>同时其对细菌毒素等有抑制作用。从应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用情况来说 ,</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蒙脱石散只吸附固定表面携</w:t>
      </w:r>
      <w:r>
        <w:rPr>
          <w:rFonts w:ascii="Microsoft YaHei" w:hAnsi="Microsoft YaHei" w:eastAsia="Microsoft YaHei" w:cs="Microsoft YaHei"/>
          <w:sz w:val="20"/>
          <w:szCs w:val="20"/>
          <w:color w:val="231F20"/>
          <w:spacing w:val="4"/>
        </w:rPr>
        <w:t>带有粒编码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蛋白 (</w:t>
      </w:r>
      <w:r>
        <w:rPr>
          <w:rFonts w:ascii="Microsoft YaHei" w:hAnsi="Microsoft YaHei" w:eastAsia="Microsoft YaHei" w:cs="Microsoft YaHei"/>
          <w:sz w:val="20"/>
          <w:szCs w:val="20"/>
          <w:color w:val="231F20"/>
        </w:rPr>
        <w:t>CS</w:t>
      </w:r>
      <w:r>
        <w:rPr>
          <w:rFonts w:ascii="Microsoft YaHei" w:hAnsi="Microsoft YaHei" w:eastAsia="Microsoft YaHei" w:cs="Microsoft YaHei"/>
          <w:sz w:val="20"/>
          <w:szCs w:val="20"/>
          <w:color w:val="231F20"/>
          <w:spacing w:val="1"/>
        </w:rPr>
        <w:t>31A) 的致病性病原菌 ,</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并不会对正常的、表</w:t>
      </w:r>
    </w:p>
    <w:p>
      <w:pPr>
        <w:spacing w:line="14" w:lineRule="auto"/>
        <w:rPr>
          <w:rFonts w:ascii="Arial"/>
          <w:sz w:val="2"/>
        </w:rPr>
      </w:pPr>
      <w:r>
        <w:rPr>
          <w:rFonts w:ascii="Arial" w:hAnsi="Arial" w:eastAsia="Arial" w:cs="Arial"/>
          <w:sz w:val="2"/>
          <w:szCs w:val="2"/>
        </w:rPr>
        <w:br w:type="column"/>
      </w:r>
    </w:p>
    <w:p>
      <w:pPr>
        <w:spacing w:line="366" w:lineRule="auto"/>
        <w:rPr>
          <w:rFonts w:ascii="Arial"/>
          <w:sz w:val="21"/>
        </w:rPr>
      </w:pPr>
      <w:r/>
    </w:p>
    <w:p>
      <w:pPr>
        <w:ind w:firstLine="7"/>
        <w:spacing w:before="87" w:line="20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面不携带 CS31A 的正常菌群进行固定清除 ,</w:t>
      </w:r>
      <w:r>
        <w:rPr>
          <w:rFonts w:ascii="Microsoft YaHei" w:hAnsi="Microsoft YaHei" w:eastAsia="Microsoft YaHei" w:cs="Microsoft YaHei"/>
          <w:sz w:val="20"/>
          <w:szCs w:val="20"/>
          <w:color w:val="231F20"/>
          <w:spacing w:val="40"/>
        </w:rPr>
        <w:t xml:space="preserve"> </w:t>
      </w:r>
      <w:r>
        <w:rPr>
          <w:rFonts w:ascii="Microsoft YaHei" w:hAnsi="Microsoft YaHei" w:eastAsia="Microsoft YaHei" w:cs="Microsoft YaHei"/>
          <w:sz w:val="20"/>
          <w:szCs w:val="20"/>
          <w:color w:val="231F20"/>
          <w:spacing w:val="-2"/>
        </w:rPr>
        <w:t>即蒙脱石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散只吸附多种消化道中的致病因子</w:t>
      </w:r>
      <w:r>
        <w:rPr>
          <w:rFonts w:ascii="Microsoft YaHei" w:hAnsi="Microsoft YaHei" w:eastAsia="Microsoft YaHei" w:cs="Microsoft YaHei"/>
          <w:sz w:val="11"/>
          <w:szCs w:val="11"/>
          <w:color w:val="231F20"/>
          <w:spacing w:val="4"/>
          <w:position w:val="8"/>
        </w:rPr>
        <w:t>［6-8］</w:t>
      </w:r>
      <w:r>
        <w:rPr>
          <w:rFonts w:ascii="Microsoft YaHei" w:hAnsi="Microsoft YaHei" w:eastAsia="Microsoft YaHei" w:cs="Microsoft YaHei"/>
          <w:sz w:val="20"/>
          <w:szCs w:val="20"/>
          <w:color w:val="231F20"/>
          <w:spacing w:val="3"/>
        </w:rPr>
        <w:t>。医学研究发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现 ,</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蒙脱石散可以与人体消化道中黏液的</w:t>
      </w:r>
      <w:r>
        <w:rPr>
          <w:rFonts w:ascii="Microsoft YaHei" w:hAnsi="Microsoft YaHei" w:eastAsia="Microsoft YaHei" w:cs="Microsoft YaHei"/>
          <w:sz w:val="20"/>
          <w:szCs w:val="20"/>
          <w:color w:val="231F20"/>
          <w:spacing w:val="4"/>
        </w:rPr>
        <w:t>蛋白实现静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电结合 , 这种结合将增加肠道中的黏液量 , 并</w:t>
      </w:r>
      <w:r>
        <w:rPr>
          <w:rFonts w:ascii="Microsoft YaHei" w:hAnsi="Microsoft YaHei" w:eastAsia="Microsoft YaHei" w:cs="Microsoft YaHei"/>
          <w:sz w:val="20"/>
          <w:szCs w:val="20"/>
          <w:color w:val="231F20"/>
          <w:spacing w:val="-2"/>
        </w:rPr>
        <w:t>改善黏液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质量 , 提高黏液的内聚力与弹性 , 进而保护、</w:t>
      </w:r>
      <w:r>
        <w:rPr>
          <w:rFonts w:ascii="Microsoft YaHei" w:hAnsi="Microsoft YaHei" w:eastAsia="Microsoft YaHei" w:cs="Microsoft YaHei"/>
          <w:sz w:val="20"/>
          <w:szCs w:val="20"/>
          <w:color w:val="231F20"/>
          <w:spacing w:val="-2"/>
        </w:rPr>
        <w:t>修复人体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的消化道黏膜。服用蒙脱石散后 , 其成分并不会进入  </w:t>
      </w:r>
      <w:r>
        <w:rPr>
          <w:rFonts w:ascii="Microsoft YaHei" w:hAnsi="Microsoft YaHei" w:eastAsia="Microsoft YaHei" w:cs="Microsoft YaHei"/>
          <w:sz w:val="20"/>
          <w:szCs w:val="20"/>
          <w:color w:val="231F20"/>
          <w:spacing w:val="-1"/>
        </w:rPr>
        <w:t>到人体血液中 , 是会完全排出体外的一种安全制剂</w:t>
      </w:r>
      <w:r>
        <w:rPr>
          <w:rFonts w:ascii="Microsoft YaHei" w:hAnsi="Microsoft YaHei" w:eastAsia="Microsoft YaHei" w:cs="Microsoft YaHei"/>
          <w:sz w:val="20"/>
          <w:szCs w:val="20"/>
          <w:color w:val="231F20"/>
          <w:spacing w:val="-2"/>
        </w:rPr>
        <w:t xml:space="preserve"> , 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菌与病毒均不会对此药产生耐药性 , 应用价值较高</w:t>
      </w:r>
      <w:r>
        <w:rPr>
          <w:rFonts w:ascii="Microsoft YaHei" w:hAnsi="Microsoft YaHei" w:eastAsia="Microsoft YaHei" w:cs="Microsoft YaHei"/>
          <w:sz w:val="11"/>
          <w:szCs w:val="11"/>
          <w:color w:val="231F20"/>
          <w:spacing w:val="-3"/>
          <w:position w:val="9"/>
        </w:rPr>
        <w:t>［9］</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8"/>
        </w:rPr>
        <w:t>本研究结果显示 ,</w:t>
      </w:r>
      <w:r>
        <w:rPr>
          <w:rFonts w:ascii="Microsoft YaHei" w:hAnsi="Microsoft YaHei" w:eastAsia="Microsoft YaHei" w:cs="Microsoft YaHei"/>
          <w:sz w:val="20"/>
          <w:szCs w:val="20"/>
          <w:color w:val="231F20"/>
          <w:spacing w:val="26"/>
          <w:w w:val="101"/>
        </w:rPr>
        <w:t xml:space="preserve"> </w:t>
      </w:r>
      <w:r>
        <w:rPr>
          <w:rFonts w:ascii="Microsoft YaHei" w:hAnsi="Microsoft YaHei" w:eastAsia="Microsoft YaHei" w:cs="Microsoft YaHei"/>
          <w:sz w:val="20"/>
          <w:szCs w:val="20"/>
          <w:color w:val="231F20"/>
          <w:spacing w:val="8"/>
        </w:rPr>
        <w:t>观察组退热时间、腹痛消失</w:t>
      </w:r>
      <w:r>
        <w:rPr>
          <w:rFonts w:ascii="Microsoft YaHei" w:hAnsi="Microsoft YaHei" w:eastAsia="Microsoft YaHei" w:cs="Microsoft YaHei"/>
          <w:sz w:val="20"/>
          <w:szCs w:val="20"/>
          <w:color w:val="231F20"/>
          <w:spacing w:val="7"/>
        </w:rPr>
        <w:t>时间、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呕吐消失消失、排便恢复正常时间均短于对照组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rPr>
        <w:t>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异有统计学意义 (</w:t>
      </w:r>
      <w:r>
        <w:rPr>
          <w:rFonts w:ascii="Times New Roman" w:hAnsi="Times New Roman" w:eastAsia="Times New Roman" w:cs="Times New Roman"/>
          <w:sz w:val="20"/>
          <w:szCs w:val="20"/>
          <w:color w:val="231F20"/>
          <w:spacing w:val="-3"/>
        </w:rPr>
        <w:t>P&lt;</w:t>
      </w:r>
      <w:r>
        <w:rPr>
          <w:rFonts w:ascii="Microsoft YaHei" w:hAnsi="Microsoft YaHei" w:eastAsia="Microsoft YaHei" w:cs="Microsoft YaHei"/>
          <w:sz w:val="20"/>
          <w:szCs w:val="20"/>
          <w:color w:val="231F20"/>
          <w:spacing w:val="-3"/>
        </w:rPr>
        <w:t>0.05)。治疗</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1、3 d 后 ,</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两</w:t>
      </w:r>
      <w:r>
        <w:rPr>
          <w:rFonts w:ascii="Microsoft YaHei" w:hAnsi="Microsoft YaHei" w:eastAsia="Microsoft YaHei" w:cs="Microsoft YaHei"/>
          <w:sz w:val="20"/>
          <w:szCs w:val="20"/>
          <w:color w:val="231F20"/>
          <w:spacing w:val="-4"/>
        </w:rPr>
        <w:t>组 CRP</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水平均低于本组治疗前 , 且观察组低于对照组 ,</w:t>
      </w:r>
      <w:r>
        <w:rPr>
          <w:rFonts w:ascii="Microsoft YaHei" w:hAnsi="Microsoft YaHei" w:eastAsia="Microsoft YaHei" w:cs="Microsoft YaHei"/>
          <w:sz w:val="20"/>
          <w:szCs w:val="20"/>
          <w:color w:val="231F20"/>
          <w:spacing w:val="-2"/>
        </w:rPr>
        <w:t xml:space="preserve"> 差异有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统计学意义 (</w:t>
      </w:r>
      <w:r>
        <w:rPr>
          <w:rFonts w:ascii="Times New Roman" w:hAnsi="Times New Roman" w:eastAsia="Times New Roman" w:cs="Times New Roman"/>
          <w:sz w:val="20"/>
          <w:szCs w:val="20"/>
          <w:color w:val="231F20"/>
          <w:spacing w:val="-3"/>
        </w:rPr>
        <w:t>P&lt;</w:t>
      </w:r>
      <w:r>
        <w:rPr>
          <w:rFonts w:ascii="Microsoft YaHei" w:hAnsi="Microsoft YaHei" w:eastAsia="Microsoft YaHei" w:cs="Microsoft YaHei"/>
          <w:sz w:val="20"/>
          <w:szCs w:val="20"/>
          <w:color w:val="231F20"/>
          <w:spacing w:val="-3"/>
        </w:rPr>
        <w:t>0.05)。观察组总有效率高于对照组 , 差</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4"/>
        </w:rPr>
        <w:t>异有统计学意义 (</w:t>
      </w:r>
      <w:r>
        <w:rPr>
          <w:rFonts w:ascii="Times New Roman" w:hAnsi="Times New Roman" w:eastAsia="Times New Roman" w:cs="Times New Roman"/>
          <w:sz w:val="20"/>
          <w:szCs w:val="20"/>
          <w:color w:val="231F20"/>
          <w:spacing w:val="-4"/>
        </w:rPr>
        <w:t>P&lt;</w:t>
      </w:r>
      <w:r>
        <w:rPr>
          <w:rFonts w:ascii="Microsoft YaHei" w:hAnsi="Microsoft YaHei" w:eastAsia="Microsoft YaHei" w:cs="Microsoft YaHei"/>
          <w:sz w:val="20"/>
          <w:szCs w:val="20"/>
          <w:color w:val="231F20"/>
          <w:spacing w:val="-4"/>
        </w:rPr>
        <w:t>0.05)。治疗 3 d 后 ,</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观察组睡眠质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量评分明显低于对照组 ,</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差异有统计学意义 (</w:t>
      </w:r>
      <w:r>
        <w:rPr>
          <w:rFonts w:ascii="Times New Roman" w:hAnsi="Times New Roman" w:eastAsia="Times New Roman" w:cs="Times New Roman"/>
          <w:sz w:val="20"/>
          <w:szCs w:val="20"/>
          <w:color w:val="231F20"/>
          <w:spacing w:val="-1"/>
        </w:rPr>
        <w:t>P&lt;</w:t>
      </w:r>
      <w:r>
        <w:rPr>
          <w:rFonts w:ascii="Microsoft YaHei" w:hAnsi="Microsoft YaHei" w:eastAsia="Microsoft YaHei" w:cs="Microsoft YaHei"/>
          <w:sz w:val="20"/>
          <w:szCs w:val="20"/>
          <w:color w:val="231F20"/>
          <w:spacing w:val="-1"/>
        </w:rPr>
        <w:t>0.05)。</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分析原因主要是急性肠胃炎患儿应用的双歧杆菌乳杆  </w:t>
      </w:r>
      <w:r>
        <w:rPr>
          <w:rFonts w:ascii="Microsoft YaHei" w:hAnsi="Microsoft YaHei" w:eastAsia="Microsoft YaHei" w:cs="Microsoft YaHei"/>
          <w:sz w:val="20"/>
          <w:szCs w:val="20"/>
          <w:color w:val="231F20"/>
          <w:spacing w:val="8"/>
        </w:rPr>
        <w:t>菌三联活菌片中包含乳杆菌、双歧杆菌、粪肠球菌 ,</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双歧杆菌具有理想的产酶能力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被人体吸收</w:t>
      </w:r>
      <w:r>
        <w:rPr>
          <w:rFonts w:ascii="Microsoft YaHei" w:hAnsi="Microsoft YaHei" w:eastAsia="Microsoft YaHei" w:cs="Microsoft YaHei"/>
          <w:sz w:val="20"/>
          <w:szCs w:val="20"/>
          <w:color w:val="231F20"/>
          <w:spacing w:val="4"/>
        </w:rPr>
        <w:t>后能够迅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速对肠道中有害的菌群实施科学清除 ,</w:t>
      </w:r>
      <w:r>
        <w:rPr>
          <w:rFonts w:ascii="Microsoft YaHei" w:hAnsi="Microsoft YaHei" w:eastAsia="Microsoft YaHei" w:cs="Microsoft YaHei"/>
          <w:sz w:val="20"/>
          <w:szCs w:val="20"/>
          <w:color w:val="231F20"/>
          <w:spacing w:val="31"/>
          <w:w w:val="101"/>
        </w:rPr>
        <w:t xml:space="preserve"> </w:t>
      </w:r>
      <w:r>
        <w:rPr>
          <w:rFonts w:ascii="Microsoft YaHei" w:hAnsi="Microsoft YaHei" w:eastAsia="Microsoft YaHei" w:cs="Microsoft YaHei"/>
          <w:sz w:val="20"/>
          <w:szCs w:val="20"/>
          <w:color w:val="231F20"/>
          <w:spacing w:val="4"/>
        </w:rPr>
        <w:t>而乳杆菌、粪</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肠球菌都有着较为理想的适应能力及对肠道的缓冲能  </w:t>
      </w:r>
      <w:r>
        <w:rPr>
          <w:rFonts w:ascii="Microsoft YaHei" w:hAnsi="Microsoft YaHei" w:eastAsia="Microsoft YaHei" w:cs="Microsoft YaHei"/>
          <w:sz w:val="20"/>
          <w:szCs w:val="20"/>
          <w:color w:val="231F20"/>
          <w:spacing w:val="-1"/>
        </w:rPr>
        <w:t>力 , 治疗后 , 此药将重新在肠道中建立肠胃微</w:t>
      </w:r>
      <w:r>
        <w:rPr>
          <w:rFonts w:ascii="Microsoft YaHei" w:hAnsi="Microsoft YaHei" w:eastAsia="Microsoft YaHei" w:cs="Microsoft YaHei"/>
          <w:sz w:val="20"/>
          <w:szCs w:val="20"/>
          <w:color w:val="231F20"/>
          <w:spacing w:val="-2"/>
        </w:rPr>
        <w:t>生物的屏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障 , 有助于调节患儿胃肠道的蠕动功能 , 减轻</w:t>
      </w:r>
      <w:r>
        <w:rPr>
          <w:rFonts w:ascii="Microsoft YaHei" w:hAnsi="Microsoft YaHei" w:eastAsia="Microsoft YaHei" w:cs="Microsoft YaHei"/>
          <w:sz w:val="20"/>
          <w:szCs w:val="20"/>
          <w:color w:val="231F20"/>
          <w:spacing w:val="-2"/>
        </w:rPr>
        <w:t>患儿肠道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出现的黏膜损伤 , 防止致病菌侵入到患儿肠道 ,</w:t>
      </w:r>
      <w:r>
        <w:rPr>
          <w:rFonts w:ascii="Microsoft YaHei" w:hAnsi="Microsoft YaHei" w:eastAsia="Microsoft YaHei" w:cs="Microsoft YaHei"/>
          <w:sz w:val="20"/>
          <w:szCs w:val="20"/>
          <w:color w:val="231F20"/>
          <w:spacing w:val="-2"/>
        </w:rPr>
        <w:t xml:space="preserve"> 加速蛋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白质的分解与吸收 ,</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4"/>
        </w:rPr>
        <w:t>同时也可以促使水溶性微生物的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合成 ,</w:t>
      </w:r>
      <w:r>
        <w:rPr>
          <w:rFonts w:ascii="Microsoft YaHei" w:hAnsi="Microsoft YaHei" w:eastAsia="Microsoft YaHei" w:cs="Microsoft YaHei"/>
          <w:sz w:val="20"/>
          <w:szCs w:val="20"/>
          <w:color w:val="231F20"/>
          <w:spacing w:val="32"/>
          <w:position w:val="-1"/>
        </w:rPr>
        <w:t xml:space="preserve"> </w:t>
      </w:r>
      <w:r>
        <w:rPr>
          <w:rFonts w:ascii="Microsoft YaHei" w:hAnsi="Microsoft YaHei" w:eastAsia="Microsoft YaHei" w:cs="Microsoft YaHei"/>
          <w:sz w:val="20"/>
          <w:szCs w:val="20"/>
          <w:color w:val="231F20"/>
          <w:spacing w:val="-2"/>
          <w:position w:val="-1"/>
        </w:rPr>
        <w:t>可激活患儿肠道中的黏膜免疫能力</w:t>
      </w:r>
      <w:r>
        <w:rPr>
          <w:rFonts w:ascii="Microsoft YaHei" w:hAnsi="Microsoft YaHei" w:eastAsia="Microsoft YaHei" w:cs="Microsoft YaHei"/>
          <w:sz w:val="11"/>
          <w:szCs w:val="11"/>
          <w:color w:val="231F20"/>
          <w:spacing w:val="-2"/>
          <w:position w:val="8"/>
        </w:rPr>
        <w:t>［10,</w:t>
      </w:r>
      <w:r>
        <w:rPr>
          <w:rFonts w:ascii="Microsoft YaHei" w:hAnsi="Microsoft YaHei" w:eastAsia="Microsoft YaHei" w:cs="Microsoft YaHei"/>
          <w:sz w:val="11"/>
          <w:szCs w:val="11"/>
          <w:color w:val="231F20"/>
          <w:spacing w:val="23"/>
          <w:w w:val="102"/>
          <w:position w:val="8"/>
        </w:rPr>
        <w:t xml:space="preserve"> </w:t>
      </w:r>
      <w:r>
        <w:rPr>
          <w:rFonts w:ascii="Microsoft YaHei" w:hAnsi="Microsoft YaHei" w:eastAsia="Microsoft YaHei" w:cs="Microsoft YaHei"/>
          <w:sz w:val="11"/>
          <w:szCs w:val="11"/>
          <w:color w:val="231F20"/>
          <w:spacing w:val="-2"/>
          <w:position w:val="8"/>
        </w:rPr>
        <w:t>11］</w:t>
      </w:r>
      <w:r>
        <w:rPr>
          <w:rFonts w:ascii="Microsoft YaHei" w:hAnsi="Microsoft YaHei" w:eastAsia="Microsoft YaHei" w:cs="Microsoft YaHei"/>
          <w:sz w:val="20"/>
          <w:szCs w:val="20"/>
          <w:color w:val="231F20"/>
          <w:spacing w:val="-2"/>
          <w:position w:val="-1"/>
        </w:rPr>
        <w:t>。正常</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rPr>
        <w:t>人肠道中的共生菌群占肠道细菌的 98% 及以上 , 其共</w:t>
      </w:r>
    </w:p>
    <w:p>
      <w:pPr>
        <w:spacing w:line="208" w:lineRule="auto"/>
        <w:sectPr>
          <w:type w:val="continuous"/>
          <w:pgSz w:w="12246" w:h="17179"/>
          <w:pgMar w:top="1542" w:right="1222" w:bottom="400" w:left="407" w:header="1219" w:footer="0" w:gutter="0"/>
          <w:cols w:equalWidth="0" w:num="2">
            <w:col w:w="5732" w:space="100"/>
            <w:col w:w="4784" w:space="0"/>
          </w:cols>
        </w:sectPr>
        <w:rPr>
          <w:rFonts w:ascii="Microsoft YaHei" w:hAnsi="Microsoft YaHei" w:eastAsia="Microsoft YaHei" w:cs="Microsoft YaHei"/>
          <w:sz w:val="20"/>
          <w:szCs w:val="20"/>
        </w:rPr>
      </w:pPr>
    </w:p>
    <w:p>
      <w:pPr>
        <w:spacing w:line="168" w:lineRule="exact"/>
        <w:rPr/>
      </w:pPr>
      <w:r/>
    </w:p>
    <w:p>
      <w:pPr>
        <w:spacing w:line="168" w:lineRule="exact"/>
        <w:sectPr>
          <w:headerReference w:type="default" r:id="rId6"/>
          <w:pgSz w:w="12246" w:h="17179"/>
          <w:pgMar w:top="1542" w:right="1107" w:bottom="400" w:left="407" w:header="1219" w:footer="0" w:gutter="0"/>
          <w:cols w:equalWidth="0" w:num="1">
            <w:col w:w="10730" w:space="0"/>
          </w:cols>
        </w:sectPr>
        <w:rPr/>
      </w:pPr>
    </w:p>
    <w:p>
      <w:pPr>
        <w:ind w:left="898" w:right="156" w:firstLine="20"/>
        <w:spacing w:before="41" w:line="21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同构建起了一个特殊的防御系统 ,</w:t>
      </w:r>
      <w:r>
        <w:rPr>
          <w:rFonts w:ascii="Microsoft YaHei" w:hAnsi="Microsoft YaHei" w:eastAsia="Microsoft YaHei" w:cs="Microsoft YaHei"/>
          <w:sz w:val="20"/>
          <w:szCs w:val="20"/>
          <w:color w:val="231F20"/>
          <w:spacing w:val="66"/>
          <w:w w:val="101"/>
        </w:rPr>
        <w:t xml:space="preserve"> </w:t>
      </w:r>
      <w:r>
        <w:rPr>
          <w:rFonts w:ascii="Microsoft YaHei" w:hAnsi="Microsoft YaHei" w:eastAsia="Microsoft YaHei" w:cs="Microsoft YaHei"/>
          <w:sz w:val="20"/>
          <w:szCs w:val="20"/>
          <w:color w:val="231F20"/>
          <w:spacing w:val="2"/>
        </w:rPr>
        <w:t>目的是为抵御致病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菌对人体肠道的侵害 , 正是因为有正常菌群的存在 </w:t>
      </w:r>
      <w:r>
        <w:rPr>
          <w:rFonts w:ascii="Microsoft YaHei" w:hAnsi="Microsoft YaHei" w:eastAsia="Microsoft YaHei" w:cs="Microsoft YaHei"/>
          <w:sz w:val="20"/>
          <w:szCs w:val="20"/>
          <w:color w:val="231F20"/>
          <w:spacing w:val="-2"/>
        </w:rPr>
        <w:t>, 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可以显著减少肠道及其他黏膜表面病原体的数量 , 且</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正常的肠道菌群还具有一定的全身免疫效应 , 具有增</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4"/>
        </w:rPr>
        <w:t>进营养及提高免疫能力的作用。但儿童群体因为消化</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
        </w:rPr>
        <w:t>系统发育不够成熟 ,</w:t>
      </w:r>
      <w:r>
        <w:rPr>
          <w:rFonts w:ascii="Microsoft YaHei" w:hAnsi="Microsoft YaHei" w:eastAsia="Microsoft YaHei" w:cs="Microsoft YaHei"/>
          <w:sz w:val="20"/>
          <w:szCs w:val="20"/>
          <w:color w:val="231F20"/>
          <w:spacing w:val="46"/>
          <w:w w:val="101"/>
        </w:rPr>
        <w:t xml:space="preserve"> </w:t>
      </w:r>
      <w:r>
        <w:rPr>
          <w:rFonts w:ascii="Microsoft YaHei" w:hAnsi="Microsoft YaHei" w:eastAsia="Microsoft YaHei" w:cs="Microsoft YaHei"/>
          <w:sz w:val="20"/>
          <w:szCs w:val="20"/>
          <w:color w:val="231F20"/>
          <w:spacing w:val="-1"/>
        </w:rPr>
        <w:t>胃酸基本偏低 ,</w:t>
      </w:r>
      <w:r>
        <w:rPr>
          <w:rFonts w:ascii="Microsoft YaHei" w:hAnsi="Microsoft YaHei" w:eastAsia="Microsoft YaHei" w:cs="Microsoft YaHei"/>
          <w:sz w:val="20"/>
          <w:szCs w:val="20"/>
          <w:color w:val="231F20"/>
          <w:spacing w:val="42"/>
          <w:w w:val="101"/>
        </w:rPr>
        <w:t xml:space="preserve"> </w:t>
      </w:r>
      <w:r>
        <w:rPr>
          <w:rFonts w:ascii="Microsoft YaHei" w:hAnsi="Microsoft YaHei" w:eastAsia="Microsoft YaHei" w:cs="Microsoft YaHei"/>
          <w:sz w:val="20"/>
          <w:szCs w:val="20"/>
          <w:color w:val="231F20"/>
          <w:spacing w:val="-1"/>
        </w:rPr>
        <w:t>胃排空速度较快 ,</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不能对胃内的细菌进行及时有效的清除 , 故而一旦儿</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童肠道的微生态环境被破坏 ,</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就容易因为</w:t>
      </w:r>
      <w:r>
        <w:rPr>
          <w:rFonts w:ascii="Microsoft YaHei" w:hAnsi="Microsoft YaHei" w:eastAsia="Microsoft YaHei" w:cs="Microsoft YaHei"/>
          <w:sz w:val="20"/>
          <w:szCs w:val="20"/>
          <w:color w:val="231F20"/>
          <w:spacing w:val="4"/>
        </w:rPr>
        <w:t>内外因素而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导致菌群失衡 , 诱发消化功能紊乱。在临床治疗中 </w:t>
      </w:r>
      <w:r>
        <w:rPr>
          <w:rFonts w:ascii="Microsoft YaHei" w:hAnsi="Microsoft YaHei" w:eastAsia="Microsoft YaHei" w:cs="Microsoft YaHei"/>
          <w:sz w:val="20"/>
          <w:szCs w:val="20"/>
          <w:color w:val="231F20"/>
          <w:spacing w:val="-2"/>
        </w:rPr>
        <w:t>, 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为急性肠胃炎患儿实施对症治疗外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还应恢复</w:t>
      </w:r>
      <w:r>
        <w:rPr>
          <w:rFonts w:ascii="Microsoft YaHei" w:hAnsi="Microsoft YaHei" w:eastAsia="Microsoft YaHei" w:cs="Microsoft YaHei"/>
          <w:sz w:val="20"/>
          <w:szCs w:val="20"/>
          <w:color w:val="231F20"/>
          <w:spacing w:val="4"/>
        </w:rPr>
        <w:t>患儿肠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道菌群平衡及胃肠道功能 , 使其有能力有效清除致病</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菌。值得注意的是 , 在临床治疗期间 , 作为患儿</w:t>
      </w:r>
      <w:r>
        <w:rPr>
          <w:rFonts w:ascii="Microsoft YaHei" w:hAnsi="Microsoft YaHei" w:eastAsia="Microsoft YaHei" w:cs="Microsoft YaHei"/>
          <w:sz w:val="20"/>
          <w:szCs w:val="20"/>
          <w:color w:val="231F20"/>
          <w:spacing w:val="-2"/>
        </w:rPr>
        <w:t>的父母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或亲属 , 必须严格执行医嘱 , 对患儿的饮食结构</w:t>
      </w:r>
      <w:r>
        <w:rPr>
          <w:rFonts w:ascii="Microsoft YaHei" w:hAnsi="Microsoft YaHei" w:eastAsia="Microsoft YaHei" w:cs="Microsoft YaHei"/>
          <w:sz w:val="20"/>
          <w:szCs w:val="20"/>
          <w:color w:val="231F20"/>
          <w:spacing w:val="-2"/>
        </w:rPr>
        <w:t>进行调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整 , 规划好患儿的一日三餐 , 不让患儿摄入油腻</w:t>
      </w:r>
      <w:r>
        <w:rPr>
          <w:rFonts w:ascii="Microsoft YaHei" w:hAnsi="Microsoft YaHei" w:eastAsia="Microsoft YaHei" w:cs="Microsoft YaHei"/>
          <w:sz w:val="20"/>
          <w:szCs w:val="20"/>
          <w:color w:val="231F20"/>
          <w:spacing w:val="-2"/>
        </w:rPr>
        <w:t>、辛辣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及其他不易消化的食物 ,</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4"/>
        </w:rPr>
        <w:t>可摄入面条、稀饭等清淡好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吸收的食物 , 以免加重胃肠道消化的负担</w:t>
      </w:r>
      <w:r>
        <w:rPr>
          <w:rFonts w:ascii="Microsoft YaHei" w:hAnsi="Microsoft YaHei" w:eastAsia="Microsoft YaHei" w:cs="Microsoft YaHei"/>
          <w:sz w:val="11"/>
          <w:szCs w:val="11"/>
          <w:color w:val="231F20"/>
          <w:spacing w:val="-3"/>
          <w:position w:val="8"/>
        </w:rPr>
        <w:t>［12］</w:t>
      </w:r>
      <w:r>
        <w:rPr>
          <w:rFonts w:ascii="Microsoft YaHei" w:hAnsi="Microsoft YaHei" w:eastAsia="Microsoft YaHei" w:cs="Microsoft YaHei"/>
          <w:sz w:val="20"/>
          <w:szCs w:val="20"/>
          <w:color w:val="231F20"/>
          <w:spacing w:val="-3"/>
        </w:rPr>
        <w:t>。</w:t>
      </w:r>
    </w:p>
    <w:p>
      <w:pPr>
        <w:ind w:left="898" w:right="157" w:firstLine="419"/>
        <w:spacing w:before="1" w:line="20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综上所述 , 对小儿急性肠胃炎实施蒙脱石散与双</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歧杆菌乳杆菌三联活菌片联合治疗 ,</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4"/>
        </w:rPr>
        <w:t>能有效缓解患儿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病情 ,</w:t>
      </w:r>
      <w:r>
        <w:rPr>
          <w:rFonts w:ascii="Microsoft YaHei" w:hAnsi="Microsoft YaHei" w:eastAsia="Microsoft YaHei" w:cs="Microsoft YaHei"/>
          <w:sz w:val="20"/>
          <w:szCs w:val="20"/>
          <w:color w:val="231F20"/>
          <w:spacing w:val="26"/>
          <w:w w:val="101"/>
        </w:rPr>
        <w:t xml:space="preserve"> </w:t>
      </w:r>
      <w:r>
        <w:rPr>
          <w:rFonts w:ascii="Microsoft YaHei" w:hAnsi="Microsoft YaHei" w:eastAsia="Microsoft YaHei" w:cs="Microsoft YaHei"/>
          <w:sz w:val="20"/>
          <w:szCs w:val="20"/>
          <w:color w:val="231F20"/>
          <w:spacing w:val="5"/>
        </w:rPr>
        <w:t>改善患儿临床症状 ,</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值得在临床上进行应用与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推广。</w:t>
      </w:r>
    </w:p>
    <w:p>
      <w:pPr>
        <w:ind w:left="2660"/>
        <w:spacing w:before="166" w:line="20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w w:val="98"/>
        </w:rPr>
        <w:t>参</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考</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文</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4"/>
          <w:w w:val="98"/>
        </w:rPr>
        <w:t>献</w:t>
      </w:r>
    </w:p>
    <w:p>
      <w:pPr>
        <w:ind w:left="813"/>
        <w:spacing w:before="200"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［1］  刘琳 . 藿香正气散加减联合</w:t>
      </w:r>
      <w:r>
        <w:rPr>
          <w:rFonts w:ascii="Microsoft YaHei" w:hAnsi="Microsoft YaHei" w:eastAsia="Microsoft YaHei" w:cs="Microsoft YaHei"/>
          <w:sz w:val="16"/>
          <w:szCs w:val="16"/>
          <w:color w:val="231F20"/>
          <w:spacing w:val="-1"/>
        </w:rPr>
        <w:t>中药贴敷神阙穴对急性肠胃炎患者</w:t>
      </w:r>
    </w:p>
    <w:p>
      <w:pPr>
        <w:spacing w:line="14" w:lineRule="auto"/>
        <w:rPr>
          <w:rFonts w:ascii="Arial"/>
          <w:sz w:val="2"/>
        </w:rPr>
      </w:pPr>
      <w:r>
        <w:rPr>
          <w:rFonts w:ascii="Arial" w:hAnsi="Arial" w:eastAsia="Arial" w:cs="Arial"/>
          <w:sz w:val="2"/>
          <w:szCs w:val="2"/>
        </w:rPr>
        <w:br w:type="column"/>
      </w:r>
    </w:p>
    <w:p>
      <w:pPr>
        <w:ind w:left="512"/>
        <w:spacing w:before="44" w:line="20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5"/>
        </w:rPr>
        <w:t>炎症因子水平的影响 .</w:t>
      </w:r>
      <w:r>
        <w:rPr>
          <w:rFonts w:ascii="Microsoft YaHei" w:hAnsi="Microsoft YaHei" w:eastAsia="Microsoft YaHei" w:cs="Microsoft YaHei"/>
          <w:sz w:val="16"/>
          <w:szCs w:val="16"/>
          <w:color w:val="231F20"/>
          <w:spacing w:val="11"/>
        </w:rPr>
        <w:t xml:space="preserve"> </w:t>
      </w:r>
      <w:r>
        <w:rPr>
          <w:rFonts w:ascii="Microsoft YaHei" w:hAnsi="Microsoft YaHei" w:eastAsia="Microsoft YaHei" w:cs="Microsoft YaHei"/>
          <w:sz w:val="16"/>
          <w:szCs w:val="16"/>
          <w:color w:val="231F20"/>
          <w:spacing w:val="-5"/>
        </w:rPr>
        <w:t>中国民间疗法 , 2022,</w:t>
      </w:r>
      <w:r>
        <w:rPr>
          <w:rFonts w:ascii="Microsoft YaHei" w:hAnsi="Microsoft YaHei" w:eastAsia="Microsoft YaHei" w:cs="Microsoft YaHei"/>
          <w:sz w:val="16"/>
          <w:szCs w:val="16"/>
          <w:color w:val="231F20"/>
          <w:spacing w:val="-6"/>
        </w:rPr>
        <w:t xml:space="preserve"> 30(1):86-88.</w:t>
      </w:r>
    </w:p>
    <w:p>
      <w:pPr>
        <w:ind w:left="527" w:right="82" w:hanging="527"/>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［2］  余春芳 . 阿莫西林、奥美拉</w:t>
      </w:r>
      <w:r>
        <w:rPr>
          <w:rFonts w:ascii="Microsoft YaHei" w:hAnsi="Microsoft YaHei" w:eastAsia="Microsoft YaHei" w:cs="Microsoft YaHei"/>
          <w:sz w:val="16"/>
          <w:szCs w:val="16"/>
          <w:color w:val="231F20"/>
          <w:spacing w:val="-1"/>
        </w:rPr>
        <w:t>唑联合双歧杆菌在急性肠胃炎患者</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7"/>
        </w:rPr>
        <w:t>中的应用价值 .</w:t>
      </w:r>
      <w:r>
        <w:rPr>
          <w:rFonts w:ascii="Microsoft YaHei" w:hAnsi="Microsoft YaHei" w:eastAsia="Microsoft YaHei" w:cs="Microsoft YaHei"/>
          <w:sz w:val="16"/>
          <w:szCs w:val="16"/>
          <w:color w:val="231F20"/>
          <w:spacing w:val="14"/>
          <w:w w:val="101"/>
        </w:rPr>
        <w:t xml:space="preserve"> </w:t>
      </w:r>
      <w:r>
        <w:rPr>
          <w:rFonts w:ascii="Microsoft YaHei" w:hAnsi="Microsoft YaHei" w:eastAsia="Microsoft YaHei" w:cs="Microsoft YaHei"/>
          <w:sz w:val="16"/>
          <w:szCs w:val="16"/>
          <w:color w:val="231F20"/>
          <w:spacing w:val="-7"/>
        </w:rPr>
        <w:t>中外医学研究 , 2021,</w:t>
      </w:r>
      <w:r>
        <w:rPr>
          <w:rFonts w:ascii="Microsoft YaHei" w:hAnsi="Microsoft YaHei" w:eastAsia="Microsoft YaHei" w:cs="Microsoft YaHei"/>
          <w:sz w:val="16"/>
          <w:szCs w:val="16"/>
          <w:color w:val="231F20"/>
          <w:spacing w:val="9"/>
        </w:rPr>
        <w:t xml:space="preserve"> </w:t>
      </w:r>
      <w:r>
        <w:rPr>
          <w:rFonts w:ascii="Microsoft YaHei" w:hAnsi="Microsoft YaHei" w:eastAsia="Microsoft YaHei" w:cs="Microsoft YaHei"/>
          <w:sz w:val="16"/>
          <w:szCs w:val="16"/>
          <w:color w:val="231F20"/>
          <w:spacing w:val="-7"/>
        </w:rPr>
        <w:t>19(30):37-40.</w:t>
      </w:r>
    </w:p>
    <w:p>
      <w:pPr>
        <w:ind w:left="520" w:right="83" w:hanging="520"/>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［3］  张继峰 .</w:t>
      </w:r>
      <w:r>
        <w:rPr>
          <w:rFonts w:ascii="Microsoft YaHei" w:hAnsi="Microsoft YaHei" w:eastAsia="Microsoft YaHei" w:cs="Microsoft YaHei"/>
          <w:sz w:val="16"/>
          <w:szCs w:val="16"/>
          <w:color w:val="231F20"/>
          <w:spacing w:val="19"/>
          <w:w w:val="102"/>
        </w:rPr>
        <w:t xml:space="preserve"> </w:t>
      </w:r>
      <w:r>
        <w:rPr>
          <w:rFonts w:ascii="Microsoft YaHei" w:hAnsi="Microsoft YaHei" w:eastAsia="Microsoft YaHei" w:cs="Microsoft YaHei"/>
          <w:sz w:val="16"/>
          <w:szCs w:val="16"/>
          <w:color w:val="231F20"/>
          <w:spacing w:val="-1"/>
        </w:rPr>
        <w:t>阿莫西林联合替硝唑治疗急性肠胃炎效果 .</w:t>
      </w:r>
      <w:r>
        <w:rPr>
          <w:rFonts w:ascii="Microsoft YaHei" w:hAnsi="Microsoft YaHei" w:eastAsia="Microsoft YaHei" w:cs="Microsoft YaHei"/>
          <w:sz w:val="16"/>
          <w:szCs w:val="16"/>
          <w:color w:val="231F20"/>
          <w:spacing w:val="25"/>
        </w:rPr>
        <w:t xml:space="preserve"> </w:t>
      </w:r>
      <w:r>
        <w:rPr>
          <w:rFonts w:ascii="Microsoft YaHei" w:hAnsi="Microsoft YaHei" w:eastAsia="Microsoft YaHei" w:cs="Microsoft YaHei"/>
          <w:sz w:val="16"/>
          <w:szCs w:val="16"/>
          <w:color w:val="231F20"/>
          <w:spacing w:val="-1"/>
        </w:rPr>
        <w:t>中国实用</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0"/>
        </w:rPr>
        <w:t>医药 , 2021,</w:t>
      </w:r>
      <w:r>
        <w:rPr>
          <w:rFonts w:ascii="Microsoft YaHei" w:hAnsi="Microsoft YaHei" w:eastAsia="Microsoft YaHei" w:cs="Microsoft YaHei"/>
          <w:sz w:val="16"/>
          <w:szCs w:val="16"/>
          <w:color w:val="231F20"/>
          <w:spacing w:val="20"/>
          <w:w w:val="101"/>
        </w:rPr>
        <w:t xml:space="preserve"> </w:t>
      </w:r>
      <w:r>
        <w:rPr>
          <w:rFonts w:ascii="Microsoft YaHei" w:hAnsi="Microsoft YaHei" w:eastAsia="Microsoft YaHei" w:cs="Microsoft YaHei"/>
          <w:sz w:val="16"/>
          <w:szCs w:val="16"/>
          <w:color w:val="231F20"/>
          <w:spacing w:val="-10"/>
        </w:rPr>
        <w:t>16(12):151-153.</w:t>
      </w:r>
    </w:p>
    <w:p>
      <w:pPr>
        <w:ind w:left="514" w:right="82" w:hanging="514"/>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［4］  孙秋明 . 奥美拉唑肠溶片与</w:t>
      </w:r>
      <w:r>
        <w:rPr>
          <w:rFonts w:ascii="Microsoft YaHei" w:hAnsi="Microsoft YaHei" w:eastAsia="Microsoft YaHei" w:cs="Microsoft YaHei"/>
          <w:sz w:val="16"/>
          <w:szCs w:val="16"/>
          <w:color w:val="231F20"/>
          <w:spacing w:val="-1"/>
        </w:rPr>
        <w:t>复方嗜酸乳杆菌片治疗急性肠胃炎</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7"/>
        </w:rPr>
        <w:t>患者的效果 .</w:t>
      </w:r>
      <w:r>
        <w:rPr>
          <w:rFonts w:ascii="Microsoft YaHei" w:hAnsi="Microsoft YaHei" w:eastAsia="Microsoft YaHei" w:cs="Microsoft YaHei"/>
          <w:sz w:val="16"/>
          <w:szCs w:val="16"/>
          <w:color w:val="231F20"/>
          <w:spacing w:val="27"/>
          <w:w w:val="101"/>
        </w:rPr>
        <w:t xml:space="preserve"> </w:t>
      </w:r>
      <w:r>
        <w:rPr>
          <w:rFonts w:ascii="Microsoft YaHei" w:hAnsi="Microsoft YaHei" w:eastAsia="Microsoft YaHei" w:cs="Microsoft YaHei"/>
          <w:sz w:val="16"/>
          <w:szCs w:val="16"/>
          <w:color w:val="231F20"/>
          <w:spacing w:val="-7"/>
        </w:rPr>
        <w:t>中国医药指南 , 2021,</w:t>
      </w:r>
      <w:r>
        <w:rPr>
          <w:rFonts w:ascii="Microsoft YaHei" w:hAnsi="Microsoft YaHei" w:eastAsia="Microsoft YaHei" w:cs="Microsoft YaHei"/>
          <w:sz w:val="16"/>
          <w:szCs w:val="16"/>
          <w:color w:val="231F20"/>
          <w:spacing w:val="9"/>
        </w:rPr>
        <w:t xml:space="preserve"> </w:t>
      </w:r>
      <w:r>
        <w:rPr>
          <w:rFonts w:ascii="Microsoft YaHei" w:hAnsi="Microsoft YaHei" w:eastAsia="Microsoft YaHei" w:cs="Microsoft YaHei"/>
          <w:sz w:val="16"/>
          <w:szCs w:val="16"/>
          <w:color w:val="231F20"/>
          <w:spacing w:val="-7"/>
        </w:rPr>
        <w:t>19(5):34-35.</w:t>
      </w:r>
    </w:p>
    <w:p>
      <w:pPr>
        <w:ind w:left="512" w:right="82" w:hanging="512"/>
        <w:spacing w:before="29" w:line="22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［5］  黄凤英 . 双歧杆菌乳杆菌三</w:t>
      </w:r>
      <w:r>
        <w:rPr>
          <w:rFonts w:ascii="Microsoft YaHei" w:hAnsi="Microsoft YaHei" w:eastAsia="Microsoft YaHei" w:cs="Microsoft YaHei"/>
          <w:sz w:val="16"/>
          <w:szCs w:val="16"/>
          <w:color w:val="231F20"/>
          <w:spacing w:val="-1"/>
        </w:rPr>
        <w:t>联活菌片联合雷贝拉唑肠溶片治疗</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4"/>
        </w:rPr>
        <w:t>急性肠胃炎的疗效分析 .</w:t>
      </w:r>
      <w:r>
        <w:rPr>
          <w:rFonts w:ascii="Microsoft YaHei" w:hAnsi="Microsoft YaHei" w:eastAsia="Microsoft YaHei" w:cs="Microsoft YaHei"/>
          <w:sz w:val="16"/>
          <w:szCs w:val="16"/>
          <w:color w:val="231F20"/>
          <w:spacing w:val="20"/>
        </w:rPr>
        <w:t xml:space="preserve"> </w:t>
      </w:r>
      <w:r>
        <w:rPr>
          <w:rFonts w:ascii="Microsoft YaHei" w:hAnsi="Microsoft YaHei" w:eastAsia="Microsoft YaHei" w:cs="Microsoft YaHei"/>
          <w:sz w:val="16"/>
          <w:szCs w:val="16"/>
          <w:color w:val="231F20"/>
          <w:spacing w:val="-4"/>
        </w:rPr>
        <w:t>临床合理用药杂志 , 2020,</w:t>
      </w:r>
      <w:r>
        <w:rPr>
          <w:rFonts w:ascii="Microsoft YaHei" w:hAnsi="Microsoft YaHei" w:eastAsia="Microsoft YaHei" w:cs="Microsoft YaHei"/>
          <w:sz w:val="16"/>
          <w:szCs w:val="16"/>
          <w:color w:val="231F20"/>
          <w:spacing w:val="22"/>
          <w:w w:val="102"/>
        </w:rPr>
        <w:t xml:space="preserve"> </w:t>
      </w:r>
      <w:r>
        <w:rPr>
          <w:rFonts w:ascii="Microsoft YaHei" w:hAnsi="Microsoft YaHei" w:eastAsia="Microsoft YaHei" w:cs="Microsoft YaHei"/>
          <w:sz w:val="16"/>
          <w:szCs w:val="16"/>
          <w:color w:val="231F20"/>
          <w:spacing w:val="-4"/>
        </w:rPr>
        <w:t>13(28):6</w:t>
      </w:r>
      <w:r>
        <w:rPr>
          <w:rFonts w:ascii="Microsoft YaHei" w:hAnsi="Microsoft YaHei" w:eastAsia="Microsoft YaHei" w:cs="Microsoft YaHei"/>
          <w:sz w:val="16"/>
          <w:szCs w:val="16"/>
          <w:color w:val="231F20"/>
          <w:spacing w:val="-5"/>
        </w:rPr>
        <w:t>8-</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0"/>
        </w:rPr>
        <w:t>69.</w:t>
      </w:r>
    </w:p>
    <w:p>
      <w:pPr>
        <w:ind w:left="524" w:right="82" w:hanging="524"/>
        <w:spacing w:before="5"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［6］  袁琰 . 复方嗜酸乳杆菌片联</w:t>
      </w:r>
      <w:r>
        <w:rPr>
          <w:rFonts w:ascii="Microsoft YaHei" w:hAnsi="Microsoft YaHei" w:eastAsia="Microsoft YaHei" w:cs="Microsoft YaHei"/>
          <w:sz w:val="16"/>
          <w:szCs w:val="16"/>
          <w:color w:val="231F20"/>
          <w:spacing w:val="-1"/>
        </w:rPr>
        <w:t>合奥美拉唑肠溶片治疗急性肠胃炎</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的效果观察 . 临床合理用药杂志 , 2020,</w:t>
      </w:r>
      <w:r>
        <w:rPr>
          <w:rFonts w:ascii="Microsoft YaHei" w:hAnsi="Microsoft YaHei" w:eastAsia="Microsoft YaHei" w:cs="Microsoft YaHei"/>
          <w:sz w:val="16"/>
          <w:szCs w:val="16"/>
          <w:color w:val="231F20"/>
          <w:spacing w:val="10"/>
        </w:rPr>
        <w:t xml:space="preserve"> </w:t>
      </w:r>
      <w:r>
        <w:rPr>
          <w:rFonts w:ascii="Microsoft YaHei" w:hAnsi="Microsoft YaHei" w:eastAsia="Microsoft YaHei" w:cs="Microsoft YaHei"/>
          <w:sz w:val="16"/>
          <w:szCs w:val="16"/>
          <w:color w:val="231F20"/>
          <w:spacing w:val="-6"/>
        </w:rPr>
        <w:t>13(26):</w:t>
      </w:r>
      <w:r>
        <w:rPr>
          <w:rFonts w:ascii="Microsoft YaHei" w:hAnsi="Microsoft YaHei" w:eastAsia="Microsoft YaHei" w:cs="Microsoft YaHei"/>
          <w:sz w:val="16"/>
          <w:szCs w:val="16"/>
          <w:color w:val="231F20"/>
          <w:spacing w:val="-7"/>
        </w:rPr>
        <w:t>62-63.</w:t>
      </w:r>
    </w:p>
    <w:p>
      <w:pPr>
        <w:ind w:left="527" w:right="83" w:hanging="527"/>
        <w:spacing w:before="31"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［7］  程琳 . 奥美拉唑肠溶胶囊治疗</w:t>
      </w:r>
      <w:r>
        <w:rPr>
          <w:rFonts w:ascii="Microsoft YaHei" w:hAnsi="Microsoft YaHei" w:eastAsia="Microsoft YaHei" w:cs="Microsoft YaHei"/>
          <w:sz w:val="16"/>
          <w:szCs w:val="16"/>
          <w:color w:val="231F20"/>
          <w:spacing w:val="-1"/>
        </w:rPr>
        <w:t>急性肠胃炎的临床疗效观察 .</w:t>
      </w:r>
      <w:r>
        <w:rPr>
          <w:rFonts w:ascii="Microsoft YaHei" w:hAnsi="Microsoft YaHei" w:eastAsia="Microsoft YaHei" w:cs="Microsoft YaHei"/>
          <w:sz w:val="16"/>
          <w:szCs w:val="16"/>
          <w:color w:val="231F20"/>
          <w:spacing w:val="26"/>
        </w:rPr>
        <w:t xml:space="preserve"> </w:t>
      </w:r>
      <w:r>
        <w:rPr>
          <w:rFonts w:ascii="Microsoft YaHei" w:hAnsi="Microsoft YaHei" w:eastAsia="Microsoft YaHei" w:cs="Microsoft YaHei"/>
          <w:sz w:val="16"/>
          <w:szCs w:val="16"/>
          <w:color w:val="231F20"/>
          <w:spacing w:val="-1"/>
        </w:rPr>
        <w:t>中</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8"/>
        </w:rPr>
        <w:t>国社区医师 , 2020, 36(19):77-78.</w:t>
      </w:r>
    </w:p>
    <w:p>
      <w:pPr>
        <w:ind w:left="512" w:right="83" w:hanging="512"/>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［8］  王连荣 , 杜焕社 .</w:t>
      </w:r>
      <w:r>
        <w:rPr>
          <w:rFonts w:ascii="Microsoft YaHei" w:hAnsi="Microsoft YaHei" w:eastAsia="Microsoft YaHei" w:cs="Microsoft YaHei"/>
          <w:sz w:val="16"/>
          <w:szCs w:val="16"/>
          <w:color w:val="231F20"/>
          <w:spacing w:val="11"/>
        </w:rPr>
        <w:t xml:space="preserve"> </w:t>
      </w:r>
      <w:r>
        <w:rPr>
          <w:rFonts w:ascii="Microsoft YaHei" w:hAnsi="Microsoft YaHei" w:eastAsia="Microsoft YaHei" w:cs="Microsoft YaHei"/>
          <w:sz w:val="16"/>
          <w:szCs w:val="16"/>
          <w:color w:val="231F20"/>
        </w:rPr>
        <w:t>加味藿香正气丸联合诺氟沙星治疗急性肠胃 </w:t>
      </w:r>
      <w:r>
        <w:rPr>
          <w:rFonts w:ascii="Microsoft YaHei" w:hAnsi="Microsoft YaHei" w:eastAsia="Microsoft YaHei" w:cs="Microsoft YaHei"/>
          <w:sz w:val="16"/>
          <w:szCs w:val="16"/>
          <w:color w:val="231F20"/>
          <w:spacing w:val="-5"/>
        </w:rPr>
        <w:t>炎的应用价值分析 .</w:t>
      </w:r>
      <w:r>
        <w:rPr>
          <w:rFonts w:ascii="Microsoft YaHei" w:hAnsi="Microsoft YaHei" w:eastAsia="Microsoft YaHei" w:cs="Microsoft YaHei"/>
          <w:sz w:val="16"/>
          <w:szCs w:val="16"/>
          <w:color w:val="231F20"/>
          <w:spacing w:val="12"/>
          <w:w w:val="101"/>
        </w:rPr>
        <w:t xml:space="preserve"> </w:t>
      </w:r>
      <w:r>
        <w:rPr>
          <w:rFonts w:ascii="Microsoft YaHei" w:hAnsi="Microsoft YaHei" w:eastAsia="Microsoft YaHei" w:cs="Microsoft YaHei"/>
          <w:sz w:val="16"/>
          <w:szCs w:val="16"/>
          <w:color w:val="231F20"/>
          <w:spacing w:val="-5"/>
        </w:rPr>
        <w:t>四川解剖学杂志 , 2020</w:t>
      </w:r>
      <w:r>
        <w:rPr>
          <w:rFonts w:ascii="Microsoft YaHei" w:hAnsi="Microsoft YaHei" w:eastAsia="Microsoft YaHei" w:cs="Microsoft YaHei"/>
          <w:sz w:val="16"/>
          <w:szCs w:val="16"/>
          <w:color w:val="231F20"/>
          <w:spacing w:val="-6"/>
        </w:rPr>
        <w:t>, 28(2):83-84.</w:t>
      </w:r>
    </w:p>
    <w:p>
      <w:pPr>
        <w:ind w:left="510" w:right="82" w:hanging="510"/>
        <w:spacing w:before="31"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［9］  何翠婷 , 郭伟仪 , 吴海谊 ,</w:t>
      </w:r>
      <w:r>
        <w:rPr>
          <w:rFonts w:ascii="Microsoft YaHei" w:hAnsi="Microsoft YaHei" w:eastAsia="Microsoft YaHei" w:cs="Microsoft YaHei"/>
          <w:sz w:val="16"/>
          <w:szCs w:val="16"/>
          <w:color w:val="231F20"/>
          <w:spacing w:val="14"/>
        </w:rPr>
        <w:t xml:space="preserve"> </w:t>
      </w:r>
      <w:r>
        <w:rPr>
          <w:rFonts w:ascii="Microsoft YaHei" w:hAnsi="Microsoft YaHei" w:eastAsia="Microsoft YaHei" w:cs="Microsoft YaHei"/>
          <w:sz w:val="16"/>
          <w:szCs w:val="16"/>
          <w:color w:val="231F20"/>
          <w:spacing w:val="1"/>
        </w:rPr>
        <w:t>等</w:t>
      </w:r>
      <w:r>
        <w:rPr>
          <w:rFonts w:ascii="Microsoft YaHei" w:hAnsi="Microsoft YaHei" w:eastAsia="Microsoft YaHei" w:cs="Microsoft YaHei"/>
          <w:sz w:val="16"/>
          <w:szCs w:val="16"/>
          <w:color w:val="231F20"/>
          <w:spacing w:val="2"/>
        </w:rPr>
        <w:t xml:space="preserve"> </w:t>
      </w:r>
      <w:r>
        <w:rPr>
          <w:rFonts w:ascii="Microsoft YaHei" w:hAnsi="Microsoft YaHei" w:eastAsia="Microsoft YaHei" w:cs="Microsoft YaHei"/>
          <w:sz w:val="16"/>
          <w:szCs w:val="16"/>
          <w:color w:val="231F20"/>
          <w:spacing w:val="1"/>
        </w:rPr>
        <w:t>.</w:t>
      </w:r>
      <w:r>
        <w:rPr>
          <w:rFonts w:ascii="Microsoft YaHei" w:hAnsi="Microsoft YaHei" w:eastAsia="Microsoft YaHei" w:cs="Microsoft YaHei"/>
          <w:sz w:val="16"/>
          <w:szCs w:val="16"/>
          <w:color w:val="231F20"/>
          <w:spacing w:val="12"/>
          <w:w w:val="101"/>
        </w:rPr>
        <w:t xml:space="preserve"> </w:t>
      </w:r>
      <w:r>
        <w:rPr>
          <w:rFonts w:ascii="Microsoft YaHei" w:hAnsi="Microsoft YaHei" w:eastAsia="Microsoft YaHei" w:cs="Microsoft YaHei"/>
          <w:sz w:val="16"/>
          <w:szCs w:val="16"/>
          <w:color w:val="231F20"/>
          <w:spacing w:val="1"/>
        </w:rPr>
        <w:t>益生菌与阿奇霉素在小儿急性</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肠胃炎中的效果 .</w:t>
      </w:r>
      <w:r>
        <w:rPr>
          <w:rFonts w:ascii="Microsoft YaHei" w:hAnsi="Microsoft YaHei" w:eastAsia="Microsoft YaHei" w:cs="Microsoft YaHei"/>
          <w:sz w:val="16"/>
          <w:szCs w:val="16"/>
          <w:color w:val="231F20"/>
          <w:spacing w:val="21"/>
        </w:rPr>
        <w:t xml:space="preserve"> </w:t>
      </w:r>
      <w:r>
        <w:rPr>
          <w:rFonts w:ascii="Microsoft YaHei" w:hAnsi="Microsoft YaHei" w:eastAsia="Microsoft YaHei" w:cs="Microsoft YaHei"/>
          <w:sz w:val="16"/>
          <w:szCs w:val="16"/>
          <w:color w:val="231F20"/>
          <w:spacing w:val="-6"/>
        </w:rPr>
        <w:t>中国城乡企业卫生 , 2020, 35(2):144-145.</w:t>
      </w:r>
    </w:p>
    <w:p>
      <w:pPr>
        <w:ind w:left="520" w:right="82" w:hanging="520"/>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［10］</w:t>
      </w:r>
      <w:r>
        <w:rPr>
          <w:rFonts w:ascii="Microsoft YaHei" w:hAnsi="Microsoft YaHei" w:eastAsia="Microsoft YaHei" w:cs="Microsoft YaHei"/>
          <w:sz w:val="16"/>
          <w:szCs w:val="16"/>
          <w:color w:val="231F20"/>
          <w:spacing w:val="-15"/>
        </w:rPr>
        <w:t xml:space="preserve"> </w:t>
      </w:r>
      <w:r>
        <w:rPr>
          <w:rFonts w:ascii="Microsoft YaHei" w:hAnsi="Microsoft YaHei" w:eastAsia="Microsoft YaHei" w:cs="Microsoft YaHei"/>
          <w:sz w:val="16"/>
          <w:szCs w:val="16"/>
          <w:color w:val="231F20"/>
          <w:spacing w:val="-1"/>
        </w:rPr>
        <w:t>王永梅 ,</w:t>
      </w:r>
      <w:r>
        <w:rPr>
          <w:rFonts w:ascii="Microsoft YaHei" w:hAnsi="Microsoft YaHei" w:eastAsia="Microsoft YaHei" w:cs="Microsoft YaHei"/>
          <w:sz w:val="16"/>
          <w:szCs w:val="16"/>
          <w:color w:val="231F20"/>
          <w:spacing w:val="16"/>
          <w:w w:val="101"/>
        </w:rPr>
        <w:t xml:space="preserve"> </w:t>
      </w:r>
      <w:r>
        <w:rPr>
          <w:rFonts w:ascii="Microsoft YaHei" w:hAnsi="Microsoft YaHei" w:eastAsia="Microsoft YaHei" w:cs="Microsoft YaHei"/>
          <w:sz w:val="16"/>
          <w:szCs w:val="16"/>
          <w:color w:val="231F20"/>
          <w:spacing w:val="-1"/>
        </w:rPr>
        <w:t>马健 .</w:t>
      </w:r>
      <w:r>
        <w:rPr>
          <w:rFonts w:ascii="Microsoft YaHei" w:hAnsi="Microsoft YaHei" w:eastAsia="Microsoft YaHei" w:cs="Microsoft YaHei"/>
          <w:sz w:val="16"/>
          <w:szCs w:val="16"/>
          <w:color w:val="231F20"/>
          <w:spacing w:val="26"/>
        </w:rPr>
        <w:t xml:space="preserve"> </w:t>
      </w:r>
      <w:r>
        <w:rPr>
          <w:rFonts w:ascii="Microsoft YaHei" w:hAnsi="Microsoft YaHei" w:eastAsia="Microsoft YaHei" w:cs="Microsoft YaHei"/>
          <w:sz w:val="16"/>
          <w:szCs w:val="16"/>
          <w:color w:val="231F20"/>
          <w:spacing w:val="-1"/>
        </w:rPr>
        <w:t>中西医结合治疗急性肠胃炎的临床观察 . 青海</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8"/>
        </w:rPr>
        <w:t>医药杂志 , 2019, 49(11):54-55.</w:t>
      </w:r>
    </w:p>
    <w:p>
      <w:pPr>
        <w:ind w:left="525" w:right="81" w:hanging="525"/>
        <w:spacing w:before="32" w:line="21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3"/>
        </w:rPr>
        <w:t>［11］</w:t>
      </w:r>
      <w:r>
        <w:rPr>
          <w:rFonts w:ascii="Microsoft YaHei" w:hAnsi="Microsoft YaHei" w:eastAsia="Microsoft YaHei" w:cs="Microsoft YaHei"/>
          <w:sz w:val="16"/>
          <w:szCs w:val="16"/>
          <w:color w:val="231F20"/>
          <w:spacing w:val="-14"/>
        </w:rPr>
        <w:t xml:space="preserve"> </w:t>
      </w:r>
      <w:r>
        <w:rPr>
          <w:rFonts w:ascii="Microsoft YaHei" w:hAnsi="Microsoft YaHei" w:eastAsia="Microsoft YaHei" w:cs="Microsoft YaHei"/>
          <w:sz w:val="16"/>
          <w:szCs w:val="16"/>
          <w:color w:val="231F20"/>
          <w:spacing w:val="3"/>
        </w:rPr>
        <w:t>葛俊君 .</w:t>
      </w:r>
      <w:r>
        <w:rPr>
          <w:rFonts w:ascii="Microsoft YaHei" w:hAnsi="Microsoft YaHei" w:eastAsia="Microsoft YaHei" w:cs="Microsoft YaHei"/>
          <w:sz w:val="16"/>
          <w:szCs w:val="16"/>
          <w:color w:val="231F20"/>
          <w:spacing w:val="18"/>
          <w:w w:val="101"/>
        </w:rPr>
        <w:t xml:space="preserve"> </w:t>
      </w:r>
      <w:r>
        <w:rPr>
          <w:rFonts w:ascii="Microsoft YaHei" w:hAnsi="Microsoft YaHei" w:eastAsia="Microsoft YaHei" w:cs="Microsoft YaHei"/>
          <w:sz w:val="16"/>
          <w:szCs w:val="16"/>
          <w:color w:val="231F20"/>
          <w:spacing w:val="3"/>
        </w:rPr>
        <w:t>复方嗜酸乳杆菌片与奥美拉唑肠溶片应用在急性肠</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
        </w:rPr>
        <w:t>胃炎患者治疗中的效果评价 .</w:t>
      </w:r>
      <w:r>
        <w:rPr>
          <w:rFonts w:ascii="Microsoft YaHei" w:hAnsi="Microsoft YaHei" w:eastAsia="Microsoft YaHei" w:cs="Microsoft YaHei"/>
          <w:sz w:val="16"/>
          <w:szCs w:val="16"/>
          <w:color w:val="231F20"/>
          <w:spacing w:val="30"/>
          <w:w w:val="101"/>
        </w:rPr>
        <w:t xml:space="preserve"> </w:t>
      </w:r>
      <w:r>
        <w:rPr>
          <w:rFonts w:ascii="Microsoft YaHei" w:hAnsi="Microsoft YaHei" w:eastAsia="Microsoft YaHei" w:cs="Microsoft YaHei"/>
          <w:sz w:val="16"/>
          <w:szCs w:val="16"/>
          <w:color w:val="231F20"/>
          <w:spacing w:val="1"/>
        </w:rPr>
        <w:t>世界最新医学信息文摘 , 2019,</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1"/>
        </w:rPr>
        <w:t>19(84):157-158.</w:t>
      </w:r>
    </w:p>
    <w:p>
      <w:pPr>
        <w:ind w:left="512" w:right="82" w:hanging="512"/>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［12］</w:t>
      </w:r>
      <w:r>
        <w:rPr>
          <w:rFonts w:ascii="Microsoft YaHei" w:hAnsi="Microsoft YaHei" w:eastAsia="Microsoft YaHei" w:cs="Microsoft YaHei"/>
          <w:sz w:val="16"/>
          <w:szCs w:val="16"/>
          <w:color w:val="231F20"/>
          <w:spacing w:val="-13"/>
        </w:rPr>
        <w:t xml:space="preserve"> </w:t>
      </w:r>
      <w:r>
        <w:rPr>
          <w:rFonts w:ascii="Microsoft YaHei" w:hAnsi="Microsoft YaHei" w:eastAsia="Microsoft YaHei" w:cs="Microsoft YaHei"/>
          <w:sz w:val="16"/>
          <w:szCs w:val="16"/>
          <w:color w:val="231F20"/>
          <w:spacing w:val="-1"/>
        </w:rPr>
        <w:t>李剑 ,</w:t>
      </w:r>
      <w:r>
        <w:rPr>
          <w:rFonts w:ascii="Microsoft YaHei" w:hAnsi="Microsoft YaHei" w:eastAsia="Microsoft YaHei" w:cs="Microsoft YaHei"/>
          <w:sz w:val="16"/>
          <w:szCs w:val="16"/>
          <w:color w:val="231F20"/>
          <w:spacing w:val="20"/>
        </w:rPr>
        <w:t xml:space="preserve"> </w:t>
      </w:r>
      <w:r>
        <w:rPr>
          <w:rFonts w:ascii="Microsoft YaHei" w:hAnsi="Microsoft YaHei" w:eastAsia="Microsoft YaHei" w:cs="Microsoft YaHei"/>
          <w:sz w:val="16"/>
          <w:szCs w:val="16"/>
          <w:color w:val="231F20"/>
          <w:spacing w:val="-1"/>
        </w:rPr>
        <w:t>陈俊平 ,</w:t>
      </w:r>
      <w:r>
        <w:rPr>
          <w:rFonts w:ascii="Microsoft YaHei" w:hAnsi="Microsoft YaHei" w:eastAsia="Microsoft YaHei" w:cs="Microsoft YaHei"/>
          <w:sz w:val="16"/>
          <w:szCs w:val="16"/>
          <w:color w:val="231F20"/>
          <w:spacing w:val="20"/>
        </w:rPr>
        <w:t xml:space="preserve"> </w:t>
      </w:r>
      <w:r>
        <w:rPr>
          <w:rFonts w:ascii="Microsoft YaHei" w:hAnsi="Microsoft YaHei" w:eastAsia="Microsoft YaHei" w:cs="Microsoft YaHei"/>
          <w:sz w:val="16"/>
          <w:szCs w:val="16"/>
          <w:color w:val="231F20"/>
          <w:spacing w:val="-1"/>
        </w:rPr>
        <w:t>陈倩莹 ,</w:t>
      </w:r>
      <w:r>
        <w:rPr>
          <w:rFonts w:ascii="Microsoft YaHei" w:hAnsi="Microsoft YaHei" w:eastAsia="Microsoft YaHei" w:cs="Microsoft YaHei"/>
          <w:sz w:val="16"/>
          <w:szCs w:val="16"/>
          <w:color w:val="231F20"/>
          <w:spacing w:val="13"/>
          <w:w w:val="101"/>
        </w:rPr>
        <w:t xml:space="preserve"> </w:t>
      </w:r>
      <w:r>
        <w:rPr>
          <w:rFonts w:ascii="Microsoft YaHei" w:hAnsi="Microsoft YaHei" w:eastAsia="Microsoft YaHei" w:cs="Microsoft YaHei"/>
          <w:sz w:val="16"/>
          <w:szCs w:val="16"/>
          <w:color w:val="231F20"/>
          <w:spacing w:val="-1"/>
        </w:rPr>
        <w:t>等 .</w:t>
      </w:r>
      <w:r>
        <w:rPr>
          <w:rFonts w:ascii="Microsoft YaHei" w:hAnsi="Microsoft YaHei" w:eastAsia="Microsoft YaHei" w:cs="Microsoft YaHei"/>
          <w:sz w:val="16"/>
          <w:szCs w:val="16"/>
          <w:color w:val="231F20"/>
          <w:spacing w:val="13"/>
          <w:w w:val="101"/>
        </w:rPr>
        <w:t xml:space="preserve"> </w:t>
      </w:r>
      <w:r>
        <w:rPr>
          <w:rFonts w:ascii="Microsoft YaHei" w:hAnsi="Microsoft YaHei" w:eastAsia="Microsoft YaHei" w:cs="Microsoft YaHei"/>
          <w:sz w:val="16"/>
          <w:szCs w:val="16"/>
          <w:color w:val="231F20"/>
          <w:spacing w:val="-1"/>
        </w:rPr>
        <w:t>双歧杆菌三联活菌联合奥美拉唑</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治疗急性肠胃炎 . 实用中西医结合临床 , 2019,</w:t>
      </w:r>
      <w:r>
        <w:rPr>
          <w:rFonts w:ascii="Microsoft YaHei" w:hAnsi="Microsoft YaHei" w:eastAsia="Microsoft YaHei" w:cs="Microsoft YaHei"/>
          <w:sz w:val="16"/>
          <w:szCs w:val="16"/>
          <w:color w:val="231F20"/>
          <w:spacing w:val="24"/>
          <w:w w:val="102"/>
        </w:rPr>
        <w:t xml:space="preserve"> </w:t>
      </w:r>
      <w:r>
        <w:rPr>
          <w:rFonts w:ascii="Microsoft YaHei" w:hAnsi="Microsoft YaHei" w:eastAsia="Microsoft YaHei" w:cs="Microsoft YaHei"/>
          <w:sz w:val="16"/>
          <w:szCs w:val="16"/>
          <w:color w:val="231F20"/>
          <w:spacing w:val="-6"/>
        </w:rPr>
        <w:t>19(9):128-129.</w:t>
      </w:r>
    </w:p>
    <w:p>
      <w:pPr>
        <w:spacing w:before="30" w:line="201" w:lineRule="auto"/>
        <w:jc w:val="right"/>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7"/>
        </w:rPr>
        <w:t>［收稿日期 ：2023-02-21］</w:t>
      </w:r>
    </w:p>
    <w:sectPr>
      <w:type w:val="continuous"/>
      <w:pgSz w:w="12246" w:h="17179"/>
      <w:pgMar w:top="1542" w:right="1107" w:bottom="400" w:left="407" w:header="1219" w:footer="0" w:gutter="0"/>
      <w:cols w:equalWidth="0" w:num="2">
        <w:col w:w="5760" w:space="100"/>
        <w:col w:w="487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87"/>
      <w:spacing w:before="47" w:line="250" w:lineRule="exact"/>
      <w:rPr/>
    </w:pPr>
    <w:r>
      <w:pict>
        <v:shape id="_x0000_s8" style="position:absolute;margin-left:65.1984pt;margin-top:786.011pt;mso-position-vertical-relative:page;mso-position-horizontal-relative:page;width:487.6pt;height:0.75pt;z-index:251660288;" o:allowincell="f" filled="false" strokecolor="#231F20" strokeweight="0.71pt" coordsize="9752,15" coordorigin="0,0" path="m0,7l1625,7m1625,7l3250,7m3250,7l4875,7m4875,7l6500,7m6500,7l8125,7m8125,7l9751,7e">
          <v:stroke joinstyle="miter" miterlimit="10"/>
        </v:shape>
      </w:pict>
    </w:r>
    <w:r>
      <w:rPr>
        <w:color w:val="231F20"/>
        <w:spacing w:val="-10"/>
        <w:position w:val="1"/>
      </w:rPr>
      <w:t>注</w:t>
    </w:r>
    <w:r>
      <w:rPr>
        <w:color w:val="231F20"/>
        <w:spacing w:val="-29"/>
        <w:position w:val="1"/>
      </w:rPr>
      <w:t xml:space="preserve"> </w:t>
    </w:r>
    <w:r>
      <w:rPr>
        <w:color w:val="231F20"/>
        <w:spacing w:val="-10"/>
        <w:position w:val="1"/>
      </w:rPr>
      <w:t>：与对照组对比</w:t>
    </w:r>
    <w:r>
      <w:rPr>
        <w:color w:val="231F20"/>
        <w:spacing w:val="-36"/>
        <w:position w:val="1"/>
      </w:rPr>
      <w:t xml:space="preserve"> </w:t>
    </w:r>
    <w:r>
      <w:rPr>
        <w:color w:val="231F20"/>
        <w:spacing w:val="-10"/>
        <w:position w:val="1"/>
      </w:rPr>
      <w:t>,</w:t>
    </w:r>
    <w:r>
      <w:rPr>
        <w:color w:val="231F20"/>
        <w:spacing w:val="-43"/>
        <w:position w:val="1"/>
      </w:rPr>
      <w:t xml:space="preserve"> </w:t>
    </w:r>
    <w:r>
      <w:rPr>
        <w:sz w:val="10"/>
        <w:szCs w:val="10"/>
        <w:color w:val="231F20"/>
        <w:spacing w:val="-10"/>
        <w:position w:val="9"/>
      </w:rPr>
      <w:t>a</w:t>
    </w:r>
    <w:r>
      <w:rPr>
        <w:rFonts w:ascii="Times New Roman" w:hAnsi="Times New Roman" w:eastAsia="Times New Roman" w:cs="Times New Roman"/>
        <w:color w:val="231F20"/>
        <w:spacing w:val="-10"/>
        <w:position w:val="1"/>
      </w:rPr>
      <w:t>P&lt;</w:t>
    </w:r>
    <w:r>
      <w:rPr>
        <w:color w:val="231F20"/>
        <w:spacing w:val="-10"/>
        <w:position w:val="1"/>
      </w:rPr>
      <w:t>0.05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31.5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7"/>
      <w:spacing w:before="41" w:line="181" w:lineRule="auto"/>
      <w:jc w:val="right"/>
      <w:rPr>
        <w:rFonts w:ascii="Microsoft YaHei" w:hAnsi="Microsoft YaHei" w:eastAsia="Microsoft YaHei" w:cs="Microsoft YaHei"/>
        <w:sz w:val="21"/>
        <w:szCs w:val="21"/>
      </w:rPr>
    </w:pPr>
    <w:r>
      <w:pict>
        <v:shape id="WordPictureWatermark6" style="position:absolute;margin-left:20.4pt;margin-top:831.5pt;mso-position-vertical-relative:page;mso-position-horizontal-relative:page;width:475.5pt;height:9.7pt;z-index:-251657216;" o:allowincell="f" filled="false" stroked="false" type="#_x0000_t75">
          <v:imagedata o:title="" r:id="rId1"/>
        </v:shape>
      </w:pict>
    </w:r>
    <w:r>
      <w:rPr>
        <w:sz w:val="16"/>
        <w:szCs w:val="16"/>
        <w:u w:val="single" w:color="auto"/>
        <w:color w:val="231F20"/>
        <w:spacing w:val="-3"/>
      </w:rPr>
      <w:t>中国现代药物应用2023年11月第17卷第21期  Chin</w:t>
    </w:r>
    <w:r>
      <w:rPr>
        <w:sz w:val="16"/>
        <w:szCs w:val="16"/>
        <w:u w:val="single" w:color="auto"/>
        <w:color w:val="231F20"/>
        <w:spacing w:val="-31"/>
      </w:rPr>
      <w:t xml:space="preserve"> </w:t>
    </w:r>
    <w:r>
      <w:rPr>
        <w:sz w:val="16"/>
        <w:szCs w:val="16"/>
        <w:u w:val="single" w:color="auto"/>
        <w:color w:val="231F20"/>
        <w:spacing w:val="-3"/>
      </w:rPr>
      <w:t>J</w:t>
    </w:r>
    <w:r>
      <w:rPr>
        <w:sz w:val="16"/>
        <w:szCs w:val="16"/>
        <w:u w:val="single" w:color="auto"/>
        <w:color w:val="231F20"/>
        <w:spacing w:val="-33"/>
      </w:rPr>
      <w:t xml:space="preserve"> </w:t>
    </w:r>
    <w:r>
      <w:rPr>
        <w:sz w:val="16"/>
        <w:szCs w:val="16"/>
        <w:u w:val="single" w:color="auto"/>
        <w:color w:val="231F20"/>
        <w:spacing w:val="-3"/>
      </w:rPr>
      <w:t>Mod</w:t>
    </w:r>
    <w:r>
      <w:rPr>
        <w:sz w:val="16"/>
        <w:szCs w:val="16"/>
        <w:u w:val="single" w:color="auto"/>
        <w:color w:val="231F20"/>
        <w:spacing w:val="-35"/>
      </w:rPr>
      <w:t xml:space="preserve"> </w:t>
    </w:r>
    <w:r>
      <w:rPr>
        <w:sz w:val="16"/>
        <w:szCs w:val="16"/>
        <w:u w:val="single" w:color="auto"/>
        <w:color w:val="231F20"/>
        <w:spacing w:val="-3"/>
      </w:rPr>
      <w:t>Drug</w:t>
    </w:r>
    <w:r>
      <w:rPr>
        <w:sz w:val="16"/>
        <w:szCs w:val="16"/>
        <w:u w:val="single" w:color="auto"/>
        <w:color w:val="231F20"/>
        <w:spacing w:val="-37"/>
      </w:rPr>
      <w:t xml:space="preserve"> </w:t>
    </w:r>
    <w:r>
      <w:rPr>
        <w:sz w:val="16"/>
        <w:szCs w:val="16"/>
        <w:u w:val="single" w:color="auto"/>
        <w:color w:val="231F20"/>
        <w:spacing w:val="-3"/>
      </w:rPr>
      <w:t>Appl,</w:t>
    </w:r>
    <w:r>
      <w:rPr>
        <w:sz w:val="16"/>
        <w:szCs w:val="16"/>
        <w:u w:val="single" w:color="auto"/>
        <w:color w:val="231F20"/>
        <w:spacing w:val="-34"/>
      </w:rPr>
      <w:t xml:space="preserve"> </w:t>
    </w:r>
    <w:r>
      <w:rPr>
        <w:sz w:val="16"/>
        <w:szCs w:val="16"/>
        <w:u w:val="single" w:color="auto"/>
        <w:color w:val="231F20"/>
        <w:spacing w:val="-3"/>
      </w:rPr>
      <w:t>Nov</w:t>
    </w:r>
    <w:r>
      <w:rPr>
        <w:sz w:val="16"/>
        <w:szCs w:val="16"/>
        <w:u w:val="single" w:color="auto"/>
        <w:color w:val="231F20"/>
        <w:spacing w:val="-37"/>
      </w:rPr>
      <w:t xml:space="preserve"> </w:t>
    </w:r>
    <w:r>
      <w:rPr>
        <w:sz w:val="16"/>
        <w:szCs w:val="16"/>
        <w:u w:val="single" w:color="auto"/>
        <w:color w:val="231F20"/>
        <w:spacing w:val="-3"/>
      </w:rPr>
      <w:t>2023,</w:t>
    </w:r>
    <w:r>
      <w:rPr>
        <w:sz w:val="16"/>
        <w:szCs w:val="16"/>
        <w:u w:val="single" w:color="auto"/>
        <w:color w:val="231F20"/>
        <w:spacing w:val="-36"/>
      </w:rPr>
      <w:t xml:space="preserve"> </w:t>
    </w:r>
    <w:r>
      <w:rPr>
        <w:sz w:val="16"/>
        <w:szCs w:val="16"/>
        <w:u w:val="single" w:color="auto"/>
        <w:color w:val="231F20"/>
        <w:spacing w:val="-3"/>
      </w:rPr>
      <w:t>Vol.</w:t>
    </w:r>
    <w:r>
      <w:rPr>
        <w:sz w:val="16"/>
        <w:szCs w:val="16"/>
        <w:u w:val="single" w:color="auto"/>
        <w:color w:val="231F20"/>
        <w:spacing w:val="-24"/>
      </w:rPr>
      <w:t xml:space="preserve"> </w:t>
    </w:r>
    <w:r>
      <w:rPr>
        <w:sz w:val="16"/>
        <w:szCs w:val="16"/>
        <w:u w:val="single" w:color="auto"/>
        <w:color w:val="231F20"/>
        <w:spacing w:val="-3"/>
      </w:rPr>
      <w:t>17,</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6"/>
      </w:rPr>
      <w:t xml:space="preserve"> </w:t>
    </w:r>
    <w:r>
      <w:rPr>
        <w:sz w:val="16"/>
        <w:szCs w:val="16"/>
        <w:u w:val="single" w:color="auto"/>
        <w:color w:val="231F20"/>
        <w:spacing w:val="-3"/>
      </w:rPr>
      <w:t>21</w:t>
    </w:r>
    <w:r>
      <w:rPr>
        <w:sz w:val="16"/>
        <w:szCs w:val="16"/>
        <w:color w:val="231F20"/>
        <w:spacing w:val="-3"/>
      </w:rPr>
      <w:t xml:space="preserve">                                      </w:t>
    </w:r>
    <w:r>
      <w:rPr>
        <w:rFonts w:ascii="Microsoft YaHei" w:hAnsi="Microsoft YaHei" w:eastAsia="Microsoft YaHei" w:cs="Microsoft YaHei"/>
        <w:sz w:val="21"/>
        <w:szCs w:val="21"/>
        <w:color w:val="231F20"/>
        <w:spacing w:val="-3"/>
        <w:position w:val="-1"/>
      </w:rPr>
      <w:t>·91</w:t>
    </w:r>
    <w:r>
      <w:rPr>
        <w:rFonts w:ascii="Microsoft YaHei" w:hAnsi="Microsoft YaHei" w:eastAsia="Microsoft YaHei" w:cs="Microsoft YaHei"/>
        <w:sz w:val="21"/>
        <w:szCs w:val="21"/>
        <w:color w:val="231F20"/>
        <w:spacing w:val="25"/>
        <w:w w:val="101"/>
        <w:position w:val="-1"/>
      </w:rPr>
      <w:t xml:space="preserve"> </w:t>
    </w:r>
    <w:r>
      <w:rPr>
        <w:rFonts w:ascii="Microsoft YaHei" w:hAnsi="Microsoft YaHei" w:eastAsia="Microsoft YaHei" w:cs="Microsoft YaHei"/>
        <w:sz w:val="21"/>
        <w:szCs w:val="21"/>
        <w:color w:val="231F20"/>
        <w:spacing w:val="-3"/>
        <w:position w:val="-1"/>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6"/>
      <w:spacing w:before="41" w:line="181" w:lineRule="auto"/>
      <w:rPr>
        <w:sz w:val="16"/>
        <w:szCs w:val="16"/>
      </w:rPr>
    </w:pPr>
    <w:r>
      <w:pict>
        <v:shape id="WordPictureWatermark14" style="position:absolute;margin-left:20.4pt;margin-top:831.5pt;mso-position-vertical-relative:page;mso-position-horizontal-relative:page;width:475.5pt;height:9.7pt;z-index:251661312;" o:allowincell="f" filled="false" stroked="false" type="#_x0000_t75">
          <v:imagedata o:title="" r:id="rId1"/>
        </v:shape>
      </w:pict>
    </w:r>
    <w:r>
      <w:rPr>
        <w:rFonts w:ascii="Microsoft YaHei" w:hAnsi="Microsoft YaHei" w:eastAsia="Microsoft YaHei" w:cs="Microsoft YaHei"/>
        <w:sz w:val="21"/>
        <w:szCs w:val="21"/>
        <w:color w:val="231F20"/>
        <w:spacing w:val="-2"/>
        <w:position w:val="-1"/>
      </w:rPr>
      <w:t>·92</w:t>
    </w:r>
    <w:r>
      <w:rPr>
        <w:rFonts w:ascii="Microsoft YaHei" w:hAnsi="Microsoft YaHei" w:eastAsia="Microsoft YaHei" w:cs="Microsoft YaHei"/>
        <w:sz w:val="21"/>
        <w:szCs w:val="21"/>
        <w:color w:val="231F20"/>
        <w:spacing w:val="26"/>
        <w:position w:val="-1"/>
      </w:rPr>
      <w:t xml:space="preserve"> </w:t>
    </w:r>
    <w:r>
      <w:rPr>
        <w:rFonts w:ascii="Microsoft YaHei" w:hAnsi="Microsoft YaHei" w:eastAsia="Microsoft YaHei" w:cs="Microsoft YaHei"/>
        <w:sz w:val="21"/>
        <w:szCs w:val="21"/>
        <w:color w:val="231F20"/>
        <w:spacing w:val="-2"/>
        <w:position w:val="-1"/>
      </w:rPr>
      <w:t>·                                             </w:t>
    </w:r>
    <w:r>
      <w:rPr>
        <w:sz w:val="16"/>
        <w:szCs w:val="16"/>
        <w:u w:val="single" w:color="auto"/>
        <w:color w:val="231F20"/>
        <w:spacing w:val="-61"/>
      </w:rPr>
      <w:t xml:space="preserve"> </w:t>
    </w:r>
    <w:r>
      <w:rPr>
        <w:sz w:val="16"/>
        <w:szCs w:val="16"/>
        <w:u w:val="single" w:color="auto"/>
        <w:color w:val="231F20"/>
        <w:spacing w:val="-2"/>
      </w:rPr>
      <w:t>中国现代药物应用2023年11月第17卷第21期  Chin</w:t>
    </w:r>
    <w:r>
      <w:rPr>
        <w:sz w:val="16"/>
        <w:szCs w:val="16"/>
        <w:u w:val="single" w:color="auto"/>
        <w:color w:val="231F20"/>
        <w:spacing w:val="-40"/>
      </w:rPr>
      <w:t xml:space="preserve"> </w:t>
    </w:r>
    <w:r>
      <w:rPr>
        <w:sz w:val="16"/>
        <w:szCs w:val="16"/>
        <w:u w:val="single" w:color="auto"/>
        <w:color w:val="231F20"/>
        <w:spacing w:val="-2"/>
      </w:rPr>
      <w:t>J</w:t>
    </w:r>
    <w:r>
      <w:rPr>
        <w:sz w:val="16"/>
        <w:szCs w:val="16"/>
        <w:u w:val="single" w:color="auto"/>
        <w:color w:val="231F20"/>
        <w:spacing w:val="-34"/>
      </w:rPr>
      <w:t xml:space="preserve"> </w:t>
    </w:r>
    <w:r>
      <w:rPr>
        <w:sz w:val="16"/>
        <w:szCs w:val="16"/>
        <w:u w:val="single" w:color="auto"/>
        <w:color w:val="231F20"/>
        <w:spacing w:val="-2"/>
      </w:rPr>
      <w:t>Mod</w:t>
    </w:r>
    <w:r>
      <w:rPr>
        <w:sz w:val="16"/>
        <w:szCs w:val="16"/>
        <w:u w:val="single" w:color="auto"/>
        <w:color w:val="231F20"/>
        <w:spacing w:val="-34"/>
      </w:rPr>
      <w:t xml:space="preserve"> </w:t>
    </w:r>
    <w:r>
      <w:rPr>
        <w:sz w:val="16"/>
        <w:szCs w:val="16"/>
        <w:u w:val="single" w:color="auto"/>
        <w:color w:val="231F20"/>
        <w:spacing w:val="-2"/>
      </w:rPr>
      <w:t>Drug</w:t>
    </w:r>
    <w:r>
      <w:rPr>
        <w:sz w:val="16"/>
        <w:szCs w:val="16"/>
        <w:u w:val="single" w:color="auto"/>
        <w:color w:val="231F20"/>
        <w:spacing w:val="-37"/>
      </w:rPr>
      <w:t xml:space="preserve"> </w:t>
    </w:r>
    <w:r>
      <w:rPr>
        <w:sz w:val="16"/>
        <w:szCs w:val="16"/>
        <w:u w:val="single" w:color="auto"/>
        <w:color w:val="231F20"/>
        <w:spacing w:val="-2"/>
      </w:rPr>
      <w:t>Ap</w:t>
    </w:r>
    <w:r>
      <w:rPr>
        <w:sz w:val="16"/>
        <w:szCs w:val="16"/>
        <w:u w:val="single" w:color="auto"/>
        <w:color w:val="231F20"/>
        <w:spacing w:val="-3"/>
      </w:rPr>
      <w:t>pl,</w:t>
    </w:r>
    <w:r>
      <w:rPr>
        <w:sz w:val="16"/>
        <w:szCs w:val="16"/>
        <w:u w:val="single" w:color="auto"/>
        <w:color w:val="231F20"/>
        <w:spacing w:val="-34"/>
      </w:rPr>
      <w:t xml:space="preserve"> </w:t>
    </w:r>
    <w:r>
      <w:rPr>
        <w:sz w:val="16"/>
        <w:szCs w:val="16"/>
        <w:u w:val="single" w:color="auto"/>
        <w:color w:val="231F20"/>
        <w:spacing w:val="-3"/>
      </w:rPr>
      <w:t>Nov</w:t>
    </w:r>
    <w:r>
      <w:rPr>
        <w:sz w:val="16"/>
        <w:szCs w:val="16"/>
        <w:u w:val="single" w:color="auto"/>
        <w:color w:val="231F20"/>
        <w:spacing w:val="-37"/>
      </w:rPr>
      <w:t xml:space="preserve"> </w:t>
    </w:r>
    <w:r>
      <w:rPr>
        <w:sz w:val="16"/>
        <w:szCs w:val="16"/>
        <w:u w:val="single" w:color="auto"/>
        <w:color w:val="231F20"/>
        <w:spacing w:val="-3"/>
      </w:rPr>
      <w:t>2023,</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17,</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7"/>
      </w:rPr>
      <w:t xml:space="preserve"> </w:t>
    </w:r>
    <w:r>
      <w:rPr>
        <w:sz w:val="16"/>
        <w:szCs w:val="16"/>
        <w:u w:val="single" w:color="auto"/>
        <w:color w:val="231F20"/>
        <w:spacing w:val="-3"/>
      </w:rPr>
      <w:t>21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0"/>
      <w:spacing w:before="41" w:line="181" w:lineRule="auto"/>
      <w:jc w:val="right"/>
      <w:rPr>
        <w:rFonts w:ascii="Microsoft YaHei" w:hAnsi="Microsoft YaHei" w:eastAsia="Microsoft YaHei" w:cs="Microsoft YaHei"/>
        <w:sz w:val="21"/>
        <w:szCs w:val="21"/>
      </w:rPr>
    </w:pPr>
    <w:r>
      <w:pict>
        <v:shape id="WordPictureWatermark16" style="position:absolute;margin-left:20.4pt;margin-top:831.5pt;mso-position-vertical-relative:page;mso-position-horizontal-relative:page;width:475.5pt;height:9.7pt;z-index:251662336;" o:allowincell="f" filled="false" stroked="false" type="#_x0000_t75">
          <v:imagedata o:title="" r:id="rId1"/>
        </v:shape>
      </w:pict>
    </w:r>
    <w:r>
      <w:rPr>
        <w:sz w:val="16"/>
        <w:szCs w:val="16"/>
        <w:u w:val="single" w:color="auto"/>
        <w:color w:val="231F20"/>
        <w:spacing w:val="-3"/>
      </w:rPr>
      <w:t>中国现代药物应用2023年11月第17卷第21期  Chin</w:t>
    </w:r>
    <w:r>
      <w:rPr>
        <w:sz w:val="16"/>
        <w:szCs w:val="16"/>
        <w:u w:val="single" w:color="auto"/>
        <w:color w:val="231F20"/>
        <w:spacing w:val="-31"/>
      </w:rPr>
      <w:t xml:space="preserve"> </w:t>
    </w:r>
    <w:r>
      <w:rPr>
        <w:sz w:val="16"/>
        <w:szCs w:val="16"/>
        <w:u w:val="single" w:color="auto"/>
        <w:color w:val="231F20"/>
        <w:spacing w:val="-3"/>
      </w:rPr>
      <w:t>J</w:t>
    </w:r>
    <w:r>
      <w:rPr>
        <w:sz w:val="16"/>
        <w:szCs w:val="16"/>
        <w:u w:val="single" w:color="auto"/>
        <w:color w:val="231F20"/>
        <w:spacing w:val="-33"/>
      </w:rPr>
      <w:t xml:space="preserve"> </w:t>
    </w:r>
    <w:r>
      <w:rPr>
        <w:sz w:val="16"/>
        <w:szCs w:val="16"/>
        <w:u w:val="single" w:color="auto"/>
        <w:color w:val="231F20"/>
        <w:spacing w:val="-3"/>
      </w:rPr>
      <w:t>Mod</w:t>
    </w:r>
    <w:r>
      <w:rPr>
        <w:sz w:val="16"/>
        <w:szCs w:val="16"/>
        <w:u w:val="single" w:color="auto"/>
        <w:color w:val="231F20"/>
        <w:spacing w:val="-35"/>
      </w:rPr>
      <w:t xml:space="preserve"> </w:t>
    </w:r>
    <w:r>
      <w:rPr>
        <w:sz w:val="16"/>
        <w:szCs w:val="16"/>
        <w:u w:val="single" w:color="auto"/>
        <w:color w:val="231F20"/>
        <w:spacing w:val="-3"/>
      </w:rPr>
      <w:t>Drug</w:t>
    </w:r>
    <w:r>
      <w:rPr>
        <w:sz w:val="16"/>
        <w:szCs w:val="16"/>
        <w:u w:val="single" w:color="auto"/>
        <w:color w:val="231F20"/>
        <w:spacing w:val="-37"/>
      </w:rPr>
      <w:t xml:space="preserve"> </w:t>
    </w:r>
    <w:r>
      <w:rPr>
        <w:sz w:val="16"/>
        <w:szCs w:val="16"/>
        <w:u w:val="single" w:color="auto"/>
        <w:color w:val="231F20"/>
        <w:spacing w:val="-3"/>
      </w:rPr>
      <w:t>Appl,</w:t>
    </w:r>
    <w:r>
      <w:rPr>
        <w:sz w:val="16"/>
        <w:szCs w:val="16"/>
        <w:u w:val="single" w:color="auto"/>
        <w:color w:val="231F20"/>
        <w:spacing w:val="-34"/>
      </w:rPr>
      <w:t xml:space="preserve"> </w:t>
    </w:r>
    <w:r>
      <w:rPr>
        <w:sz w:val="16"/>
        <w:szCs w:val="16"/>
        <w:u w:val="single" w:color="auto"/>
        <w:color w:val="231F20"/>
        <w:spacing w:val="-3"/>
      </w:rPr>
      <w:t>Nov</w:t>
    </w:r>
    <w:r>
      <w:rPr>
        <w:sz w:val="16"/>
        <w:szCs w:val="16"/>
        <w:u w:val="single" w:color="auto"/>
        <w:color w:val="231F20"/>
        <w:spacing w:val="-37"/>
      </w:rPr>
      <w:t xml:space="preserve"> </w:t>
    </w:r>
    <w:r>
      <w:rPr>
        <w:sz w:val="16"/>
        <w:szCs w:val="16"/>
        <w:u w:val="single" w:color="auto"/>
        <w:color w:val="231F20"/>
        <w:spacing w:val="-3"/>
      </w:rPr>
      <w:t>2023,</w:t>
    </w:r>
    <w:r>
      <w:rPr>
        <w:sz w:val="16"/>
        <w:szCs w:val="16"/>
        <w:u w:val="single" w:color="auto"/>
        <w:color w:val="231F20"/>
        <w:spacing w:val="-36"/>
      </w:rPr>
      <w:t xml:space="preserve"> </w:t>
    </w:r>
    <w:r>
      <w:rPr>
        <w:sz w:val="16"/>
        <w:szCs w:val="16"/>
        <w:u w:val="single" w:color="auto"/>
        <w:color w:val="231F20"/>
        <w:spacing w:val="-3"/>
      </w:rPr>
      <w:t>Vol.</w:t>
    </w:r>
    <w:r>
      <w:rPr>
        <w:sz w:val="16"/>
        <w:szCs w:val="16"/>
        <w:u w:val="single" w:color="auto"/>
        <w:color w:val="231F20"/>
        <w:spacing w:val="-24"/>
      </w:rPr>
      <w:t xml:space="preserve"> </w:t>
    </w:r>
    <w:r>
      <w:rPr>
        <w:sz w:val="16"/>
        <w:szCs w:val="16"/>
        <w:u w:val="single" w:color="auto"/>
        <w:color w:val="231F20"/>
        <w:spacing w:val="-3"/>
      </w:rPr>
      <w:t>17,</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6"/>
      </w:rPr>
      <w:t xml:space="preserve"> </w:t>
    </w:r>
    <w:r>
      <w:rPr>
        <w:sz w:val="16"/>
        <w:szCs w:val="16"/>
        <w:u w:val="single" w:color="auto"/>
        <w:color w:val="231F20"/>
        <w:spacing w:val="-3"/>
      </w:rPr>
      <w:t>21</w:t>
    </w:r>
    <w:r>
      <w:rPr>
        <w:sz w:val="16"/>
        <w:szCs w:val="16"/>
        <w:color w:val="231F20"/>
        <w:spacing w:val="-3"/>
      </w:rPr>
      <w:t xml:space="preserve">                                      </w:t>
    </w:r>
    <w:r>
      <w:rPr>
        <w:rFonts w:ascii="Microsoft YaHei" w:hAnsi="Microsoft YaHei" w:eastAsia="Microsoft YaHei" w:cs="Microsoft YaHei"/>
        <w:sz w:val="21"/>
        <w:szCs w:val="21"/>
        <w:color w:val="231F20"/>
        <w:spacing w:val="-3"/>
        <w:position w:val="-1"/>
      </w:rPr>
      <w:t>·93</w:t>
    </w:r>
    <w:r>
      <w:rPr>
        <w:rFonts w:ascii="Microsoft YaHei" w:hAnsi="Microsoft YaHei" w:eastAsia="Microsoft YaHei" w:cs="Microsoft YaHei"/>
        <w:sz w:val="21"/>
        <w:szCs w:val="21"/>
        <w:color w:val="231F20"/>
        <w:spacing w:val="25"/>
        <w:w w:val="101"/>
        <w:position w:val="-1"/>
      </w:rPr>
      <w:t xml:space="preserve"> </w:t>
    </w:r>
    <w:r>
      <w:rPr>
        <w:rFonts w:ascii="Microsoft YaHei" w:hAnsi="Microsoft YaHei" w:eastAsia="Microsoft YaHei" w:cs="Microsoft YaHei"/>
        <w:sz w:val="21"/>
        <w:szCs w:val="21"/>
        <w:color w:val="231F20"/>
        <w:spacing w:val="-3"/>
        <w:position w:val="-1"/>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header" Target="header4.xml"/><Relationship Id="rId5" Type="http://schemas.openxmlformats.org/officeDocument/2006/relationships/footer" Target="footer2.xml"/><Relationship Id="rId4" Type="http://schemas.openxmlformats.org/officeDocument/2006/relationships/header" Target="header3.xml"/><Relationship Id="rId3" Type="http://schemas.openxmlformats.org/officeDocument/2006/relationships/footer" Target="footer1.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2023-12-20T09:51:28Z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2025-10-28T21:31:24</vt:filetime>
  </property>
</Properties>
</file>