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54" w:lineRule="auto"/>
        <w:rPr>
          <w:rFonts w:ascii="Arial"/>
          <w:sz w:val="21"/>
        </w:rPr>
      </w:pPr>
      <w:r/>
    </w:p>
    <w:p>
      <w:pPr>
        <w:pStyle w:val="BodyText"/>
        <w:ind w:left="489"/>
        <w:spacing w:before="114" w:line="494" w:lineRule="exact"/>
        <w:rPr>
          <w:sz w:val="35"/>
          <w:szCs w:val="35"/>
        </w:rPr>
      </w:pPr>
      <w:r>
        <w:rPr>
          <w:sz w:val="35"/>
          <w:szCs w:val="35"/>
          <w:b/>
          <w:bCs/>
          <w:color w:val="231F20"/>
          <w:spacing w:val="5"/>
          <w:position w:val="2"/>
        </w:rPr>
        <w:t>西咪替丁联合左氧氟沙星治疗急性胃肠炎患者的效果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ind w:left="477"/>
        <w:spacing w:before="55" w:line="232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  <w:position w:val="1"/>
        </w:rPr>
        <w:t>李宽红</w:t>
      </w:r>
    </w:p>
    <w:p>
      <w:pPr>
        <w:ind w:left="480"/>
        <w:spacing w:before="36" w:line="224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0"/>
          <w:position w:val="1"/>
        </w:rPr>
        <w:t>061500河北省南皮县人民医院消化科，河北</w:t>
      </w:r>
      <w:r>
        <w:rPr>
          <w:rFonts w:ascii="SimHei" w:hAnsi="SimHei" w:eastAsia="SimHei" w:cs="SimHei"/>
          <w:sz w:val="17"/>
          <w:szCs w:val="17"/>
          <w:color w:val="231F20"/>
          <w:spacing w:val="-22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0"/>
          <w:position w:val="1"/>
        </w:rPr>
        <w:t>沧州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014"/>
        <w:spacing w:before="55" w:line="233" w:lineRule="exact"/>
        <w:rPr/>
      </w:pPr>
      <w:r>
        <w:rPr>
          <w:color w:val="231F20"/>
          <w:spacing w:val="-10"/>
          <w:position w:val="1"/>
        </w:rPr>
        <w:t>doi:10.3969/j.issn.1007-614x.2021.12.020</w:t>
      </w:r>
    </w:p>
    <w:p>
      <w:pPr>
        <w:pStyle w:val="BodyText"/>
        <w:ind w:left="1014" w:right="546"/>
        <w:spacing w:before="43" w:line="286" w:lineRule="auto"/>
        <w:jc w:val="both"/>
        <w:rPr>
          <w:rFonts w:ascii="KaiTi" w:hAnsi="KaiTi" w:eastAsia="KaiTi" w:cs="KaiTi"/>
        </w:rPr>
      </w:pPr>
      <w:r>
        <w:rPr>
          <w:rFonts w:ascii="SimHei" w:hAnsi="SimHei" w:eastAsia="SimHei" w:cs="SimHei"/>
          <w:color w:val="231F20"/>
          <w:spacing w:val="15"/>
        </w:rPr>
        <w:t>摘</w:t>
      </w:r>
      <w:r>
        <w:rPr>
          <w:rFonts w:ascii="SimHei" w:hAnsi="SimHei" w:eastAsia="SimHei" w:cs="SimHei"/>
          <w:color w:val="231F20"/>
          <w:spacing w:val="15"/>
        </w:rPr>
        <w:t xml:space="preserve">  </w:t>
      </w:r>
      <w:r>
        <w:rPr>
          <w:rFonts w:ascii="SimHei" w:hAnsi="SimHei" w:eastAsia="SimHei" w:cs="SimHei"/>
          <w:color w:val="231F20"/>
          <w:spacing w:val="15"/>
        </w:rPr>
        <w:t>要</w:t>
      </w:r>
      <w:r>
        <w:rPr>
          <w:rFonts w:ascii="SimHei" w:hAnsi="SimHei" w:eastAsia="SimHei" w:cs="SimHei"/>
          <w:color w:val="231F20"/>
          <w:spacing w:val="15"/>
        </w:rPr>
        <w:t xml:space="preserve">  </w:t>
      </w:r>
      <w:r>
        <w:rPr>
          <w:rFonts w:ascii="KaiTi" w:hAnsi="KaiTi" w:eastAsia="KaiTi" w:cs="KaiTi"/>
          <w:color w:val="231F20"/>
          <w:spacing w:val="15"/>
        </w:rPr>
        <w:t>目的：分析在急性胃肠炎患者治疗过程中，采取西咪替丁联合左氧氟沙星进行治疗的效果。方法：选取</w:t>
      </w:r>
      <w:r>
        <w:rPr>
          <w:rFonts w:ascii="KaiTi" w:hAnsi="KaiTi" w:eastAsia="KaiTi" w:cs="KaiTi"/>
          <w:color w:val="231F20"/>
          <w:spacing w:val="7"/>
        </w:rPr>
        <w:t xml:space="preserve"> </w:t>
      </w:r>
      <w:r>
        <w:rPr>
          <w:rFonts w:ascii="KaiTi" w:hAnsi="KaiTi" w:eastAsia="KaiTi" w:cs="KaiTi"/>
          <w:color w:val="231F20"/>
          <w:spacing w:val="10"/>
        </w:rPr>
        <w:t>2013年</w:t>
      </w:r>
      <w:r>
        <w:rPr>
          <w:rFonts w:ascii="KaiTi" w:hAnsi="KaiTi" w:eastAsia="KaiTi" w:cs="KaiTi"/>
          <w:color w:val="231F20"/>
          <w:spacing w:val="-45"/>
        </w:rPr>
        <w:t xml:space="preserve"> </w:t>
      </w:r>
      <w:r>
        <w:rPr>
          <w:rFonts w:ascii="KaiTi" w:hAnsi="KaiTi" w:eastAsia="KaiTi" w:cs="KaiTi"/>
          <w:color w:val="231F20"/>
          <w:spacing w:val="10"/>
        </w:rPr>
        <w:t>10</w:t>
      </w:r>
      <w:r>
        <w:rPr>
          <w:rFonts w:ascii="KaiTi" w:hAnsi="KaiTi" w:eastAsia="KaiTi" w:cs="KaiTi"/>
          <w:color w:val="231F20"/>
          <w:spacing w:val="-39"/>
        </w:rPr>
        <w:t xml:space="preserve"> </w:t>
      </w:r>
      <w:r>
        <w:rPr>
          <w:rFonts w:ascii="KaiTi" w:hAnsi="KaiTi" w:eastAsia="KaiTi" w:cs="KaiTi"/>
          <w:color w:val="231F20"/>
          <w:spacing w:val="10"/>
        </w:rPr>
        <w:t>月-2019年11</w:t>
      </w:r>
      <w:r>
        <w:rPr>
          <w:rFonts w:ascii="KaiTi" w:hAnsi="KaiTi" w:eastAsia="KaiTi" w:cs="KaiTi"/>
          <w:color w:val="231F20"/>
          <w:spacing w:val="-39"/>
        </w:rPr>
        <w:t xml:space="preserve"> </w:t>
      </w:r>
      <w:r>
        <w:rPr>
          <w:rFonts w:ascii="KaiTi" w:hAnsi="KaiTi" w:eastAsia="KaiTi" w:cs="KaiTi"/>
          <w:color w:val="231F20"/>
          <w:spacing w:val="10"/>
        </w:rPr>
        <w:t>月20例急性胃肠炎患者为研究对象，全部采取西咪替丁联</w:t>
      </w:r>
      <w:r>
        <w:rPr>
          <w:rFonts w:ascii="KaiTi" w:hAnsi="KaiTi" w:eastAsia="KaiTi" w:cs="KaiTi"/>
          <w:color w:val="231F20"/>
          <w:spacing w:val="9"/>
        </w:rPr>
        <w:t>合左氧氟沙星进行治疗。统计分析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9"/>
        </w:rPr>
        <w:t>患者治疗效果，临床症状评分(腹泻、腹痛、呕吐)，血清炎症因子水平(</w:t>
      </w:r>
      <w:r>
        <w:rPr>
          <w:rFonts w:ascii="KaiTi" w:hAnsi="KaiTi" w:eastAsia="KaiTi" w:cs="KaiTi"/>
          <w:color w:val="231F20"/>
        </w:rPr>
        <w:t>IL</w:t>
      </w:r>
      <w:r>
        <w:rPr>
          <w:rFonts w:ascii="KaiTi" w:hAnsi="KaiTi" w:eastAsia="KaiTi" w:cs="KaiTi"/>
          <w:color w:val="231F20"/>
          <w:spacing w:val="9"/>
        </w:rPr>
        <w:t>-6、</w:t>
      </w:r>
      <w:r>
        <w:rPr>
          <w:rFonts w:ascii="KaiTi" w:hAnsi="KaiTi" w:eastAsia="KaiTi" w:cs="KaiTi"/>
          <w:color w:val="231F20"/>
        </w:rPr>
        <w:t>IL</w:t>
      </w:r>
      <w:r>
        <w:rPr>
          <w:rFonts w:ascii="KaiTi" w:hAnsi="KaiTi" w:eastAsia="KaiTi" w:cs="KaiTi"/>
          <w:color w:val="231F20"/>
          <w:spacing w:val="9"/>
        </w:rPr>
        <w:t>-8、</w:t>
      </w:r>
      <w:r>
        <w:rPr>
          <w:rFonts w:ascii="KaiTi" w:hAnsi="KaiTi" w:eastAsia="KaiTi" w:cs="KaiTi"/>
          <w:color w:val="231F20"/>
        </w:rPr>
        <w:t>PCT</w:t>
      </w:r>
      <w:r>
        <w:rPr>
          <w:rFonts w:ascii="KaiTi" w:hAnsi="KaiTi" w:eastAsia="KaiTi" w:cs="KaiTi"/>
          <w:color w:val="231F20"/>
          <w:spacing w:val="9"/>
        </w:rPr>
        <w:t>)。结果</w:t>
      </w:r>
      <w:r>
        <w:rPr>
          <w:rFonts w:ascii="KaiTi" w:hAnsi="KaiTi" w:eastAsia="KaiTi" w:cs="KaiTi"/>
          <w:color w:val="231F20"/>
          <w:spacing w:val="-36"/>
        </w:rPr>
        <w:t xml:space="preserve"> </w:t>
      </w:r>
      <w:r>
        <w:rPr>
          <w:rFonts w:ascii="KaiTi" w:hAnsi="KaiTi" w:eastAsia="KaiTi" w:cs="KaiTi"/>
          <w:color w:val="231F20"/>
          <w:spacing w:val="9"/>
        </w:rPr>
        <w:t>：20例急性肠胃炎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1"/>
        </w:rPr>
        <w:t>患者经过治疗后，痊愈</w:t>
      </w:r>
      <w:r>
        <w:rPr>
          <w:rFonts w:ascii="KaiTi" w:hAnsi="KaiTi" w:eastAsia="KaiTi" w:cs="KaiTi"/>
          <w:color w:val="231F20"/>
          <w:spacing w:val="-45"/>
        </w:rPr>
        <w:t xml:space="preserve"> </w:t>
      </w:r>
      <w:r>
        <w:rPr>
          <w:rFonts w:ascii="KaiTi" w:hAnsi="KaiTi" w:eastAsia="KaiTi" w:cs="KaiTi"/>
          <w:color w:val="231F20"/>
          <w:spacing w:val="11"/>
        </w:rPr>
        <w:t>12例，好转7例，无效</w:t>
      </w:r>
      <w:r>
        <w:rPr>
          <w:rFonts w:ascii="KaiTi" w:hAnsi="KaiTi" w:eastAsia="KaiTi" w:cs="KaiTi"/>
          <w:color w:val="231F20"/>
          <w:spacing w:val="-44"/>
        </w:rPr>
        <w:t xml:space="preserve"> </w:t>
      </w:r>
      <w:r>
        <w:rPr>
          <w:rFonts w:ascii="KaiTi" w:hAnsi="KaiTi" w:eastAsia="KaiTi" w:cs="KaiTi"/>
          <w:color w:val="231F20"/>
          <w:spacing w:val="11"/>
        </w:rPr>
        <w:t>1例，治疗总有效率达95.00%。经过治疗后，20</w:t>
      </w:r>
      <w:r>
        <w:rPr>
          <w:rFonts w:ascii="KaiTi" w:hAnsi="KaiTi" w:eastAsia="KaiTi" w:cs="KaiTi"/>
          <w:color w:val="231F20"/>
          <w:spacing w:val="10"/>
        </w:rPr>
        <w:t>例患者的临床症状(腹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1"/>
        </w:rPr>
        <w:t>泻、腹痛、呕吐)评分较治疗之前降低，差异有统计学意义(</w:t>
      </w:r>
      <w:r>
        <w:rPr>
          <w:sz w:val="18"/>
          <w:szCs w:val="18"/>
          <w:i/>
          <w:iCs/>
          <w:color w:val="231F20"/>
          <w:spacing w:val="11"/>
        </w:rPr>
        <w:t>P</w:t>
      </w:r>
      <w:r>
        <w:rPr>
          <w:rFonts w:ascii="KaiTi" w:hAnsi="KaiTi" w:eastAsia="KaiTi" w:cs="KaiTi"/>
          <w:color w:val="231F20"/>
          <w:spacing w:val="11"/>
        </w:rPr>
        <w:t>＜0.05)。经过治疗后，20例患者的</w:t>
      </w:r>
      <w:r>
        <w:rPr>
          <w:rFonts w:ascii="KaiTi" w:hAnsi="KaiTi" w:eastAsia="KaiTi" w:cs="KaiTi"/>
          <w:color w:val="231F20"/>
          <w:spacing w:val="10"/>
        </w:rPr>
        <w:t>血清炎症因子水平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7"/>
        </w:rPr>
        <w:t>(</w:t>
      </w:r>
      <w:r>
        <w:rPr>
          <w:rFonts w:ascii="KaiTi" w:hAnsi="KaiTi" w:eastAsia="KaiTi" w:cs="KaiTi"/>
          <w:color w:val="231F20"/>
        </w:rPr>
        <w:t>IL</w:t>
      </w:r>
      <w:r>
        <w:rPr>
          <w:rFonts w:ascii="KaiTi" w:hAnsi="KaiTi" w:eastAsia="KaiTi" w:cs="KaiTi"/>
          <w:color w:val="231F20"/>
          <w:spacing w:val="7"/>
        </w:rPr>
        <w:t>-6、</w:t>
      </w:r>
      <w:r>
        <w:rPr>
          <w:rFonts w:ascii="KaiTi" w:hAnsi="KaiTi" w:eastAsia="KaiTi" w:cs="KaiTi"/>
          <w:color w:val="231F20"/>
        </w:rPr>
        <w:t>IL</w:t>
      </w:r>
      <w:r>
        <w:rPr>
          <w:rFonts w:ascii="KaiTi" w:hAnsi="KaiTi" w:eastAsia="KaiTi" w:cs="KaiTi"/>
          <w:color w:val="231F20"/>
          <w:spacing w:val="7"/>
        </w:rPr>
        <w:t>-8、</w:t>
      </w:r>
      <w:r>
        <w:rPr>
          <w:rFonts w:ascii="KaiTi" w:hAnsi="KaiTi" w:eastAsia="KaiTi" w:cs="KaiTi"/>
          <w:color w:val="231F20"/>
        </w:rPr>
        <w:t>PCT</w:t>
      </w:r>
      <w:r>
        <w:rPr>
          <w:rFonts w:ascii="KaiTi" w:hAnsi="KaiTi" w:eastAsia="KaiTi" w:cs="KaiTi"/>
          <w:color w:val="231F20"/>
          <w:spacing w:val="7"/>
        </w:rPr>
        <w:t>)较治疗前明显下降，差异具有统计学意义(</w:t>
      </w:r>
      <w:r>
        <w:rPr>
          <w:sz w:val="18"/>
          <w:szCs w:val="18"/>
          <w:i/>
          <w:iCs/>
          <w:color w:val="231F20"/>
          <w:spacing w:val="7"/>
        </w:rPr>
        <w:t>P</w:t>
      </w:r>
      <w:r>
        <w:rPr>
          <w:rFonts w:ascii="KaiTi" w:hAnsi="KaiTi" w:eastAsia="KaiTi" w:cs="KaiTi"/>
          <w:color w:val="231F20"/>
          <w:spacing w:val="7"/>
        </w:rPr>
        <w:t>＜0.05)。结论</w:t>
      </w:r>
      <w:r>
        <w:rPr>
          <w:rFonts w:ascii="KaiTi" w:hAnsi="KaiTi" w:eastAsia="KaiTi" w:cs="KaiTi"/>
          <w:color w:val="231F20"/>
          <w:spacing w:val="-36"/>
        </w:rPr>
        <w:t xml:space="preserve"> </w:t>
      </w:r>
      <w:r>
        <w:rPr>
          <w:rFonts w:ascii="KaiTi" w:hAnsi="KaiTi" w:eastAsia="KaiTi" w:cs="KaiTi"/>
          <w:color w:val="231F20"/>
          <w:spacing w:val="7"/>
        </w:rPr>
        <w:t>：采取西咪替丁联合左氧氟沙星对急性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8"/>
        </w:rPr>
        <w:t>肠胃炎进行治疗效果理想，能够有效缓解患者临床症状，改善血清炎症因子水平，具有良好的临床应用价值。</w:t>
      </w:r>
    </w:p>
    <w:p>
      <w:pPr>
        <w:ind w:left="1015"/>
        <w:spacing w:line="231" w:lineRule="exact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  <w:position w:val="1"/>
        </w:rPr>
        <w:t>关键词</w:t>
      </w:r>
      <w:r>
        <w:rPr>
          <w:rFonts w:ascii="SimHei" w:hAnsi="SimHei" w:eastAsia="SimHei" w:cs="SimHei"/>
          <w:sz w:val="17"/>
          <w:szCs w:val="17"/>
          <w:color w:val="231F20"/>
          <w:spacing w:val="7"/>
          <w:position w:val="1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7"/>
          <w:position w:val="1"/>
        </w:rPr>
        <w:t>西咪替丁；左氧氟沙星；急性肠胃炎</w:t>
      </w:r>
    </w:p>
    <w:p>
      <w:pPr>
        <w:pStyle w:val="BodyText"/>
        <w:ind w:left="1012"/>
        <w:spacing w:before="71" w:line="204" w:lineRule="auto"/>
        <w:rPr/>
      </w:pPr>
      <w:r>
        <w:rPr>
          <w:b/>
          <w:bCs/>
          <w:color w:val="231F20"/>
          <w:spacing w:val="-7"/>
        </w:rPr>
        <w:t>Effect</w:t>
      </w:r>
      <w:r>
        <w:rPr>
          <w:color w:val="231F20"/>
          <w:spacing w:val="-36"/>
        </w:rPr>
        <w:t xml:space="preserve"> </w:t>
      </w:r>
      <w:r>
        <w:rPr>
          <w:b/>
          <w:bCs/>
          <w:color w:val="231F20"/>
          <w:spacing w:val="-7"/>
        </w:rPr>
        <w:t>of</w:t>
      </w:r>
      <w:r>
        <w:rPr>
          <w:color w:val="231F20"/>
          <w:spacing w:val="-47"/>
        </w:rPr>
        <w:t xml:space="preserve"> </w:t>
      </w:r>
      <w:r>
        <w:rPr>
          <w:b/>
          <w:bCs/>
          <w:color w:val="231F20"/>
          <w:spacing w:val="-7"/>
        </w:rPr>
        <w:t>cimetidine</w:t>
      </w:r>
      <w:r>
        <w:rPr>
          <w:color w:val="231F20"/>
          <w:spacing w:val="-36"/>
        </w:rPr>
        <w:t xml:space="preserve"> </w:t>
      </w:r>
      <w:r>
        <w:rPr>
          <w:b/>
          <w:bCs/>
          <w:color w:val="231F20"/>
          <w:spacing w:val="-7"/>
        </w:rPr>
        <w:t>combined</w:t>
      </w:r>
      <w:r>
        <w:rPr>
          <w:color w:val="231F20"/>
          <w:spacing w:val="-36"/>
        </w:rPr>
        <w:t xml:space="preserve"> </w:t>
      </w:r>
      <w:r>
        <w:rPr>
          <w:b/>
          <w:bCs/>
          <w:color w:val="231F20"/>
          <w:spacing w:val="-7"/>
        </w:rPr>
        <w:t>with</w:t>
      </w:r>
      <w:r>
        <w:rPr>
          <w:color w:val="231F20"/>
          <w:spacing w:val="-38"/>
        </w:rPr>
        <w:t xml:space="preserve"> </w:t>
      </w:r>
      <w:r>
        <w:rPr>
          <w:b/>
          <w:bCs/>
          <w:color w:val="231F20"/>
          <w:spacing w:val="-7"/>
        </w:rPr>
        <w:t>l</w:t>
      </w:r>
      <w:r>
        <w:rPr>
          <w:b/>
          <w:bCs/>
          <w:color w:val="231F20"/>
          <w:spacing w:val="-8"/>
        </w:rPr>
        <w:t>evofloxacin</w:t>
      </w:r>
      <w:r>
        <w:rPr>
          <w:color w:val="231F20"/>
          <w:spacing w:val="-37"/>
        </w:rPr>
        <w:t xml:space="preserve"> </w:t>
      </w:r>
      <w:r>
        <w:rPr>
          <w:b/>
          <w:bCs/>
          <w:color w:val="231F20"/>
          <w:spacing w:val="-8"/>
        </w:rPr>
        <w:t>in</w:t>
      </w:r>
      <w:r>
        <w:rPr>
          <w:color w:val="231F20"/>
          <w:spacing w:val="-37"/>
        </w:rPr>
        <w:t xml:space="preserve"> </w:t>
      </w:r>
      <w:r>
        <w:rPr>
          <w:b/>
          <w:bCs/>
          <w:color w:val="231F20"/>
          <w:spacing w:val="-8"/>
        </w:rPr>
        <w:t>the</w:t>
      </w:r>
      <w:r>
        <w:rPr>
          <w:color w:val="231F20"/>
          <w:spacing w:val="-37"/>
        </w:rPr>
        <w:t xml:space="preserve"> </w:t>
      </w:r>
      <w:r>
        <w:rPr>
          <w:b/>
          <w:bCs/>
          <w:color w:val="231F20"/>
          <w:spacing w:val="-8"/>
        </w:rPr>
        <w:t>treatment</w:t>
      </w:r>
      <w:r>
        <w:rPr>
          <w:color w:val="231F20"/>
          <w:spacing w:val="-36"/>
        </w:rPr>
        <w:t xml:space="preserve"> </w:t>
      </w:r>
      <w:r>
        <w:rPr>
          <w:b/>
          <w:bCs/>
          <w:color w:val="231F20"/>
          <w:spacing w:val="-8"/>
        </w:rPr>
        <w:t>of</w:t>
      </w:r>
      <w:r>
        <w:rPr>
          <w:color w:val="231F20"/>
          <w:spacing w:val="-49"/>
        </w:rPr>
        <w:t xml:space="preserve"> </w:t>
      </w:r>
      <w:r>
        <w:rPr>
          <w:b/>
          <w:bCs/>
          <w:color w:val="231F20"/>
          <w:spacing w:val="-8"/>
        </w:rPr>
        <w:t>acute</w:t>
      </w:r>
      <w:r>
        <w:rPr>
          <w:color w:val="231F20"/>
          <w:spacing w:val="-35"/>
        </w:rPr>
        <w:t xml:space="preserve"> </w:t>
      </w:r>
      <w:r>
        <w:rPr>
          <w:b/>
          <w:bCs/>
          <w:color w:val="231F20"/>
          <w:spacing w:val="-8"/>
        </w:rPr>
        <w:t>gastroenteritis</w:t>
      </w:r>
    </w:p>
    <w:p>
      <w:pPr>
        <w:pStyle w:val="BodyText"/>
        <w:ind w:left="1022"/>
        <w:spacing w:before="52" w:line="239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</w:rPr>
        <w:t>Li</w:t>
      </w:r>
      <w:r>
        <w:rPr>
          <w:sz w:val="18"/>
          <w:szCs w:val="18"/>
          <w:color w:val="231F20"/>
          <w:spacing w:val="-45"/>
        </w:rPr>
        <w:t xml:space="preserve"> </w:t>
      </w:r>
      <w:r>
        <w:rPr>
          <w:sz w:val="18"/>
          <w:szCs w:val="18"/>
          <w:i/>
          <w:iCs/>
          <w:color w:val="231F20"/>
          <w:spacing w:val="-3"/>
        </w:rPr>
        <w:t>Kuanhong</w:t>
      </w:r>
    </w:p>
    <w:p>
      <w:pPr>
        <w:pStyle w:val="BodyText"/>
        <w:ind w:left="1023"/>
        <w:spacing w:before="35" w:line="239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11"/>
        </w:rPr>
        <w:t>Department</w:t>
      </w:r>
      <w:r>
        <w:rPr>
          <w:sz w:val="18"/>
          <w:szCs w:val="18"/>
          <w:color w:val="231F20"/>
          <w:spacing w:val="-52"/>
        </w:rPr>
        <w:t xml:space="preserve"> </w:t>
      </w:r>
      <w:r>
        <w:rPr>
          <w:sz w:val="18"/>
          <w:szCs w:val="18"/>
          <w:i/>
          <w:iCs/>
          <w:color w:val="231F20"/>
          <w:spacing w:val="-11"/>
        </w:rPr>
        <w:t>of</w:t>
      </w:r>
      <w:r>
        <w:rPr>
          <w:sz w:val="18"/>
          <w:szCs w:val="18"/>
          <w:color w:val="231F20"/>
          <w:spacing w:val="-58"/>
        </w:rPr>
        <w:t xml:space="preserve"> </w:t>
      </w:r>
      <w:r>
        <w:rPr>
          <w:sz w:val="18"/>
          <w:szCs w:val="18"/>
          <w:i/>
          <w:iCs/>
          <w:color w:val="231F20"/>
          <w:spacing w:val="-11"/>
        </w:rPr>
        <w:t>Gastroenterology,Nanpi</w:t>
      </w:r>
      <w:r>
        <w:rPr>
          <w:sz w:val="18"/>
          <w:szCs w:val="18"/>
          <w:color w:val="231F20"/>
          <w:spacing w:val="-60"/>
        </w:rPr>
        <w:t xml:space="preserve"> </w:t>
      </w:r>
      <w:r>
        <w:rPr>
          <w:sz w:val="18"/>
          <w:szCs w:val="18"/>
          <w:i/>
          <w:iCs/>
          <w:color w:val="231F20"/>
          <w:spacing w:val="-11"/>
        </w:rPr>
        <w:t>people's</w:t>
      </w:r>
      <w:r>
        <w:rPr>
          <w:sz w:val="18"/>
          <w:szCs w:val="18"/>
          <w:color w:val="231F20"/>
          <w:spacing w:val="-48"/>
        </w:rPr>
        <w:t xml:space="preserve"> </w:t>
      </w:r>
      <w:r>
        <w:rPr>
          <w:sz w:val="18"/>
          <w:szCs w:val="18"/>
          <w:i/>
          <w:iCs/>
          <w:color w:val="231F20"/>
          <w:spacing w:val="-11"/>
        </w:rPr>
        <w:t>Hospit</w:t>
      </w:r>
      <w:r>
        <w:rPr>
          <w:sz w:val="18"/>
          <w:szCs w:val="18"/>
          <w:i/>
          <w:iCs/>
          <w:color w:val="231F20"/>
          <w:spacing w:val="-12"/>
        </w:rPr>
        <w:t>al,Hebei</w:t>
      </w:r>
      <w:r>
        <w:rPr>
          <w:sz w:val="18"/>
          <w:szCs w:val="18"/>
          <w:color w:val="231F20"/>
          <w:spacing w:val="-49"/>
        </w:rPr>
        <w:t xml:space="preserve"> </w:t>
      </w:r>
      <w:r>
        <w:rPr>
          <w:sz w:val="18"/>
          <w:szCs w:val="18"/>
          <w:i/>
          <w:iCs/>
          <w:color w:val="231F20"/>
          <w:spacing w:val="-12"/>
        </w:rPr>
        <w:t>Cangzhou061500</w:t>
      </w:r>
    </w:p>
    <w:p>
      <w:pPr>
        <w:pStyle w:val="BodyText"/>
        <w:ind w:left="1010" w:right="536"/>
        <w:spacing w:before="57" w:line="285" w:lineRule="auto"/>
        <w:rPr/>
      </w:pPr>
      <w:r>
        <w:rPr>
          <w:b/>
          <w:bCs/>
          <w:color w:val="231F20"/>
          <w:spacing w:val="-12"/>
        </w:rPr>
        <w:t>Abstract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2"/>
        </w:rPr>
        <w:t>Objective:To analyze the effect o</w:t>
      </w:r>
      <w:r>
        <w:rPr>
          <w:color w:val="231F20"/>
          <w:spacing w:val="-13"/>
        </w:rPr>
        <w:t>f cimetidine combined with levofloxacin in the treatment of acute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3"/>
        </w:rPr>
        <w:t>gastroenteritis.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Methods:20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0"/>
        </w:rPr>
        <w:t>patients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0"/>
        </w:rPr>
        <w:t>acute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0"/>
        </w:rPr>
        <w:t>gastroenteritis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our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hospi</w:t>
      </w:r>
      <w:r>
        <w:rPr>
          <w:color w:val="231F20"/>
          <w:spacing w:val="-11"/>
        </w:rPr>
        <w:t>tal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1"/>
        </w:rPr>
        <w:t>from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October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2013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to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November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2019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1"/>
        </w:rPr>
        <w:t>were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selected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1"/>
        </w:rPr>
        <w:t>as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research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objects.All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patients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treated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cimetidine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combined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levofloxacin.The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treatment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effect,clinical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sympto</w:t>
      </w:r>
      <w:r>
        <w:rPr>
          <w:color w:val="231F20"/>
          <w:spacing w:val="-14"/>
        </w:rPr>
        <w:t>m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4"/>
        </w:rPr>
        <w:t>score(diarrhea,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abdominal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3"/>
        </w:rPr>
        <w:t>pain,vomiting)and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3"/>
        </w:rPr>
        <w:t>serum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3"/>
        </w:rPr>
        <w:t>inflammatory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3"/>
        </w:rPr>
        <w:t>factor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3"/>
        </w:rPr>
        <w:t>levels(IL-6,IL-8,PCT)were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3"/>
        </w:rPr>
        <w:t>statistically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3"/>
        </w:rPr>
        <w:t>analyzed.Results:Statistical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analysis of treatment effect:after treatment,12 cases were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</w:rPr>
        <w:t>cured,7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2"/>
        </w:rPr>
        <w:t>cases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2"/>
        </w:rPr>
        <w:t>were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</w:rPr>
        <w:t>improved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1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</w:rPr>
        <w:t>case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2"/>
        </w:rPr>
        <w:t>w</w:t>
      </w:r>
      <w:r>
        <w:rPr>
          <w:color w:val="231F20"/>
          <w:spacing w:val="-13"/>
        </w:rPr>
        <w:t>as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</w:rPr>
        <w:t>ineffective.The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total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effective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3"/>
        </w:rPr>
        <w:t>rate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95.00%.Comparison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clinical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symptom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scores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3"/>
        </w:rPr>
        <w:t>before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after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treatment:after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treatment,the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scores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symptoms(diarrhea,abdominal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pain,vomiting)of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20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patients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2"/>
        </w:rPr>
        <w:t>were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significantly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lower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than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those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bef</w:t>
      </w:r>
      <w:r>
        <w:rPr>
          <w:color w:val="231F20"/>
          <w:spacing w:val="-13"/>
        </w:rPr>
        <w:t>ore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treatment,and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difference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was statistically significant(</w:t>
      </w:r>
      <w:r>
        <w:rPr>
          <w:sz w:val="18"/>
          <w:szCs w:val="18"/>
          <w:i/>
          <w:iCs/>
          <w:color w:val="231F20"/>
          <w:spacing w:val="-13"/>
        </w:rPr>
        <w:t>P</w:t>
      </w:r>
      <w:r>
        <w:rPr>
          <w:color w:val="231F20"/>
          <w:spacing w:val="-13"/>
        </w:rPr>
        <w:t>＜0.05).Comparison of s</w:t>
      </w:r>
      <w:r>
        <w:rPr>
          <w:color w:val="231F20"/>
          <w:spacing w:val="-14"/>
        </w:rPr>
        <w:t>erum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4"/>
        </w:rPr>
        <w:t>inflammatory factors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</w:rPr>
        <w:t>before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4"/>
        </w:rPr>
        <w:t>after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4"/>
        </w:rPr>
        <w:t>treatment:after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4"/>
        </w:rPr>
        <w:t>treatment,the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levels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serum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inflamma</w:t>
      </w:r>
      <w:r>
        <w:rPr>
          <w:color w:val="231F20"/>
          <w:spacing w:val="-13"/>
        </w:rPr>
        <w:t>tory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factors(IL-6,IL-8,PCT)in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20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patients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acute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gastroenteritis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significantly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decreased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compared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those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before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treatment,and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difference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3"/>
        </w:rPr>
        <w:t>wa</w:t>
      </w:r>
      <w:r>
        <w:rPr>
          <w:color w:val="231F20"/>
          <w:spacing w:val="-14"/>
        </w:rPr>
        <w:t>s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4"/>
        </w:rPr>
        <w:t>statistically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4"/>
        </w:rPr>
        <w:t>significant(</w:t>
      </w:r>
      <w:r>
        <w:rPr>
          <w:sz w:val="18"/>
          <w:szCs w:val="18"/>
          <w:i/>
          <w:iCs/>
          <w:color w:val="231F20"/>
          <w:spacing w:val="-14"/>
        </w:rPr>
        <w:t>P</w:t>
      </w:r>
      <w:r>
        <w:rPr>
          <w:color w:val="231F20"/>
          <w:spacing w:val="-14"/>
        </w:rPr>
        <w:t>＜0.05).Conclusion:The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4"/>
        </w:rPr>
        <w:t>effect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4"/>
        </w:rPr>
        <w:t>cimetidine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combined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4"/>
        </w:rPr>
        <w:t>with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4"/>
        </w:rPr>
        <w:t>levofloxacin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4"/>
        </w:rPr>
        <w:t>treatment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acute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4"/>
        </w:rPr>
        <w:t>gastroenteritis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4"/>
        </w:rPr>
        <w:t>is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4"/>
        </w:rPr>
        <w:t>ideal,which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4"/>
        </w:rPr>
        <w:t>can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4"/>
        </w:rPr>
        <w:t>effectively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4"/>
        </w:rPr>
        <w:t>relieve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4"/>
        </w:rPr>
        <w:t>clinical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4"/>
        </w:rPr>
        <w:t>sym</w:t>
      </w:r>
      <w:r>
        <w:rPr>
          <w:color w:val="231F20"/>
          <w:spacing w:val="-15"/>
        </w:rPr>
        <w:t>ptoms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patients,improve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2"/>
        </w:rPr>
        <w:t>le</w:t>
      </w:r>
      <w:r>
        <w:rPr>
          <w:color w:val="231F20"/>
          <w:spacing w:val="-13"/>
        </w:rPr>
        <w:t>vel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3"/>
        </w:rPr>
        <w:t>serum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3"/>
        </w:rPr>
        <w:t>inflammatory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3"/>
        </w:rPr>
        <w:t>factors,and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3"/>
        </w:rPr>
        <w:t>has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3"/>
        </w:rPr>
        <w:t>good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3"/>
        </w:rPr>
        <w:t>clinical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3"/>
        </w:rPr>
        <w:t>application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3"/>
        </w:rPr>
        <w:t>value.</w:t>
      </w:r>
    </w:p>
    <w:p>
      <w:pPr>
        <w:pStyle w:val="BodyText"/>
        <w:ind w:left="1014"/>
        <w:spacing w:before="40" w:line="208" w:lineRule="auto"/>
        <w:rPr/>
      </w:pPr>
      <w:r>
        <w:rPr>
          <w:b/>
          <w:bCs/>
          <w:color w:val="231F20"/>
          <w:spacing w:val="-9"/>
        </w:rPr>
        <w:t>Key</w:t>
      </w:r>
      <w:r>
        <w:rPr>
          <w:color w:val="231F20"/>
          <w:spacing w:val="-36"/>
        </w:rPr>
        <w:t xml:space="preserve"> </w:t>
      </w:r>
      <w:r>
        <w:rPr>
          <w:b/>
          <w:bCs/>
          <w:color w:val="231F20"/>
          <w:spacing w:val="-9"/>
        </w:rPr>
        <w:t>words</w:t>
      </w:r>
      <w:r>
        <w:rPr>
          <w:color w:val="231F20"/>
          <w:spacing w:val="-9"/>
        </w:rPr>
        <w:t xml:space="preserve">  Cimetidine;Le</w:t>
      </w:r>
      <w:r>
        <w:rPr>
          <w:color w:val="231F20"/>
          <w:spacing w:val="-10"/>
        </w:rPr>
        <w:t>vofloxacin;Acute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0"/>
        </w:rPr>
        <w:t>gastroenteritis</w:t>
      </w:r>
    </w:p>
    <w:p>
      <w:pPr>
        <w:spacing w:before="4"/>
        <w:rPr/>
      </w:pPr>
      <w:r/>
    </w:p>
    <w:p>
      <w:pPr>
        <w:sectPr>
          <w:headerReference w:type="default" r:id="rId1"/>
          <w:pgSz w:w="11906" w:h="16158"/>
          <w:pgMar w:top="1133" w:right="832" w:bottom="0" w:left="407" w:header="825" w:footer="0" w:gutter="0"/>
          <w:cols w:equalWidth="0" w:num="1">
            <w:col w:w="10666" w:space="0"/>
          </w:cols>
        </w:sectPr>
        <w:rPr/>
      </w:pPr>
    </w:p>
    <w:p>
      <w:pPr>
        <w:pStyle w:val="BodyText"/>
        <w:ind w:left="476" w:right="129" w:firstLine="360"/>
        <w:spacing w:before="47" w:line="291" w:lineRule="auto"/>
        <w:jc w:val="both"/>
        <w:rPr/>
      </w:pPr>
      <w:r>
        <w:rPr>
          <w:color w:val="231F20"/>
          <w:spacing w:val="16"/>
        </w:rPr>
        <w:t>急性肠胃炎是临床较为常见的多发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疾病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0"/>
        </w:rPr>
        <w:t>，发病时间多在夏季和秋季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0"/>
        </w:rPr>
        <w:t>，是一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种由于各种原因而导致的胃肠黏膜急性炎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症，患者常伴有腹泻、腹痛、恶心、呕吐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等症状。该疾病若未能得到及时有效的控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制，可能导致患者出现脱水和电解质失衡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等严重症状，尤其是免疫能力较弱的儿童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与老人要注意。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3"/>
        </w:rPr>
        <w:t>目前临床上对急性肠胃炎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的治疗多采取抗菌药物进行治疗，通过对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细菌或者病毒的有效抑制减轻患者的临床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症状。本次分析在急性胃肠炎患者治疗过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程中，采取西咪替丁联合左氧氟沙星进行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治疗的效果，报告如下。</w:t>
      </w:r>
    </w:p>
    <w:p>
      <w:pPr>
        <w:ind w:left="484"/>
        <w:spacing w:before="255" w:line="231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  <w:position w:val="1"/>
        </w:rPr>
        <w:t>资料与方法</w:t>
      </w:r>
    </w:p>
    <w:p>
      <w:pPr>
        <w:pStyle w:val="BodyText"/>
        <w:ind w:left="480" w:right="129" w:firstLine="355"/>
        <w:spacing w:before="44" w:line="289" w:lineRule="auto"/>
        <w:rPr/>
      </w:pPr>
      <w:r>
        <w:rPr>
          <w:color w:val="231F20"/>
          <w:spacing w:val="11"/>
        </w:rPr>
        <w:t>一般资料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1"/>
        </w:rPr>
        <w:t>：本次选取我院2013年10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月-2019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0"/>
        </w:rPr>
        <w:t>年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0"/>
        </w:rPr>
        <w:t>11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10"/>
        </w:rPr>
        <w:t>月收治的20例急性胃肠炎</w:t>
      </w:r>
    </w:p>
    <w:p>
      <w:pPr>
        <w:spacing w:line="3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9" w:right="130" w:firstLine="5"/>
        <w:spacing w:before="40" w:line="289" w:lineRule="auto"/>
        <w:jc w:val="both"/>
        <w:rPr/>
      </w:pPr>
      <w:r>
        <w:rPr>
          <w:color w:val="231F20"/>
          <w:spacing w:val="14"/>
        </w:rPr>
        <w:t>患者为研究对象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，其中男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13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4"/>
        </w:rPr>
        <w:t>例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4"/>
        </w:rPr>
        <w:t>，女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4"/>
        </w:rPr>
        <w:t>7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；年龄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4"/>
        </w:rPr>
        <w:t>30～65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4"/>
        </w:rPr>
        <w:t>岁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4"/>
        </w:rPr>
        <w:t>，平均(47.84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±</w:t>
      </w:r>
      <w:r>
        <w:rPr>
          <w:color w:val="231F20"/>
          <w:spacing w:val="-66"/>
        </w:rPr>
        <w:t xml:space="preserve"> </w:t>
      </w:r>
      <w:r>
        <w:rPr>
          <w:color w:val="231F20"/>
          <w:spacing w:val="-4"/>
        </w:rPr>
        <w:t>5.98)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岁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；发病时间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0.5 ～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3"/>
        </w:rPr>
        <w:t>4.8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h，平均(2</w:t>
      </w:r>
      <w:r>
        <w:rPr>
          <w:color w:val="231F20"/>
          <w:spacing w:val="-4"/>
        </w:rPr>
        <w:t>.16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±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0.30)h。本次所有入选患者均为我院确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3"/>
        </w:rPr>
        <w:t>诊的急性肠胃炎患者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3"/>
        </w:rPr>
        <w:t>，均伴有不同程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度的呕吐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22"/>
        </w:rPr>
        <w:t>、腹痛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22"/>
        </w:rPr>
        <w:t>、腹泻以及发热等症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状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1"/>
        </w:rPr>
        <w:t>。患者及家属均知晓此次研究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1"/>
        </w:rPr>
        <w:t>，我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院伦理委员会对本研究完全知情并批准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研究。</w:t>
      </w:r>
    </w:p>
    <w:p>
      <w:pPr>
        <w:pStyle w:val="BodyText"/>
        <w:ind w:left="129" w:right="130" w:firstLine="358"/>
        <w:spacing w:before="14" w:line="291" w:lineRule="auto"/>
        <w:jc w:val="both"/>
        <w:rPr/>
      </w:pPr>
      <w:r>
        <w:rPr>
          <w:color w:val="231F20"/>
          <w:spacing w:val="10"/>
        </w:rPr>
        <w:t>方法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0"/>
        </w:rPr>
        <w:t>：20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10"/>
        </w:rPr>
        <w:t>例急性肠胃炎患者均常规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禁饮禁食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，适当予以水电解质纠正(失水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严重患者通过静脉滴注5%葡萄糖氯化钠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5"/>
        </w:rPr>
        <w:t>注射液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15"/>
        </w:rPr>
        <w:t>800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mL</w:t>
      </w:r>
      <w:r>
        <w:rPr>
          <w:color w:val="231F20"/>
          <w:spacing w:val="15"/>
        </w:rPr>
        <w:t>，滴注量由患者实际身体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状况进行确定)。在此基础之上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，予以静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脉滴注注射用西咪替丁(生产厂家：福安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3"/>
        </w:rPr>
        <w:t>药业集团湖北人民制药有限公司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，批准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文号：国药准字H20060637，规格：0.2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g)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0" w:right="11" w:firstLine="6"/>
        <w:spacing w:before="37" w:line="291" w:lineRule="auto"/>
        <w:jc w:val="both"/>
        <w:rPr/>
      </w:pPr>
      <w:r>
        <w:rPr>
          <w:color w:val="231F20"/>
          <w:spacing w:val="9"/>
        </w:rPr>
        <w:t>和盐酸左氧氟沙星注射液(生产厂家：湖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0"/>
        </w:rPr>
        <w:t>南赛隆药业有限公司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0"/>
        </w:rPr>
        <w:t>，批准文号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0"/>
        </w:rPr>
        <w:t>：国药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准字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5"/>
        </w:rPr>
        <w:t>H20113054，规格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5"/>
        </w:rPr>
        <w:t>：2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mL</w:t>
      </w:r>
      <w:r>
        <w:rPr>
          <w:rFonts w:ascii="Arial" w:hAnsi="Arial" w:eastAsia="Arial" w:cs="Arial"/>
          <w:color w:val="231F20"/>
          <w:spacing w:val="5"/>
        </w:rPr>
        <w:t>:</w:t>
      </w:r>
      <w:r>
        <w:rPr>
          <w:color w:val="231F20"/>
          <w:spacing w:val="5"/>
        </w:rPr>
        <w:t>0.</w:t>
      </w:r>
      <w:r>
        <w:rPr>
          <w:color w:val="231F20"/>
          <w:spacing w:val="4"/>
        </w:rPr>
        <w:t>2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g)进行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治疗。取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3"/>
        </w:rPr>
        <w:t>0.4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3"/>
        </w:rPr>
        <w:t>g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3"/>
        </w:rPr>
        <w:t>注射用西咪替丁融入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3"/>
        </w:rPr>
        <w:t>5%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葡萄糖注射液250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mL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0"/>
        </w:rPr>
        <w:t>中，取0.2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0"/>
        </w:rPr>
        <w:t>g盐酸左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氧氟沙星注射液融入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2"/>
        </w:rPr>
        <w:t>5%葡萄糖注射液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250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mL</w:t>
      </w:r>
      <w:r>
        <w:rPr>
          <w:color w:val="231F20"/>
          <w:spacing w:val="8"/>
        </w:rPr>
        <w:t>中，1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8"/>
        </w:rPr>
        <w:t>d/次，持续治疗5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8"/>
        </w:rPr>
        <w:t>d。</w:t>
      </w:r>
    </w:p>
    <w:p>
      <w:pPr>
        <w:pStyle w:val="BodyText"/>
        <w:ind w:left="130" w:right="11" w:firstLine="361"/>
        <w:spacing w:before="5" w:line="292" w:lineRule="auto"/>
        <w:jc w:val="both"/>
        <w:rPr/>
      </w:pPr>
      <w:r>
        <w:rPr>
          <w:color w:val="231F20"/>
          <w:spacing w:val="12"/>
        </w:rPr>
        <w:t>观察指标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2"/>
        </w:rPr>
        <w:t>：统计分析20例急性肠胃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炎患者的治疗效果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3"/>
        </w:rPr>
        <w:t>，比较治疗前后临床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症状(腹泻、腹痛、呕吐)评分，血清炎症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因子水平(</w:t>
      </w:r>
      <w:r>
        <w:rPr>
          <w:color w:val="231F20"/>
        </w:rPr>
        <w:t>IL</w:t>
      </w:r>
      <w:r>
        <w:rPr>
          <w:color w:val="231F20"/>
          <w:spacing w:val="4"/>
        </w:rPr>
        <w:t>-6、</w:t>
      </w:r>
      <w:r>
        <w:rPr>
          <w:color w:val="231F20"/>
        </w:rPr>
        <w:t>IL</w:t>
      </w:r>
      <w:r>
        <w:rPr>
          <w:color w:val="231F20"/>
          <w:spacing w:val="4"/>
        </w:rPr>
        <w:t>-8、</w:t>
      </w:r>
      <w:r>
        <w:rPr>
          <w:color w:val="231F20"/>
        </w:rPr>
        <w:t>PCT</w:t>
      </w:r>
      <w:r>
        <w:rPr>
          <w:color w:val="231F20"/>
          <w:spacing w:val="4"/>
        </w:rPr>
        <w:t>)。(1)疗效判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断标准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8"/>
        </w:rPr>
        <w:t>：①痊愈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8"/>
        </w:rPr>
        <w:t>：治疗后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8"/>
        </w:rPr>
        <w:t>，临床症状和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体征完全消失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0"/>
        </w:rPr>
        <w:t>，大便恢复正常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0"/>
        </w:rPr>
        <w:t>；②好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转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0"/>
        </w:rPr>
        <w:t>：治疗后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0"/>
        </w:rPr>
        <w:t>，临床症状和体征明显好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转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0"/>
        </w:rPr>
        <w:t>，大便性状明显改善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0"/>
        </w:rPr>
        <w:t>，腹泻次数明显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减少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8"/>
        </w:rPr>
        <w:t>；③无效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8"/>
        </w:rPr>
        <w:t>：治疗后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8"/>
        </w:rPr>
        <w:t>，临床症状和体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征无明显改善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7"/>
        </w:rPr>
        <w:t>，甚至有所加重。(2)临床</w:t>
      </w:r>
    </w:p>
    <w:p>
      <w:pPr>
        <w:spacing w:line="292" w:lineRule="auto"/>
        <w:sectPr>
          <w:type w:val="continuous"/>
          <w:pgSz w:w="11906" w:h="16158"/>
          <w:pgMar w:top="1133" w:right="832" w:bottom="0" w:left="407" w:header="825" w:footer="0" w:gutter="0"/>
          <w:cols w:equalWidth="0" w:num="3" w:sep="1">
            <w:col w:w="3759" w:space="100"/>
            <w:col w:w="3413" w:space="100"/>
            <w:col w:w="3294" w:space="0"/>
          </w:cols>
        </w:sectPr>
        <w:rPr/>
      </w:pPr>
    </w:p>
    <w:p>
      <w:pPr>
        <w:pStyle w:val="BodyText"/>
        <w:ind w:left="472"/>
        <w:spacing w:before="86" w:line="224" w:lineRule="auto"/>
        <w:tabs>
          <w:tab w:val="left" w:pos="7842"/>
        </w:tabs>
        <w:rPr/>
      </w:pPr>
      <w:r>
        <w:rPr>
          <w:rFonts w:ascii="SimHei" w:hAnsi="SimHei" w:eastAsia="SimHei" w:cs="SimHei"/>
          <w:sz w:val="14"/>
          <w:szCs w:val="14"/>
          <w:u w:val="single" w:color="auto"/>
          <w:color w:val="231F20"/>
        </w:rPr>
        <w:tab/>
      </w:r>
      <w:r>
        <w:rPr>
          <w:rFonts w:ascii="SimHei" w:hAnsi="SimHei" w:eastAsia="SimHei" w:cs="SimHei"/>
          <w:sz w:val="14"/>
          <w:szCs w:val="14"/>
          <w:color w:val="231F20"/>
          <w:spacing w:val="72"/>
          <w:w w:val="101"/>
        </w:rPr>
        <w:t xml:space="preserve"> </w:t>
      </w:r>
      <w:r>
        <w:rPr>
          <w:rFonts w:ascii="SimHei" w:hAnsi="SimHei" w:eastAsia="SimHei" w:cs="SimHei"/>
          <w:sz w:val="14"/>
          <w:szCs w:val="14"/>
          <w:color w:val="231F20"/>
          <w:spacing w:val="9"/>
        </w:rPr>
        <w:t>中国社区医师2021年第37卷第12期</w:t>
      </w:r>
      <w:r>
        <w:rPr>
          <w:rFonts w:ascii="SimHei" w:hAnsi="SimHei" w:eastAsia="SimHei" w:cs="SimHei"/>
          <w:sz w:val="14"/>
          <w:szCs w:val="14"/>
          <w:color w:val="231F20"/>
          <w:spacing w:val="34"/>
          <w:w w:val="101"/>
        </w:rPr>
        <w:t xml:space="preserve">  </w:t>
      </w:r>
      <w:r>
        <w:rPr>
          <w:color w:val="231F20"/>
          <w:spacing w:val="9"/>
        </w:rPr>
        <w:t>41</w:t>
      </w:r>
    </w:p>
    <w:p>
      <w:pPr>
        <w:spacing w:line="224" w:lineRule="auto"/>
        <w:sectPr>
          <w:type w:val="continuous"/>
          <w:pgSz w:w="11906" w:h="16158"/>
          <w:pgMar w:top="1133" w:right="832" w:bottom="0" w:left="407" w:header="825" w:footer="0" w:gutter="0"/>
          <w:cols w:equalWidth="0" w:num="1">
            <w:col w:w="10666" w:space="0"/>
          </w:cols>
        </w:sectPr>
        <w:rPr/>
      </w:pPr>
    </w:p>
    <w:p>
      <w:pPr>
        <w:spacing w:line="115" w:lineRule="exact"/>
        <w:rPr/>
      </w:pPr>
      <w:r/>
    </w:p>
    <w:p>
      <w:pPr>
        <w:spacing w:line="115" w:lineRule="exact"/>
        <w:sectPr>
          <w:headerReference w:type="default" r:id="rId2"/>
          <w:pgSz w:w="11906" w:h="16158"/>
          <w:pgMar w:top="1133" w:right="814" w:bottom="0" w:left="407" w:header="825" w:footer="0" w:gutter="0"/>
          <w:cols w:equalWidth="0" w:num="1">
            <w:col w:w="10683" w:space="0"/>
          </w:cols>
        </w:sectPr>
        <w:rPr/>
      </w:pPr>
    </w:p>
    <w:p>
      <w:pPr>
        <w:pStyle w:val="BodyText"/>
        <w:ind w:left="439" w:right="96" w:hanging="1"/>
        <w:spacing w:before="43" w:line="290" w:lineRule="auto"/>
        <w:jc w:val="both"/>
        <w:rPr/>
      </w:pPr>
      <w:r>
        <w:rPr>
          <w:color w:val="231F20"/>
          <w:spacing w:val="13"/>
        </w:rPr>
        <w:t>症状评分标准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3"/>
        </w:rPr>
        <w:t>：无症状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3"/>
        </w:rPr>
        <w:t>，得分为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3"/>
        </w:rPr>
        <w:t>0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3"/>
        </w:rPr>
        <w:t>分；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轻度症状，得分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2"/>
        </w:rPr>
        <w:t>1分；中度症状，得分2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分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5"/>
        </w:rPr>
        <w:t>；重度症状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5"/>
        </w:rPr>
        <w:t>，得分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5"/>
        </w:rPr>
        <w:t>分。(3)血清炎症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因子水平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6"/>
        </w:rPr>
        <w:t>：通过</w:t>
      </w:r>
      <w:r>
        <w:rPr>
          <w:color w:val="231F20"/>
          <w:spacing w:val="-49"/>
        </w:rPr>
        <w:t xml:space="preserve"> </w:t>
      </w:r>
      <w:r>
        <w:rPr>
          <w:color w:val="231F20"/>
        </w:rPr>
        <w:t>ELISA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6"/>
        </w:rPr>
        <w:t>法检测并记录患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者治疗前后的血清白细胞介素-6(</w:t>
      </w:r>
      <w:r>
        <w:rPr>
          <w:color w:val="231F20"/>
        </w:rPr>
        <w:t>IL</w:t>
      </w:r>
      <w:r>
        <w:rPr>
          <w:color w:val="231F20"/>
          <w:spacing w:val="7"/>
        </w:rPr>
        <w:t>-6)、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白细胞介素-8(IL-8)、降钙素原(PCT)。</w:t>
      </w:r>
    </w:p>
    <w:p>
      <w:pPr>
        <w:pStyle w:val="BodyText"/>
        <w:ind w:left="437" w:right="109" w:firstLine="359"/>
        <w:spacing w:before="3" w:line="278" w:lineRule="auto"/>
        <w:jc w:val="both"/>
        <w:rPr/>
      </w:pPr>
      <w:r>
        <w:pict>
          <v:shape id="_x0000_s6" style="position:absolute;margin-left:43.1912pt;margin-top:26.9377pt;mso-position-vertical-relative:text;mso-position-horizontal-relative:text;width:3.95pt;height:0.3pt;z-index:251658240;" filled="false" strokecolor="#231F20" strokeweight="0.28pt" coordsize="79,6" coordorigin="0,0" path="m0,2l78,2e">
            <v:stroke joinstyle="miter" miterlimit="4"/>
          </v:shape>
        </w:pict>
      </w:r>
      <w:r>
        <w:rPr>
          <w:color w:val="231F20"/>
          <w:spacing w:val="10"/>
        </w:rPr>
        <w:t>统计学方法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0"/>
        </w:rPr>
        <w:t>：将数据纳入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SPSS</w:t>
      </w:r>
      <w:r>
        <w:rPr>
          <w:color w:val="231F20"/>
          <w:spacing w:val="10"/>
        </w:rPr>
        <w:t>17.0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软件中分析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8"/>
        </w:rPr>
        <w:t>，计量资料比较采用</w:t>
      </w:r>
      <w:r>
        <w:rPr>
          <w:color w:val="231F20"/>
          <w:spacing w:val="-48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</w:t>
      </w:r>
      <w:r>
        <w:rPr>
          <w:color w:val="231F20"/>
          <w:spacing w:val="8"/>
        </w:rPr>
        <w:t>检验，</w:t>
      </w:r>
      <w:r>
        <w:rPr>
          <w:color w:val="231F20"/>
        </w:rPr>
        <w:t xml:space="preserve"> </w:t>
      </w:r>
      <w:r>
        <w:rPr>
          <w:color w:val="231F20"/>
        </w:rPr>
        <w:t>并以(</w:t>
      </w:r>
      <w:r>
        <w:rPr>
          <w:sz w:val="18"/>
          <w:szCs w:val="18"/>
          <w:i/>
          <w:iCs/>
          <w:color w:val="231F20"/>
        </w:rPr>
        <w:t>x</w:t>
      </w:r>
      <w:r>
        <w:rPr>
          <w:sz w:val="18"/>
          <w:szCs w:val="18"/>
          <w:color w:val="231F20"/>
          <w:spacing w:val="-31"/>
        </w:rPr>
        <w:t xml:space="preserve"> </w:t>
      </w:r>
      <w:r>
        <w:rPr>
          <w:color w:val="231F20"/>
        </w:rPr>
        <w:t>±</w:t>
      </w:r>
      <w:r>
        <w:rPr>
          <w:color w:val="231F20"/>
          <w:spacing w:val="-66"/>
        </w:rPr>
        <w:t xml:space="preserve"> </w:t>
      </w:r>
      <w:r>
        <w:rPr>
          <w:sz w:val="18"/>
          <w:szCs w:val="18"/>
          <w:i/>
          <w:iCs/>
          <w:color w:val="231F20"/>
        </w:rPr>
        <w:t>s</w:t>
      </w:r>
      <w:r>
        <w:rPr>
          <w:color w:val="231F20"/>
        </w:rPr>
        <w:t>)表示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，</w:t>
      </w:r>
      <w:r>
        <w:rPr>
          <w:sz w:val="18"/>
          <w:szCs w:val="18"/>
          <w:i/>
          <w:iCs/>
          <w:color w:val="231F20"/>
        </w:rPr>
        <w:t>P</w:t>
      </w:r>
      <w:r>
        <w:rPr>
          <w:color w:val="231F20"/>
        </w:rPr>
        <w:t>＜0.05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为差异有统计 </w:t>
      </w:r>
      <w:r>
        <w:rPr>
          <w:color w:val="231F20"/>
          <w:spacing w:val="5"/>
        </w:rPr>
        <w:t>学意义。</w:t>
      </w:r>
    </w:p>
    <w:p>
      <w:pPr>
        <w:ind w:left="446"/>
        <w:spacing w:before="278" w:line="236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结</w:t>
      </w:r>
      <w:r>
        <w:rPr>
          <w:rFonts w:ascii="SimHei" w:hAnsi="SimHei" w:eastAsia="SimHei" w:cs="SimHei"/>
          <w:sz w:val="17"/>
          <w:szCs w:val="17"/>
          <w:color w:val="231F20"/>
          <w:spacing w:val="8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果</w:t>
      </w:r>
    </w:p>
    <w:p>
      <w:pPr>
        <w:pStyle w:val="BodyText"/>
        <w:ind w:left="438" w:right="109" w:firstLine="359"/>
        <w:spacing w:before="38" w:line="290" w:lineRule="auto"/>
        <w:jc w:val="both"/>
        <w:rPr/>
      </w:pPr>
      <w:r>
        <w:rPr>
          <w:color w:val="231F20"/>
          <w:spacing w:val="13"/>
        </w:rPr>
        <w:t>治疗效果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3"/>
        </w:rPr>
        <w:t>：20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例患者经过治疗后，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痊愈12例，好转7例，无效1例，治疗总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有效率达95.00%。</w:t>
      </w:r>
    </w:p>
    <w:p>
      <w:pPr>
        <w:pStyle w:val="BodyText"/>
        <w:ind w:left="437" w:right="163" w:firstLine="360"/>
        <w:spacing w:before="1" w:line="287" w:lineRule="auto"/>
        <w:jc w:val="both"/>
        <w:rPr/>
      </w:pPr>
      <w:r>
        <w:rPr>
          <w:color w:val="231F20"/>
          <w:spacing w:val="13"/>
        </w:rPr>
        <w:t>治疗前后临床症状评分比较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3"/>
        </w:rPr>
        <w:t>：经过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治疗后，20例患者的临床症状(腹泻、腹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7"/>
        </w:rPr>
        <w:t>痛、呕吐)评分较治疗前降低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，差异有统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计学意义(</w:t>
      </w:r>
      <w:r>
        <w:rPr>
          <w:sz w:val="18"/>
          <w:szCs w:val="18"/>
          <w:i/>
          <w:iCs/>
          <w:color w:val="231F20"/>
          <w:spacing w:val="-3"/>
        </w:rPr>
        <w:t>P</w:t>
      </w:r>
      <w:r>
        <w:rPr>
          <w:color w:val="231F20"/>
          <w:spacing w:val="-3"/>
        </w:rPr>
        <w:t>＜0.05)。见表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1。</w:t>
      </w:r>
    </w:p>
    <w:p>
      <w:pPr>
        <w:pStyle w:val="BodyText"/>
        <w:ind w:left="440" w:right="163" w:firstLine="357"/>
        <w:spacing w:before="3" w:line="286" w:lineRule="auto"/>
        <w:jc w:val="both"/>
        <w:rPr/>
      </w:pPr>
      <w:r>
        <w:rPr>
          <w:color w:val="231F20"/>
          <w:spacing w:val="13"/>
        </w:rPr>
        <w:t>治疗前后血清炎症因子比较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3"/>
        </w:rPr>
        <w:t>：经过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治疗后，20例患者的血清炎症因子水平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(IL-6、IL-8、PCT)较治疗前明显下降，差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异具有统计学意义(</w:t>
      </w:r>
      <w:r>
        <w:rPr>
          <w:sz w:val="18"/>
          <w:szCs w:val="18"/>
          <w:i/>
          <w:iCs/>
          <w:color w:val="231F20"/>
          <w:spacing w:val="-7"/>
        </w:rPr>
        <w:t>P</w:t>
      </w:r>
      <w:r>
        <w:rPr>
          <w:color w:val="231F20"/>
          <w:spacing w:val="-7"/>
        </w:rPr>
        <w:t>＜0.05)。见表2。</w:t>
      </w:r>
    </w:p>
    <w:p>
      <w:pPr>
        <w:ind w:left="440"/>
        <w:spacing w:before="261" w:line="234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"/>
          <w:position w:val="1"/>
        </w:rPr>
        <w:t>讨</w:t>
      </w:r>
      <w:r>
        <w:rPr>
          <w:rFonts w:ascii="SimHei" w:hAnsi="SimHei" w:eastAsia="SimHei" w:cs="SimHei"/>
          <w:sz w:val="17"/>
          <w:szCs w:val="17"/>
          <w:color w:val="231F20"/>
          <w:spacing w:val="8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1"/>
          <w:position w:val="1"/>
        </w:rPr>
        <w:t>论</w:t>
      </w:r>
    </w:p>
    <w:p>
      <w:pPr>
        <w:pStyle w:val="BodyText"/>
        <w:ind w:left="437" w:right="163" w:firstLine="358"/>
        <w:spacing w:before="49" w:line="290" w:lineRule="auto"/>
        <w:jc w:val="both"/>
        <w:rPr/>
      </w:pPr>
      <w:r>
        <w:rPr>
          <w:color w:val="231F20"/>
          <w:spacing w:val="16"/>
        </w:rPr>
        <w:t>成人发生急性肠胃炎常由于饮食不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5"/>
        </w:rPr>
        <w:t>洁、免疫力低下、营养不良以及长期大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3"/>
        </w:rPr>
        <w:t>量使用抗生素等因素诱发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，疾病类型和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严重程度与微生物、毒素的摄入类型和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3"/>
        </w:rPr>
        <w:t>量的多少有直接联系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，再加之不同人的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抵抗力有所差异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，导致症状差异不尽相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同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，但感染性急性肠胃炎通常表现为腹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泻、恶心呕吐、腹痛等症状</w:t>
      </w:r>
      <w:r>
        <w:rPr>
          <w:sz w:val="8"/>
          <w:szCs w:val="8"/>
          <w:color w:val="231F20"/>
          <w:spacing w:val="6"/>
          <w:position w:val="7"/>
        </w:rPr>
        <w:t>[1]</w:t>
      </w:r>
      <w:r>
        <w:rPr>
          <w:sz w:val="8"/>
          <w:szCs w:val="8"/>
          <w:color w:val="231F20"/>
          <w:spacing w:val="-18"/>
          <w:position w:val="7"/>
        </w:rPr>
        <w:t xml:space="preserve"> </w:t>
      </w:r>
      <w:r>
        <w:rPr>
          <w:color w:val="231F20"/>
          <w:spacing w:val="6"/>
        </w:rPr>
        <w:t>。急性肠胃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炎好发于儿童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，并且患儿病情一般特别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严重。据流行病学统计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3"/>
        </w:rPr>
        <w:t>，全球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3"/>
        </w:rPr>
        <w:t>5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3"/>
        </w:rPr>
        <w:t>岁以下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儿童平均每年大约发生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2"/>
        </w:rPr>
        <w:t>3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2"/>
        </w:rPr>
        <w:t>次急性肠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2"/>
        </w:rPr>
        <w:t>胃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炎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，而中国小儿急性肠胃炎每年有两个</w:t>
      </w:r>
    </w:p>
    <w:p>
      <w:pPr>
        <w:spacing w:line="7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6" w:right="98" w:firstLine="2"/>
        <w:spacing w:before="39" w:line="291" w:lineRule="auto"/>
        <w:jc w:val="both"/>
        <w:rPr/>
      </w:pPr>
      <w:r>
        <w:rPr>
          <w:color w:val="231F20"/>
          <w:spacing w:val="10"/>
        </w:rPr>
        <w:t>发病季节高峰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0"/>
        </w:rPr>
        <w:t>，一是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0"/>
        </w:rPr>
        <w:t>6-8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0"/>
        </w:rPr>
        <w:t>月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0"/>
        </w:rPr>
        <w:t>，病原体主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要为痢疾杆菌和致泻性大肠埃希菌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；二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3"/>
        </w:rPr>
        <w:t>10-12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3"/>
        </w:rPr>
        <w:t>月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3"/>
        </w:rPr>
        <w:t>，病原体主要为轮状病毒。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被感染的人与动物都能成为该疾病的传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7"/>
        </w:rPr>
        <w:t>染源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7"/>
        </w:rPr>
        <w:t>，可以通过粪-口途径或人接触传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播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0"/>
        </w:rPr>
        <w:t>，急性肠胃炎通常为散发性感染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0"/>
        </w:rPr>
        <w:t>，但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也可能出现暴发流行的情况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，并且该疾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病非常容易让人群普遍感染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，特别是免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疫力较弱的人群或者儿童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，感染后也很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难产生对该疾病的免疫力</w:t>
      </w:r>
      <w:r>
        <w:rPr>
          <w:sz w:val="8"/>
          <w:szCs w:val="8"/>
          <w:color w:val="231F20"/>
          <w:spacing w:val="4"/>
          <w:position w:val="6"/>
        </w:rPr>
        <w:t>[2]</w:t>
      </w:r>
      <w:r>
        <w:rPr>
          <w:color w:val="231F20"/>
          <w:spacing w:val="4"/>
        </w:rPr>
        <w:t>。</w:t>
      </w:r>
    </w:p>
    <w:p>
      <w:pPr>
        <w:pStyle w:val="BodyText"/>
        <w:ind w:left="96" w:right="159" w:firstLine="363"/>
        <w:spacing w:before="22" w:line="290" w:lineRule="auto"/>
        <w:jc w:val="both"/>
        <w:rPr/>
      </w:pPr>
      <w:r>
        <w:rPr>
          <w:color w:val="231F20"/>
          <w:spacing w:val="13"/>
        </w:rPr>
        <w:t>近年来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3"/>
        </w:rPr>
        <w:t>，由于抗生素在临床上的大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量应用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3"/>
        </w:rPr>
        <w:t>，导致细菌耐药性问题日趋严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重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0"/>
        </w:rPr>
        <w:t>，据相关报道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0"/>
        </w:rPr>
        <w:t>，美国对急性肠胃炎患</w:t>
      </w:r>
      <w:r>
        <w:rPr>
          <w:color w:val="231F20"/>
        </w:rPr>
        <w:t xml:space="preserve"> </w:t>
      </w:r>
      <w:r>
        <w:rPr>
          <w:color w:val="231F20"/>
          <w:spacing w:val="33"/>
        </w:rPr>
        <w:t>者进行治疗时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3"/>
        </w:rPr>
        <w:t>，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33"/>
        </w:rPr>
        <w:t>抗生素使用率仅为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8.3%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1"/>
        </w:rPr>
        <w:t>，而我国针对该疾病抗生素使用率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高达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2"/>
        </w:rPr>
        <w:t>30%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2"/>
        </w:rPr>
        <w:t>，高出美国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2"/>
        </w:rPr>
        <w:t>3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12"/>
        </w:rPr>
        <w:t>倍有余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2"/>
        </w:rPr>
        <w:t>，因此现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阶段研究抗生素的合理使用具有十分重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要的价值和意义</w:t>
      </w:r>
      <w:r>
        <w:rPr>
          <w:sz w:val="8"/>
          <w:szCs w:val="8"/>
          <w:color w:val="231F20"/>
          <w:spacing w:val="4"/>
          <w:position w:val="7"/>
        </w:rPr>
        <w:t>[3]</w:t>
      </w:r>
      <w:r>
        <w:rPr>
          <w:sz w:val="8"/>
          <w:szCs w:val="8"/>
          <w:color w:val="231F20"/>
          <w:spacing w:val="-18"/>
          <w:position w:val="7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4"/>
        </w:rPr>
        <w:t>目前，临床上用于急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性肠胃炎治疗的药物种类多样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，如黄连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素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9"/>
        </w:rPr>
        <w:t>、阿奇霉素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9"/>
        </w:rPr>
        <w:t>、复方苯乙哌啶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9"/>
        </w:rPr>
        <w:t>、氟哌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酸、氧氟沙星及西咪替丁等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，长期临床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实践发现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，治疗急性肠胃炎的常用药物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中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，西咪替丁和左氧氟沙星治疗效果较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为显著。西咪替丁是一种特异性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3"/>
        </w:rPr>
        <w:t>H</w:t>
      </w:r>
      <w:r>
        <w:rPr>
          <w:sz w:val="8"/>
          <w:szCs w:val="8"/>
          <w:color w:val="231F20"/>
          <w:spacing w:val="13"/>
          <w:position w:val="-1"/>
        </w:rPr>
        <w:t>2</w:t>
      </w:r>
      <w:r>
        <w:rPr>
          <w:sz w:val="8"/>
          <w:szCs w:val="8"/>
          <w:color w:val="231F20"/>
          <w:spacing w:val="-19"/>
          <w:position w:val="-1"/>
        </w:rPr>
        <w:t xml:space="preserve"> </w:t>
      </w:r>
      <w:r>
        <w:rPr>
          <w:color w:val="231F20"/>
          <w:spacing w:val="13"/>
        </w:rPr>
        <w:t>受体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拮抗剂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，具备有效抑制胃酸、胃蛋白酶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以及胰蛋白酶分泌的作用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，还能够较为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理想的抑制炎症反应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，改善患者肠黏膜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水肿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3"/>
        </w:rPr>
        <w:t>，通过调节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13"/>
        </w:rPr>
        <w:t>T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3"/>
        </w:rPr>
        <w:t>淋巴细胞亚群等途径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调整机体免疫功能</w:t>
      </w:r>
      <w:r>
        <w:rPr>
          <w:sz w:val="8"/>
          <w:szCs w:val="8"/>
          <w:color w:val="231F20"/>
          <w:spacing w:val="10"/>
          <w:position w:val="6"/>
        </w:rPr>
        <w:t>[4-5]</w:t>
      </w:r>
      <w:r>
        <w:rPr>
          <w:sz w:val="8"/>
          <w:szCs w:val="8"/>
          <w:color w:val="231F20"/>
          <w:spacing w:val="-18"/>
          <w:position w:val="6"/>
        </w:rPr>
        <w:t xml:space="preserve"> </w:t>
      </w:r>
      <w:r>
        <w:rPr>
          <w:color w:val="231F20"/>
          <w:spacing w:val="10"/>
        </w:rPr>
        <w:t>。左氧氟沙星是临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床上用于治疗急性肠胃炎最为常用的药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0"/>
        </w:rPr>
        <w:t>物之一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0"/>
        </w:rPr>
        <w:t>，归属于氧氟沙星左旋体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0"/>
        </w:rPr>
        <w:t>，抗菌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活性高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3"/>
        </w:rPr>
        <w:t>，达到氧氟沙星的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3"/>
        </w:rPr>
        <w:t>2倍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3"/>
        </w:rPr>
        <w:t>，能够通</w:t>
      </w:r>
      <w:r>
        <w:rPr>
          <w:color w:val="231F20"/>
        </w:rPr>
        <w:t xml:space="preserve"> </w:t>
      </w:r>
      <w:r>
        <w:rPr>
          <w:color w:val="231F20"/>
          <w:spacing w:val="30"/>
        </w:rPr>
        <w:t>过抑制细菌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DNA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30"/>
        </w:rPr>
        <w:t>解旋酶活性来实现对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细菌繁殖的有效抑制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3"/>
        </w:rPr>
        <w:t>，对大多数革兰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阳性菌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9"/>
        </w:rPr>
        <w:t>、淋球菌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9"/>
        </w:rPr>
        <w:t>、流感杆菌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9"/>
        </w:rPr>
        <w:t>、肺炎衣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原体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22"/>
        </w:rPr>
        <w:t>、革兰阴性菌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22"/>
        </w:rPr>
        <w:t>、肺炎支原体等都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呈现出十分理想的抗菌效果</w:t>
      </w:r>
      <w:r>
        <w:rPr>
          <w:sz w:val="8"/>
          <w:szCs w:val="8"/>
          <w:color w:val="231F20"/>
          <w:spacing w:val="7"/>
          <w:position w:val="7"/>
        </w:rPr>
        <w:t>[6]</w:t>
      </w:r>
      <w:r>
        <w:rPr>
          <w:color w:val="231F20"/>
          <w:spacing w:val="7"/>
        </w:rPr>
        <w:t>。两种药物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8" w:right="13"/>
        <w:spacing w:before="44" w:line="291" w:lineRule="auto"/>
        <w:jc w:val="both"/>
        <w:rPr/>
      </w:pPr>
      <w:r>
        <w:rPr>
          <w:color w:val="231F20"/>
          <w:spacing w:val="8"/>
        </w:rPr>
        <w:t>对于急性肠胃炎治疗都有其独特的优势，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因此将西咪替丁和左氧氟沙星联合对急性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胃肠炎患者进行治疗，发挥出的治疗效果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显著。</w:t>
      </w:r>
    </w:p>
    <w:p>
      <w:pPr>
        <w:pStyle w:val="BodyText"/>
        <w:ind w:left="98" w:firstLine="357"/>
        <w:spacing w:before="5" w:line="288" w:lineRule="auto"/>
        <w:jc w:val="both"/>
        <w:rPr/>
      </w:pPr>
      <w:r>
        <w:rPr>
          <w:color w:val="231F20"/>
          <w:spacing w:val="13"/>
        </w:rPr>
        <w:t>本次研究数据表明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3"/>
        </w:rPr>
        <w:t>，在急性胃肠炎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患者治疗过程中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3"/>
        </w:rPr>
        <w:t>，采取西咪替丁联合左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氧氟沙星进行治疗效果显著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2"/>
        </w:rPr>
        <w:t>，20例患者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的治疗总有效率达95.00%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1"/>
        </w:rPr>
        <w:t>；相较于治疗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前患者的临床症状(腹泻、腹痛、呕吐)明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显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3"/>
        </w:rPr>
        <w:t>好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3"/>
        </w:rPr>
        <w:t>转 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血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清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炎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因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子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水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平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"/>
        </w:rPr>
        <w:t>(IL-6、</w:t>
      </w:r>
      <w:r>
        <w:rPr>
          <w:color w:val="231F20"/>
        </w:rPr>
        <w:t xml:space="preserve"> </w:t>
      </w:r>
      <w:r>
        <w:rPr>
          <w:color w:val="231F20"/>
        </w:rPr>
        <w:t>IL</w:t>
      </w:r>
      <w:r>
        <w:rPr>
          <w:color w:val="231F20"/>
          <w:spacing w:val="13"/>
        </w:rPr>
        <w:t>-8、</w:t>
      </w:r>
      <w:r>
        <w:rPr>
          <w:color w:val="231F20"/>
        </w:rPr>
        <w:t>PCT</w:t>
      </w:r>
      <w:r>
        <w:rPr>
          <w:color w:val="231F20"/>
          <w:spacing w:val="13"/>
        </w:rPr>
        <w:t>)也更低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3"/>
        </w:rPr>
        <w:t>，差异具有统计学意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义(</w:t>
      </w:r>
      <w:r>
        <w:rPr>
          <w:sz w:val="18"/>
          <w:szCs w:val="18"/>
          <w:i/>
          <w:iCs/>
          <w:color w:val="231F20"/>
          <w:spacing w:val="-8"/>
        </w:rPr>
        <w:t>P</w:t>
      </w:r>
      <w:r>
        <w:rPr>
          <w:color w:val="231F20"/>
          <w:spacing w:val="-8"/>
        </w:rPr>
        <w:t>＜0.05)。</w:t>
      </w:r>
    </w:p>
    <w:p>
      <w:pPr>
        <w:pStyle w:val="BodyText"/>
        <w:ind w:left="98" w:right="67" w:firstLine="356"/>
        <w:spacing w:line="291" w:lineRule="auto"/>
        <w:jc w:val="both"/>
        <w:rPr/>
      </w:pPr>
      <w:r>
        <w:rPr>
          <w:color w:val="231F20"/>
          <w:spacing w:val="13"/>
        </w:rPr>
        <w:t>综上所述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3"/>
        </w:rPr>
        <w:t>，采取西咪替丁联合左氧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氟沙星对急性肠胃炎进行治疗的效果理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0"/>
        </w:rPr>
        <w:t>想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0"/>
        </w:rPr>
        <w:t>，能够有效缓解患者的临床症状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0"/>
        </w:rPr>
        <w:t>，改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善血清炎症因子水平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3"/>
        </w:rPr>
        <w:t>，具有良好的临床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应用价值。</w:t>
      </w:r>
    </w:p>
    <w:p>
      <w:pPr>
        <w:ind w:left="102"/>
        <w:spacing w:before="256" w:line="232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  <w:position w:val="1"/>
        </w:rPr>
        <w:t>参考文献</w:t>
      </w:r>
    </w:p>
    <w:p>
      <w:pPr>
        <w:pStyle w:val="BodyText"/>
        <w:ind w:left="431" w:right="67" w:hanging="329"/>
        <w:spacing w:before="58" w:line="304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[1]  孙婷,李水莉,张朝勤,等.西咪替丁</w:t>
      </w:r>
      <w:r>
        <w:rPr>
          <w:sz w:val="15"/>
          <w:szCs w:val="15"/>
          <w:color w:val="231F20"/>
          <w:spacing w:val="-1"/>
        </w:rPr>
        <w:t>+左氧氟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沙星共同治疗急性胃肠炎的效果评价[J].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"/>
        </w:rPr>
        <w:t>世界最新医学信息文摘,2019,19(44):14</w:t>
      </w:r>
      <w:r>
        <w:rPr>
          <w:sz w:val="15"/>
          <w:szCs w:val="15"/>
          <w:color w:val="231F20"/>
          <w:spacing w:val="-2"/>
        </w:rPr>
        <w:t>6.</w:t>
      </w:r>
    </w:p>
    <w:p>
      <w:pPr>
        <w:pStyle w:val="BodyText"/>
        <w:ind w:left="431" w:right="67" w:hanging="329"/>
        <w:spacing w:before="56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[2]  林晓东.西咪替丁联合左氧氟沙星治疗急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2"/>
        </w:rPr>
        <w:t>性胃肠炎患者的效果[J].医疗装备,2020,33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6"/>
        </w:rPr>
        <w:t>(12):64-65.</w:t>
      </w:r>
    </w:p>
    <w:p>
      <w:pPr>
        <w:pStyle w:val="BodyText"/>
        <w:ind w:left="431" w:right="67" w:hanging="329"/>
        <w:spacing w:before="51" w:line="3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[3]  马生存,刘忠琴.西咪替丁治疗急性胃肠炎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的临床效果观察[J].世界最新医学信息文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7"/>
        </w:rPr>
        <w:t>摘,2018,18(11):96.</w:t>
      </w:r>
    </w:p>
    <w:p>
      <w:pPr>
        <w:pStyle w:val="BodyText"/>
        <w:ind w:left="433" w:right="67" w:hanging="331"/>
        <w:spacing w:before="56" w:line="3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[4]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闵丹丹.西咪替丁联合山莨菪碱治疗急性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胃肠炎患者的临床疗效及对血清炎症介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5"/>
        </w:rPr>
        <w:t>质的影响[J].医疗装备,2020,33(1):97-99.</w:t>
      </w:r>
    </w:p>
    <w:p>
      <w:pPr>
        <w:pStyle w:val="BodyText"/>
        <w:ind w:left="433" w:right="67" w:hanging="331"/>
        <w:spacing w:before="56" w:line="3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[5]  李斌,周云.飞扬肠胃炎片联合左氧氟沙星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治疗急慢性胃肠炎的效果评价[J].中外医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4"/>
        </w:rPr>
        <w:t>学研究,2020,18(6):135-137.</w:t>
      </w:r>
    </w:p>
    <w:p>
      <w:pPr>
        <w:pStyle w:val="BodyText"/>
        <w:ind w:left="430" w:right="67" w:hanging="328"/>
        <w:spacing w:before="56" w:line="3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[6]  王培颖.藿香正气胶囊联合左氧氟沙星治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5"/>
        </w:rPr>
        <w:t>疗39例急性胃肠炎患者的临床研究[J].现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2"/>
        </w:rPr>
        <w:t>代医用影像学,2019,28(5):1186-1187.</w:t>
      </w:r>
    </w:p>
    <w:p>
      <w:pPr>
        <w:spacing w:line="304" w:lineRule="auto"/>
        <w:sectPr>
          <w:type w:val="continuous"/>
          <w:pgSz w:w="11906" w:h="16158"/>
          <w:pgMar w:top="1133" w:right="814" w:bottom="0" w:left="407" w:header="825" w:footer="0" w:gutter="0"/>
          <w:cols w:equalWidth="0" w:num="3" w:sep="1">
            <w:col w:w="3754" w:space="100"/>
            <w:col w:w="3412" w:space="100"/>
            <w:col w:w="3318" w:space="0"/>
          </w:cols>
        </w:sectPr>
        <w:rPr>
          <w:sz w:val="15"/>
          <w:szCs w:val="15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ind w:firstLine="435"/>
        <w:spacing w:line="1534" w:lineRule="exact"/>
        <w:rPr/>
      </w:pPr>
      <w:r>
        <w:rPr>
          <w:position w:val="-30"/>
        </w:rPr>
        <w:pict>
          <v:group id="_x0000_s8" style="mso-position-vertical-relative:line;mso-position-horizontal-relative:char;width:509.05pt;height:76.75pt;" filled="false" stroked="false" coordsize="10180,1535" coordorigin="0,0">
            <v:rect id="_x0000_s10" style="position:absolute;left:0;top:0;width:10180;height:1535;" fillcolor="#DCDDDF" filled="true" stroked="false"/>
            <v:shape id="_x0000_s12" style="position:absolute;left:-19;top:38;width:10220;height:15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95"/>
                      <w:spacing w:before="20" w:line="192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8"/>
                      </w:rPr>
                      <w:t>表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8"/>
                      </w:rPr>
                      <w:t>1   20例患者治疗前后临床症状评分比较(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8"/>
                      </w:rPr>
                      <w:t>x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8"/>
                      </w:rPr>
                      <w:t>±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8"/>
                      </w:rPr>
                      <w:t>s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8"/>
                      </w:rPr>
                      <w:t>)</w:t>
                    </w:r>
                  </w:p>
                  <w:tbl>
                    <w:tblPr>
                      <w:tblStyle w:val="TableNormal"/>
                      <w:tblW w:w="10180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250"/>
                      <w:gridCol w:w="1684"/>
                      <w:gridCol w:w="2530"/>
                      <w:gridCol w:w="2695"/>
                      <w:gridCol w:w="2021"/>
                    </w:tblGrid>
                    <w:tr>
                      <w:trPr>
                        <w:trHeight w:val="235" w:hRule="atLeast"/>
                      </w:trPr>
                      <w:tc>
                        <w:tcPr>
                          <w:tcW w:w="1250" w:type="dxa"/>
                          <w:vAlign w:val="top"/>
                          <w:tcBorders>
                            <w:bottom w:val="single" w:color="231F20" w:sz="2" w:space="0"/>
                            <w:top w:val="single" w:color="231F20" w:sz="2" w:space="0"/>
                          </w:tcBorders>
                        </w:tcPr>
                        <w:p>
                          <w:pPr>
                            <w:ind w:left="187"/>
                            <w:spacing w:before="43" w:line="207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4"/>
                            </w:rPr>
                            <w:t>组别</w:t>
                          </w:r>
                        </w:p>
                      </w:tc>
                      <w:tc>
                        <w:tcPr>
                          <w:tcW w:w="1684" w:type="dxa"/>
                          <w:vAlign w:val="top"/>
                          <w:tcBorders>
                            <w:bottom w:val="single" w:color="231F20" w:sz="2" w:space="0"/>
                            <w:top w:val="single" w:color="231F20" w:sz="2" w:space="0"/>
                          </w:tcBorders>
                        </w:tcPr>
                        <w:p>
                          <w:pPr>
                            <w:ind w:left="602"/>
                            <w:spacing w:before="41" w:line="204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7"/>
                            </w:rPr>
                            <w:t>例数</w:t>
                          </w:r>
                        </w:p>
                      </w:tc>
                      <w:tc>
                        <w:tcPr>
                          <w:tcW w:w="2530" w:type="dxa"/>
                          <w:vAlign w:val="top"/>
                          <w:tcBorders>
                            <w:bottom w:val="single" w:color="231F20" w:sz="2" w:space="0"/>
                            <w:top w:val="single" w:color="231F20" w:sz="2" w:space="0"/>
                          </w:tcBorders>
                        </w:tcPr>
                        <w:p>
                          <w:pPr>
                            <w:ind w:left="959"/>
                            <w:spacing w:before="41" w:line="208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7"/>
                            </w:rPr>
                            <w:t>腹泻</w:t>
                          </w:r>
                        </w:p>
                      </w:tc>
                      <w:tc>
                        <w:tcPr>
                          <w:tcW w:w="2695" w:type="dxa"/>
                          <w:vAlign w:val="top"/>
                          <w:tcBorders>
                            <w:bottom w:val="single" w:color="231F20" w:sz="2" w:space="0"/>
                            <w:top w:val="single" w:color="231F20" w:sz="2" w:space="0"/>
                          </w:tcBorders>
                        </w:tcPr>
                        <w:p>
                          <w:pPr>
                            <w:ind w:left="1259"/>
                            <w:spacing w:before="29" w:line="241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7"/>
                            </w:rPr>
                            <w:t>腹痛</w:t>
                          </w:r>
                        </w:p>
                      </w:tc>
                      <w:tc>
                        <w:tcPr>
                          <w:tcW w:w="2021" w:type="dxa"/>
                          <w:vAlign w:val="top"/>
                          <w:tcBorders>
                            <w:bottom w:val="single" w:color="231F20" w:sz="2" w:space="0"/>
                            <w:top w:val="single" w:color="231F20" w:sz="2" w:space="0"/>
                          </w:tcBorders>
                        </w:tcPr>
                        <w:p>
                          <w:pPr>
                            <w:ind w:left="1127"/>
                            <w:spacing w:before="49" w:line="194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5"/>
                            </w:rPr>
                            <w:t>呕吐</w:t>
                          </w:r>
                        </w:p>
                      </w:tc>
                    </w:tr>
                    <w:tr>
                      <w:trPr>
                        <w:trHeight w:val="240" w:hRule="atLeast"/>
                      </w:trPr>
                      <w:tc>
                        <w:tcPr>
                          <w:tcW w:w="1250" w:type="dxa"/>
                          <w:vAlign w:val="top"/>
                          <w:tcBorders>
                            <w:top w:val="single" w:color="231F20" w:sz="2" w:space="0"/>
                          </w:tcBorders>
                        </w:tcPr>
                        <w:p>
                          <w:pPr>
                            <w:ind w:left="194"/>
                            <w:spacing w:before="37" w:line="237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>治疗前</w:t>
                          </w:r>
                        </w:p>
                      </w:tc>
                      <w:tc>
                        <w:tcPr>
                          <w:tcW w:w="1684" w:type="dxa"/>
                          <w:vAlign w:val="top"/>
                          <w:tcBorders>
                            <w:top w:val="single" w:color="231F20" w:sz="2" w:space="0"/>
                          </w:tcBorders>
                        </w:tcPr>
                        <w:p>
                          <w:pPr>
                            <w:ind w:left="686"/>
                            <w:spacing w:before="37" w:line="237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"/>
                            </w:rPr>
                            <w:t>20</w:t>
                          </w:r>
                        </w:p>
                      </w:tc>
                      <w:tc>
                        <w:tcPr>
                          <w:tcW w:w="2530" w:type="dxa"/>
                          <w:vAlign w:val="top"/>
                          <w:tcBorders>
                            <w:top w:val="single" w:color="231F20" w:sz="2" w:space="0"/>
                          </w:tcBorders>
                        </w:tcPr>
                        <w:p>
                          <w:pPr>
                            <w:ind w:left="776"/>
                            <w:spacing w:before="37" w:line="237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1.98</w:t>
                          </w: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37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±0.34</w:t>
                          </w:r>
                        </w:p>
                      </w:tc>
                      <w:tc>
                        <w:tcPr>
                          <w:tcW w:w="2695" w:type="dxa"/>
                          <w:vAlign w:val="top"/>
                          <w:tcBorders>
                            <w:top w:val="single" w:color="231F20" w:sz="2" w:space="0"/>
                          </w:tcBorders>
                        </w:tcPr>
                        <w:p>
                          <w:pPr>
                            <w:ind w:left="1075"/>
                            <w:spacing w:before="37" w:line="237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1.79</w:t>
                          </w: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37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±0.24</w:t>
                          </w:r>
                        </w:p>
                      </w:tc>
                      <w:tc>
                        <w:tcPr>
                          <w:tcW w:w="2021" w:type="dxa"/>
                          <w:vAlign w:val="top"/>
                          <w:tcBorders>
                            <w:top w:val="single" w:color="231F20" w:sz="2" w:space="0"/>
                          </w:tcBorders>
                        </w:tcPr>
                        <w:p>
                          <w:pPr>
                            <w:ind w:left="940"/>
                            <w:spacing w:before="37" w:line="237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7"/>
                            </w:rPr>
                            <w:t>1.64±0.31</w:t>
                          </w:r>
                        </w:p>
                      </w:tc>
                    </w:tr>
                    <w:tr>
                      <w:trPr>
                        <w:trHeight w:val="260" w:hRule="atLeast"/>
                      </w:trPr>
                      <w:tc>
                        <w:tcPr>
                          <w:tcW w:w="1250" w:type="dxa"/>
                          <w:vAlign w:val="top"/>
                        </w:tcPr>
                        <w:p>
                          <w:pPr>
                            <w:ind w:left="194"/>
                            <w:spacing w:before="46" w:line="202" w:lineRule="exact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3"/>
                              <w:position w:val="1"/>
                            </w:rPr>
                            <w:t>治疗后</w:t>
                          </w:r>
                        </w:p>
                      </w:tc>
                      <w:tc>
                        <w:tcPr>
                          <w:tcW w:w="1684" w:type="dxa"/>
                          <w:vAlign w:val="top"/>
                        </w:tcPr>
                        <w:p>
                          <w:pPr>
                            <w:ind w:left="686"/>
                            <w:spacing w:before="46" w:line="203" w:lineRule="exact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"/>
                              <w:position w:val="1"/>
                            </w:rPr>
                            <w:t>20</w:t>
                          </w:r>
                        </w:p>
                      </w:tc>
                      <w:tc>
                        <w:tcPr>
                          <w:tcW w:w="2530" w:type="dxa"/>
                          <w:vAlign w:val="top"/>
                        </w:tcPr>
                        <w:p>
                          <w:pPr>
                            <w:ind w:left="767"/>
                            <w:spacing w:before="46" w:line="203" w:lineRule="exact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0.96</w:t>
                          </w: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38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±0.21</w:t>
                          </w:r>
                        </w:p>
                      </w:tc>
                      <w:tc>
                        <w:tcPr>
                          <w:tcW w:w="2695" w:type="dxa"/>
                          <w:vAlign w:val="top"/>
                        </w:tcPr>
                        <w:p>
                          <w:pPr>
                            <w:ind w:left="1067"/>
                            <w:spacing w:before="46" w:line="203" w:lineRule="exact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0.81</w:t>
                          </w: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38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±0.13</w:t>
                          </w:r>
                        </w:p>
                      </w:tc>
                      <w:tc>
                        <w:tcPr>
                          <w:tcW w:w="2021" w:type="dxa"/>
                          <w:vAlign w:val="top"/>
                        </w:tcPr>
                        <w:p>
                          <w:pPr>
                            <w:ind w:left="932"/>
                            <w:spacing w:before="46" w:line="203" w:lineRule="exact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0.51</w:t>
                          </w: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38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±0.16</w:t>
                          </w:r>
                        </w:p>
                      </w:tc>
                    </w:tr>
                    <w:tr>
                      <w:trPr>
                        <w:trHeight w:val="241" w:hRule="atLeast"/>
                      </w:trPr>
                      <w:tc>
                        <w:tcPr>
                          <w:tcW w:w="1250" w:type="dxa"/>
                          <w:vAlign w:val="top"/>
                        </w:tcPr>
                        <w:p>
                          <w:pPr>
                            <w:ind w:left="182"/>
                            <w:spacing w:before="92" w:line="129" w:lineRule="exact"/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color w:val="231F20"/>
                              <w:position w:val="-3"/>
                            </w:rPr>
                            <w:t>t</w:t>
                          </w:r>
                        </w:p>
                      </w:tc>
                      <w:tc>
                        <w:tcPr>
                          <w:tcW w:w="1684" w:type="dxa"/>
                          <w:vAlign w:val="top"/>
                        </w:tcPr>
                        <w:p>
                          <w:pPr>
                            <w:spacing w:line="231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  <w:tc>
                        <w:tcPr>
                          <w:tcW w:w="2530" w:type="dxa"/>
                          <w:vAlign w:val="top"/>
                        </w:tcPr>
                        <w:p>
                          <w:pPr>
                            <w:ind w:left="914"/>
                            <w:spacing w:before="34" w:line="242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7"/>
                            </w:rPr>
                            <w:t>11.415</w:t>
                          </w:r>
                        </w:p>
                      </w:tc>
                      <w:tc>
                        <w:tcPr>
                          <w:tcW w:w="2695" w:type="dxa"/>
                          <w:vAlign w:val="top"/>
                        </w:tcPr>
                        <w:p>
                          <w:pPr>
                            <w:ind w:left="1214"/>
                            <w:spacing w:before="34" w:line="242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7"/>
                            </w:rPr>
                            <w:t>16.057</w:t>
                          </w:r>
                        </w:p>
                      </w:tc>
                      <w:tc>
                        <w:tcPr>
                          <w:tcW w:w="2021" w:type="dxa"/>
                          <w:vAlign w:val="top"/>
                        </w:tcPr>
                        <w:p>
                          <w:pPr>
                            <w:ind w:left="1079"/>
                            <w:spacing w:before="34" w:line="242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7"/>
                            </w:rPr>
                            <w:t>14.486</w:t>
                          </w:r>
                        </w:p>
                      </w:tc>
                    </w:tr>
                    <w:tr>
                      <w:trPr>
                        <w:trHeight w:val="264" w:hRule="atLeast"/>
                      </w:trPr>
                      <w:tc>
                        <w:tcPr>
                          <w:tcW w:w="1250" w:type="dxa"/>
                          <w:vAlign w:val="top"/>
                          <w:tcBorders>
                            <w:bottom w:val="single" w:color="231F20" w:sz="2" w:space="0"/>
                          </w:tcBorders>
                        </w:tcPr>
                        <w:p>
                          <w:pPr>
                            <w:ind w:left="181"/>
                            <w:spacing w:before="77" w:line="175" w:lineRule="auto"/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color w:val="231F20"/>
                              <w:spacing w:val="12"/>
                              <w:w w:val="114"/>
                            </w:rPr>
                            <w:t>P</w:t>
                          </w:r>
                        </w:p>
                      </w:tc>
                      <w:tc>
                        <w:tcPr>
                          <w:tcW w:w="1684" w:type="dxa"/>
                          <w:vAlign w:val="top"/>
                          <w:tcBorders>
                            <w:bottom w:val="single" w:color="231F20" w:sz="2" w:space="0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530" w:type="dxa"/>
                          <w:vAlign w:val="top"/>
                          <w:tcBorders>
                            <w:bottom w:val="single" w:color="231F20" w:sz="2" w:space="0"/>
                          </w:tcBorders>
                        </w:tcPr>
                        <w:p>
                          <w:pPr>
                            <w:ind w:left="945"/>
                            <w:spacing w:before="42" w:line="211" w:lineRule="exact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7"/>
                              <w:position w:val="1"/>
                            </w:rPr>
                            <w:t>0.001</w:t>
                          </w:r>
                        </w:p>
                      </w:tc>
                      <w:tc>
                        <w:tcPr>
                          <w:tcW w:w="2695" w:type="dxa"/>
                          <w:vAlign w:val="top"/>
                          <w:tcBorders>
                            <w:bottom w:val="single" w:color="231F20" w:sz="2" w:space="0"/>
                          </w:tcBorders>
                        </w:tcPr>
                        <w:p>
                          <w:pPr>
                            <w:ind w:left="1245"/>
                            <w:spacing w:before="42" w:line="211" w:lineRule="exact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7"/>
                              <w:position w:val="1"/>
                            </w:rPr>
                            <w:t>0.001</w:t>
                          </w:r>
                        </w:p>
                      </w:tc>
                      <w:tc>
                        <w:tcPr>
                          <w:tcW w:w="2021" w:type="dxa"/>
                          <w:vAlign w:val="top"/>
                          <w:tcBorders>
                            <w:bottom w:val="single" w:color="231F20" w:sz="2" w:space="0"/>
                          </w:tcBorders>
                        </w:tcPr>
                        <w:p>
                          <w:pPr>
                            <w:ind w:left="1109"/>
                            <w:spacing w:before="42" w:line="211" w:lineRule="exact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7"/>
                              <w:position w:val="1"/>
                            </w:rPr>
                            <w:t>0.001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14" style="position:absolute;left:6433;top:63;width:80;height:6;" filled="false" strokecolor="#231F20" strokeweight="0.28pt" coordsize="80,6" coordorigin="0,0" path="m0,2l79,2e">
              <v:stroke joinstyle="miter" miterlimit="4"/>
            </v:shape>
          </v:group>
        </w:pic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firstLine="435"/>
        <w:spacing w:before="1" w:line="1534" w:lineRule="exact"/>
        <w:rPr/>
      </w:pPr>
      <w:r>
        <w:rPr>
          <w:position w:val="-30"/>
        </w:rPr>
        <w:pict>
          <v:group id="_x0000_s16" style="mso-position-vertical-relative:line;mso-position-horizontal-relative:char;width:509.05pt;height:76.75pt;" filled="false" stroked="false" coordsize="10180,1535" coordorigin="0,0">
            <v:rect id="_x0000_s18" style="position:absolute;left:0;top:0;width:10180;height:1535;" fillcolor="#DCDDDF" filled="true" stroked="false"/>
            <v:shape id="_x0000_s20" style="position:absolute;left:-19;top:38;width:10220;height:15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36"/>
                      <w:spacing w:before="20" w:line="192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8"/>
                      </w:rPr>
                      <w:t>表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8"/>
                      </w:rPr>
                      <w:t>2   20例患者治疗前后血清炎症因子水平比较(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8"/>
                      </w:rPr>
                      <w:t>x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8"/>
                      </w:rPr>
                      <w:t>±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8"/>
                      </w:rPr>
                      <w:t>s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8"/>
                      </w:rPr>
                      <w:t>)</w:t>
                    </w:r>
                  </w:p>
                  <w:tbl>
                    <w:tblPr>
                      <w:tblStyle w:val="TableNormal"/>
                      <w:tblW w:w="10180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250"/>
                      <w:gridCol w:w="1669"/>
                      <w:gridCol w:w="2547"/>
                      <w:gridCol w:w="2673"/>
                      <w:gridCol w:w="2041"/>
                    </w:tblGrid>
                    <w:tr>
                      <w:trPr>
                        <w:trHeight w:val="235" w:hRule="atLeast"/>
                      </w:trPr>
                      <w:tc>
                        <w:tcPr>
                          <w:tcW w:w="1250" w:type="dxa"/>
                          <w:vAlign w:val="top"/>
                          <w:tcBorders>
                            <w:bottom w:val="single" w:color="231F20" w:sz="2" w:space="0"/>
                            <w:top w:val="single" w:color="231F20" w:sz="2" w:space="0"/>
                          </w:tcBorders>
                        </w:tcPr>
                        <w:p>
                          <w:pPr>
                            <w:ind w:left="187"/>
                            <w:spacing w:before="43" w:line="207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4"/>
                            </w:rPr>
                            <w:t>组别</w:t>
                          </w:r>
                        </w:p>
                      </w:tc>
                      <w:tc>
                        <w:tcPr>
                          <w:tcW w:w="1669" w:type="dxa"/>
                          <w:vAlign w:val="top"/>
                          <w:tcBorders>
                            <w:bottom w:val="single" w:color="231F20" w:sz="2" w:space="0"/>
                            <w:top w:val="single" w:color="231F20" w:sz="2" w:space="0"/>
                          </w:tcBorders>
                        </w:tcPr>
                        <w:p>
                          <w:pPr>
                            <w:ind w:left="602"/>
                            <w:spacing w:before="41" w:line="204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7"/>
                            </w:rPr>
                            <w:t>例数</w:t>
                          </w:r>
                        </w:p>
                      </w:tc>
                      <w:tc>
                        <w:tcPr>
                          <w:tcW w:w="2547" w:type="dxa"/>
                          <w:vAlign w:val="top"/>
                          <w:tcBorders>
                            <w:bottom w:val="single" w:color="231F20" w:sz="2" w:space="0"/>
                            <w:top w:val="single" w:color="231F20" w:sz="2" w:space="0"/>
                          </w:tcBorders>
                        </w:tcPr>
                        <w:p>
                          <w:pPr>
                            <w:ind w:left="770"/>
                            <w:spacing w:before="29" w:line="241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2"/>
                            </w:rPr>
                            <w:t>IL-6(pg/L)</w:t>
                          </w:r>
                        </w:p>
                      </w:tc>
                      <w:tc>
                        <w:tcPr>
                          <w:tcW w:w="2673" w:type="dxa"/>
                          <w:vAlign w:val="top"/>
                          <w:tcBorders>
                            <w:bottom w:val="single" w:color="231F20" w:sz="2" w:space="0"/>
                            <w:top w:val="single" w:color="231F20" w:sz="2" w:space="0"/>
                          </w:tcBorders>
                        </w:tcPr>
                        <w:p>
                          <w:pPr>
                            <w:ind w:left="1053"/>
                            <w:spacing w:before="29" w:line="241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2"/>
                            </w:rPr>
                            <w:t>IL-8(pg/L)</w:t>
                          </w:r>
                        </w:p>
                      </w:tc>
                      <w:tc>
                        <w:tcPr>
                          <w:tcW w:w="2041" w:type="dxa"/>
                          <w:vAlign w:val="top"/>
                          <w:tcBorders>
                            <w:bottom w:val="single" w:color="231F20" w:sz="2" w:space="0"/>
                            <w:top w:val="single" w:color="231F20" w:sz="2" w:space="0"/>
                          </w:tcBorders>
                        </w:tcPr>
                        <w:p>
                          <w:pPr>
                            <w:ind w:left="877"/>
                            <w:spacing w:before="60" w:line="203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9"/>
                            </w:rPr>
                            <w:t>PCT(ng/mL)</w:t>
                          </w:r>
                        </w:p>
                      </w:tc>
                    </w:tr>
                    <w:tr>
                      <w:trPr>
                        <w:trHeight w:val="240" w:hRule="atLeast"/>
                      </w:trPr>
                      <w:tc>
                        <w:tcPr>
                          <w:tcW w:w="1250" w:type="dxa"/>
                          <w:vAlign w:val="top"/>
                          <w:tcBorders>
                            <w:top w:val="single" w:color="231F20" w:sz="2" w:space="0"/>
                          </w:tcBorders>
                        </w:tcPr>
                        <w:p>
                          <w:pPr>
                            <w:ind w:left="194"/>
                            <w:spacing w:before="37" w:line="237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>治疗前</w:t>
                          </w:r>
                        </w:p>
                      </w:tc>
                      <w:tc>
                        <w:tcPr>
                          <w:tcW w:w="1669" w:type="dxa"/>
                          <w:vAlign w:val="top"/>
                          <w:tcBorders>
                            <w:top w:val="single" w:color="231F20" w:sz="2" w:space="0"/>
                          </w:tcBorders>
                        </w:tcPr>
                        <w:p>
                          <w:pPr>
                            <w:ind w:left="686"/>
                            <w:spacing w:before="37" w:line="237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"/>
                            </w:rPr>
                            <w:t>20</w:t>
                          </w:r>
                        </w:p>
                      </w:tc>
                      <w:tc>
                        <w:tcPr>
                          <w:tcW w:w="2547" w:type="dxa"/>
                          <w:vAlign w:val="top"/>
                          <w:tcBorders>
                            <w:top w:val="single" w:color="231F20" w:sz="2" w:space="0"/>
                          </w:tcBorders>
                        </w:tcPr>
                        <w:p>
                          <w:pPr>
                            <w:ind w:left="752"/>
                            <w:spacing w:before="37" w:line="237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18.42</w:t>
                          </w: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34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±4.54</w:t>
                          </w:r>
                        </w:p>
                      </w:tc>
                      <w:tc>
                        <w:tcPr>
                          <w:tcW w:w="2673" w:type="dxa"/>
                          <w:vAlign w:val="top"/>
                          <w:tcBorders>
                            <w:top w:val="single" w:color="231F20" w:sz="2" w:space="0"/>
                          </w:tcBorders>
                        </w:tcPr>
                        <w:p>
                          <w:pPr>
                            <w:ind w:left="1026"/>
                            <w:spacing w:before="37" w:line="237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21.79</w:t>
                          </w: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35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±4.17</w:t>
                          </w:r>
                        </w:p>
                      </w:tc>
                      <w:tc>
                        <w:tcPr>
                          <w:tcW w:w="2041" w:type="dxa"/>
                          <w:vAlign w:val="top"/>
                          <w:tcBorders>
                            <w:top w:val="single" w:color="231F20" w:sz="2" w:space="0"/>
                          </w:tcBorders>
                        </w:tcPr>
                        <w:p>
                          <w:pPr>
                            <w:ind w:left="952"/>
                            <w:spacing w:before="37" w:line="237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6"/>
                            </w:rPr>
                            <w:t>4.64±1.26</w:t>
                          </w:r>
                        </w:p>
                      </w:tc>
                    </w:tr>
                    <w:tr>
                      <w:trPr>
                        <w:trHeight w:val="260" w:hRule="atLeast"/>
                      </w:trPr>
                      <w:tc>
                        <w:tcPr>
                          <w:tcW w:w="1250" w:type="dxa"/>
                          <w:vAlign w:val="top"/>
                        </w:tcPr>
                        <w:p>
                          <w:pPr>
                            <w:ind w:left="194"/>
                            <w:spacing w:before="46" w:line="202" w:lineRule="exact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3"/>
                              <w:position w:val="1"/>
                            </w:rPr>
                            <w:t>治疗后</w:t>
                          </w:r>
                        </w:p>
                      </w:tc>
                      <w:tc>
                        <w:tcPr>
                          <w:tcW w:w="1669" w:type="dxa"/>
                          <w:vAlign w:val="top"/>
                        </w:tcPr>
                        <w:p>
                          <w:pPr>
                            <w:ind w:left="686"/>
                            <w:spacing w:before="46" w:line="203" w:lineRule="exact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"/>
                              <w:position w:val="1"/>
                            </w:rPr>
                            <w:t>20</w:t>
                          </w:r>
                        </w:p>
                      </w:tc>
                      <w:tc>
                        <w:tcPr>
                          <w:tcW w:w="2547" w:type="dxa"/>
                          <w:vAlign w:val="top"/>
                        </w:tcPr>
                        <w:p>
                          <w:pPr>
                            <w:ind w:left="828"/>
                            <w:spacing w:before="46" w:line="203" w:lineRule="exact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6.11</w:t>
                          </w: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31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±3.12</w:t>
                          </w:r>
                        </w:p>
                      </w:tc>
                      <w:tc>
                        <w:tcPr>
                          <w:tcW w:w="2673" w:type="dxa"/>
                          <w:vAlign w:val="top"/>
                        </w:tcPr>
                        <w:p>
                          <w:pPr>
                            <w:ind w:left="1087"/>
                            <w:spacing w:before="46" w:line="203" w:lineRule="exact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7.16</w:t>
                          </w: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38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±2.13</w:t>
                          </w:r>
                        </w:p>
                      </w:tc>
                      <w:tc>
                        <w:tcPr>
                          <w:tcW w:w="2041" w:type="dxa"/>
                          <w:vAlign w:val="top"/>
                        </w:tcPr>
                        <w:p>
                          <w:pPr>
                            <w:ind w:left="952"/>
                            <w:spacing w:before="46" w:line="203" w:lineRule="exact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6"/>
                            </w:rPr>
                            <w:t>0.94±0.15</w:t>
                          </w:r>
                        </w:p>
                      </w:tc>
                    </w:tr>
                    <w:tr>
                      <w:trPr>
                        <w:trHeight w:val="241" w:hRule="atLeast"/>
                      </w:trPr>
                      <w:tc>
                        <w:tcPr>
                          <w:tcW w:w="1250" w:type="dxa"/>
                          <w:vAlign w:val="top"/>
                        </w:tcPr>
                        <w:p>
                          <w:pPr>
                            <w:ind w:left="182"/>
                            <w:spacing w:before="92" w:line="129" w:lineRule="exact"/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color w:val="231F20"/>
                              <w:position w:val="-3"/>
                            </w:rPr>
                            <w:t>t</w:t>
                          </w:r>
                        </w:p>
                      </w:tc>
                      <w:tc>
                        <w:tcPr>
                          <w:tcW w:w="1669" w:type="dxa"/>
                          <w:vAlign w:val="top"/>
                        </w:tcPr>
                        <w:p>
                          <w:pPr>
                            <w:spacing w:line="231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  <w:tc>
                        <w:tcPr>
                          <w:tcW w:w="2547" w:type="dxa"/>
                          <w:vAlign w:val="top"/>
                        </w:tcPr>
                        <w:p>
                          <w:pPr>
                            <w:ind w:left="960"/>
                            <w:spacing w:before="34" w:line="242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7"/>
                            </w:rPr>
                            <w:t>9.994</w:t>
                          </w:r>
                        </w:p>
                      </w:tc>
                      <w:tc>
                        <w:tcPr>
                          <w:tcW w:w="2673" w:type="dxa"/>
                          <w:vAlign w:val="top"/>
                        </w:tcPr>
                        <w:p>
                          <w:pPr>
                            <w:ind w:left="1212"/>
                            <w:spacing w:before="34" w:line="242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7"/>
                            </w:rPr>
                            <w:t>13.973</w:t>
                          </w:r>
                        </w:p>
                      </w:tc>
                      <w:tc>
                        <w:tcPr>
                          <w:tcW w:w="2041" w:type="dxa"/>
                          <w:vAlign w:val="top"/>
                        </w:tcPr>
                        <w:p>
                          <w:pPr>
                            <w:ind w:left="1099"/>
                            <w:spacing w:before="34" w:line="242" w:lineRule="auto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7"/>
                            </w:rPr>
                            <w:t>13.040</w:t>
                          </w:r>
                        </w:p>
                      </w:tc>
                    </w:tr>
                    <w:tr>
                      <w:trPr>
                        <w:trHeight w:val="264" w:hRule="atLeast"/>
                      </w:trPr>
                      <w:tc>
                        <w:tcPr>
                          <w:tcW w:w="1250" w:type="dxa"/>
                          <w:vAlign w:val="top"/>
                          <w:tcBorders>
                            <w:bottom w:val="single" w:color="231F20" w:sz="2" w:space="0"/>
                          </w:tcBorders>
                        </w:tcPr>
                        <w:p>
                          <w:pPr>
                            <w:ind w:left="181"/>
                            <w:spacing w:before="77" w:line="175" w:lineRule="auto"/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color w:val="231F20"/>
                              <w:spacing w:val="12"/>
                              <w:w w:val="114"/>
                            </w:rPr>
                            <w:t>P</w:t>
                          </w:r>
                        </w:p>
                      </w:tc>
                      <w:tc>
                        <w:tcPr>
                          <w:tcW w:w="1669" w:type="dxa"/>
                          <w:vAlign w:val="top"/>
                          <w:tcBorders>
                            <w:bottom w:val="single" w:color="231F20" w:sz="2" w:space="0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547" w:type="dxa"/>
                          <w:vAlign w:val="top"/>
                          <w:tcBorders>
                            <w:bottom w:val="single" w:color="231F20" w:sz="2" w:space="0"/>
                          </w:tcBorders>
                        </w:tcPr>
                        <w:p>
                          <w:pPr>
                            <w:ind w:left="960"/>
                            <w:spacing w:before="42" w:line="211" w:lineRule="exact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7"/>
                              <w:position w:val="1"/>
                            </w:rPr>
                            <w:t>0.001</w:t>
                          </w:r>
                        </w:p>
                      </w:tc>
                      <w:tc>
                        <w:tcPr>
                          <w:tcW w:w="2673" w:type="dxa"/>
                          <w:vAlign w:val="top"/>
                          <w:tcBorders>
                            <w:bottom w:val="single" w:color="231F20" w:sz="2" w:space="0"/>
                          </w:tcBorders>
                        </w:tcPr>
                        <w:p>
                          <w:pPr>
                            <w:ind w:left="1243"/>
                            <w:spacing w:before="42" w:line="211" w:lineRule="exact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7"/>
                              <w:position w:val="1"/>
                            </w:rPr>
                            <w:t>0.001</w:t>
                          </w:r>
                        </w:p>
                      </w:tc>
                      <w:tc>
                        <w:tcPr>
                          <w:tcW w:w="2041" w:type="dxa"/>
                          <w:vAlign w:val="top"/>
                          <w:tcBorders>
                            <w:bottom w:val="single" w:color="231F20" w:sz="2" w:space="0"/>
                          </w:tcBorders>
                        </w:tcPr>
                        <w:p>
                          <w:pPr>
                            <w:ind w:left="1129"/>
                            <w:spacing w:before="42" w:line="211" w:lineRule="exact"/>
                            <w:rPr>
                              <w:rFonts w:ascii="KaiTi" w:hAnsi="KaiTi" w:eastAsia="KaiTi" w:cs="KaiT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5"/>
                              <w:szCs w:val="15"/>
                              <w:color w:val="231F20"/>
                              <w:spacing w:val="-7"/>
                              <w:position w:val="1"/>
                            </w:rPr>
                            <w:t>0.001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2" style="position:absolute;left:6592;top:63;width:80;height:6;" filled="false" strokecolor="#231F20" strokeweight="0.28pt" coordsize="80,6" coordorigin="0,0" path="m0,2l79,2e">
              <v:stroke joinstyle="miter" miterlimit="4"/>
            </v:shape>
          </v:group>
        </w:pict>
      </w:r>
    </w:p>
    <w:p>
      <w:pPr>
        <w:pStyle w:val="BodyText"/>
        <w:ind w:left="437"/>
        <w:spacing w:before="183" w:line="224" w:lineRule="auto"/>
        <w:rPr>
          <w:rFonts w:ascii="SimHei" w:hAnsi="SimHei" w:eastAsia="SimHei" w:cs="SimHei"/>
          <w:sz w:val="14"/>
          <w:szCs w:val="14"/>
        </w:rPr>
      </w:pPr>
      <w:r>
        <w:rPr>
          <w:color w:val="231F20"/>
          <w:spacing w:val="9"/>
        </w:rPr>
        <w:t>42  </w:t>
      </w:r>
      <w:r>
        <w:rPr>
          <w:rFonts w:ascii="SimHei" w:hAnsi="SimHei" w:eastAsia="SimHei" w:cs="SimHei"/>
          <w:sz w:val="14"/>
          <w:szCs w:val="14"/>
          <w:color w:val="231F20"/>
          <w:spacing w:val="9"/>
        </w:rPr>
        <w:t>中国社区医师2021年第37卷第12期</w:t>
      </w:r>
      <w:r>
        <w:rPr>
          <w:rFonts w:ascii="SimHei" w:hAnsi="SimHei" w:eastAsia="SimHei" w:cs="SimHei"/>
          <w:sz w:val="14"/>
          <w:szCs w:val="14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4"/>
          <w:szCs w:val="14"/>
          <w:u w:val="single" w:color="auto"/>
          <w:color w:val="231F20"/>
        </w:rPr>
        <w:t xml:space="preserve">                                                                                                          </w:t>
      </w:r>
    </w:p>
    <w:sectPr>
      <w:type w:val="continuous"/>
      <w:pgSz w:w="11906" w:h="16158"/>
      <w:pgMar w:top="1133" w:right="814" w:bottom="0" w:left="407" w:header="825" w:footer="0" w:gutter="0"/>
      <w:cols w:equalWidth="0" w:num="1">
        <w:col w:w="1068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0" w:line="189" w:lineRule="auto"/>
      <w:jc w:val="right"/>
      <w:rPr>
        <w:rFonts w:ascii="Microsoft YaHei" w:hAnsi="Microsoft YaHei" w:eastAsia="Microsoft YaHei" w:cs="Microsoft YaHei"/>
        <w:sz w:val="19"/>
        <w:szCs w:val="19"/>
      </w:rPr>
    </w:pPr>
    <w:r>
      <w:pict>
        <v:shape id="WordPictureWatermark2" style="position:absolute;margin-left:20.4pt;margin-top:780.47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4"/>
        <w:szCs w:val="14"/>
        <w:u w:val="single" w:color="auto"/>
        <w:color w:val="231F20"/>
        <w:position w:val="1"/>
      </w:rPr>
      <w:t>CHINESE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2"/>
        <w:position w:val="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color w:val="231F20"/>
        <w:position w:val="1"/>
      </w:rPr>
      <w:t>COMMUNITY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2"/>
        <w:position w:val="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color w:val="231F20"/>
        <w:position w:val="1"/>
      </w:rPr>
      <w:t>DOCTORS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2"/>
        <w:position w:val="1"/>
      </w:rPr>
      <w:t xml:space="preserve">                                                         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1"/>
        <w:position w:val="1"/>
      </w:rPr>
      <w:t xml:space="preserve">                                                                                                             </w:t>
    </w:r>
    <w:r>
      <w:rPr>
        <w:rFonts w:ascii="Arial" w:hAnsi="Arial" w:eastAsia="Arial" w:cs="Arial"/>
        <w:sz w:val="14"/>
        <w:szCs w:val="14"/>
        <w:color w:val="231F20"/>
        <w:spacing w:val="1"/>
        <w:position w:val="1"/>
      </w:rPr>
      <w:t xml:space="preserve"> </w:t>
    </w:r>
    <w:r>
      <w:rPr>
        <w:rFonts w:ascii="Microsoft YaHei" w:hAnsi="Microsoft YaHei" w:eastAsia="Microsoft YaHei" w:cs="Microsoft YaHei"/>
        <w:sz w:val="19"/>
        <w:szCs w:val="19"/>
        <w:color w:val="231F20"/>
        <w:spacing w:val="1"/>
        <w:position w:val="-1"/>
      </w:rPr>
      <w:t>论著</w:t>
    </w:r>
    <w:r>
      <w:rPr>
        <w:rFonts w:ascii="Arial" w:hAnsi="Arial" w:eastAsia="Arial" w:cs="Arial"/>
        <w:sz w:val="19"/>
        <w:szCs w:val="19"/>
        <w:color w:val="231F20"/>
        <w:spacing w:val="1"/>
        <w:position w:val="-1"/>
      </w:rPr>
      <w:t>·</w:t>
    </w:r>
    <w:r>
      <w:rPr>
        <w:rFonts w:ascii="Microsoft YaHei" w:hAnsi="Microsoft YaHei" w:eastAsia="Microsoft YaHei" w:cs="Microsoft YaHei"/>
        <w:sz w:val="19"/>
        <w:szCs w:val="19"/>
        <w:color w:val="231F20"/>
        <w:spacing w:val="1"/>
        <w:position w:val="-1"/>
      </w:rPr>
      <w:t>临床论坛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"/>
      <w:spacing w:before="40" w:line="189" w:lineRule="auto"/>
      <w:rPr>
        <w:rFonts w:ascii="Arial" w:hAnsi="Arial" w:eastAsia="Arial" w:cs="Arial"/>
        <w:sz w:val="14"/>
        <w:szCs w:val="14"/>
      </w:rPr>
    </w:pPr>
    <w:r>
      <w:pict>
        <v:shape id="WordPictureWatermark4" style="position:absolute;margin-left:20.4pt;margin-top:780.47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9"/>
        <w:szCs w:val="19"/>
        <w:color w:val="231F20"/>
        <w:spacing w:val="9"/>
        <w:position w:val="-1"/>
      </w:rPr>
      <w:t>论著</w:t>
    </w:r>
    <w:r>
      <w:rPr>
        <w:rFonts w:ascii="Arial" w:hAnsi="Arial" w:eastAsia="Arial" w:cs="Arial"/>
        <w:sz w:val="19"/>
        <w:szCs w:val="19"/>
        <w:color w:val="231F20"/>
        <w:spacing w:val="9"/>
        <w:position w:val="-1"/>
      </w:rPr>
      <w:t>·</w:t>
    </w:r>
    <w:r>
      <w:rPr>
        <w:rFonts w:ascii="Microsoft YaHei" w:hAnsi="Microsoft YaHei" w:eastAsia="Microsoft YaHei" w:cs="Microsoft YaHei"/>
        <w:sz w:val="19"/>
        <w:szCs w:val="19"/>
        <w:color w:val="231F20"/>
        <w:spacing w:val="9"/>
        <w:position w:val="-1"/>
      </w:rPr>
      <w:t>临床论坛</w:t>
    </w:r>
    <w:r>
      <w:rPr>
        <w:rFonts w:ascii="Microsoft YaHei" w:hAnsi="Microsoft YaHei" w:eastAsia="Microsoft YaHei" w:cs="Microsoft YaHei"/>
        <w:sz w:val="19"/>
        <w:szCs w:val="19"/>
        <w:color w:val="231F20"/>
        <w:spacing w:val="18"/>
        <w:position w:val="-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color w:val="231F20"/>
        <w:position w:val="1"/>
      </w:rPr>
      <w:t xml:space="preserve">                                                                                                                                                                         CHINESE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9"/>
        <w:position w:val="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color w:val="231F20"/>
        <w:position w:val="1"/>
      </w:rPr>
      <w:t>COMMUNITY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9"/>
        <w:position w:val="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color w:val="231F20"/>
        <w:position w:val="1"/>
      </w:rPr>
      <w:t>DOCTOR</w:t>
    </w:r>
    <w:r>
      <w:rPr>
        <w:rFonts w:ascii="Arial" w:hAnsi="Arial" w:eastAsia="Arial" w:cs="Arial"/>
        <w:sz w:val="14"/>
        <w:szCs w:val="14"/>
        <w:color w:val="231F20"/>
        <w:position w:val="1"/>
      </w:rPr>
      <w:t>S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2023-01-29T21:07:30Z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2025-10-28T21:31:26</vt:filetime>
  </property>
</Properties>
</file>