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04" w:lineRule="auto"/>
        <w:rPr>
          <w:rFonts w:ascii="Arial"/>
          <w:sz w:val="21"/>
        </w:rPr>
      </w:pPr>
      <w:r/>
    </w:p>
    <w:p>
      <w:pPr>
        <w:pStyle w:val="BodyText"/>
        <w:ind w:left="423"/>
        <w:spacing w:before="189" w:line="168" w:lineRule="auto"/>
        <w:rPr>
          <w:sz w:val="44"/>
          <w:szCs w:val="44"/>
        </w:rPr>
      </w:pPr>
      <w:r>
        <w:rPr>
          <w:sz w:val="44"/>
          <w:szCs w:val="44"/>
          <w:color w:val="231F20"/>
          <w:spacing w:val="6"/>
        </w:rPr>
        <w:t>阿莫西林、奥美拉唑联合双歧杆菌在急性肠胃炎患者</w:t>
      </w:r>
    </w:p>
    <w:p>
      <w:pPr>
        <w:pStyle w:val="BodyText"/>
        <w:ind w:left="4274"/>
        <w:spacing w:before="2" w:line="178" w:lineRule="auto"/>
        <w:rPr>
          <w:sz w:val="44"/>
          <w:szCs w:val="44"/>
        </w:rPr>
      </w:pPr>
      <w:r>
        <w:rPr>
          <w:sz w:val="44"/>
          <w:szCs w:val="44"/>
          <w:color w:val="231F20"/>
          <w:spacing w:val="-8"/>
        </w:rPr>
        <w:t>中的应用价值</w:t>
      </w:r>
    </w:p>
    <w:p>
      <w:pPr>
        <w:pStyle w:val="BodyText"/>
        <w:ind w:left="9847"/>
        <w:spacing w:line="214" w:lineRule="auto"/>
        <w:rPr>
          <w:sz w:val="13"/>
          <w:szCs w:val="13"/>
        </w:rPr>
      </w:pPr>
      <w:r>
        <w:rPr>
          <w:sz w:val="24"/>
          <w:szCs w:val="24"/>
          <w:color w:val="231F20"/>
          <w:position w:val="-1"/>
        </w:rPr>
        <w:t>余春芳</w:t>
      </w:r>
      <w:r>
        <w:rPr>
          <w:sz w:val="13"/>
          <w:szCs w:val="13"/>
          <w:color w:val="231F20"/>
          <w:position w:val="10"/>
        </w:rPr>
        <w:t>①</w:t>
      </w:r>
    </w:p>
    <w:p>
      <w:pPr>
        <w:pStyle w:val="BodyText"/>
        <w:ind w:left="386" w:right="44" w:firstLine="256"/>
        <w:spacing w:before="260" w:line="222" w:lineRule="auto"/>
        <w:jc w:val="both"/>
        <w:rPr/>
      </w:pPr>
      <w:r>
        <w:rPr>
          <w:color w:val="231F20"/>
        </w:rPr>
        <w:t>【摘要】  目的：探讨阿莫西林、奥美拉唑联合双歧杆菌对</w:t>
      </w:r>
      <w:r>
        <w:rPr>
          <w:color w:val="231F20"/>
          <w:spacing w:val="-1"/>
        </w:rPr>
        <w:t>急性肠胃炎患者的临床应用价值。方法：选取 2018 年 1 月 -2020 年</w:t>
      </w:r>
      <w:r>
        <w:rPr>
          <w:color w:val="231F20"/>
        </w:rPr>
        <w:t xml:space="preserve">  </w:t>
      </w:r>
      <w:r>
        <w:rPr>
          <w:color w:val="231F20"/>
          <w:spacing w:val="-4"/>
        </w:rPr>
        <w:t>12 月因急性肠胃炎来本院接受治疗的 500 例患者为研究对象，随机设为研究组（</w:t>
      </w:r>
      <w:r>
        <w:rPr>
          <w:rFonts w:ascii="Times New Roman" w:hAnsi="Times New Roman" w:eastAsia="Times New Roman" w:cs="Times New Roman"/>
          <w:color w:val="231F20"/>
          <w:spacing w:val="-4"/>
        </w:rPr>
        <w:t>n</w:t>
      </w:r>
      <w:r>
        <w:rPr>
          <w:color w:val="231F20"/>
          <w:spacing w:val="-4"/>
        </w:rPr>
        <w:t>=250）与对照组（</w:t>
      </w:r>
      <w:r>
        <w:rPr>
          <w:rFonts w:ascii="Times New Roman" w:hAnsi="Times New Roman" w:eastAsia="Times New Roman" w:cs="Times New Roman"/>
          <w:color w:val="231F20"/>
          <w:spacing w:val="-4"/>
        </w:rPr>
        <w:t>n</w:t>
      </w:r>
      <w:r>
        <w:rPr>
          <w:color w:val="231F20"/>
          <w:spacing w:val="-4"/>
        </w:rPr>
        <w:t>=250）。</w:t>
      </w:r>
      <w:r>
        <w:rPr>
          <w:color w:val="231F20"/>
          <w:spacing w:val="-5"/>
        </w:rPr>
        <w:t>对照组采用阿莫西林</w:t>
      </w:r>
      <w:r>
        <w:rPr>
          <w:color w:val="231F20"/>
        </w:rPr>
        <w:t xml:space="preserve">  </w:t>
      </w:r>
      <w:r>
        <w:rPr>
          <w:color w:val="231F20"/>
        </w:rPr>
        <w:t>与奥美拉唑联合治疗，研究组则采用阿莫西林、奥美拉唑与双歧杆菌联合治疗。比较两组疗效、症状缓解时间、治疗前后的 C 反应</w:t>
      </w:r>
      <w:r>
        <w:rPr>
          <w:color w:val="231F20"/>
          <w:spacing w:val="1"/>
        </w:rPr>
        <w:t xml:space="preserve">  </w:t>
      </w:r>
      <w:r>
        <w:rPr>
          <w:color w:val="231F20"/>
          <w:spacing w:val="1"/>
        </w:rPr>
        <w:t>蛋白水平及不良反应情况。结果：与对照组相比研究组治疗总有效率较</w:t>
      </w:r>
      <w:r>
        <w:rPr>
          <w:color w:val="231F20"/>
        </w:rPr>
        <w:t>高（</w:t>
      </w:r>
      <w:r>
        <w:rPr>
          <w:rFonts w:ascii="Times New Roman" w:hAnsi="Times New Roman" w:eastAsia="Times New Roman" w:cs="Times New Roman"/>
          <w:color w:val="231F20"/>
        </w:rPr>
        <w:t>P</w:t>
      </w:r>
      <w:r>
        <w:rPr>
          <w:color w:val="231F20"/>
        </w:rPr>
        <w:t>&lt;0.05</w:t>
      </w:r>
      <w:r>
        <w:rPr>
          <w:color w:val="231F20"/>
          <w:spacing w:val="-42"/>
        </w:rPr>
        <w:t>）；</w:t>
      </w:r>
      <w:r>
        <w:rPr>
          <w:color w:val="231F20"/>
          <w:spacing w:val="-4"/>
        </w:rPr>
        <w:t xml:space="preserve"> </w:t>
      </w:r>
      <w:r>
        <w:rPr>
          <w:color w:val="231F20"/>
        </w:rPr>
        <w:t>与对照组相比研究组症状缓解时间较早，住  </w:t>
      </w:r>
      <w:r>
        <w:rPr>
          <w:color w:val="231F20"/>
          <w:spacing w:val="-6"/>
        </w:rPr>
        <w:t>院时间较短（</w:t>
      </w:r>
      <w:r>
        <w:rPr>
          <w:rFonts w:ascii="Times New Roman" w:hAnsi="Times New Roman" w:eastAsia="Times New Roman" w:cs="Times New Roman"/>
          <w:color w:val="231F20"/>
          <w:spacing w:val="-6"/>
        </w:rPr>
        <w:t>P</w:t>
      </w:r>
      <w:r>
        <w:rPr>
          <w:color w:val="231F20"/>
          <w:spacing w:val="-6"/>
        </w:rPr>
        <w:t>&lt;0.05</w:t>
      </w:r>
      <w:r>
        <w:rPr>
          <w:color w:val="231F20"/>
          <w:spacing w:val="-35"/>
          <w:w w:val="82"/>
        </w:rPr>
        <w:t>）；</w:t>
      </w:r>
      <w:r>
        <w:rPr>
          <w:color w:val="231F20"/>
          <w:spacing w:val="-6"/>
        </w:rPr>
        <w:t>与对照组治疗后相比研究组 CRP 水平较低（</w:t>
      </w:r>
      <w:r>
        <w:rPr>
          <w:color w:val="231F20"/>
          <w:spacing w:val="-19"/>
        </w:rPr>
        <w:t xml:space="preserve"> </w:t>
      </w:r>
      <w:r>
        <w:rPr>
          <w:rFonts w:ascii="Times New Roman" w:hAnsi="Times New Roman" w:eastAsia="Times New Roman" w:cs="Times New Roman"/>
          <w:color w:val="231F20"/>
          <w:spacing w:val="-6"/>
        </w:rPr>
        <w:t>P</w:t>
      </w:r>
      <w:r>
        <w:rPr>
          <w:color w:val="231F20"/>
          <w:spacing w:val="-6"/>
        </w:rPr>
        <w:t>&lt;0</w:t>
      </w:r>
      <w:r>
        <w:rPr>
          <w:color w:val="231F20"/>
          <w:spacing w:val="-7"/>
        </w:rPr>
        <w:t>.05</w:t>
      </w:r>
      <w:r>
        <w:rPr>
          <w:color w:val="231F20"/>
          <w:spacing w:val="-35"/>
          <w:w w:val="82"/>
        </w:rPr>
        <w:t>），</w:t>
      </w:r>
      <w:r>
        <w:rPr>
          <w:color w:val="231F20"/>
          <w:spacing w:val="-7"/>
        </w:rPr>
        <w:t>两组不良反应发生率比较差异无统计学意义（</w:t>
      </w:r>
      <w:r>
        <w:rPr>
          <w:rFonts w:ascii="Times New Roman" w:hAnsi="Times New Roman" w:eastAsia="Times New Roman" w:cs="Times New Roman"/>
          <w:color w:val="231F20"/>
          <w:spacing w:val="-7"/>
        </w:rPr>
        <w:t>P</w:t>
      </w:r>
      <w:r>
        <w:rPr>
          <w:color w:val="231F20"/>
          <w:spacing w:val="-7"/>
        </w:rPr>
        <w:t>&gt;0.05）。</w:t>
      </w:r>
      <w:r>
        <w:rPr>
          <w:color w:val="231F20"/>
        </w:rPr>
        <w:t xml:space="preserve"> </w:t>
      </w:r>
      <w:r>
        <w:rPr>
          <w:color w:val="231F20"/>
          <w:spacing w:val="1"/>
        </w:rPr>
        <w:t>结论：对急性肠胃炎患者采用阿莫西林、奥美拉唑与双歧杆菌相结合的方案，其效果较好，有助于缩短</w:t>
      </w:r>
      <w:r>
        <w:rPr>
          <w:color w:val="231F20"/>
        </w:rPr>
        <w:t>患者病情恢复时间，降低其  </w:t>
      </w:r>
      <w:r>
        <w:rPr>
          <w:color w:val="231F20"/>
          <w:spacing w:val="-3"/>
        </w:rPr>
        <w:t>CRP 水平，且安全性较高，利于临床推广应用。</w:t>
      </w:r>
    </w:p>
    <w:p>
      <w:pPr>
        <w:pStyle w:val="BodyText"/>
        <w:ind w:left="643"/>
        <w:spacing w:line="202" w:lineRule="auto"/>
        <w:rPr/>
      </w:pPr>
      <w:r>
        <w:rPr>
          <w:color w:val="231F20"/>
        </w:rPr>
        <w:t>【关键词】  阿莫西林   奥美拉唑    双歧杆菌   急性肠胃炎</w:t>
      </w:r>
    </w:p>
    <w:p>
      <w:pPr>
        <w:ind w:left="748"/>
        <w:spacing w:before="27" w:line="238" w:lineRule="auto"/>
        <w:rPr>
          <w:rFonts w:ascii="SimHei" w:hAnsi="SimHei" w:eastAsia="SimHei" w:cs="SimHei"/>
          <w:sz w:val="18"/>
          <w:szCs w:val="18"/>
        </w:rPr>
      </w:pPr>
      <w:r>
        <w:rPr>
          <w:rFonts w:ascii="SimHei" w:hAnsi="SimHei" w:eastAsia="SimHei" w:cs="SimHei"/>
          <w:sz w:val="18"/>
          <w:szCs w:val="18"/>
          <w:color w:val="231F20"/>
        </w:rPr>
        <w:t>doi：10.14033/j.cnki.cfmr.2021.30.010</w:t>
      </w:r>
      <w:r>
        <w:rPr>
          <w:rFonts w:ascii="SimHei" w:hAnsi="SimHei" w:eastAsia="SimHei" w:cs="SimHei"/>
          <w:sz w:val="18"/>
          <w:szCs w:val="18"/>
          <w:color w:val="231F20"/>
        </w:rPr>
        <w:t xml:space="preserve">          </w:t>
      </w:r>
      <w:r>
        <w:rPr>
          <w:rFonts w:ascii="SimHei" w:hAnsi="SimHei" w:eastAsia="SimHei" w:cs="SimHei"/>
          <w:sz w:val="18"/>
          <w:szCs w:val="18"/>
          <w:color w:val="231F20"/>
        </w:rPr>
        <w:t>文献标识码</w:t>
      </w:r>
      <w:r>
        <w:rPr>
          <w:rFonts w:ascii="SimHei" w:hAnsi="SimHei" w:eastAsia="SimHei" w:cs="SimHei"/>
          <w:sz w:val="18"/>
          <w:szCs w:val="18"/>
          <w:color w:val="231F20"/>
        </w:rPr>
        <w:t xml:space="preserve">  </w:t>
      </w:r>
      <w:r>
        <w:rPr>
          <w:rFonts w:ascii="SimHei" w:hAnsi="SimHei" w:eastAsia="SimHei" w:cs="SimHei"/>
          <w:sz w:val="18"/>
          <w:szCs w:val="18"/>
          <w:color w:val="231F20"/>
        </w:rPr>
        <w:t>B</w:t>
      </w:r>
      <w:r>
        <w:rPr>
          <w:rFonts w:ascii="SimHei" w:hAnsi="SimHei" w:eastAsia="SimHei" w:cs="SimHei"/>
          <w:sz w:val="18"/>
          <w:szCs w:val="18"/>
          <w:color w:val="231F20"/>
        </w:rPr>
        <w:t xml:space="preserve">      </w:t>
      </w:r>
      <w:r>
        <w:rPr>
          <w:rFonts w:ascii="SimHei" w:hAnsi="SimHei" w:eastAsia="SimHei" w:cs="SimHei"/>
          <w:sz w:val="18"/>
          <w:szCs w:val="18"/>
          <w:color w:val="231F20"/>
          <w:spacing w:val="-1"/>
        </w:rPr>
        <w:t xml:space="preserve">     </w:t>
      </w:r>
      <w:r>
        <w:rPr>
          <w:rFonts w:ascii="SimHei" w:hAnsi="SimHei" w:eastAsia="SimHei" w:cs="SimHei"/>
          <w:sz w:val="18"/>
          <w:szCs w:val="18"/>
          <w:color w:val="231F20"/>
          <w:spacing w:val="-1"/>
        </w:rPr>
        <w:t>文章编号</w:t>
      </w:r>
      <w:r>
        <w:rPr>
          <w:rFonts w:ascii="SimHei" w:hAnsi="SimHei" w:eastAsia="SimHei" w:cs="SimHei"/>
          <w:sz w:val="18"/>
          <w:szCs w:val="18"/>
          <w:color w:val="231F20"/>
          <w:spacing w:val="-1"/>
        </w:rPr>
        <w:t xml:space="preserve">  </w:t>
      </w:r>
      <w:r>
        <w:rPr>
          <w:rFonts w:ascii="SimHei" w:hAnsi="SimHei" w:eastAsia="SimHei" w:cs="SimHei"/>
          <w:sz w:val="18"/>
          <w:szCs w:val="18"/>
          <w:color w:val="231F20"/>
          <w:spacing w:val="-1"/>
        </w:rPr>
        <w:t>1674-6805（2021）30-0037-04</w:t>
      </w:r>
    </w:p>
    <w:p>
      <w:pPr>
        <w:spacing w:line="275" w:lineRule="auto"/>
        <w:rPr>
          <w:rFonts w:ascii="Arial"/>
          <w:sz w:val="21"/>
        </w:rPr>
      </w:pPr>
      <w:r/>
    </w:p>
    <w:p>
      <w:pPr>
        <w:ind w:left="391" w:right="114" w:firstLine="363"/>
        <w:spacing w:before="59" w:line="290" w:lineRule="auto"/>
        <w:rPr>
          <w:rFonts w:ascii="SimSun" w:hAnsi="SimSun" w:eastAsia="SimSun" w:cs="SimSun"/>
          <w:sz w:val="18"/>
          <w:szCs w:val="18"/>
        </w:rPr>
      </w:pPr>
      <w:r>
        <w:rPr>
          <w:rFonts w:ascii="SimSun" w:hAnsi="SimSun" w:eastAsia="SimSun" w:cs="SimSun"/>
          <w:sz w:val="18"/>
          <w:szCs w:val="18"/>
          <w:b/>
          <w:bCs/>
          <w:color w:val="231F20"/>
          <w:spacing w:val="-4"/>
        </w:rPr>
        <w:t>Application</w:t>
      </w:r>
      <w:r>
        <w:rPr>
          <w:rFonts w:ascii="SimSun" w:hAnsi="SimSun" w:eastAsia="SimSun" w:cs="SimSun"/>
          <w:sz w:val="18"/>
          <w:szCs w:val="18"/>
          <w:color w:val="231F20"/>
          <w:spacing w:val="-4"/>
        </w:rPr>
        <w:t xml:space="preserve"> </w:t>
      </w:r>
      <w:r>
        <w:rPr>
          <w:rFonts w:ascii="SimSun" w:hAnsi="SimSun" w:eastAsia="SimSun" w:cs="SimSun"/>
          <w:sz w:val="18"/>
          <w:szCs w:val="18"/>
          <w:b/>
          <w:bCs/>
          <w:color w:val="231F20"/>
          <w:spacing w:val="-4"/>
        </w:rPr>
        <w:t>Value</w:t>
      </w:r>
      <w:r>
        <w:rPr>
          <w:rFonts w:ascii="SimSun" w:hAnsi="SimSun" w:eastAsia="SimSun" w:cs="SimSun"/>
          <w:sz w:val="18"/>
          <w:szCs w:val="18"/>
          <w:color w:val="231F20"/>
          <w:spacing w:val="-4"/>
        </w:rPr>
        <w:t xml:space="preserve"> </w:t>
      </w:r>
      <w:r>
        <w:rPr>
          <w:rFonts w:ascii="SimSun" w:hAnsi="SimSun" w:eastAsia="SimSun" w:cs="SimSun"/>
          <w:sz w:val="18"/>
          <w:szCs w:val="18"/>
          <w:b/>
          <w:bCs/>
          <w:color w:val="231F20"/>
          <w:spacing w:val="-4"/>
        </w:rPr>
        <w:t>of</w:t>
      </w:r>
      <w:r>
        <w:rPr>
          <w:rFonts w:ascii="SimSun" w:hAnsi="SimSun" w:eastAsia="SimSun" w:cs="SimSun"/>
          <w:sz w:val="18"/>
          <w:szCs w:val="18"/>
          <w:color w:val="231F20"/>
          <w:spacing w:val="-29"/>
        </w:rPr>
        <w:t xml:space="preserve"> </w:t>
      </w:r>
      <w:r>
        <w:rPr>
          <w:rFonts w:ascii="SimSun" w:hAnsi="SimSun" w:eastAsia="SimSun" w:cs="SimSun"/>
          <w:sz w:val="18"/>
          <w:szCs w:val="18"/>
          <w:b/>
          <w:bCs/>
          <w:color w:val="231F20"/>
          <w:spacing w:val="-4"/>
        </w:rPr>
        <w:t>Amoxicillin,</w:t>
      </w:r>
      <w:r>
        <w:rPr>
          <w:rFonts w:ascii="SimSun" w:hAnsi="SimSun" w:eastAsia="SimSun" w:cs="SimSun"/>
          <w:sz w:val="18"/>
          <w:szCs w:val="18"/>
          <w:color w:val="231F20"/>
          <w:spacing w:val="-4"/>
        </w:rPr>
        <w:t xml:space="preserve"> </w:t>
      </w:r>
      <w:r>
        <w:rPr>
          <w:rFonts w:ascii="SimSun" w:hAnsi="SimSun" w:eastAsia="SimSun" w:cs="SimSun"/>
          <w:sz w:val="18"/>
          <w:szCs w:val="18"/>
          <w:b/>
          <w:bCs/>
          <w:color w:val="231F20"/>
          <w:spacing w:val="-4"/>
        </w:rPr>
        <w:t>Omeprazole</w:t>
      </w:r>
      <w:r>
        <w:rPr>
          <w:rFonts w:ascii="SimSun" w:hAnsi="SimSun" w:eastAsia="SimSun" w:cs="SimSun"/>
          <w:sz w:val="18"/>
          <w:szCs w:val="18"/>
          <w:color w:val="231F20"/>
          <w:spacing w:val="-4"/>
        </w:rPr>
        <w:t xml:space="preserve"> </w:t>
      </w:r>
      <w:r>
        <w:rPr>
          <w:rFonts w:ascii="SimSun" w:hAnsi="SimSun" w:eastAsia="SimSun" w:cs="SimSun"/>
          <w:sz w:val="18"/>
          <w:szCs w:val="18"/>
          <w:b/>
          <w:bCs/>
          <w:color w:val="231F20"/>
          <w:spacing w:val="-4"/>
        </w:rPr>
        <w:t>Combined</w:t>
      </w:r>
      <w:r>
        <w:rPr>
          <w:rFonts w:ascii="SimSun" w:hAnsi="SimSun" w:eastAsia="SimSun" w:cs="SimSun"/>
          <w:sz w:val="18"/>
          <w:szCs w:val="18"/>
          <w:color w:val="231F20"/>
          <w:spacing w:val="-5"/>
        </w:rPr>
        <w:t xml:space="preserve"> </w:t>
      </w:r>
      <w:r>
        <w:rPr>
          <w:rFonts w:ascii="SimSun" w:hAnsi="SimSun" w:eastAsia="SimSun" w:cs="SimSun"/>
          <w:sz w:val="18"/>
          <w:szCs w:val="18"/>
          <w:b/>
          <w:bCs/>
          <w:color w:val="231F20"/>
          <w:spacing w:val="-5"/>
        </w:rPr>
        <w:t>with</w:t>
      </w:r>
      <w:r>
        <w:rPr>
          <w:rFonts w:ascii="SimSun" w:hAnsi="SimSun" w:eastAsia="SimSun" w:cs="SimSun"/>
          <w:sz w:val="18"/>
          <w:szCs w:val="18"/>
          <w:color w:val="231F20"/>
          <w:spacing w:val="-5"/>
        </w:rPr>
        <w:t xml:space="preserve"> </w:t>
      </w:r>
      <w:r>
        <w:rPr>
          <w:rFonts w:ascii="SimSun" w:hAnsi="SimSun" w:eastAsia="SimSun" w:cs="SimSun"/>
          <w:sz w:val="18"/>
          <w:szCs w:val="18"/>
          <w:b/>
          <w:bCs/>
          <w:color w:val="231F20"/>
          <w:spacing w:val="-5"/>
        </w:rPr>
        <w:t>Bifidobacteria</w:t>
      </w:r>
      <w:r>
        <w:rPr>
          <w:rFonts w:ascii="SimSun" w:hAnsi="SimSun" w:eastAsia="SimSun" w:cs="SimSun"/>
          <w:sz w:val="18"/>
          <w:szCs w:val="18"/>
          <w:color w:val="231F20"/>
          <w:spacing w:val="-16"/>
        </w:rPr>
        <w:t xml:space="preserve"> </w:t>
      </w:r>
      <w:r>
        <w:rPr>
          <w:rFonts w:ascii="SimSun" w:hAnsi="SimSun" w:eastAsia="SimSun" w:cs="SimSun"/>
          <w:sz w:val="18"/>
          <w:szCs w:val="18"/>
          <w:b/>
          <w:bCs/>
          <w:color w:val="231F20"/>
          <w:spacing w:val="-5"/>
        </w:rPr>
        <w:t>in</w:t>
      </w:r>
      <w:r>
        <w:rPr>
          <w:rFonts w:ascii="SimSun" w:hAnsi="SimSun" w:eastAsia="SimSun" w:cs="SimSun"/>
          <w:sz w:val="18"/>
          <w:szCs w:val="18"/>
          <w:color w:val="231F20"/>
          <w:spacing w:val="-17"/>
        </w:rPr>
        <w:t xml:space="preserve"> </w:t>
      </w:r>
      <w:r>
        <w:rPr>
          <w:rFonts w:ascii="SimSun" w:hAnsi="SimSun" w:eastAsia="SimSun" w:cs="SimSun"/>
          <w:sz w:val="18"/>
          <w:szCs w:val="18"/>
          <w:b/>
          <w:bCs/>
          <w:color w:val="231F20"/>
          <w:spacing w:val="-5"/>
        </w:rPr>
        <w:t>Patients</w:t>
      </w:r>
      <w:r>
        <w:rPr>
          <w:rFonts w:ascii="SimSun" w:hAnsi="SimSun" w:eastAsia="SimSun" w:cs="SimSun"/>
          <w:sz w:val="18"/>
          <w:szCs w:val="18"/>
          <w:color w:val="231F20"/>
          <w:spacing w:val="-15"/>
        </w:rPr>
        <w:t xml:space="preserve"> </w:t>
      </w:r>
      <w:r>
        <w:rPr>
          <w:rFonts w:ascii="SimSun" w:hAnsi="SimSun" w:eastAsia="SimSun" w:cs="SimSun"/>
          <w:sz w:val="18"/>
          <w:szCs w:val="18"/>
          <w:b/>
          <w:bCs/>
          <w:color w:val="231F20"/>
          <w:spacing w:val="-5"/>
        </w:rPr>
        <w:t>with</w:t>
      </w:r>
      <w:r>
        <w:rPr>
          <w:rFonts w:ascii="SimSun" w:hAnsi="SimSun" w:eastAsia="SimSun" w:cs="SimSun"/>
          <w:sz w:val="18"/>
          <w:szCs w:val="18"/>
          <w:color w:val="231F20"/>
          <w:spacing w:val="-19"/>
        </w:rPr>
        <w:t xml:space="preserve"> </w:t>
      </w:r>
      <w:r>
        <w:rPr>
          <w:rFonts w:ascii="SimSun" w:hAnsi="SimSun" w:eastAsia="SimSun" w:cs="SimSun"/>
          <w:sz w:val="18"/>
          <w:szCs w:val="18"/>
          <w:b/>
          <w:bCs/>
          <w:color w:val="231F20"/>
          <w:spacing w:val="-5"/>
        </w:rPr>
        <w:t>Acute</w:t>
      </w:r>
      <w:r>
        <w:rPr>
          <w:rFonts w:ascii="SimSun" w:hAnsi="SimSun" w:eastAsia="SimSun" w:cs="SimSun"/>
          <w:sz w:val="18"/>
          <w:szCs w:val="18"/>
          <w:color w:val="231F20"/>
          <w:spacing w:val="-13"/>
        </w:rPr>
        <w:t xml:space="preserve"> </w:t>
      </w:r>
      <w:r>
        <w:rPr>
          <w:rFonts w:ascii="SimSun" w:hAnsi="SimSun" w:eastAsia="SimSun" w:cs="SimSun"/>
          <w:sz w:val="18"/>
          <w:szCs w:val="18"/>
          <w:b/>
          <w:bCs/>
          <w:color w:val="231F20"/>
          <w:spacing w:val="-5"/>
        </w:rPr>
        <w:t>Gastroenteritis/YU</w:t>
      </w:r>
      <w:r>
        <w:rPr>
          <w:rFonts w:ascii="SimSun" w:hAnsi="SimSun" w:eastAsia="SimSun" w:cs="SimSun"/>
          <w:sz w:val="18"/>
          <w:szCs w:val="18"/>
          <w:color w:val="231F20"/>
        </w:rPr>
        <w:t xml:space="preserve">   </w:t>
      </w:r>
      <w:r>
        <w:rPr>
          <w:rFonts w:ascii="SimSun" w:hAnsi="SimSun" w:eastAsia="SimSun" w:cs="SimSun"/>
          <w:sz w:val="18"/>
          <w:szCs w:val="18"/>
          <w:b/>
          <w:bCs/>
          <w:color w:val="231F20"/>
          <w:spacing w:val="-7"/>
        </w:rPr>
        <w:t>Chunfang.</w:t>
      </w:r>
      <w:r>
        <w:rPr>
          <w:rFonts w:ascii="SimSun" w:hAnsi="SimSun" w:eastAsia="SimSun" w:cs="SimSun"/>
          <w:sz w:val="18"/>
          <w:szCs w:val="18"/>
          <w:color w:val="231F20"/>
          <w:spacing w:val="-48"/>
        </w:rPr>
        <w:t xml:space="preserve"> </w:t>
      </w:r>
      <w:r>
        <w:rPr>
          <w:rFonts w:ascii="SimSun" w:hAnsi="SimSun" w:eastAsia="SimSun" w:cs="SimSun"/>
          <w:sz w:val="18"/>
          <w:szCs w:val="18"/>
          <w:b/>
          <w:bCs/>
          <w:color w:val="231F20"/>
          <w:spacing w:val="-7"/>
        </w:rPr>
        <w:t>//Chinese</w:t>
      </w:r>
      <w:r>
        <w:rPr>
          <w:rFonts w:ascii="SimSun" w:hAnsi="SimSun" w:eastAsia="SimSun" w:cs="SimSun"/>
          <w:sz w:val="18"/>
          <w:szCs w:val="18"/>
          <w:color w:val="231F20"/>
          <w:spacing w:val="-43"/>
        </w:rPr>
        <w:t xml:space="preserve"> </w:t>
      </w:r>
      <w:r>
        <w:rPr>
          <w:rFonts w:ascii="SimSun" w:hAnsi="SimSun" w:eastAsia="SimSun" w:cs="SimSun"/>
          <w:sz w:val="18"/>
          <w:szCs w:val="18"/>
          <w:b/>
          <w:bCs/>
          <w:color w:val="231F20"/>
          <w:spacing w:val="-7"/>
        </w:rPr>
        <w:t>and</w:t>
      </w:r>
      <w:r>
        <w:rPr>
          <w:rFonts w:ascii="SimSun" w:hAnsi="SimSun" w:eastAsia="SimSun" w:cs="SimSun"/>
          <w:sz w:val="18"/>
          <w:szCs w:val="18"/>
          <w:color w:val="231F20"/>
          <w:spacing w:val="-42"/>
        </w:rPr>
        <w:t xml:space="preserve"> </w:t>
      </w:r>
      <w:r>
        <w:rPr>
          <w:rFonts w:ascii="SimSun" w:hAnsi="SimSun" w:eastAsia="SimSun" w:cs="SimSun"/>
          <w:sz w:val="18"/>
          <w:szCs w:val="18"/>
          <w:b/>
          <w:bCs/>
          <w:color w:val="231F20"/>
          <w:spacing w:val="-7"/>
        </w:rPr>
        <w:t>Foreign</w:t>
      </w:r>
      <w:r>
        <w:rPr>
          <w:rFonts w:ascii="SimSun" w:hAnsi="SimSun" w:eastAsia="SimSun" w:cs="SimSun"/>
          <w:sz w:val="18"/>
          <w:szCs w:val="18"/>
          <w:color w:val="231F20"/>
          <w:spacing w:val="-42"/>
        </w:rPr>
        <w:t xml:space="preserve"> </w:t>
      </w:r>
      <w:r>
        <w:rPr>
          <w:rFonts w:ascii="SimSun" w:hAnsi="SimSun" w:eastAsia="SimSun" w:cs="SimSun"/>
          <w:sz w:val="18"/>
          <w:szCs w:val="18"/>
          <w:b/>
          <w:bCs/>
          <w:color w:val="231F20"/>
          <w:spacing w:val="-7"/>
        </w:rPr>
        <w:t>M</w:t>
      </w:r>
      <w:r>
        <w:rPr>
          <w:rFonts w:ascii="SimSun" w:hAnsi="SimSun" w:eastAsia="SimSun" w:cs="SimSun"/>
          <w:sz w:val="18"/>
          <w:szCs w:val="18"/>
          <w:b/>
          <w:bCs/>
          <w:color w:val="231F20"/>
          <w:spacing w:val="-8"/>
        </w:rPr>
        <w:t>edical</w:t>
      </w:r>
      <w:r>
        <w:rPr>
          <w:rFonts w:ascii="SimSun" w:hAnsi="SimSun" w:eastAsia="SimSun" w:cs="SimSun"/>
          <w:sz w:val="18"/>
          <w:szCs w:val="18"/>
          <w:color w:val="231F20"/>
          <w:spacing w:val="-40"/>
        </w:rPr>
        <w:t xml:space="preserve"> </w:t>
      </w:r>
      <w:r>
        <w:rPr>
          <w:rFonts w:ascii="SimSun" w:hAnsi="SimSun" w:eastAsia="SimSun" w:cs="SimSun"/>
          <w:sz w:val="18"/>
          <w:szCs w:val="18"/>
          <w:b/>
          <w:bCs/>
          <w:color w:val="231F20"/>
          <w:spacing w:val="-8"/>
        </w:rPr>
        <w:t>Research,</w:t>
      </w:r>
      <w:r>
        <w:rPr>
          <w:rFonts w:ascii="SimSun" w:hAnsi="SimSun" w:eastAsia="SimSun" w:cs="SimSun"/>
          <w:sz w:val="18"/>
          <w:szCs w:val="18"/>
          <w:color w:val="231F20"/>
          <w:spacing w:val="-42"/>
        </w:rPr>
        <w:t xml:space="preserve"> </w:t>
      </w:r>
      <w:r>
        <w:rPr>
          <w:rFonts w:ascii="SimSun" w:hAnsi="SimSun" w:eastAsia="SimSun" w:cs="SimSun"/>
          <w:sz w:val="18"/>
          <w:szCs w:val="18"/>
          <w:b/>
          <w:bCs/>
          <w:color w:val="231F20"/>
          <w:spacing w:val="-8"/>
        </w:rPr>
        <w:t>2021,</w:t>
      </w:r>
      <w:r>
        <w:rPr>
          <w:rFonts w:ascii="SimSun" w:hAnsi="SimSun" w:eastAsia="SimSun" w:cs="SimSun"/>
          <w:sz w:val="18"/>
          <w:szCs w:val="18"/>
          <w:color w:val="231F20"/>
          <w:spacing w:val="-33"/>
        </w:rPr>
        <w:t xml:space="preserve"> </w:t>
      </w:r>
      <w:r>
        <w:rPr>
          <w:rFonts w:ascii="SimSun" w:hAnsi="SimSun" w:eastAsia="SimSun" w:cs="SimSun"/>
          <w:sz w:val="18"/>
          <w:szCs w:val="18"/>
          <w:b/>
          <w:bCs/>
          <w:color w:val="231F20"/>
          <w:spacing w:val="-8"/>
        </w:rPr>
        <w:t>19(30):</w:t>
      </w:r>
      <w:r>
        <w:rPr>
          <w:rFonts w:ascii="SimSun" w:hAnsi="SimSun" w:eastAsia="SimSun" w:cs="SimSun"/>
          <w:sz w:val="18"/>
          <w:szCs w:val="18"/>
          <w:color w:val="231F20"/>
          <w:spacing w:val="-43"/>
        </w:rPr>
        <w:t xml:space="preserve"> </w:t>
      </w:r>
      <w:r>
        <w:rPr>
          <w:rFonts w:ascii="SimSun" w:hAnsi="SimSun" w:eastAsia="SimSun" w:cs="SimSun"/>
          <w:sz w:val="18"/>
          <w:szCs w:val="18"/>
          <w:b/>
          <w:bCs/>
          <w:color w:val="231F20"/>
          <w:spacing w:val="-8"/>
        </w:rPr>
        <w:t>37-40</w:t>
      </w:r>
    </w:p>
    <w:p>
      <w:pPr>
        <w:pStyle w:val="BodyText"/>
        <w:ind w:left="383" w:right="110" w:firstLine="372"/>
        <w:spacing w:before="11" w:line="222" w:lineRule="auto"/>
        <w:rPr/>
      </w:pPr>
      <w:r>
        <w:rPr>
          <w:rFonts w:ascii="SimSun" w:hAnsi="SimSun" w:eastAsia="SimSun" w:cs="SimSun"/>
          <w:b/>
          <w:bCs/>
          <w:color w:val="231F20"/>
          <w:spacing w:val="-15"/>
        </w:rPr>
        <w:t>[Abstract]</w:t>
      </w:r>
      <w:r>
        <w:rPr>
          <w:rFonts w:ascii="SimSun" w:hAnsi="SimSun" w:eastAsia="SimSun" w:cs="SimSun"/>
          <w:color w:val="231F20"/>
          <w:spacing w:val="-15"/>
        </w:rPr>
        <w:t xml:space="preserve">  </w:t>
      </w:r>
      <w:r>
        <w:rPr>
          <w:rFonts w:ascii="SimSun" w:hAnsi="SimSun" w:eastAsia="SimSun" w:cs="SimSun"/>
          <w:b/>
          <w:bCs/>
          <w:color w:val="231F20"/>
          <w:spacing w:val="-15"/>
        </w:rPr>
        <w:t>Objective:</w:t>
      </w:r>
      <w:r>
        <w:rPr>
          <w:rFonts w:ascii="SimSun" w:hAnsi="SimSun" w:eastAsia="SimSun" w:cs="SimSun"/>
          <w:color w:val="231F20"/>
          <w:spacing w:val="-15"/>
        </w:rPr>
        <w:t xml:space="preserve"> </w:t>
      </w:r>
      <w:r>
        <w:rPr>
          <w:color w:val="231F20"/>
          <w:spacing w:val="-15"/>
        </w:rPr>
        <w:t>To</w:t>
      </w:r>
      <w:r>
        <w:rPr>
          <w:color w:val="231F20"/>
          <w:spacing w:val="17"/>
        </w:rPr>
        <w:t xml:space="preserve"> </w:t>
      </w:r>
      <w:r>
        <w:rPr>
          <w:color w:val="231F20"/>
          <w:spacing w:val="-15"/>
        </w:rPr>
        <w:t>explore</w:t>
      </w:r>
      <w:r>
        <w:rPr>
          <w:color w:val="231F20"/>
          <w:spacing w:val="10"/>
        </w:rPr>
        <w:t xml:space="preserve"> </w:t>
      </w:r>
      <w:r>
        <w:rPr>
          <w:color w:val="231F20"/>
          <w:spacing w:val="-15"/>
        </w:rPr>
        <w:t>the</w:t>
      </w:r>
      <w:r>
        <w:rPr>
          <w:color w:val="231F20"/>
          <w:spacing w:val="14"/>
        </w:rPr>
        <w:t xml:space="preserve"> </w:t>
      </w:r>
      <w:r>
        <w:rPr>
          <w:color w:val="231F20"/>
          <w:spacing w:val="-15"/>
        </w:rPr>
        <w:t>clinical</w:t>
      </w:r>
      <w:r>
        <w:rPr>
          <w:color w:val="231F20"/>
          <w:spacing w:val="12"/>
        </w:rPr>
        <w:t xml:space="preserve"> </w:t>
      </w:r>
      <w:r>
        <w:rPr>
          <w:color w:val="231F20"/>
          <w:spacing w:val="-15"/>
        </w:rPr>
        <w:t>application</w:t>
      </w:r>
      <w:r>
        <w:rPr>
          <w:color w:val="231F20"/>
          <w:spacing w:val="12"/>
        </w:rPr>
        <w:t xml:space="preserve"> </w:t>
      </w:r>
      <w:r>
        <w:rPr>
          <w:color w:val="231F20"/>
          <w:spacing w:val="-15"/>
        </w:rPr>
        <w:t>value</w:t>
      </w:r>
      <w:r>
        <w:rPr>
          <w:color w:val="231F20"/>
          <w:spacing w:val="12"/>
        </w:rPr>
        <w:t xml:space="preserve"> </w:t>
      </w:r>
      <w:r>
        <w:rPr>
          <w:color w:val="231F20"/>
          <w:spacing w:val="-15"/>
        </w:rPr>
        <w:t>of Amoxicillin,</w:t>
      </w:r>
      <w:r>
        <w:rPr>
          <w:color w:val="231F20"/>
          <w:spacing w:val="17"/>
        </w:rPr>
        <w:t xml:space="preserve"> </w:t>
      </w:r>
      <w:r>
        <w:rPr>
          <w:color w:val="231F20"/>
          <w:spacing w:val="-15"/>
        </w:rPr>
        <w:t>Omeprazole</w:t>
      </w:r>
      <w:r>
        <w:rPr>
          <w:color w:val="231F20"/>
          <w:spacing w:val="13"/>
        </w:rPr>
        <w:t xml:space="preserve"> </w:t>
      </w:r>
      <w:r>
        <w:rPr>
          <w:color w:val="231F20"/>
          <w:spacing w:val="-15"/>
        </w:rPr>
        <w:t>combined</w:t>
      </w:r>
      <w:r>
        <w:rPr>
          <w:color w:val="231F20"/>
          <w:spacing w:val="9"/>
        </w:rPr>
        <w:t xml:space="preserve"> </w:t>
      </w:r>
      <w:r>
        <w:rPr>
          <w:color w:val="231F20"/>
          <w:spacing w:val="-15"/>
        </w:rPr>
        <w:t>with</w:t>
      </w:r>
      <w:r>
        <w:rPr>
          <w:color w:val="231F20"/>
          <w:spacing w:val="15"/>
        </w:rPr>
        <w:t xml:space="preserve"> </w:t>
      </w:r>
      <w:r>
        <w:rPr>
          <w:color w:val="231F20"/>
          <w:spacing w:val="-15"/>
        </w:rPr>
        <w:t>Bifidobacterium</w:t>
      </w:r>
      <w:r>
        <w:rPr>
          <w:color w:val="231F20"/>
          <w:spacing w:val="13"/>
        </w:rPr>
        <w:t xml:space="preserve"> </w:t>
      </w:r>
      <w:r>
        <w:rPr>
          <w:color w:val="231F20"/>
          <w:spacing w:val="-15"/>
        </w:rPr>
        <w:t>in</w:t>
      </w:r>
      <w:r>
        <w:rPr>
          <w:color w:val="231F20"/>
          <w:spacing w:val="11"/>
        </w:rPr>
        <w:t xml:space="preserve"> </w:t>
      </w:r>
      <w:r>
        <w:rPr>
          <w:color w:val="231F20"/>
          <w:spacing w:val="-15"/>
        </w:rPr>
        <w:t>patients</w:t>
      </w:r>
      <w:r>
        <w:rPr>
          <w:color w:val="231F20"/>
        </w:rPr>
        <w:t xml:space="preserve"> </w:t>
      </w:r>
      <w:r>
        <w:rPr>
          <w:color w:val="231F20"/>
          <w:spacing w:val="-17"/>
        </w:rPr>
        <w:t>with</w:t>
      </w:r>
      <w:r>
        <w:rPr>
          <w:color w:val="231F20"/>
          <w:spacing w:val="3"/>
        </w:rPr>
        <w:t xml:space="preserve"> </w:t>
      </w:r>
      <w:r>
        <w:rPr>
          <w:color w:val="231F20"/>
          <w:spacing w:val="-17"/>
        </w:rPr>
        <w:t>acute</w:t>
      </w:r>
      <w:r>
        <w:rPr>
          <w:color w:val="231F20"/>
          <w:spacing w:val="5"/>
        </w:rPr>
        <w:t xml:space="preserve"> </w:t>
      </w:r>
      <w:r>
        <w:rPr>
          <w:color w:val="231F20"/>
          <w:spacing w:val="-17"/>
        </w:rPr>
        <w:t>gastroenteritis.</w:t>
      </w:r>
      <w:r>
        <w:rPr>
          <w:color w:val="231F20"/>
          <w:spacing w:val="2"/>
        </w:rPr>
        <w:t xml:space="preserve"> </w:t>
      </w:r>
      <w:r>
        <w:rPr>
          <w:rFonts w:ascii="SimSun" w:hAnsi="SimSun" w:eastAsia="SimSun" w:cs="SimSun"/>
          <w:b/>
          <w:bCs/>
          <w:color w:val="231F20"/>
          <w:spacing w:val="-17"/>
        </w:rPr>
        <w:t>Method:</w:t>
      </w:r>
      <w:r>
        <w:rPr>
          <w:rFonts w:ascii="SimSun" w:hAnsi="SimSun" w:eastAsia="SimSun" w:cs="SimSun"/>
          <w:color w:val="231F20"/>
          <w:spacing w:val="-33"/>
        </w:rPr>
        <w:t xml:space="preserve"> </w:t>
      </w:r>
      <w:r>
        <w:rPr>
          <w:color w:val="231F20"/>
          <w:spacing w:val="-17"/>
        </w:rPr>
        <w:t>A</w:t>
      </w:r>
      <w:r>
        <w:rPr>
          <w:color w:val="231F20"/>
          <w:spacing w:val="2"/>
        </w:rPr>
        <w:t xml:space="preserve"> </w:t>
      </w:r>
      <w:r>
        <w:rPr>
          <w:color w:val="231F20"/>
          <w:spacing w:val="-17"/>
        </w:rPr>
        <w:t>total</w:t>
      </w:r>
      <w:r>
        <w:rPr>
          <w:color w:val="231F20"/>
          <w:spacing w:val="4"/>
        </w:rPr>
        <w:t xml:space="preserve"> </w:t>
      </w:r>
      <w:r>
        <w:rPr>
          <w:color w:val="231F20"/>
          <w:spacing w:val="-17"/>
        </w:rPr>
        <w:t>of 500</w:t>
      </w:r>
      <w:r>
        <w:rPr>
          <w:color w:val="231F20"/>
          <w:spacing w:val="2"/>
        </w:rPr>
        <w:t xml:space="preserve"> </w:t>
      </w:r>
      <w:r>
        <w:rPr>
          <w:color w:val="231F20"/>
          <w:spacing w:val="-17"/>
        </w:rPr>
        <w:t>patients</w:t>
      </w:r>
      <w:r>
        <w:rPr>
          <w:color w:val="231F20"/>
          <w:spacing w:val="1"/>
        </w:rPr>
        <w:t xml:space="preserve"> </w:t>
      </w:r>
      <w:r>
        <w:rPr>
          <w:color w:val="231F20"/>
          <w:spacing w:val="-17"/>
        </w:rPr>
        <w:t>with</w:t>
      </w:r>
      <w:r>
        <w:rPr>
          <w:color w:val="231F20"/>
          <w:spacing w:val="4"/>
        </w:rPr>
        <w:t xml:space="preserve"> </w:t>
      </w:r>
      <w:r>
        <w:rPr>
          <w:color w:val="231F20"/>
          <w:spacing w:val="-17"/>
        </w:rPr>
        <w:t>acute</w:t>
      </w:r>
      <w:r>
        <w:rPr>
          <w:color w:val="231F20"/>
          <w:spacing w:val="5"/>
        </w:rPr>
        <w:t xml:space="preserve"> </w:t>
      </w:r>
      <w:r>
        <w:rPr>
          <w:color w:val="231F20"/>
          <w:spacing w:val="-17"/>
        </w:rPr>
        <w:t>gastroenteritis</w:t>
      </w:r>
      <w:r>
        <w:rPr>
          <w:color w:val="231F20"/>
          <w:spacing w:val="1"/>
        </w:rPr>
        <w:t xml:space="preserve"> </w:t>
      </w:r>
      <w:r>
        <w:rPr>
          <w:color w:val="231F20"/>
          <w:spacing w:val="-17"/>
        </w:rPr>
        <w:t>who</w:t>
      </w:r>
      <w:r>
        <w:rPr>
          <w:color w:val="231F20"/>
          <w:spacing w:val="3"/>
        </w:rPr>
        <w:t xml:space="preserve"> </w:t>
      </w:r>
      <w:r>
        <w:rPr>
          <w:color w:val="231F20"/>
          <w:spacing w:val="-17"/>
        </w:rPr>
        <w:t>received</w:t>
      </w:r>
      <w:r>
        <w:rPr>
          <w:color w:val="231F20"/>
          <w:spacing w:val="2"/>
        </w:rPr>
        <w:t xml:space="preserve"> </w:t>
      </w:r>
      <w:r>
        <w:rPr>
          <w:color w:val="231F20"/>
          <w:spacing w:val="-17"/>
        </w:rPr>
        <w:t>treatment</w:t>
      </w:r>
      <w:r>
        <w:rPr>
          <w:color w:val="231F20"/>
          <w:spacing w:val="5"/>
        </w:rPr>
        <w:t xml:space="preserve"> </w:t>
      </w:r>
      <w:r>
        <w:rPr>
          <w:color w:val="231F20"/>
          <w:spacing w:val="-17"/>
        </w:rPr>
        <w:t>in</w:t>
      </w:r>
      <w:r>
        <w:rPr>
          <w:color w:val="231F20"/>
          <w:spacing w:val="4"/>
        </w:rPr>
        <w:t xml:space="preserve"> </w:t>
      </w:r>
      <w:r>
        <w:rPr>
          <w:color w:val="231F20"/>
          <w:spacing w:val="-17"/>
        </w:rPr>
        <w:t>our</w:t>
      </w:r>
      <w:r>
        <w:rPr>
          <w:color w:val="231F20"/>
          <w:spacing w:val="2"/>
        </w:rPr>
        <w:t xml:space="preserve"> </w:t>
      </w:r>
      <w:r>
        <w:rPr>
          <w:color w:val="231F20"/>
          <w:spacing w:val="-17"/>
        </w:rPr>
        <w:t>hospital from January</w:t>
      </w:r>
      <w:r>
        <w:rPr>
          <w:color w:val="231F20"/>
          <w:spacing w:val="4"/>
        </w:rPr>
        <w:t xml:space="preserve"> </w:t>
      </w:r>
      <w:r>
        <w:rPr>
          <w:color w:val="231F20"/>
          <w:spacing w:val="-17"/>
        </w:rPr>
        <w:t>2018</w:t>
      </w:r>
      <w:r>
        <w:rPr>
          <w:color w:val="231F20"/>
          <w:spacing w:val="1"/>
        </w:rPr>
        <w:t xml:space="preserve"> </w:t>
      </w:r>
      <w:r>
        <w:rPr>
          <w:color w:val="231F20"/>
          <w:spacing w:val="-17"/>
        </w:rPr>
        <w:t>to</w:t>
      </w:r>
      <w:r>
        <w:rPr>
          <w:color w:val="231F20"/>
        </w:rPr>
        <w:t xml:space="preserve"> </w:t>
      </w:r>
      <w:r>
        <w:rPr>
          <w:color w:val="231F20"/>
          <w:spacing w:val="-19"/>
          <w:w w:val="99"/>
        </w:rPr>
        <w:t>December</w:t>
      </w:r>
      <w:r>
        <w:rPr>
          <w:color w:val="231F20"/>
          <w:spacing w:val="15"/>
        </w:rPr>
        <w:t xml:space="preserve"> </w:t>
      </w:r>
      <w:r>
        <w:rPr>
          <w:color w:val="231F20"/>
          <w:spacing w:val="-19"/>
          <w:w w:val="99"/>
        </w:rPr>
        <w:t>2020</w:t>
      </w:r>
      <w:r>
        <w:rPr>
          <w:color w:val="231F20"/>
        </w:rPr>
        <w:t xml:space="preserve"> </w:t>
      </w:r>
      <w:r>
        <w:rPr>
          <w:color w:val="231F20"/>
          <w:spacing w:val="-19"/>
          <w:w w:val="99"/>
        </w:rPr>
        <w:t>were</w:t>
      </w:r>
      <w:r>
        <w:rPr>
          <w:color w:val="231F20"/>
          <w:spacing w:val="5"/>
        </w:rPr>
        <w:t xml:space="preserve"> </w:t>
      </w:r>
      <w:r>
        <w:rPr>
          <w:color w:val="231F20"/>
          <w:spacing w:val="-19"/>
          <w:w w:val="99"/>
        </w:rPr>
        <w:t>selected</w:t>
      </w:r>
      <w:r>
        <w:rPr>
          <w:color w:val="231F20"/>
          <w:spacing w:val="5"/>
        </w:rPr>
        <w:t xml:space="preserve"> </w:t>
      </w:r>
      <w:r>
        <w:rPr>
          <w:color w:val="231F20"/>
          <w:spacing w:val="-19"/>
          <w:w w:val="99"/>
        </w:rPr>
        <w:t>as</w:t>
      </w:r>
      <w:r>
        <w:rPr>
          <w:color w:val="231F20"/>
          <w:spacing w:val="1"/>
        </w:rPr>
        <w:t xml:space="preserve"> </w:t>
      </w:r>
      <w:r>
        <w:rPr>
          <w:color w:val="231F20"/>
          <w:spacing w:val="-19"/>
          <w:w w:val="99"/>
        </w:rPr>
        <w:t>the</w:t>
      </w:r>
      <w:r>
        <w:rPr>
          <w:color w:val="231F20"/>
          <w:spacing w:val="6"/>
        </w:rPr>
        <w:t xml:space="preserve"> </w:t>
      </w:r>
      <w:r>
        <w:rPr>
          <w:color w:val="231F20"/>
          <w:spacing w:val="-19"/>
          <w:w w:val="99"/>
        </w:rPr>
        <w:t>study</w:t>
      </w:r>
      <w:r>
        <w:rPr>
          <w:color w:val="231F20"/>
          <w:spacing w:val="5"/>
        </w:rPr>
        <w:t xml:space="preserve"> </w:t>
      </w:r>
      <w:r>
        <w:rPr>
          <w:color w:val="231F20"/>
          <w:spacing w:val="-19"/>
          <w:w w:val="99"/>
        </w:rPr>
        <w:t>subjects</w:t>
      </w:r>
      <w:r>
        <w:rPr>
          <w:color w:val="231F20"/>
          <w:spacing w:val="4"/>
        </w:rPr>
        <w:t xml:space="preserve"> </w:t>
      </w:r>
      <w:r>
        <w:rPr>
          <w:color w:val="231F20"/>
          <w:spacing w:val="-19"/>
          <w:w w:val="99"/>
        </w:rPr>
        <w:t>and</w:t>
      </w:r>
      <w:r>
        <w:rPr>
          <w:color w:val="231F20"/>
          <w:spacing w:val="3"/>
        </w:rPr>
        <w:t xml:space="preserve"> </w:t>
      </w:r>
      <w:r>
        <w:rPr>
          <w:color w:val="231F20"/>
          <w:spacing w:val="-19"/>
          <w:w w:val="99"/>
        </w:rPr>
        <w:t>randomly</w:t>
      </w:r>
      <w:r>
        <w:rPr>
          <w:color w:val="231F20"/>
          <w:spacing w:val="5"/>
        </w:rPr>
        <w:t xml:space="preserve"> </w:t>
      </w:r>
      <w:r>
        <w:rPr>
          <w:color w:val="231F20"/>
          <w:spacing w:val="-19"/>
          <w:w w:val="99"/>
        </w:rPr>
        <w:t>divided</w:t>
      </w:r>
      <w:r>
        <w:rPr>
          <w:color w:val="231F20"/>
          <w:spacing w:val="4"/>
        </w:rPr>
        <w:t xml:space="preserve"> </w:t>
      </w:r>
      <w:r>
        <w:rPr>
          <w:color w:val="231F20"/>
          <w:spacing w:val="-19"/>
          <w:w w:val="99"/>
        </w:rPr>
        <w:t>into</w:t>
      </w:r>
      <w:r>
        <w:rPr>
          <w:color w:val="231F20"/>
          <w:spacing w:val="6"/>
        </w:rPr>
        <w:t xml:space="preserve"> </w:t>
      </w:r>
      <w:r>
        <w:rPr>
          <w:color w:val="231F20"/>
          <w:spacing w:val="-19"/>
          <w:w w:val="99"/>
        </w:rPr>
        <w:t>study</w:t>
      </w:r>
      <w:r>
        <w:rPr>
          <w:color w:val="231F20"/>
          <w:spacing w:val="4"/>
        </w:rPr>
        <w:t xml:space="preserve"> </w:t>
      </w:r>
      <w:r>
        <w:rPr>
          <w:color w:val="231F20"/>
          <w:spacing w:val="-19"/>
          <w:w w:val="99"/>
        </w:rPr>
        <w:t>group</w:t>
      </w:r>
      <w:r>
        <w:rPr>
          <w:color w:val="231F20"/>
          <w:spacing w:val="8"/>
        </w:rPr>
        <w:t xml:space="preserve"> </w:t>
      </w:r>
      <w:r>
        <w:rPr>
          <w:color w:val="231F20"/>
          <w:spacing w:val="-19"/>
          <w:w w:val="99"/>
        </w:rPr>
        <w:t>(</w:t>
      </w:r>
      <w:r>
        <w:rPr>
          <w:rFonts w:ascii="Times New Roman" w:hAnsi="Times New Roman" w:eastAsia="Times New Roman" w:cs="Times New Roman"/>
          <w:color w:val="231F20"/>
          <w:spacing w:val="-19"/>
          <w:w w:val="99"/>
        </w:rPr>
        <w:t>n</w:t>
      </w:r>
      <w:r>
        <w:rPr>
          <w:color w:val="231F20"/>
          <w:spacing w:val="-19"/>
          <w:w w:val="99"/>
        </w:rPr>
        <w:t>=250)</w:t>
      </w:r>
      <w:r>
        <w:rPr>
          <w:color w:val="231F20"/>
          <w:spacing w:val="4"/>
        </w:rPr>
        <w:t xml:space="preserve"> </w:t>
      </w:r>
      <w:r>
        <w:rPr>
          <w:color w:val="231F20"/>
          <w:spacing w:val="-19"/>
          <w:w w:val="99"/>
        </w:rPr>
        <w:t>and</w:t>
      </w:r>
      <w:r>
        <w:rPr>
          <w:color w:val="231F20"/>
          <w:spacing w:val="4"/>
        </w:rPr>
        <w:t xml:space="preserve"> </w:t>
      </w:r>
      <w:r>
        <w:rPr>
          <w:color w:val="231F20"/>
          <w:spacing w:val="-19"/>
          <w:w w:val="99"/>
        </w:rPr>
        <w:t>control</w:t>
      </w:r>
      <w:r>
        <w:rPr>
          <w:color w:val="231F20"/>
          <w:spacing w:val="5"/>
        </w:rPr>
        <w:t xml:space="preserve"> </w:t>
      </w:r>
      <w:r>
        <w:rPr>
          <w:color w:val="231F20"/>
          <w:spacing w:val="-19"/>
          <w:w w:val="99"/>
        </w:rPr>
        <w:t>group</w:t>
      </w:r>
      <w:r>
        <w:rPr>
          <w:color w:val="231F20"/>
          <w:spacing w:val="8"/>
        </w:rPr>
        <w:t xml:space="preserve"> </w:t>
      </w:r>
      <w:r>
        <w:rPr>
          <w:color w:val="231F20"/>
          <w:spacing w:val="-19"/>
          <w:w w:val="99"/>
        </w:rPr>
        <w:t>(</w:t>
      </w:r>
      <w:r>
        <w:rPr>
          <w:rFonts w:ascii="Times New Roman" w:hAnsi="Times New Roman" w:eastAsia="Times New Roman" w:cs="Times New Roman"/>
          <w:color w:val="231F20"/>
          <w:spacing w:val="-19"/>
          <w:w w:val="99"/>
        </w:rPr>
        <w:t>n</w:t>
      </w:r>
      <w:r>
        <w:rPr>
          <w:color w:val="231F20"/>
          <w:spacing w:val="-19"/>
          <w:w w:val="99"/>
        </w:rPr>
        <w:t>=250).</w:t>
      </w:r>
      <w:r>
        <w:rPr>
          <w:color w:val="231F20"/>
          <w:spacing w:val="1"/>
        </w:rPr>
        <w:t xml:space="preserve"> </w:t>
      </w:r>
      <w:r>
        <w:rPr>
          <w:color w:val="231F20"/>
          <w:spacing w:val="-19"/>
          <w:w w:val="99"/>
        </w:rPr>
        <w:t>The</w:t>
      </w:r>
      <w:r>
        <w:rPr>
          <w:color w:val="231F20"/>
          <w:spacing w:val="4"/>
        </w:rPr>
        <w:t xml:space="preserve"> </w:t>
      </w:r>
      <w:r>
        <w:rPr>
          <w:color w:val="231F20"/>
          <w:spacing w:val="-19"/>
          <w:w w:val="99"/>
        </w:rPr>
        <w:t>control</w:t>
      </w:r>
      <w:r>
        <w:rPr>
          <w:color w:val="231F20"/>
          <w:spacing w:val="5"/>
        </w:rPr>
        <w:t xml:space="preserve"> </w:t>
      </w:r>
      <w:r>
        <w:rPr>
          <w:color w:val="231F20"/>
          <w:spacing w:val="-19"/>
          <w:w w:val="99"/>
        </w:rPr>
        <w:t>group</w:t>
      </w:r>
      <w:r>
        <w:rPr>
          <w:color w:val="231F20"/>
        </w:rPr>
        <w:t xml:space="preserve"> </w:t>
      </w:r>
      <w:r>
        <w:rPr>
          <w:color w:val="231F20"/>
          <w:spacing w:val="-14"/>
        </w:rPr>
        <w:t>was</w:t>
      </w:r>
      <w:r>
        <w:rPr>
          <w:color w:val="231F20"/>
          <w:spacing w:val="16"/>
          <w:w w:val="101"/>
        </w:rPr>
        <w:t xml:space="preserve"> </w:t>
      </w:r>
      <w:r>
        <w:rPr>
          <w:color w:val="231F20"/>
          <w:spacing w:val="-14"/>
        </w:rPr>
        <w:t>treated</w:t>
      </w:r>
      <w:r>
        <w:rPr>
          <w:color w:val="231F20"/>
          <w:spacing w:val="14"/>
          <w:w w:val="101"/>
        </w:rPr>
        <w:t xml:space="preserve"> </w:t>
      </w:r>
      <w:r>
        <w:rPr>
          <w:color w:val="231F20"/>
          <w:spacing w:val="-14"/>
        </w:rPr>
        <w:t>with</w:t>
      </w:r>
      <w:r>
        <w:rPr>
          <w:color w:val="231F20"/>
          <w:spacing w:val="17"/>
          <w:w w:val="101"/>
        </w:rPr>
        <w:t xml:space="preserve"> </w:t>
      </w:r>
      <w:r>
        <w:rPr>
          <w:color w:val="231F20"/>
          <w:spacing w:val="-14"/>
        </w:rPr>
        <w:t>Amoxicillin</w:t>
      </w:r>
      <w:r>
        <w:rPr>
          <w:color w:val="231F20"/>
          <w:spacing w:val="18"/>
        </w:rPr>
        <w:t xml:space="preserve"> </w:t>
      </w:r>
      <w:r>
        <w:rPr>
          <w:color w:val="231F20"/>
          <w:spacing w:val="-14"/>
        </w:rPr>
        <w:t>a</w:t>
      </w:r>
      <w:r>
        <w:rPr>
          <w:color w:val="231F20"/>
          <w:spacing w:val="-15"/>
        </w:rPr>
        <w:t>nd</w:t>
      </w:r>
      <w:r>
        <w:rPr>
          <w:color w:val="231F20"/>
          <w:spacing w:val="22"/>
        </w:rPr>
        <w:t xml:space="preserve"> </w:t>
      </w:r>
      <w:r>
        <w:rPr>
          <w:color w:val="231F20"/>
          <w:spacing w:val="-15"/>
        </w:rPr>
        <w:t>Omeprazole,</w:t>
      </w:r>
      <w:r>
        <w:rPr>
          <w:color w:val="231F20"/>
          <w:spacing w:val="14"/>
          <w:w w:val="101"/>
        </w:rPr>
        <w:t xml:space="preserve"> </w:t>
      </w:r>
      <w:r>
        <w:rPr>
          <w:color w:val="231F20"/>
          <w:spacing w:val="-15"/>
        </w:rPr>
        <w:t>while</w:t>
      </w:r>
      <w:r>
        <w:rPr>
          <w:color w:val="231F20"/>
          <w:spacing w:val="16"/>
          <w:w w:val="101"/>
        </w:rPr>
        <w:t xml:space="preserve"> </w:t>
      </w:r>
      <w:r>
        <w:rPr>
          <w:color w:val="231F20"/>
          <w:spacing w:val="-15"/>
        </w:rPr>
        <w:t>the</w:t>
      </w:r>
      <w:r>
        <w:rPr>
          <w:color w:val="231F20"/>
          <w:spacing w:val="20"/>
        </w:rPr>
        <w:t xml:space="preserve"> </w:t>
      </w:r>
      <w:r>
        <w:rPr>
          <w:color w:val="231F20"/>
          <w:spacing w:val="-15"/>
        </w:rPr>
        <w:t>study</w:t>
      </w:r>
      <w:r>
        <w:rPr>
          <w:color w:val="231F20"/>
          <w:spacing w:val="19"/>
        </w:rPr>
        <w:t xml:space="preserve"> </w:t>
      </w:r>
      <w:r>
        <w:rPr>
          <w:color w:val="231F20"/>
          <w:spacing w:val="-15"/>
        </w:rPr>
        <w:t>group</w:t>
      </w:r>
      <w:r>
        <w:rPr>
          <w:color w:val="231F20"/>
          <w:spacing w:val="14"/>
          <w:w w:val="101"/>
        </w:rPr>
        <w:t xml:space="preserve"> </w:t>
      </w:r>
      <w:r>
        <w:rPr>
          <w:color w:val="231F20"/>
          <w:spacing w:val="-15"/>
        </w:rPr>
        <w:t>was</w:t>
      </w:r>
      <w:r>
        <w:rPr>
          <w:color w:val="231F20"/>
          <w:spacing w:val="16"/>
        </w:rPr>
        <w:t xml:space="preserve"> </w:t>
      </w:r>
      <w:r>
        <w:rPr>
          <w:color w:val="231F20"/>
          <w:spacing w:val="-15"/>
        </w:rPr>
        <w:t>treated</w:t>
      </w:r>
      <w:r>
        <w:rPr>
          <w:color w:val="231F20"/>
          <w:spacing w:val="15"/>
        </w:rPr>
        <w:t xml:space="preserve"> </w:t>
      </w:r>
      <w:r>
        <w:rPr>
          <w:color w:val="231F20"/>
          <w:spacing w:val="-15"/>
        </w:rPr>
        <w:t>with</w:t>
      </w:r>
      <w:r>
        <w:rPr>
          <w:color w:val="231F20"/>
          <w:spacing w:val="17"/>
        </w:rPr>
        <w:t xml:space="preserve"> </w:t>
      </w:r>
      <w:r>
        <w:rPr>
          <w:color w:val="231F20"/>
          <w:spacing w:val="-15"/>
        </w:rPr>
        <w:t>Amoxicillin,</w:t>
      </w:r>
      <w:r>
        <w:rPr>
          <w:color w:val="231F20"/>
          <w:spacing w:val="22"/>
        </w:rPr>
        <w:t xml:space="preserve"> </w:t>
      </w:r>
      <w:r>
        <w:rPr>
          <w:color w:val="231F20"/>
          <w:spacing w:val="-15"/>
        </w:rPr>
        <w:t>Omeprazole</w:t>
      </w:r>
      <w:r>
        <w:rPr>
          <w:color w:val="231F20"/>
          <w:spacing w:val="18"/>
          <w:w w:val="101"/>
        </w:rPr>
        <w:t xml:space="preserve"> </w:t>
      </w:r>
      <w:r>
        <w:rPr>
          <w:color w:val="231F20"/>
          <w:spacing w:val="-15"/>
        </w:rPr>
        <w:t>and</w:t>
      </w:r>
      <w:r>
        <w:rPr>
          <w:color w:val="231F20"/>
          <w:spacing w:val="20"/>
        </w:rPr>
        <w:t xml:space="preserve"> </w:t>
      </w:r>
      <w:r>
        <w:rPr>
          <w:color w:val="231F20"/>
          <w:spacing w:val="-15"/>
        </w:rPr>
        <w:t>Bifidobacterium.</w:t>
      </w:r>
      <w:r>
        <w:rPr>
          <w:color w:val="231F20"/>
          <w:spacing w:val="15"/>
          <w:w w:val="101"/>
        </w:rPr>
        <w:t xml:space="preserve"> </w:t>
      </w:r>
      <w:r>
        <w:rPr>
          <w:color w:val="231F20"/>
          <w:spacing w:val="-15"/>
        </w:rPr>
        <w:t>The</w:t>
      </w:r>
      <w:r>
        <w:rPr>
          <w:color w:val="231F20"/>
        </w:rPr>
        <w:t xml:space="preserve"> </w:t>
      </w:r>
      <w:r>
        <w:rPr>
          <w:color w:val="231F20"/>
          <w:spacing w:val="-15"/>
        </w:rPr>
        <w:t>efficacy,</w:t>
      </w:r>
      <w:r>
        <w:rPr>
          <w:color w:val="231F20"/>
          <w:spacing w:val="21"/>
        </w:rPr>
        <w:t xml:space="preserve"> </w:t>
      </w:r>
      <w:r>
        <w:rPr>
          <w:color w:val="231F20"/>
          <w:spacing w:val="-15"/>
        </w:rPr>
        <w:t>symptom</w:t>
      </w:r>
      <w:r>
        <w:rPr>
          <w:color w:val="231F20"/>
          <w:spacing w:val="18"/>
        </w:rPr>
        <w:t xml:space="preserve"> </w:t>
      </w:r>
      <w:r>
        <w:rPr>
          <w:color w:val="231F20"/>
          <w:spacing w:val="-15"/>
        </w:rPr>
        <w:t>relief</w:t>
      </w:r>
      <w:r>
        <w:rPr>
          <w:color w:val="231F20"/>
          <w:spacing w:val="6"/>
        </w:rPr>
        <w:t xml:space="preserve"> </w:t>
      </w:r>
      <w:r>
        <w:rPr>
          <w:color w:val="231F20"/>
          <w:spacing w:val="-15"/>
        </w:rPr>
        <w:t>time,</w:t>
      </w:r>
      <w:r>
        <w:rPr>
          <w:color w:val="231F20"/>
          <w:spacing w:val="22"/>
        </w:rPr>
        <w:t xml:space="preserve"> </w:t>
      </w:r>
      <w:r>
        <w:rPr>
          <w:color w:val="231F20"/>
          <w:spacing w:val="-15"/>
        </w:rPr>
        <w:t>C-reactive</w:t>
      </w:r>
      <w:r>
        <w:rPr>
          <w:color w:val="231F20"/>
          <w:spacing w:val="18"/>
        </w:rPr>
        <w:t xml:space="preserve"> </w:t>
      </w:r>
      <w:r>
        <w:rPr>
          <w:color w:val="231F20"/>
          <w:spacing w:val="-15"/>
        </w:rPr>
        <w:t>protein</w:t>
      </w:r>
      <w:r>
        <w:rPr>
          <w:color w:val="231F20"/>
          <w:spacing w:val="18"/>
        </w:rPr>
        <w:t xml:space="preserve"> </w:t>
      </w:r>
      <w:r>
        <w:rPr>
          <w:color w:val="231F20"/>
          <w:spacing w:val="-15"/>
        </w:rPr>
        <w:t>level</w:t>
      </w:r>
      <w:r>
        <w:rPr>
          <w:color w:val="231F20"/>
          <w:spacing w:val="18"/>
          <w:w w:val="101"/>
        </w:rPr>
        <w:t xml:space="preserve"> </w:t>
      </w:r>
      <w:r>
        <w:rPr>
          <w:color w:val="231F20"/>
          <w:spacing w:val="-15"/>
        </w:rPr>
        <w:t>before</w:t>
      </w:r>
      <w:r>
        <w:rPr>
          <w:color w:val="231F20"/>
          <w:spacing w:val="19"/>
        </w:rPr>
        <w:t xml:space="preserve"> </w:t>
      </w:r>
      <w:r>
        <w:rPr>
          <w:color w:val="231F20"/>
          <w:spacing w:val="-15"/>
        </w:rPr>
        <w:t>and</w:t>
      </w:r>
      <w:r>
        <w:rPr>
          <w:color w:val="231F20"/>
          <w:spacing w:val="19"/>
        </w:rPr>
        <w:t xml:space="preserve"> </w:t>
      </w:r>
      <w:r>
        <w:rPr>
          <w:color w:val="231F20"/>
          <w:spacing w:val="-15"/>
        </w:rPr>
        <w:t>after</w:t>
      </w:r>
      <w:r>
        <w:rPr>
          <w:color w:val="231F20"/>
          <w:spacing w:val="16"/>
        </w:rPr>
        <w:t xml:space="preserve"> </w:t>
      </w:r>
      <w:r>
        <w:rPr>
          <w:color w:val="231F20"/>
          <w:spacing w:val="-15"/>
        </w:rPr>
        <w:t>treatment</w:t>
      </w:r>
      <w:r>
        <w:rPr>
          <w:color w:val="231F20"/>
          <w:spacing w:val="19"/>
        </w:rPr>
        <w:t xml:space="preserve"> </w:t>
      </w:r>
      <w:r>
        <w:rPr>
          <w:color w:val="231F20"/>
          <w:spacing w:val="-15"/>
        </w:rPr>
        <w:t>and</w:t>
      </w:r>
      <w:r>
        <w:rPr>
          <w:color w:val="231F20"/>
          <w:spacing w:val="19"/>
        </w:rPr>
        <w:t xml:space="preserve"> </w:t>
      </w:r>
      <w:r>
        <w:rPr>
          <w:color w:val="231F20"/>
          <w:spacing w:val="-15"/>
        </w:rPr>
        <w:t>a</w:t>
      </w:r>
      <w:r>
        <w:rPr>
          <w:color w:val="231F20"/>
          <w:spacing w:val="-16"/>
        </w:rPr>
        <w:t>dverse</w:t>
      </w:r>
      <w:r>
        <w:rPr>
          <w:color w:val="231F20"/>
          <w:spacing w:val="18"/>
        </w:rPr>
        <w:t xml:space="preserve"> </w:t>
      </w:r>
      <w:r>
        <w:rPr>
          <w:color w:val="231F20"/>
          <w:spacing w:val="-16"/>
        </w:rPr>
        <w:t>reactions</w:t>
      </w:r>
      <w:r>
        <w:rPr>
          <w:color w:val="231F20"/>
          <w:spacing w:val="15"/>
          <w:w w:val="101"/>
        </w:rPr>
        <w:t xml:space="preserve"> </w:t>
      </w:r>
      <w:r>
        <w:rPr>
          <w:color w:val="231F20"/>
          <w:spacing w:val="-16"/>
        </w:rPr>
        <w:t>were</w:t>
      </w:r>
      <w:r>
        <w:rPr>
          <w:color w:val="231F20"/>
          <w:spacing w:val="20"/>
        </w:rPr>
        <w:t xml:space="preserve"> </w:t>
      </w:r>
      <w:r>
        <w:rPr>
          <w:color w:val="231F20"/>
          <w:spacing w:val="-16"/>
        </w:rPr>
        <w:t>compared</w:t>
      </w:r>
      <w:r>
        <w:rPr>
          <w:color w:val="231F20"/>
          <w:spacing w:val="18"/>
        </w:rPr>
        <w:t xml:space="preserve"> </w:t>
      </w:r>
      <w:r>
        <w:rPr>
          <w:color w:val="231F20"/>
          <w:spacing w:val="-16"/>
        </w:rPr>
        <w:t>between</w:t>
      </w:r>
      <w:r>
        <w:rPr>
          <w:color w:val="231F20"/>
          <w:spacing w:val="17"/>
          <w:w w:val="101"/>
        </w:rPr>
        <w:t xml:space="preserve"> </w:t>
      </w:r>
      <w:r>
        <w:rPr>
          <w:color w:val="231F20"/>
          <w:spacing w:val="-16"/>
        </w:rPr>
        <w:t>the</w:t>
      </w:r>
      <w:r>
        <w:rPr>
          <w:color w:val="231F20"/>
          <w:spacing w:val="17"/>
        </w:rPr>
        <w:t xml:space="preserve"> </w:t>
      </w:r>
      <w:r>
        <w:rPr>
          <w:color w:val="231F20"/>
          <w:spacing w:val="-16"/>
        </w:rPr>
        <w:t>two</w:t>
      </w:r>
      <w:r>
        <w:rPr>
          <w:color w:val="231F20"/>
        </w:rPr>
        <w:t xml:space="preserve"> </w:t>
      </w:r>
      <w:r>
        <w:rPr>
          <w:color w:val="231F20"/>
          <w:spacing w:val="-19"/>
        </w:rPr>
        <w:t>groups.</w:t>
      </w:r>
      <w:r>
        <w:rPr>
          <w:color w:val="231F20"/>
          <w:spacing w:val="23"/>
        </w:rPr>
        <w:t xml:space="preserve"> </w:t>
      </w:r>
      <w:r>
        <w:rPr>
          <w:rFonts w:ascii="SimSun" w:hAnsi="SimSun" w:eastAsia="SimSun" w:cs="SimSun"/>
          <w:b/>
          <w:bCs/>
          <w:color w:val="231F20"/>
          <w:spacing w:val="-19"/>
        </w:rPr>
        <w:t>Result:</w:t>
      </w:r>
      <w:r>
        <w:rPr>
          <w:rFonts w:ascii="SimSun" w:hAnsi="SimSun" w:eastAsia="SimSun" w:cs="SimSun"/>
          <w:color w:val="231F20"/>
          <w:spacing w:val="-34"/>
        </w:rPr>
        <w:t xml:space="preserve"> </w:t>
      </w:r>
      <w:r>
        <w:rPr>
          <w:color w:val="231F20"/>
          <w:spacing w:val="-19"/>
        </w:rPr>
        <w:t>Compared with the</w:t>
      </w:r>
      <w:r>
        <w:rPr>
          <w:color w:val="231F20"/>
          <w:spacing w:val="1"/>
        </w:rPr>
        <w:t xml:space="preserve"> </w:t>
      </w:r>
      <w:r>
        <w:rPr>
          <w:color w:val="231F20"/>
          <w:spacing w:val="-19"/>
        </w:rPr>
        <w:t>control</w:t>
      </w:r>
      <w:r>
        <w:rPr>
          <w:color w:val="231F20"/>
          <w:spacing w:val="1"/>
        </w:rPr>
        <w:t xml:space="preserve"> </w:t>
      </w:r>
      <w:r>
        <w:rPr>
          <w:color w:val="231F20"/>
          <w:spacing w:val="-19"/>
        </w:rPr>
        <w:t>group, the total</w:t>
      </w:r>
      <w:r>
        <w:rPr>
          <w:color w:val="231F20"/>
          <w:spacing w:val="2"/>
        </w:rPr>
        <w:t xml:space="preserve"> </w:t>
      </w:r>
      <w:r>
        <w:rPr>
          <w:color w:val="231F20"/>
          <w:spacing w:val="-19"/>
        </w:rPr>
        <w:t>effective</w:t>
      </w:r>
      <w:r>
        <w:rPr>
          <w:color w:val="231F20"/>
          <w:spacing w:val="-1"/>
        </w:rPr>
        <w:t xml:space="preserve"> </w:t>
      </w:r>
      <w:r>
        <w:rPr>
          <w:color w:val="231F20"/>
          <w:spacing w:val="-19"/>
        </w:rPr>
        <w:t>rate</w:t>
      </w:r>
      <w:r>
        <w:rPr>
          <w:color w:val="231F20"/>
        </w:rPr>
        <w:t xml:space="preserve"> </w:t>
      </w:r>
      <w:r>
        <w:rPr>
          <w:color w:val="231F20"/>
          <w:spacing w:val="-19"/>
        </w:rPr>
        <w:t>of the</w:t>
      </w:r>
      <w:r>
        <w:rPr>
          <w:color w:val="231F20"/>
          <w:spacing w:val="2"/>
        </w:rPr>
        <w:t xml:space="preserve"> </w:t>
      </w:r>
      <w:r>
        <w:rPr>
          <w:color w:val="231F20"/>
          <w:spacing w:val="-19"/>
        </w:rPr>
        <w:t>study</w:t>
      </w:r>
      <w:r>
        <w:rPr>
          <w:color w:val="231F20"/>
          <w:spacing w:val="1"/>
        </w:rPr>
        <w:t xml:space="preserve"> </w:t>
      </w:r>
      <w:r>
        <w:rPr>
          <w:color w:val="231F20"/>
          <w:spacing w:val="-19"/>
        </w:rPr>
        <w:t>group</w:t>
      </w:r>
      <w:r>
        <w:rPr>
          <w:color w:val="231F20"/>
          <w:spacing w:val="-3"/>
        </w:rPr>
        <w:t xml:space="preserve"> </w:t>
      </w:r>
      <w:r>
        <w:rPr>
          <w:color w:val="231F20"/>
          <w:spacing w:val="-19"/>
        </w:rPr>
        <w:t>was</w:t>
      </w:r>
      <w:r>
        <w:rPr>
          <w:color w:val="231F20"/>
          <w:spacing w:val="-1"/>
        </w:rPr>
        <w:t xml:space="preserve"> </w:t>
      </w:r>
      <w:r>
        <w:rPr>
          <w:color w:val="231F20"/>
          <w:spacing w:val="-19"/>
        </w:rPr>
        <w:t>higher</w:t>
      </w:r>
      <w:r>
        <w:rPr>
          <w:color w:val="231F20"/>
          <w:spacing w:val="3"/>
        </w:rPr>
        <w:t xml:space="preserve"> </w:t>
      </w:r>
      <w:r>
        <w:rPr>
          <w:color w:val="231F20"/>
          <w:spacing w:val="-19"/>
        </w:rPr>
        <w:t>(</w:t>
      </w:r>
      <w:r>
        <w:rPr>
          <w:rFonts w:ascii="Times New Roman" w:hAnsi="Times New Roman" w:eastAsia="Times New Roman" w:cs="Times New Roman"/>
          <w:color w:val="231F20"/>
          <w:spacing w:val="-19"/>
        </w:rPr>
        <w:t>P</w:t>
      </w:r>
      <w:r>
        <w:rPr>
          <w:color w:val="231F20"/>
          <w:spacing w:val="-19"/>
        </w:rPr>
        <w:t>&lt;0.05);</w:t>
      </w:r>
      <w:r>
        <w:rPr>
          <w:color w:val="231F20"/>
          <w:spacing w:val="1"/>
        </w:rPr>
        <w:t xml:space="preserve"> </w:t>
      </w:r>
      <w:r>
        <w:rPr>
          <w:color w:val="231F20"/>
          <w:spacing w:val="-19"/>
        </w:rPr>
        <w:t>compared</w:t>
      </w:r>
      <w:r>
        <w:rPr>
          <w:color w:val="231F20"/>
          <w:spacing w:val="-3"/>
        </w:rPr>
        <w:t xml:space="preserve"> </w:t>
      </w:r>
      <w:r>
        <w:rPr>
          <w:color w:val="231F20"/>
          <w:spacing w:val="-19"/>
        </w:rPr>
        <w:t>with</w:t>
      </w:r>
      <w:r>
        <w:rPr>
          <w:color w:val="231F20"/>
          <w:spacing w:val="-2"/>
        </w:rPr>
        <w:t xml:space="preserve"> </w:t>
      </w:r>
      <w:r>
        <w:rPr>
          <w:color w:val="231F20"/>
          <w:spacing w:val="-19"/>
        </w:rPr>
        <w:t>the</w:t>
      </w:r>
      <w:r>
        <w:rPr>
          <w:color w:val="231F20"/>
          <w:spacing w:val="1"/>
        </w:rPr>
        <w:t xml:space="preserve"> </w:t>
      </w:r>
      <w:r>
        <w:rPr>
          <w:color w:val="231F20"/>
          <w:spacing w:val="-19"/>
        </w:rPr>
        <w:t>control</w:t>
      </w:r>
      <w:r>
        <w:rPr>
          <w:color w:val="231F20"/>
          <w:spacing w:val="1"/>
        </w:rPr>
        <w:t xml:space="preserve"> </w:t>
      </w:r>
      <w:r>
        <w:rPr>
          <w:color w:val="231F20"/>
          <w:spacing w:val="-19"/>
        </w:rPr>
        <w:t>group,</w:t>
      </w:r>
      <w:r>
        <w:rPr>
          <w:color w:val="231F20"/>
        </w:rPr>
        <w:t xml:space="preserve"> </w:t>
      </w:r>
      <w:r>
        <w:rPr>
          <w:color w:val="231F20"/>
          <w:spacing w:val="-18"/>
        </w:rPr>
        <w:t>the</w:t>
      </w:r>
      <w:r>
        <w:rPr>
          <w:color w:val="231F20"/>
          <w:spacing w:val="11"/>
        </w:rPr>
        <w:t xml:space="preserve"> </w:t>
      </w:r>
      <w:r>
        <w:rPr>
          <w:color w:val="231F20"/>
          <w:spacing w:val="-18"/>
        </w:rPr>
        <w:t>study</w:t>
      </w:r>
      <w:r>
        <w:rPr>
          <w:color w:val="231F20"/>
          <w:spacing w:val="10"/>
        </w:rPr>
        <w:t xml:space="preserve"> </w:t>
      </w:r>
      <w:r>
        <w:rPr>
          <w:color w:val="231F20"/>
          <w:spacing w:val="-18"/>
        </w:rPr>
        <w:t>group</w:t>
      </w:r>
      <w:r>
        <w:rPr>
          <w:color w:val="231F20"/>
          <w:spacing w:val="9"/>
        </w:rPr>
        <w:t xml:space="preserve"> </w:t>
      </w:r>
      <w:r>
        <w:rPr>
          <w:color w:val="231F20"/>
          <w:spacing w:val="-18"/>
        </w:rPr>
        <w:t>had</w:t>
      </w:r>
      <w:r>
        <w:rPr>
          <w:color w:val="231F20"/>
          <w:spacing w:val="10"/>
        </w:rPr>
        <w:t xml:space="preserve"> </w:t>
      </w:r>
      <w:r>
        <w:rPr>
          <w:color w:val="231F20"/>
          <w:spacing w:val="-18"/>
        </w:rPr>
        <w:t>earlier</w:t>
      </w:r>
      <w:r>
        <w:rPr>
          <w:color w:val="231F20"/>
          <w:spacing w:val="9"/>
        </w:rPr>
        <w:t xml:space="preserve"> </w:t>
      </w:r>
      <w:r>
        <w:rPr>
          <w:color w:val="231F20"/>
          <w:spacing w:val="-18"/>
        </w:rPr>
        <w:t>symptom</w:t>
      </w:r>
      <w:r>
        <w:rPr>
          <w:color w:val="231F20"/>
          <w:spacing w:val="9"/>
        </w:rPr>
        <w:t xml:space="preserve"> </w:t>
      </w:r>
      <w:r>
        <w:rPr>
          <w:color w:val="231F20"/>
          <w:spacing w:val="-18"/>
        </w:rPr>
        <w:t>relief time</w:t>
      </w:r>
      <w:r>
        <w:rPr>
          <w:color w:val="231F20"/>
          <w:spacing w:val="9"/>
        </w:rPr>
        <w:t xml:space="preserve"> </w:t>
      </w:r>
      <w:r>
        <w:rPr>
          <w:color w:val="231F20"/>
          <w:spacing w:val="-18"/>
        </w:rPr>
        <w:t>and</w:t>
      </w:r>
      <w:r>
        <w:rPr>
          <w:color w:val="231F20"/>
          <w:spacing w:val="11"/>
        </w:rPr>
        <w:t xml:space="preserve"> </w:t>
      </w:r>
      <w:r>
        <w:rPr>
          <w:color w:val="231F20"/>
          <w:spacing w:val="-18"/>
        </w:rPr>
        <w:t>shorter</w:t>
      </w:r>
      <w:r>
        <w:rPr>
          <w:color w:val="231F20"/>
          <w:spacing w:val="7"/>
        </w:rPr>
        <w:t xml:space="preserve"> </w:t>
      </w:r>
      <w:r>
        <w:rPr>
          <w:color w:val="231F20"/>
          <w:spacing w:val="-18"/>
        </w:rPr>
        <w:t>hospital</w:t>
      </w:r>
      <w:r>
        <w:rPr>
          <w:color w:val="231F20"/>
          <w:spacing w:val="11"/>
        </w:rPr>
        <w:t xml:space="preserve"> </w:t>
      </w:r>
      <w:r>
        <w:rPr>
          <w:color w:val="231F20"/>
          <w:spacing w:val="-18"/>
        </w:rPr>
        <w:t>stay</w:t>
      </w:r>
      <w:r>
        <w:rPr>
          <w:color w:val="231F20"/>
          <w:spacing w:val="13"/>
        </w:rPr>
        <w:t xml:space="preserve"> </w:t>
      </w:r>
      <w:r>
        <w:rPr>
          <w:color w:val="231F20"/>
          <w:spacing w:val="-18"/>
        </w:rPr>
        <w:t>(</w:t>
      </w:r>
      <w:r>
        <w:rPr>
          <w:rFonts w:ascii="Times New Roman" w:hAnsi="Times New Roman" w:eastAsia="Times New Roman" w:cs="Times New Roman"/>
          <w:color w:val="231F20"/>
          <w:spacing w:val="-19"/>
        </w:rPr>
        <w:t>P</w:t>
      </w:r>
      <w:r>
        <w:rPr>
          <w:color w:val="231F20"/>
          <w:spacing w:val="-19"/>
        </w:rPr>
        <w:t>&lt;0.05).</w:t>
      </w:r>
      <w:r>
        <w:rPr>
          <w:color w:val="231F20"/>
          <w:spacing w:val="6"/>
        </w:rPr>
        <w:t xml:space="preserve"> </w:t>
      </w:r>
      <w:r>
        <w:rPr>
          <w:color w:val="231F20"/>
          <w:spacing w:val="-19"/>
        </w:rPr>
        <w:t>The</w:t>
      </w:r>
      <w:r>
        <w:rPr>
          <w:color w:val="231F20"/>
          <w:spacing w:val="12"/>
        </w:rPr>
        <w:t xml:space="preserve"> </w:t>
      </w:r>
      <w:r>
        <w:rPr>
          <w:color w:val="231F20"/>
          <w:spacing w:val="-19"/>
        </w:rPr>
        <w:t>CRP</w:t>
      </w:r>
      <w:r>
        <w:rPr>
          <w:color w:val="231F20"/>
          <w:spacing w:val="8"/>
        </w:rPr>
        <w:t xml:space="preserve"> </w:t>
      </w:r>
      <w:r>
        <w:rPr>
          <w:color w:val="231F20"/>
          <w:spacing w:val="-19"/>
        </w:rPr>
        <w:t>level</w:t>
      </w:r>
      <w:r>
        <w:rPr>
          <w:color w:val="231F20"/>
          <w:spacing w:val="11"/>
        </w:rPr>
        <w:t xml:space="preserve"> </w:t>
      </w:r>
      <w:r>
        <w:rPr>
          <w:color w:val="231F20"/>
          <w:spacing w:val="-19"/>
        </w:rPr>
        <w:t>in</w:t>
      </w:r>
      <w:r>
        <w:rPr>
          <w:color w:val="231F20"/>
          <w:spacing w:val="7"/>
        </w:rPr>
        <w:t xml:space="preserve"> </w:t>
      </w:r>
      <w:r>
        <w:rPr>
          <w:color w:val="231F20"/>
          <w:spacing w:val="-19"/>
        </w:rPr>
        <w:t>the</w:t>
      </w:r>
      <w:r>
        <w:rPr>
          <w:color w:val="231F20"/>
          <w:spacing w:val="11"/>
        </w:rPr>
        <w:t xml:space="preserve"> </w:t>
      </w:r>
      <w:r>
        <w:rPr>
          <w:color w:val="231F20"/>
          <w:spacing w:val="-19"/>
        </w:rPr>
        <w:t>study</w:t>
      </w:r>
      <w:r>
        <w:rPr>
          <w:color w:val="231F20"/>
          <w:spacing w:val="10"/>
        </w:rPr>
        <w:t xml:space="preserve"> </w:t>
      </w:r>
      <w:r>
        <w:rPr>
          <w:color w:val="231F20"/>
          <w:spacing w:val="-19"/>
        </w:rPr>
        <w:t>group</w:t>
      </w:r>
      <w:r>
        <w:rPr>
          <w:color w:val="231F20"/>
          <w:spacing w:val="6"/>
        </w:rPr>
        <w:t xml:space="preserve"> </w:t>
      </w:r>
      <w:r>
        <w:rPr>
          <w:color w:val="231F20"/>
          <w:spacing w:val="-19"/>
        </w:rPr>
        <w:t>was</w:t>
      </w:r>
      <w:r>
        <w:rPr>
          <w:color w:val="231F20"/>
          <w:spacing w:val="8"/>
        </w:rPr>
        <w:t xml:space="preserve"> </w:t>
      </w:r>
      <w:r>
        <w:rPr>
          <w:color w:val="231F20"/>
          <w:spacing w:val="-19"/>
        </w:rPr>
        <w:t>lower</w:t>
      </w:r>
      <w:r>
        <w:rPr>
          <w:color w:val="231F20"/>
          <w:spacing w:val="6"/>
        </w:rPr>
        <w:t xml:space="preserve"> </w:t>
      </w:r>
      <w:r>
        <w:rPr>
          <w:color w:val="231F20"/>
          <w:spacing w:val="-19"/>
        </w:rPr>
        <w:t>than</w:t>
      </w:r>
      <w:r>
        <w:rPr>
          <w:color w:val="231F20"/>
          <w:spacing w:val="7"/>
        </w:rPr>
        <w:t xml:space="preserve"> </w:t>
      </w:r>
      <w:r>
        <w:rPr>
          <w:color w:val="231F20"/>
          <w:spacing w:val="-19"/>
        </w:rPr>
        <w:t>that</w:t>
      </w:r>
      <w:r>
        <w:rPr>
          <w:color w:val="231F20"/>
          <w:spacing w:val="10"/>
        </w:rPr>
        <w:t xml:space="preserve"> </w:t>
      </w:r>
      <w:r>
        <w:rPr>
          <w:color w:val="231F20"/>
          <w:spacing w:val="-19"/>
        </w:rPr>
        <w:t>in</w:t>
      </w:r>
      <w:r>
        <w:rPr>
          <w:color w:val="231F20"/>
          <w:spacing w:val="7"/>
        </w:rPr>
        <w:t xml:space="preserve"> </w:t>
      </w:r>
      <w:r>
        <w:rPr>
          <w:color w:val="231F20"/>
          <w:spacing w:val="-19"/>
        </w:rPr>
        <w:t>the</w:t>
      </w:r>
      <w:r>
        <w:rPr>
          <w:color w:val="231F20"/>
        </w:rPr>
        <w:t xml:space="preserve"> </w:t>
      </w:r>
      <w:r>
        <w:rPr>
          <w:color w:val="231F20"/>
          <w:spacing w:val="-18"/>
        </w:rPr>
        <w:t>control group after treatment (</w:t>
      </w:r>
      <w:r>
        <w:rPr>
          <w:rFonts w:ascii="Times New Roman" w:hAnsi="Times New Roman" w:eastAsia="Times New Roman" w:cs="Times New Roman"/>
          <w:color w:val="231F20"/>
          <w:spacing w:val="-18"/>
        </w:rPr>
        <w:t>P</w:t>
      </w:r>
      <w:r>
        <w:rPr>
          <w:color w:val="231F20"/>
          <w:spacing w:val="-18"/>
        </w:rPr>
        <w:t>&lt;0.05), and there was no</w:t>
      </w:r>
      <w:r>
        <w:rPr>
          <w:color w:val="231F20"/>
          <w:spacing w:val="-5"/>
        </w:rPr>
        <w:t xml:space="preserve"> </w:t>
      </w:r>
      <w:r>
        <w:rPr>
          <w:color w:val="231F20"/>
          <w:spacing w:val="-18"/>
        </w:rPr>
        <w:t>significant</w:t>
      </w:r>
      <w:r>
        <w:rPr>
          <w:color w:val="231F20"/>
          <w:spacing w:val="-5"/>
        </w:rPr>
        <w:t xml:space="preserve"> </w:t>
      </w:r>
      <w:r>
        <w:rPr>
          <w:color w:val="231F20"/>
          <w:spacing w:val="-18"/>
        </w:rPr>
        <w:t>difference</w:t>
      </w:r>
      <w:r>
        <w:rPr>
          <w:color w:val="231F20"/>
          <w:spacing w:val="-5"/>
        </w:rPr>
        <w:t xml:space="preserve"> </w:t>
      </w:r>
      <w:r>
        <w:rPr>
          <w:color w:val="231F20"/>
          <w:spacing w:val="-18"/>
        </w:rPr>
        <w:t>in</w:t>
      </w:r>
      <w:r>
        <w:rPr>
          <w:color w:val="231F20"/>
          <w:spacing w:val="-7"/>
        </w:rPr>
        <w:t xml:space="preserve"> </w:t>
      </w:r>
      <w:r>
        <w:rPr>
          <w:color w:val="231F20"/>
          <w:spacing w:val="-18"/>
        </w:rPr>
        <w:t>the</w:t>
      </w:r>
      <w:r>
        <w:rPr>
          <w:color w:val="231F20"/>
          <w:spacing w:val="-5"/>
        </w:rPr>
        <w:t xml:space="preserve"> </w:t>
      </w:r>
      <w:r>
        <w:rPr>
          <w:color w:val="231F20"/>
          <w:spacing w:val="-18"/>
        </w:rPr>
        <w:t>incidence</w:t>
      </w:r>
      <w:r>
        <w:rPr>
          <w:color w:val="231F20"/>
          <w:spacing w:val="-6"/>
        </w:rPr>
        <w:t xml:space="preserve"> </w:t>
      </w:r>
      <w:r>
        <w:rPr>
          <w:color w:val="231F20"/>
          <w:spacing w:val="-18"/>
        </w:rPr>
        <w:t>of ad</w:t>
      </w:r>
      <w:r>
        <w:rPr>
          <w:color w:val="231F20"/>
          <w:spacing w:val="-19"/>
        </w:rPr>
        <w:t>verse reactions</w:t>
      </w:r>
      <w:r>
        <w:rPr>
          <w:color w:val="231F20"/>
          <w:spacing w:val="-7"/>
        </w:rPr>
        <w:t xml:space="preserve"> </w:t>
      </w:r>
      <w:r>
        <w:rPr>
          <w:color w:val="231F20"/>
          <w:spacing w:val="-19"/>
        </w:rPr>
        <w:t>between the</w:t>
      </w:r>
      <w:r>
        <w:rPr>
          <w:color w:val="231F20"/>
          <w:spacing w:val="-7"/>
        </w:rPr>
        <w:t xml:space="preserve"> </w:t>
      </w:r>
      <w:r>
        <w:rPr>
          <w:color w:val="231F20"/>
          <w:spacing w:val="-19"/>
        </w:rPr>
        <w:t>two</w:t>
      </w:r>
      <w:r>
        <w:rPr>
          <w:color w:val="231F20"/>
          <w:spacing w:val="-5"/>
        </w:rPr>
        <w:t xml:space="preserve"> </w:t>
      </w:r>
      <w:r>
        <w:rPr>
          <w:color w:val="231F20"/>
          <w:spacing w:val="-19"/>
        </w:rPr>
        <w:t>groups</w:t>
      </w:r>
      <w:r>
        <w:rPr>
          <w:color w:val="231F20"/>
          <w:spacing w:val="-2"/>
        </w:rPr>
        <w:t xml:space="preserve"> </w:t>
      </w:r>
      <w:r>
        <w:rPr>
          <w:color w:val="231F20"/>
          <w:spacing w:val="-19"/>
        </w:rPr>
        <w:t>(</w:t>
      </w:r>
      <w:r>
        <w:rPr>
          <w:rFonts w:ascii="Times New Roman" w:hAnsi="Times New Roman" w:eastAsia="Times New Roman" w:cs="Times New Roman"/>
          <w:color w:val="231F20"/>
          <w:spacing w:val="-19"/>
        </w:rPr>
        <w:t>P</w:t>
      </w:r>
      <w:r>
        <w:rPr>
          <w:color w:val="231F20"/>
          <w:spacing w:val="-19"/>
        </w:rPr>
        <w:t>&gt;0.05).</w:t>
      </w:r>
      <w:r>
        <w:rPr>
          <w:color w:val="231F20"/>
        </w:rPr>
        <w:t xml:space="preserve"> </w:t>
      </w:r>
      <w:r>
        <w:rPr>
          <w:rFonts w:ascii="SimSun" w:hAnsi="SimSun" w:eastAsia="SimSun" w:cs="SimSun"/>
          <w:b/>
          <w:bCs/>
          <w:color w:val="231F20"/>
          <w:spacing w:val="-16"/>
        </w:rPr>
        <w:t>Conclusion:</w:t>
      </w:r>
      <w:r>
        <w:rPr>
          <w:rFonts w:ascii="SimSun" w:hAnsi="SimSun" w:eastAsia="SimSun" w:cs="SimSun"/>
          <w:color w:val="231F20"/>
          <w:spacing w:val="-27"/>
        </w:rPr>
        <w:t xml:space="preserve"> </w:t>
      </w:r>
      <w:r>
        <w:rPr>
          <w:color w:val="231F20"/>
          <w:spacing w:val="-16"/>
        </w:rPr>
        <w:t>The</w:t>
      </w:r>
      <w:r>
        <w:rPr>
          <w:color w:val="231F20"/>
          <w:spacing w:val="14"/>
        </w:rPr>
        <w:t xml:space="preserve"> </w:t>
      </w:r>
      <w:r>
        <w:rPr>
          <w:color w:val="231F20"/>
          <w:spacing w:val="-16"/>
        </w:rPr>
        <w:t>combination</w:t>
      </w:r>
      <w:r>
        <w:rPr>
          <w:color w:val="231F20"/>
          <w:spacing w:val="12"/>
        </w:rPr>
        <w:t xml:space="preserve"> </w:t>
      </w:r>
      <w:r>
        <w:rPr>
          <w:color w:val="231F20"/>
          <w:spacing w:val="-16"/>
        </w:rPr>
        <w:t>of Amoxicillin,</w:t>
      </w:r>
      <w:r>
        <w:rPr>
          <w:color w:val="231F20"/>
          <w:spacing w:val="17"/>
        </w:rPr>
        <w:t xml:space="preserve"> </w:t>
      </w:r>
      <w:r>
        <w:rPr>
          <w:color w:val="231F20"/>
          <w:spacing w:val="-16"/>
        </w:rPr>
        <w:t>Omeprazole</w:t>
      </w:r>
      <w:r>
        <w:rPr>
          <w:color w:val="231F20"/>
          <w:spacing w:val="13"/>
        </w:rPr>
        <w:t xml:space="preserve"> </w:t>
      </w:r>
      <w:r>
        <w:rPr>
          <w:color w:val="231F20"/>
          <w:spacing w:val="-16"/>
        </w:rPr>
        <w:t>and</w:t>
      </w:r>
      <w:r>
        <w:rPr>
          <w:color w:val="231F20"/>
          <w:spacing w:val="15"/>
        </w:rPr>
        <w:t xml:space="preserve"> </w:t>
      </w:r>
      <w:r>
        <w:rPr>
          <w:color w:val="231F20"/>
          <w:spacing w:val="-16"/>
        </w:rPr>
        <w:t>Bifidobacterium</w:t>
      </w:r>
      <w:r>
        <w:rPr>
          <w:color w:val="231F20"/>
          <w:spacing w:val="13"/>
          <w:w w:val="101"/>
        </w:rPr>
        <w:t xml:space="preserve"> </w:t>
      </w:r>
      <w:r>
        <w:rPr>
          <w:color w:val="231F20"/>
          <w:spacing w:val="-16"/>
        </w:rPr>
        <w:t>in</w:t>
      </w:r>
      <w:r>
        <w:rPr>
          <w:color w:val="231F20"/>
          <w:spacing w:val="11"/>
        </w:rPr>
        <w:t xml:space="preserve"> </w:t>
      </w:r>
      <w:r>
        <w:rPr>
          <w:color w:val="231F20"/>
          <w:spacing w:val="-16"/>
        </w:rPr>
        <w:t>patients</w:t>
      </w:r>
      <w:r>
        <w:rPr>
          <w:color w:val="231F20"/>
          <w:spacing w:val="10"/>
        </w:rPr>
        <w:t xml:space="preserve"> </w:t>
      </w:r>
      <w:r>
        <w:rPr>
          <w:color w:val="231F20"/>
          <w:spacing w:val="-16"/>
        </w:rPr>
        <w:t>with</w:t>
      </w:r>
      <w:r>
        <w:rPr>
          <w:color w:val="231F20"/>
          <w:spacing w:val="12"/>
        </w:rPr>
        <w:t xml:space="preserve"> </w:t>
      </w:r>
      <w:r>
        <w:rPr>
          <w:color w:val="231F20"/>
          <w:spacing w:val="-16"/>
        </w:rPr>
        <w:t>acute</w:t>
      </w:r>
      <w:r>
        <w:rPr>
          <w:color w:val="231F20"/>
          <w:spacing w:val="14"/>
          <w:w w:val="101"/>
        </w:rPr>
        <w:t xml:space="preserve"> </w:t>
      </w:r>
      <w:r>
        <w:rPr>
          <w:color w:val="231F20"/>
          <w:spacing w:val="-16"/>
        </w:rPr>
        <w:t>gastroenteritis</w:t>
      </w:r>
      <w:r>
        <w:rPr>
          <w:color w:val="231F20"/>
          <w:spacing w:val="12"/>
        </w:rPr>
        <w:t xml:space="preserve"> </w:t>
      </w:r>
      <w:r>
        <w:rPr>
          <w:color w:val="231F20"/>
          <w:spacing w:val="-16"/>
        </w:rPr>
        <w:t>has</w:t>
      </w:r>
      <w:r>
        <w:rPr>
          <w:color w:val="231F20"/>
          <w:spacing w:val="13"/>
          <w:w w:val="101"/>
        </w:rPr>
        <w:t xml:space="preserve"> </w:t>
      </w:r>
      <w:r>
        <w:rPr>
          <w:color w:val="231F20"/>
          <w:spacing w:val="-16"/>
        </w:rPr>
        <w:t>good</w:t>
      </w:r>
      <w:r>
        <w:rPr>
          <w:color w:val="231F20"/>
          <w:spacing w:val="13"/>
          <w:w w:val="101"/>
        </w:rPr>
        <w:t xml:space="preserve"> </w:t>
      </w:r>
      <w:r>
        <w:rPr>
          <w:color w:val="231F20"/>
          <w:spacing w:val="-16"/>
        </w:rPr>
        <w:t>effect,</w:t>
      </w:r>
      <w:r>
        <w:rPr>
          <w:color w:val="231F20"/>
          <w:spacing w:val="9"/>
        </w:rPr>
        <w:t xml:space="preserve"> </w:t>
      </w:r>
      <w:r>
        <w:rPr>
          <w:color w:val="231F20"/>
          <w:spacing w:val="-16"/>
        </w:rPr>
        <w:t>which</w:t>
      </w:r>
      <w:r>
        <w:rPr>
          <w:color w:val="231F20"/>
          <w:spacing w:val="13"/>
          <w:w w:val="101"/>
        </w:rPr>
        <w:t xml:space="preserve"> </w:t>
      </w:r>
      <w:r>
        <w:rPr>
          <w:color w:val="231F20"/>
          <w:spacing w:val="-16"/>
        </w:rPr>
        <w:t>is</w:t>
      </w:r>
      <w:r>
        <w:rPr>
          <w:color w:val="231F20"/>
        </w:rPr>
        <w:t xml:space="preserve"> </w:t>
      </w:r>
      <w:r>
        <w:rPr>
          <w:color w:val="231F20"/>
          <w:spacing w:val="-16"/>
        </w:rPr>
        <w:t>helpful to shorten the recovery time of patients, reduce the CRP</w:t>
      </w:r>
      <w:r>
        <w:rPr>
          <w:color w:val="231F20"/>
          <w:spacing w:val="-6"/>
        </w:rPr>
        <w:t xml:space="preserve"> </w:t>
      </w:r>
      <w:r>
        <w:rPr>
          <w:color w:val="231F20"/>
          <w:spacing w:val="-16"/>
        </w:rPr>
        <w:t>level,</w:t>
      </w:r>
      <w:r>
        <w:rPr>
          <w:color w:val="231F20"/>
          <w:spacing w:val="-4"/>
        </w:rPr>
        <w:t xml:space="preserve"> </w:t>
      </w:r>
      <w:r>
        <w:rPr>
          <w:color w:val="231F20"/>
          <w:spacing w:val="-16"/>
        </w:rPr>
        <w:t>and</w:t>
      </w:r>
      <w:r>
        <w:rPr>
          <w:color w:val="231F20"/>
          <w:spacing w:val="-5"/>
        </w:rPr>
        <w:t xml:space="preserve"> </w:t>
      </w:r>
      <w:r>
        <w:rPr>
          <w:color w:val="231F20"/>
          <w:spacing w:val="-16"/>
        </w:rPr>
        <w:t>has</w:t>
      </w:r>
      <w:r>
        <w:rPr>
          <w:color w:val="231F20"/>
          <w:spacing w:val="-5"/>
        </w:rPr>
        <w:t xml:space="preserve"> </w:t>
      </w:r>
      <w:r>
        <w:rPr>
          <w:color w:val="231F20"/>
          <w:spacing w:val="-16"/>
        </w:rPr>
        <w:t>high</w:t>
      </w:r>
      <w:r>
        <w:rPr>
          <w:color w:val="231F20"/>
          <w:spacing w:val="-2"/>
        </w:rPr>
        <w:t xml:space="preserve"> </w:t>
      </w:r>
      <w:r>
        <w:rPr>
          <w:color w:val="231F20"/>
          <w:spacing w:val="-16"/>
        </w:rPr>
        <w:t>safety,</w:t>
      </w:r>
      <w:r>
        <w:rPr>
          <w:color w:val="231F20"/>
          <w:spacing w:val="-8"/>
        </w:rPr>
        <w:t xml:space="preserve"> </w:t>
      </w:r>
      <w:r>
        <w:rPr>
          <w:color w:val="231F20"/>
          <w:spacing w:val="-16"/>
        </w:rPr>
        <w:t>which</w:t>
      </w:r>
      <w:r>
        <w:rPr>
          <w:color w:val="231F20"/>
          <w:spacing w:val="-3"/>
        </w:rPr>
        <w:t xml:space="preserve"> </w:t>
      </w:r>
      <w:r>
        <w:rPr>
          <w:color w:val="231F20"/>
          <w:spacing w:val="-16"/>
        </w:rPr>
        <w:t>is</w:t>
      </w:r>
      <w:r>
        <w:rPr>
          <w:color w:val="231F20"/>
          <w:spacing w:val="-4"/>
        </w:rPr>
        <w:t xml:space="preserve"> </w:t>
      </w:r>
      <w:r>
        <w:rPr>
          <w:color w:val="231F20"/>
          <w:spacing w:val="-16"/>
        </w:rPr>
        <w:t>conducive</w:t>
      </w:r>
      <w:r>
        <w:rPr>
          <w:color w:val="231F20"/>
          <w:spacing w:val="-6"/>
        </w:rPr>
        <w:t xml:space="preserve"> </w:t>
      </w:r>
      <w:r>
        <w:rPr>
          <w:color w:val="231F20"/>
          <w:spacing w:val="-16"/>
        </w:rPr>
        <w:t>to</w:t>
      </w:r>
      <w:r>
        <w:rPr>
          <w:color w:val="231F20"/>
          <w:spacing w:val="-3"/>
        </w:rPr>
        <w:t xml:space="preserve"> </w:t>
      </w:r>
      <w:r>
        <w:rPr>
          <w:color w:val="231F20"/>
          <w:spacing w:val="-16"/>
        </w:rPr>
        <w:t>clinical</w:t>
      </w:r>
      <w:r>
        <w:rPr>
          <w:color w:val="231F20"/>
          <w:spacing w:val="-4"/>
        </w:rPr>
        <w:t xml:space="preserve"> </w:t>
      </w:r>
      <w:r>
        <w:rPr>
          <w:color w:val="231F20"/>
          <w:spacing w:val="-16"/>
        </w:rPr>
        <w:t>applicat</w:t>
      </w:r>
      <w:r>
        <w:rPr>
          <w:color w:val="231F20"/>
          <w:spacing w:val="-17"/>
        </w:rPr>
        <w:t>ion.</w:t>
      </w:r>
    </w:p>
    <w:p>
      <w:pPr>
        <w:pStyle w:val="BodyText"/>
        <w:ind w:left="753"/>
        <w:spacing w:line="195" w:lineRule="auto"/>
        <w:rPr/>
      </w:pPr>
      <w:r>
        <w:rPr>
          <w:rFonts w:ascii="SimSun" w:hAnsi="SimSun" w:eastAsia="SimSun" w:cs="SimSun"/>
          <w:b/>
          <w:bCs/>
          <w:color w:val="231F20"/>
          <w:spacing w:val="-13"/>
        </w:rPr>
        <w:t>[Key</w:t>
      </w:r>
      <w:r>
        <w:rPr>
          <w:rFonts w:ascii="SimSun" w:hAnsi="SimSun" w:eastAsia="SimSun" w:cs="SimSun"/>
          <w:color w:val="231F20"/>
          <w:spacing w:val="-41"/>
        </w:rPr>
        <w:t xml:space="preserve"> </w:t>
      </w:r>
      <w:r>
        <w:rPr>
          <w:rFonts w:ascii="SimSun" w:hAnsi="SimSun" w:eastAsia="SimSun" w:cs="SimSun"/>
          <w:b/>
          <w:bCs/>
          <w:color w:val="231F20"/>
          <w:spacing w:val="-13"/>
        </w:rPr>
        <w:t>words]</w:t>
      </w:r>
      <w:r>
        <w:rPr>
          <w:rFonts w:ascii="SimSun" w:hAnsi="SimSun" w:eastAsia="SimSun" w:cs="SimSun"/>
          <w:color w:val="231F20"/>
          <w:spacing w:val="-13"/>
        </w:rPr>
        <w:t xml:space="preserve">  </w:t>
      </w:r>
      <w:r>
        <w:rPr>
          <w:color w:val="231F20"/>
          <w:spacing w:val="-13"/>
        </w:rPr>
        <w:t>Amoxicilli</w:t>
      </w:r>
      <w:r>
        <w:rPr>
          <w:color w:val="231F20"/>
          <w:spacing w:val="-14"/>
        </w:rPr>
        <w:t>n    Omeprazole</w:t>
      </w:r>
      <w:r>
        <w:rPr>
          <w:color w:val="231F20"/>
          <w:spacing w:val="9"/>
        </w:rPr>
        <w:t xml:space="preserve">   </w:t>
      </w:r>
      <w:r>
        <w:rPr>
          <w:color w:val="231F20"/>
          <w:spacing w:val="-14"/>
        </w:rPr>
        <w:t>Bifidobacterium</w:t>
      </w:r>
      <w:r>
        <w:rPr>
          <w:color w:val="231F20"/>
          <w:spacing w:val="8"/>
        </w:rPr>
        <w:t xml:space="preserve">   </w:t>
      </w:r>
      <w:r>
        <w:rPr>
          <w:color w:val="231F20"/>
          <w:spacing w:val="-14"/>
        </w:rPr>
        <w:t>Acute</w:t>
      </w:r>
      <w:r>
        <w:rPr>
          <w:color w:val="231F20"/>
          <w:spacing w:val="-3"/>
        </w:rPr>
        <w:t xml:space="preserve"> </w:t>
      </w:r>
      <w:r>
        <w:rPr>
          <w:color w:val="231F20"/>
          <w:spacing w:val="-14"/>
        </w:rPr>
        <w:t>gastroenteritis</w:t>
      </w:r>
    </w:p>
    <w:p>
      <w:pPr>
        <w:ind w:left="744"/>
        <w:spacing w:before="35" w:line="243" w:lineRule="exact"/>
        <w:rPr>
          <w:rFonts w:ascii="SimSun" w:hAnsi="SimSun" w:eastAsia="SimSun" w:cs="SimSun"/>
          <w:sz w:val="18"/>
          <w:szCs w:val="18"/>
        </w:rPr>
      </w:pPr>
      <w:r>
        <w:rPr>
          <w:rFonts w:ascii="SimSun" w:hAnsi="SimSun" w:eastAsia="SimSun" w:cs="SimSun"/>
          <w:sz w:val="18"/>
          <w:szCs w:val="18"/>
          <w:b/>
          <w:bCs/>
          <w:color w:val="231F20"/>
          <w:spacing w:val="-9"/>
          <w:position w:val="2"/>
        </w:rPr>
        <w:t>First-author</w:t>
      </w:r>
      <w:r>
        <w:rPr>
          <w:rFonts w:ascii="Times New Roman" w:hAnsi="Times New Roman" w:eastAsia="Times New Roman" w:cs="Times New Roman"/>
          <w:sz w:val="18"/>
          <w:szCs w:val="18"/>
          <w:b/>
          <w:bCs/>
          <w:color w:val="231F20"/>
          <w:spacing w:val="-9"/>
          <w:position w:val="2"/>
        </w:rPr>
        <w:t>’</w:t>
      </w:r>
      <w:r>
        <w:rPr>
          <w:rFonts w:ascii="SimSun" w:hAnsi="SimSun" w:eastAsia="SimSun" w:cs="SimSun"/>
          <w:sz w:val="18"/>
          <w:szCs w:val="18"/>
          <w:b/>
          <w:bCs/>
          <w:color w:val="231F20"/>
          <w:spacing w:val="-9"/>
          <w:position w:val="2"/>
        </w:rPr>
        <w:t>s</w:t>
      </w:r>
      <w:r>
        <w:rPr>
          <w:rFonts w:ascii="SimSun" w:hAnsi="SimSun" w:eastAsia="SimSun" w:cs="SimSun"/>
          <w:sz w:val="18"/>
          <w:szCs w:val="18"/>
          <w:color w:val="231F20"/>
          <w:spacing w:val="-43"/>
          <w:position w:val="2"/>
        </w:rPr>
        <w:t xml:space="preserve"> </w:t>
      </w:r>
      <w:r>
        <w:rPr>
          <w:rFonts w:ascii="SimSun" w:hAnsi="SimSun" w:eastAsia="SimSun" w:cs="SimSun"/>
          <w:sz w:val="18"/>
          <w:szCs w:val="18"/>
          <w:b/>
          <w:bCs/>
          <w:color w:val="231F20"/>
          <w:spacing w:val="-9"/>
          <w:position w:val="2"/>
        </w:rPr>
        <w:t>address:</w:t>
      </w:r>
      <w:r>
        <w:rPr>
          <w:rFonts w:ascii="SimSun" w:hAnsi="SimSun" w:eastAsia="SimSun" w:cs="SimSun"/>
          <w:sz w:val="18"/>
          <w:szCs w:val="18"/>
          <w:color w:val="231F20"/>
          <w:spacing w:val="-39"/>
          <w:position w:val="2"/>
        </w:rPr>
        <w:t xml:space="preserve"> </w:t>
      </w:r>
      <w:r>
        <w:rPr>
          <w:rFonts w:ascii="SimSun" w:hAnsi="SimSun" w:eastAsia="SimSun" w:cs="SimSun"/>
          <w:sz w:val="18"/>
          <w:szCs w:val="18"/>
          <w:b/>
          <w:bCs/>
          <w:color w:val="231F20"/>
          <w:spacing w:val="-9"/>
          <w:position w:val="2"/>
        </w:rPr>
        <w:t>Qianjiang</w:t>
      </w:r>
      <w:r>
        <w:rPr>
          <w:rFonts w:ascii="SimSun" w:hAnsi="SimSun" w:eastAsia="SimSun" w:cs="SimSun"/>
          <w:sz w:val="18"/>
          <w:szCs w:val="18"/>
          <w:color w:val="231F20"/>
          <w:spacing w:val="-42"/>
          <w:position w:val="2"/>
        </w:rPr>
        <w:t xml:space="preserve"> </w:t>
      </w:r>
      <w:r>
        <w:rPr>
          <w:rFonts w:ascii="SimSun" w:hAnsi="SimSun" w:eastAsia="SimSun" w:cs="SimSun"/>
          <w:sz w:val="18"/>
          <w:szCs w:val="18"/>
          <w:b/>
          <w:bCs/>
          <w:color w:val="231F20"/>
          <w:spacing w:val="-9"/>
          <w:position w:val="2"/>
        </w:rPr>
        <w:t>People</w:t>
      </w:r>
      <w:r>
        <w:rPr>
          <w:rFonts w:ascii="Times New Roman" w:hAnsi="Times New Roman" w:eastAsia="Times New Roman" w:cs="Times New Roman"/>
          <w:sz w:val="18"/>
          <w:szCs w:val="18"/>
          <w:b/>
          <w:bCs/>
          <w:color w:val="231F20"/>
          <w:spacing w:val="-9"/>
          <w:position w:val="2"/>
        </w:rPr>
        <w:t>’</w:t>
      </w:r>
      <w:r>
        <w:rPr>
          <w:rFonts w:ascii="SimSun" w:hAnsi="SimSun" w:eastAsia="SimSun" w:cs="SimSun"/>
          <w:sz w:val="18"/>
          <w:szCs w:val="18"/>
          <w:b/>
          <w:bCs/>
          <w:color w:val="231F20"/>
          <w:spacing w:val="-9"/>
          <w:position w:val="2"/>
        </w:rPr>
        <w:t>s</w:t>
      </w:r>
      <w:r>
        <w:rPr>
          <w:rFonts w:ascii="SimSun" w:hAnsi="SimSun" w:eastAsia="SimSun" w:cs="SimSun"/>
          <w:sz w:val="18"/>
          <w:szCs w:val="18"/>
          <w:color w:val="231F20"/>
          <w:spacing w:val="-41"/>
          <w:position w:val="2"/>
        </w:rPr>
        <w:t xml:space="preserve"> </w:t>
      </w:r>
      <w:r>
        <w:rPr>
          <w:rFonts w:ascii="SimSun" w:hAnsi="SimSun" w:eastAsia="SimSun" w:cs="SimSun"/>
          <w:sz w:val="18"/>
          <w:szCs w:val="18"/>
          <w:b/>
          <w:bCs/>
          <w:color w:val="231F20"/>
          <w:spacing w:val="-9"/>
          <w:position w:val="2"/>
        </w:rPr>
        <w:t>Hospital,</w:t>
      </w:r>
      <w:r>
        <w:rPr>
          <w:rFonts w:ascii="SimSun" w:hAnsi="SimSun" w:eastAsia="SimSun" w:cs="SimSun"/>
          <w:sz w:val="18"/>
          <w:szCs w:val="18"/>
          <w:color w:val="231F20"/>
          <w:spacing w:val="-39"/>
          <w:position w:val="2"/>
        </w:rPr>
        <w:t xml:space="preserve"> </w:t>
      </w:r>
      <w:r>
        <w:rPr>
          <w:rFonts w:ascii="SimSun" w:hAnsi="SimSun" w:eastAsia="SimSun" w:cs="SimSun"/>
          <w:sz w:val="18"/>
          <w:szCs w:val="18"/>
          <w:b/>
          <w:bCs/>
          <w:color w:val="231F20"/>
          <w:spacing w:val="-9"/>
          <w:position w:val="2"/>
        </w:rPr>
        <w:t>Qianjiang</w:t>
      </w:r>
      <w:r>
        <w:rPr>
          <w:rFonts w:ascii="SimSun" w:hAnsi="SimSun" w:eastAsia="SimSun" w:cs="SimSun"/>
          <w:sz w:val="18"/>
          <w:szCs w:val="18"/>
          <w:color w:val="231F20"/>
          <w:spacing w:val="-41"/>
          <w:position w:val="2"/>
        </w:rPr>
        <w:t xml:space="preserve"> </w:t>
      </w:r>
      <w:r>
        <w:rPr>
          <w:rFonts w:ascii="SimSun" w:hAnsi="SimSun" w:eastAsia="SimSun" w:cs="SimSun"/>
          <w:sz w:val="18"/>
          <w:szCs w:val="18"/>
          <w:b/>
          <w:bCs/>
          <w:color w:val="231F20"/>
          <w:spacing w:val="-9"/>
          <w:position w:val="2"/>
        </w:rPr>
        <w:t>433100,</w:t>
      </w:r>
      <w:r>
        <w:rPr>
          <w:rFonts w:ascii="SimSun" w:hAnsi="SimSun" w:eastAsia="SimSun" w:cs="SimSun"/>
          <w:sz w:val="18"/>
          <w:szCs w:val="18"/>
          <w:color w:val="231F20"/>
          <w:spacing w:val="-36"/>
          <w:position w:val="2"/>
        </w:rPr>
        <w:t xml:space="preserve"> </w:t>
      </w:r>
      <w:r>
        <w:rPr>
          <w:rFonts w:ascii="SimSun" w:hAnsi="SimSun" w:eastAsia="SimSun" w:cs="SimSun"/>
          <w:sz w:val="18"/>
          <w:szCs w:val="18"/>
          <w:b/>
          <w:bCs/>
          <w:color w:val="231F20"/>
          <w:spacing w:val="-9"/>
          <w:position w:val="2"/>
        </w:rPr>
        <w:t>Ch</w:t>
      </w:r>
      <w:r>
        <w:rPr>
          <w:rFonts w:ascii="SimSun" w:hAnsi="SimSun" w:eastAsia="SimSun" w:cs="SimSun"/>
          <w:sz w:val="18"/>
          <w:szCs w:val="18"/>
          <w:b/>
          <w:bCs/>
          <w:color w:val="231F20"/>
          <w:spacing w:val="-10"/>
          <w:position w:val="2"/>
        </w:rPr>
        <w:t>ina</w:t>
      </w:r>
    </w:p>
    <w:p>
      <w:pPr>
        <w:spacing w:before="103"/>
        <w:rPr/>
      </w:pPr>
      <w:r/>
    </w:p>
    <w:p>
      <w:pPr>
        <w:sectPr>
          <w:headerReference w:type="default" r:id="rId1"/>
          <w:pgSz w:w="11906" w:h="16838"/>
          <w:pgMar w:top="1471" w:right="684" w:bottom="0" w:left="407" w:header="1038" w:footer="0" w:gutter="0"/>
          <w:cols w:equalWidth="0" w:num="1">
            <w:col w:w="10814" w:space="0"/>
          </w:cols>
        </w:sectPr>
        <w:rPr/>
      </w:pPr>
    </w:p>
    <w:p>
      <w:pPr>
        <w:pStyle w:val="BodyText"/>
        <w:ind w:left="385" w:right="162" w:firstLine="436"/>
        <w:spacing w:before="39" w:line="217" w:lineRule="auto"/>
        <w:jc w:val="both"/>
        <w:rPr/>
      </w:pPr>
      <w:r>
        <w:rPr>
          <w:sz w:val="21"/>
          <w:szCs w:val="21"/>
          <w:color w:val="231F20"/>
          <w:spacing w:val="10"/>
        </w:rPr>
        <w:t>急性肠胃炎属于一种较为常见的消化系统疾病，</w:t>
      </w:r>
      <w:r>
        <w:rPr>
          <w:sz w:val="21"/>
          <w:szCs w:val="21"/>
          <w:color w:val="231F20"/>
          <w:spacing w:val="7"/>
        </w:rPr>
        <w:t xml:space="preserve"> </w:t>
      </w:r>
      <w:r>
        <w:rPr>
          <w:sz w:val="21"/>
          <w:szCs w:val="21"/>
          <w:color w:val="231F20"/>
          <w:spacing w:val="6"/>
        </w:rPr>
        <w:t>在夏秋季节的发病率相对较高，主要是由于有害因素</w:t>
      </w:r>
      <w:r>
        <w:rPr>
          <w:sz w:val="21"/>
          <w:szCs w:val="21"/>
          <w:color w:val="231F20"/>
          <w:spacing w:val="1"/>
        </w:rPr>
        <w:t xml:space="preserve">  </w:t>
      </w:r>
      <w:r>
        <w:rPr>
          <w:sz w:val="21"/>
          <w:szCs w:val="21"/>
          <w:color w:val="231F20"/>
          <w:spacing w:val="6"/>
        </w:rPr>
        <w:t>间接或者直接进入机体胃肠道从而导致胃肠黏膜产生</w:t>
      </w:r>
      <w:r>
        <w:rPr>
          <w:sz w:val="21"/>
          <w:szCs w:val="21"/>
          <w:color w:val="231F20"/>
          <w:spacing w:val="7"/>
        </w:rPr>
        <w:t xml:space="preserve">  </w:t>
      </w:r>
      <w:r>
        <w:rPr>
          <w:sz w:val="21"/>
          <w:szCs w:val="21"/>
          <w:color w:val="231F20"/>
          <w:spacing w:val="6"/>
        </w:rPr>
        <w:t>急性炎症，发热、呕吐、腹痛、腹泻是该疾病的主要</w:t>
      </w:r>
      <w:r>
        <w:rPr>
          <w:sz w:val="21"/>
          <w:szCs w:val="21"/>
          <w:color w:val="231F20"/>
          <w:spacing w:val="2"/>
        </w:rPr>
        <w:t xml:space="preserve">  </w:t>
      </w:r>
      <w:r>
        <w:rPr>
          <w:sz w:val="21"/>
          <w:szCs w:val="21"/>
          <w:color w:val="231F20"/>
        </w:rPr>
        <w:t>临床症状 </w:t>
      </w:r>
      <w:r>
        <w:rPr>
          <w:sz w:val="12"/>
          <w:szCs w:val="12"/>
          <w:color w:val="231F20"/>
          <w:position w:val="9"/>
        </w:rPr>
        <w:t>[1-2]</w:t>
      </w:r>
      <w:r>
        <w:rPr>
          <w:sz w:val="12"/>
          <w:szCs w:val="12"/>
          <w:color w:val="231F20"/>
          <w:spacing w:val="-12"/>
          <w:position w:val="9"/>
        </w:rPr>
        <w:t xml:space="preserve"> </w:t>
      </w:r>
      <w:r>
        <w:rPr>
          <w:sz w:val="21"/>
          <w:szCs w:val="21"/>
          <w:color w:val="231F20"/>
        </w:rPr>
        <w:t>。近年来，伴随着社</w:t>
      </w:r>
      <w:r>
        <w:rPr>
          <w:sz w:val="21"/>
          <w:szCs w:val="21"/>
          <w:color w:val="231F20"/>
          <w:spacing w:val="-1"/>
        </w:rPr>
        <w:t>会的不断发展，人们</w:t>
      </w:r>
      <w:r>
        <w:rPr>
          <w:sz w:val="21"/>
          <w:szCs w:val="21"/>
          <w:color w:val="231F20"/>
        </w:rPr>
        <w:t xml:space="preserve">  </w:t>
      </w:r>
      <w:r>
        <w:rPr>
          <w:sz w:val="21"/>
          <w:szCs w:val="21"/>
          <w:color w:val="231F20"/>
          <w:spacing w:val="6"/>
        </w:rPr>
        <w:t>的生活水平得到显著提升，由此导致饮食结构也发生</w:t>
      </w:r>
      <w:r>
        <w:rPr>
          <w:sz w:val="21"/>
          <w:szCs w:val="21"/>
          <w:color w:val="231F20"/>
          <w:spacing w:val="2"/>
        </w:rPr>
        <w:t xml:space="preserve">  </w:t>
      </w:r>
      <w:r>
        <w:rPr>
          <w:sz w:val="21"/>
          <w:szCs w:val="21"/>
          <w:color w:val="231F20"/>
          <w:spacing w:val="6"/>
        </w:rPr>
        <w:t>巨大改变，因饮食问题而导致的急性肠胃炎患者也逐</w:t>
      </w:r>
      <w:r>
        <w:rPr>
          <w:sz w:val="21"/>
          <w:szCs w:val="21"/>
          <w:color w:val="231F20"/>
          <w:spacing w:val="4"/>
        </w:rPr>
        <w:t xml:space="preserve">  </w:t>
      </w:r>
      <w:r>
        <w:rPr>
          <w:sz w:val="21"/>
          <w:szCs w:val="21"/>
          <w:color w:val="231F20"/>
          <w:spacing w:val="6"/>
        </w:rPr>
        <w:t>渐呈递增趋势，对人们的日常生活及身体健康造成不</w:t>
      </w:r>
      <w:r>
        <w:rPr>
          <w:sz w:val="21"/>
          <w:szCs w:val="21"/>
          <w:color w:val="231F20"/>
          <w:spacing w:val="3"/>
        </w:rPr>
        <w:t xml:space="preserve">  </w:t>
      </w:r>
      <w:r>
        <w:rPr>
          <w:sz w:val="21"/>
          <w:szCs w:val="21"/>
          <w:color w:val="231F20"/>
          <w:spacing w:val="4"/>
        </w:rPr>
        <w:t>利影响 </w:t>
      </w:r>
      <w:r>
        <w:rPr>
          <w:sz w:val="12"/>
          <w:szCs w:val="12"/>
          <w:color w:val="231F20"/>
          <w:spacing w:val="4"/>
          <w:position w:val="9"/>
        </w:rPr>
        <w:t>[3]</w:t>
      </w:r>
      <w:r>
        <w:rPr>
          <w:sz w:val="12"/>
          <w:szCs w:val="12"/>
          <w:color w:val="231F20"/>
          <w:position w:val="9"/>
        </w:rPr>
        <w:t xml:space="preserve"> </w:t>
      </w:r>
      <w:r>
        <w:rPr>
          <w:sz w:val="21"/>
          <w:szCs w:val="21"/>
          <w:color w:val="231F20"/>
          <w:spacing w:val="4"/>
        </w:rPr>
        <w:t>。对于急性肠胃炎患者若不能采取及时、有</w:t>
      </w:r>
      <w:r>
        <w:rPr>
          <w:sz w:val="21"/>
          <w:szCs w:val="21"/>
          <w:color w:val="231F20"/>
        </w:rPr>
        <w:t xml:space="preserve">  </w:t>
      </w:r>
      <w:r>
        <w:rPr>
          <w:sz w:val="21"/>
          <w:szCs w:val="21"/>
          <w:color w:val="231F20"/>
          <w:spacing w:val="6"/>
        </w:rPr>
        <w:t>效的治疗方案，则极易导致其病情恶化，伴随着病情</w:t>
      </w:r>
      <w:r>
        <w:rPr>
          <w:sz w:val="21"/>
          <w:szCs w:val="21"/>
          <w:color w:val="231F20"/>
          <w:spacing w:val="3"/>
        </w:rPr>
        <w:t xml:space="preserve">  </w:t>
      </w:r>
      <w:r>
        <w:rPr>
          <w:sz w:val="21"/>
          <w:szCs w:val="21"/>
          <w:color w:val="231F20"/>
          <w:spacing w:val="9"/>
        </w:rPr>
        <w:t>进展会对机体肾功能造成损伤，不利于患者预后 </w:t>
      </w:r>
      <w:r>
        <w:rPr>
          <w:sz w:val="12"/>
          <w:szCs w:val="12"/>
          <w:color w:val="231F20"/>
          <w:spacing w:val="9"/>
          <w:position w:val="9"/>
        </w:rPr>
        <w:t>[4</w:t>
      </w:r>
      <w:r>
        <w:rPr>
          <w:sz w:val="12"/>
          <w:szCs w:val="12"/>
          <w:color w:val="231F20"/>
          <w:spacing w:val="8"/>
          <w:position w:val="9"/>
        </w:rPr>
        <w:t>]</w:t>
      </w:r>
      <w:r>
        <w:rPr>
          <w:sz w:val="21"/>
          <w:szCs w:val="21"/>
          <w:color w:val="231F20"/>
          <w:spacing w:val="8"/>
        </w:rPr>
        <w:t>。</w:t>
      </w:r>
      <w:r>
        <w:rPr>
          <w:sz w:val="21"/>
          <w:szCs w:val="21"/>
          <w:color w:val="231F20"/>
        </w:rPr>
        <w:t xml:space="preserve"> </w:t>
      </w:r>
      <w:r>
        <w:rPr>
          <w:sz w:val="21"/>
          <w:szCs w:val="21"/>
          <w:color w:val="231F20"/>
        </w:rPr>
        <w:t>当前，临床中对急性肠胃炎患者主要以药物治疗为主，</w:t>
      </w:r>
      <w:r>
        <w:rPr>
          <w:sz w:val="21"/>
          <w:szCs w:val="21"/>
          <w:color w:val="231F20"/>
          <w:spacing w:val="11"/>
        </w:rPr>
        <w:t xml:space="preserve"> </w:t>
      </w:r>
      <w:r>
        <w:rPr>
          <w:sz w:val="21"/>
          <w:szCs w:val="21"/>
          <w:color w:val="231F20"/>
          <w:spacing w:val="6"/>
        </w:rPr>
        <w:t>缓解其临床症状、抑制胃酸分泌、加速患者病情恢复</w:t>
      </w:r>
      <w:r>
        <w:rPr>
          <w:sz w:val="21"/>
          <w:szCs w:val="21"/>
          <w:color w:val="231F20"/>
          <w:spacing w:val="4"/>
        </w:rPr>
        <w:t xml:space="preserve">  </w:t>
      </w:r>
      <w:r>
        <w:rPr>
          <w:sz w:val="21"/>
          <w:szCs w:val="21"/>
          <w:u w:val="single" w:color="auto"/>
          <w:color w:val="231F20"/>
          <w:spacing w:val="6"/>
        </w:rPr>
        <w:t>是对其治疗的主要目标，阿莫西林与奥美拉唑在临床</w:t>
      </w:r>
      <w:r>
        <w:rPr>
          <w:sz w:val="21"/>
          <w:szCs w:val="21"/>
          <w:color w:val="231F20"/>
          <w:spacing w:val="5"/>
        </w:rPr>
        <w:t xml:space="preserve">  </w:t>
      </w:r>
      <w:r>
        <w:rPr>
          <w:color w:val="231F20"/>
          <w:spacing w:val="-6"/>
        </w:rPr>
        <w:t>①潜江市人民医院</w:t>
      </w:r>
      <w:r>
        <w:rPr>
          <w:color w:val="231F20"/>
          <w:spacing w:val="12"/>
        </w:rPr>
        <w:t xml:space="preserve">   </w:t>
      </w:r>
      <w:r>
        <w:rPr>
          <w:color w:val="231F20"/>
          <w:spacing w:val="-6"/>
        </w:rPr>
        <w:t>湖北</w:t>
      </w:r>
      <w:r>
        <w:rPr>
          <w:color w:val="231F20"/>
          <w:spacing w:val="8"/>
        </w:rPr>
        <w:t xml:space="preserve">   </w:t>
      </w:r>
      <w:r>
        <w:rPr>
          <w:color w:val="231F20"/>
          <w:spacing w:val="-6"/>
        </w:rPr>
        <w:t>潜江</w:t>
      </w:r>
      <w:r>
        <w:rPr>
          <w:color w:val="231F20"/>
          <w:spacing w:val="7"/>
        </w:rPr>
        <w:t xml:space="preserve">   </w:t>
      </w:r>
      <w:r>
        <w:rPr>
          <w:color w:val="231F20"/>
          <w:spacing w:val="-6"/>
        </w:rPr>
        <w:t>433100</w:t>
      </w:r>
    </w:p>
    <w:p>
      <w:pPr>
        <w:spacing w:line="26" w:lineRule="exact"/>
        <w:rPr/>
      </w:pPr>
      <w:r/>
    </w:p>
    <w:p>
      <w:pPr>
        <w:spacing w:line="14" w:lineRule="auto"/>
        <w:rPr>
          <w:rFonts w:ascii="Arial"/>
          <w:sz w:val="2"/>
        </w:rPr>
      </w:pPr>
      <w:r>
        <w:rPr>
          <w:rFonts w:ascii="Arial" w:hAnsi="Arial" w:eastAsia="Arial" w:cs="Arial"/>
          <w:sz w:val="2"/>
          <w:szCs w:val="2"/>
        </w:rPr>
        <w:br w:type="column"/>
      </w:r>
    </w:p>
    <w:p>
      <w:pPr>
        <w:pStyle w:val="BodyText"/>
        <w:ind w:right="119" w:firstLine="22"/>
        <w:spacing w:before="43" w:line="210" w:lineRule="auto"/>
        <w:jc w:val="both"/>
        <w:rPr>
          <w:sz w:val="21"/>
          <w:szCs w:val="21"/>
        </w:rPr>
      </w:pPr>
      <w:r>
        <w:rPr>
          <w:sz w:val="21"/>
          <w:szCs w:val="21"/>
          <w:color w:val="231F20"/>
          <w:spacing w:val="4"/>
        </w:rPr>
        <w:t>中的应用较为普遍，但经临床实践显示，对急性肠胃</w:t>
      </w:r>
      <w:r>
        <w:rPr>
          <w:sz w:val="21"/>
          <w:szCs w:val="21"/>
          <w:color w:val="231F20"/>
          <w:spacing w:val="13"/>
        </w:rPr>
        <w:t xml:space="preserve"> </w:t>
      </w:r>
      <w:r>
        <w:rPr>
          <w:sz w:val="21"/>
          <w:szCs w:val="21"/>
          <w:color w:val="231F20"/>
          <w:spacing w:val="6"/>
        </w:rPr>
        <w:t>炎患者采用阿莫西林与奥美拉唑治疗期间，其预后较</w:t>
      </w:r>
      <w:r>
        <w:rPr>
          <w:sz w:val="21"/>
          <w:szCs w:val="21"/>
          <w:color w:val="231F20"/>
          <w:spacing w:val="9"/>
        </w:rPr>
        <w:t xml:space="preserve"> </w:t>
      </w:r>
      <w:r>
        <w:rPr>
          <w:sz w:val="21"/>
          <w:szCs w:val="21"/>
          <w:color w:val="231F20"/>
          <w:spacing w:val="4"/>
        </w:rPr>
        <w:t>慢，不利于临床推广应用 </w:t>
      </w:r>
      <w:r>
        <w:rPr>
          <w:sz w:val="12"/>
          <w:szCs w:val="12"/>
          <w:color w:val="231F20"/>
          <w:spacing w:val="4"/>
          <w:position w:val="9"/>
        </w:rPr>
        <w:t>[5]</w:t>
      </w:r>
      <w:r>
        <w:rPr>
          <w:sz w:val="12"/>
          <w:szCs w:val="12"/>
          <w:color w:val="231F20"/>
          <w:spacing w:val="-2"/>
          <w:position w:val="9"/>
        </w:rPr>
        <w:t xml:space="preserve"> </w:t>
      </w:r>
      <w:r>
        <w:rPr>
          <w:sz w:val="21"/>
          <w:szCs w:val="21"/>
          <w:color w:val="231F20"/>
          <w:spacing w:val="4"/>
        </w:rPr>
        <w:t>。因此，本研究通过对急</w:t>
      </w:r>
      <w:r>
        <w:rPr>
          <w:sz w:val="21"/>
          <w:szCs w:val="21"/>
          <w:color w:val="231F20"/>
        </w:rPr>
        <w:t xml:space="preserve"> </w:t>
      </w:r>
      <w:r>
        <w:rPr>
          <w:sz w:val="21"/>
          <w:szCs w:val="21"/>
          <w:color w:val="231F20"/>
          <w:spacing w:val="6"/>
        </w:rPr>
        <w:t>性肠胃炎患者采用奥美拉唑、阿司匹林与双歧杆菌联</w:t>
      </w:r>
      <w:r>
        <w:rPr>
          <w:sz w:val="21"/>
          <w:szCs w:val="21"/>
          <w:color w:val="231F20"/>
          <w:spacing w:val="7"/>
        </w:rPr>
        <w:t xml:space="preserve"> </w:t>
      </w:r>
      <w:r>
        <w:rPr>
          <w:sz w:val="21"/>
          <w:szCs w:val="21"/>
          <w:color w:val="231F20"/>
          <w:spacing w:val="-2"/>
        </w:rPr>
        <w:t>合的治疗方案，以探讨其价值，报道如下。</w:t>
      </w:r>
    </w:p>
    <w:p>
      <w:pPr>
        <w:ind w:left="18"/>
        <w:spacing w:line="241" w:lineRule="auto"/>
        <w:rPr>
          <w:rFonts w:ascii="SimHei" w:hAnsi="SimHei" w:eastAsia="SimHei" w:cs="SimHei"/>
          <w:sz w:val="21"/>
          <w:szCs w:val="21"/>
        </w:rPr>
      </w:pPr>
      <w:r>
        <w:rPr>
          <w:rFonts w:ascii="SimHei" w:hAnsi="SimHei" w:eastAsia="SimHei" w:cs="SimHei"/>
          <w:sz w:val="21"/>
          <w:szCs w:val="21"/>
          <w:color w:val="231F20"/>
          <w:spacing w:val="-6"/>
        </w:rPr>
        <w:t>1</w:t>
      </w:r>
      <w:r>
        <w:rPr>
          <w:rFonts w:ascii="SimHei" w:hAnsi="SimHei" w:eastAsia="SimHei" w:cs="SimHei"/>
          <w:sz w:val="21"/>
          <w:szCs w:val="21"/>
          <w:color w:val="231F20"/>
          <w:spacing w:val="7"/>
        </w:rPr>
        <w:t xml:space="preserve">  </w:t>
      </w:r>
      <w:r>
        <w:rPr>
          <w:rFonts w:ascii="SimHei" w:hAnsi="SimHei" w:eastAsia="SimHei" w:cs="SimHei"/>
          <w:sz w:val="21"/>
          <w:szCs w:val="21"/>
          <w:color w:val="231F20"/>
          <w:spacing w:val="-6"/>
        </w:rPr>
        <w:t>资料与方法</w:t>
      </w:r>
    </w:p>
    <w:p>
      <w:pPr>
        <w:pStyle w:val="BodyText"/>
        <w:ind w:left="20"/>
        <w:spacing w:before="51" w:line="206" w:lineRule="auto"/>
        <w:rPr>
          <w:sz w:val="21"/>
          <w:szCs w:val="21"/>
        </w:rPr>
      </w:pPr>
      <w:r>
        <w:rPr>
          <w:sz w:val="21"/>
          <w:szCs w:val="21"/>
          <w:color w:val="231F20"/>
          <w:spacing w:val="-10"/>
        </w:rPr>
        <w:t>1.1</w:t>
      </w:r>
      <w:r>
        <w:rPr>
          <w:sz w:val="21"/>
          <w:szCs w:val="21"/>
          <w:color w:val="231F20"/>
          <w:spacing w:val="10"/>
        </w:rPr>
        <w:t xml:space="preserve">   </w:t>
      </w:r>
      <w:r>
        <w:rPr>
          <w:sz w:val="21"/>
          <w:szCs w:val="21"/>
          <w:color w:val="231F20"/>
          <w:spacing w:val="-10"/>
        </w:rPr>
        <w:t>一般资料</w:t>
      </w:r>
    </w:p>
    <w:p>
      <w:pPr>
        <w:pStyle w:val="BodyText"/>
        <w:ind w:firstLine="435"/>
        <w:spacing w:before="14" w:line="214" w:lineRule="auto"/>
        <w:jc w:val="both"/>
        <w:rPr>
          <w:sz w:val="21"/>
          <w:szCs w:val="21"/>
        </w:rPr>
      </w:pPr>
      <w:r>
        <w:rPr>
          <w:sz w:val="21"/>
          <w:szCs w:val="21"/>
          <w:color w:val="231F20"/>
          <w:spacing w:val="-5"/>
        </w:rPr>
        <w:t>选取 2018 年</w:t>
      </w:r>
      <w:r>
        <w:rPr>
          <w:sz w:val="21"/>
          <w:szCs w:val="21"/>
          <w:color w:val="231F20"/>
          <w:spacing w:val="17"/>
          <w:w w:val="101"/>
        </w:rPr>
        <w:t xml:space="preserve"> </w:t>
      </w:r>
      <w:r>
        <w:rPr>
          <w:sz w:val="21"/>
          <w:szCs w:val="21"/>
          <w:color w:val="231F20"/>
          <w:spacing w:val="-5"/>
        </w:rPr>
        <w:t>1 月 -2020 年</w:t>
      </w:r>
      <w:r>
        <w:rPr>
          <w:sz w:val="21"/>
          <w:szCs w:val="21"/>
          <w:color w:val="231F20"/>
          <w:spacing w:val="16"/>
          <w:w w:val="101"/>
        </w:rPr>
        <w:t xml:space="preserve"> </w:t>
      </w:r>
      <w:r>
        <w:rPr>
          <w:sz w:val="21"/>
          <w:szCs w:val="21"/>
          <w:color w:val="231F20"/>
          <w:spacing w:val="-5"/>
        </w:rPr>
        <w:t>12 月因急性肠</w:t>
      </w:r>
      <w:r>
        <w:rPr>
          <w:sz w:val="21"/>
          <w:szCs w:val="21"/>
          <w:color w:val="231F20"/>
          <w:spacing w:val="-6"/>
        </w:rPr>
        <w:t>胃炎来</w:t>
      </w:r>
      <w:r>
        <w:rPr>
          <w:sz w:val="21"/>
          <w:szCs w:val="21"/>
          <w:color w:val="231F20"/>
        </w:rPr>
        <w:t xml:space="preserve">   </w:t>
      </w:r>
      <w:r>
        <w:rPr>
          <w:sz w:val="21"/>
          <w:szCs w:val="21"/>
          <w:color w:val="231F20"/>
          <w:spacing w:val="-2"/>
        </w:rPr>
        <w:t>本院接受治疗的 500 例患者为研究对象。（1）纳入标</w:t>
      </w:r>
      <w:r>
        <w:rPr>
          <w:sz w:val="21"/>
          <w:szCs w:val="21"/>
          <w:color w:val="231F20"/>
          <w:spacing w:val="1"/>
        </w:rPr>
        <w:t xml:space="preserve">   </w:t>
      </w:r>
      <w:r>
        <w:rPr>
          <w:sz w:val="21"/>
          <w:szCs w:val="21"/>
          <w:color w:val="231F20"/>
          <w:spacing w:val="6"/>
        </w:rPr>
        <w:t>准：①经临床检查及影像学诊断为急性肠胃炎；②无</w:t>
      </w:r>
      <w:r>
        <w:rPr>
          <w:sz w:val="21"/>
          <w:szCs w:val="21"/>
          <w:color w:val="231F20"/>
          <w:spacing w:val="3"/>
        </w:rPr>
        <w:t xml:space="preserve">   </w:t>
      </w:r>
      <w:r>
        <w:rPr>
          <w:sz w:val="21"/>
          <w:szCs w:val="21"/>
          <w:color w:val="231F20"/>
          <w:spacing w:val="9"/>
        </w:rPr>
        <w:t>药物禁忌证及过敏史；③具备较为完整的临床资料，</w:t>
      </w:r>
      <w:r>
        <w:rPr>
          <w:sz w:val="21"/>
          <w:szCs w:val="21"/>
          <w:color w:val="231F20"/>
          <w:spacing w:val="8"/>
        </w:rPr>
        <w:t xml:space="preserve">  </w:t>
      </w:r>
      <w:r>
        <w:rPr>
          <w:sz w:val="21"/>
          <w:szCs w:val="21"/>
          <w:color w:val="231F20"/>
          <w:spacing w:val="1"/>
        </w:rPr>
        <w:t>且已签署知情同意书。（2）排除标准：①合并严重免</w:t>
      </w:r>
      <w:r>
        <w:rPr>
          <w:sz w:val="21"/>
          <w:szCs w:val="21"/>
          <w:color w:val="231F20"/>
        </w:rPr>
        <w:t xml:space="preserve">   </w:t>
      </w:r>
      <w:r>
        <w:rPr>
          <w:sz w:val="21"/>
          <w:szCs w:val="21"/>
          <w:color w:val="231F20"/>
          <w:spacing w:val="6"/>
        </w:rPr>
        <w:t>疫性、血液性及呼吸系统疾病；②存在认知功能障碍</w:t>
      </w:r>
      <w:r>
        <w:rPr>
          <w:sz w:val="21"/>
          <w:szCs w:val="21"/>
          <w:color w:val="231F20"/>
          <w:spacing w:val="4"/>
        </w:rPr>
        <w:t xml:space="preserve">   </w:t>
      </w:r>
      <w:r>
        <w:rPr>
          <w:sz w:val="21"/>
          <w:szCs w:val="21"/>
          <w:color w:val="231F20"/>
          <w:spacing w:val="6"/>
        </w:rPr>
        <w:t>及精神类疾病无法有效配合；③对本研究采用药物过</w:t>
      </w:r>
      <w:r>
        <w:rPr>
          <w:sz w:val="21"/>
          <w:szCs w:val="21"/>
          <w:color w:val="231F20"/>
          <w:spacing w:val="3"/>
        </w:rPr>
        <w:t xml:space="preserve">   </w:t>
      </w:r>
      <w:r>
        <w:rPr>
          <w:sz w:val="21"/>
          <w:szCs w:val="21"/>
          <w:color w:val="231F20"/>
          <w:spacing w:val="2"/>
        </w:rPr>
        <w:t>敏；④存在恶性肿瘤疾病。随机设为研究组（</w:t>
      </w:r>
      <w:r>
        <w:rPr>
          <w:rFonts w:ascii="Times New Roman" w:hAnsi="Times New Roman" w:eastAsia="Times New Roman" w:cs="Times New Roman"/>
          <w:sz w:val="21"/>
          <w:szCs w:val="21"/>
          <w:color w:val="231F20"/>
          <w:spacing w:val="2"/>
        </w:rPr>
        <w:t>n</w:t>
      </w:r>
      <w:r>
        <w:rPr>
          <w:sz w:val="21"/>
          <w:szCs w:val="21"/>
          <w:color w:val="231F20"/>
          <w:spacing w:val="2"/>
        </w:rPr>
        <w:t>=250）</w:t>
      </w:r>
    </w:p>
    <w:p>
      <w:pPr>
        <w:spacing w:line="214" w:lineRule="auto"/>
        <w:sectPr>
          <w:type w:val="continuous"/>
          <w:pgSz w:w="11906" w:h="16838"/>
          <w:pgMar w:top="1471" w:right="684" w:bottom="0" w:left="407" w:header="1038" w:footer="0" w:gutter="0"/>
          <w:cols w:equalWidth="0" w:num="2">
            <w:col w:w="5614" w:space="100"/>
            <w:col w:w="5100" w:space="0"/>
          </w:cols>
        </w:sectPr>
        <w:rPr>
          <w:sz w:val="21"/>
          <w:szCs w:val="21"/>
        </w:rPr>
      </w:pPr>
    </w:p>
    <w:p>
      <w:pPr>
        <w:pStyle w:val="BodyText"/>
        <w:ind w:left="387"/>
        <w:spacing w:line="157" w:lineRule="auto"/>
        <w:rPr/>
      </w:pPr>
      <w:r>
        <w:rPr>
          <w:sz w:val="13"/>
          <w:szCs w:val="13"/>
          <w:color w:val="231F20"/>
          <w:spacing w:val="-4"/>
        </w:rPr>
        <w:t>Chinese and</w:t>
      </w:r>
      <w:r>
        <w:rPr>
          <w:sz w:val="13"/>
          <w:szCs w:val="13"/>
          <w:color w:val="231F20"/>
          <w:spacing w:val="13"/>
          <w:w w:val="101"/>
        </w:rPr>
        <w:t xml:space="preserve"> </w:t>
      </w:r>
      <w:r>
        <w:rPr>
          <w:sz w:val="13"/>
          <w:szCs w:val="13"/>
          <w:color w:val="231F20"/>
          <w:spacing w:val="-4"/>
        </w:rPr>
        <w:t>Foreign</w:t>
      </w:r>
      <w:r>
        <w:rPr>
          <w:sz w:val="13"/>
          <w:szCs w:val="13"/>
          <w:color w:val="231F20"/>
          <w:spacing w:val="6"/>
        </w:rPr>
        <w:t xml:space="preserve"> </w:t>
      </w:r>
      <w:r>
        <w:rPr>
          <w:sz w:val="13"/>
          <w:szCs w:val="13"/>
          <w:color w:val="231F20"/>
          <w:spacing w:val="-4"/>
        </w:rPr>
        <w:t>Medica</w:t>
      </w:r>
      <w:r>
        <w:rPr>
          <w:sz w:val="13"/>
          <w:szCs w:val="13"/>
          <w:color w:val="231F20"/>
          <w:spacing w:val="-5"/>
        </w:rPr>
        <w:t>l</w:t>
      </w:r>
      <w:r>
        <w:rPr>
          <w:sz w:val="13"/>
          <w:szCs w:val="13"/>
          <w:color w:val="231F20"/>
          <w:spacing w:val="9"/>
          <w:w w:val="101"/>
        </w:rPr>
        <w:t xml:space="preserve"> </w:t>
      </w:r>
      <w:r>
        <w:rPr>
          <w:sz w:val="13"/>
          <w:szCs w:val="13"/>
          <w:color w:val="231F20"/>
          <w:spacing w:val="-5"/>
        </w:rPr>
        <w:t>Research Vol.19,</w:t>
      </w:r>
      <w:r>
        <w:rPr>
          <w:sz w:val="13"/>
          <w:szCs w:val="13"/>
          <w:color w:val="231F20"/>
          <w:spacing w:val="7"/>
        </w:rPr>
        <w:t xml:space="preserve"> </w:t>
      </w:r>
      <w:r>
        <w:rPr>
          <w:sz w:val="13"/>
          <w:szCs w:val="13"/>
          <w:color w:val="231F20"/>
          <w:spacing w:val="-5"/>
        </w:rPr>
        <w:t>No.30 October, 2021</w:t>
      </w:r>
      <w:r>
        <w:rPr>
          <w:sz w:val="13"/>
          <w:szCs w:val="13"/>
          <w:color w:val="231F20"/>
        </w:rPr>
        <w:t xml:space="preserve">                                                                                                                                                        </w:t>
      </w:r>
      <w:r>
        <w:rPr>
          <w:color w:val="231F20"/>
          <w:spacing w:val="4"/>
          <w:position w:val="-2"/>
        </w:rPr>
        <w:t>- 37 -</w:t>
      </w:r>
    </w:p>
    <w:p>
      <w:pPr>
        <w:spacing w:line="157" w:lineRule="auto"/>
        <w:sectPr>
          <w:type w:val="continuous"/>
          <w:pgSz w:w="11906" w:h="16838"/>
          <w:pgMar w:top="1471" w:right="684" w:bottom="0" w:left="407" w:header="1038" w:footer="0" w:gutter="0"/>
          <w:cols w:equalWidth="0" w:num="1">
            <w:col w:w="10814" w:space="0"/>
          </w:cols>
        </w:sectPr>
        <w:rPr/>
      </w:pPr>
    </w:p>
    <w:p>
      <w:pPr>
        <w:spacing w:line="180" w:lineRule="exact"/>
        <w:rPr/>
      </w:pPr>
      <w:r/>
    </w:p>
    <w:p>
      <w:pPr>
        <w:spacing w:line="180" w:lineRule="exact"/>
        <w:sectPr>
          <w:headerReference w:type="default" r:id="rId2"/>
          <w:pgSz w:w="11906" w:h="16838"/>
          <w:pgMar w:top="1471" w:right="716" w:bottom="0" w:left="407" w:header="1038" w:footer="0" w:gutter="0"/>
          <w:cols w:equalWidth="0" w:num="1">
            <w:col w:w="10782" w:space="0"/>
          </w:cols>
        </w:sectPr>
        <w:rPr/>
      </w:pPr>
    </w:p>
    <w:p>
      <w:pPr>
        <w:pStyle w:val="BodyText"/>
        <w:ind w:left="268" w:right="126" w:firstLine="123"/>
        <w:spacing w:before="46" w:line="212" w:lineRule="auto"/>
        <w:jc w:val="both"/>
        <w:rPr>
          <w:sz w:val="21"/>
          <w:szCs w:val="21"/>
        </w:rPr>
      </w:pPr>
      <w:r>
        <w:rPr>
          <w:sz w:val="21"/>
          <w:szCs w:val="21"/>
          <w:color w:val="231F20"/>
          <w:spacing w:val="-8"/>
        </w:rPr>
        <w:t>与对照组（</w:t>
      </w:r>
      <w:r>
        <w:rPr>
          <w:rFonts w:ascii="SimSun" w:hAnsi="SimSun" w:eastAsia="SimSun" w:cs="SimSun"/>
          <w:sz w:val="21"/>
          <w:szCs w:val="21"/>
          <w:color w:val="231F20"/>
          <w:spacing w:val="-8"/>
        </w:rPr>
        <w:t>n</w:t>
      </w:r>
      <w:r>
        <w:rPr>
          <w:sz w:val="21"/>
          <w:szCs w:val="21"/>
          <w:color w:val="231F20"/>
          <w:spacing w:val="-8"/>
        </w:rPr>
        <w:t>=250）。研究组男</w:t>
      </w:r>
      <w:r>
        <w:rPr>
          <w:sz w:val="21"/>
          <w:szCs w:val="21"/>
          <w:color w:val="231F20"/>
          <w:spacing w:val="18"/>
        </w:rPr>
        <w:t xml:space="preserve"> </w:t>
      </w:r>
      <w:r>
        <w:rPr>
          <w:sz w:val="21"/>
          <w:szCs w:val="21"/>
          <w:color w:val="231F20"/>
          <w:spacing w:val="-8"/>
        </w:rPr>
        <w:t>137 例，女</w:t>
      </w:r>
      <w:r>
        <w:rPr>
          <w:sz w:val="21"/>
          <w:szCs w:val="21"/>
          <w:color w:val="231F20"/>
          <w:spacing w:val="17"/>
        </w:rPr>
        <w:t xml:space="preserve"> </w:t>
      </w:r>
      <w:r>
        <w:rPr>
          <w:sz w:val="21"/>
          <w:szCs w:val="21"/>
          <w:color w:val="231F20"/>
          <w:spacing w:val="-8"/>
        </w:rPr>
        <w:t>11</w:t>
      </w:r>
      <w:r>
        <w:rPr>
          <w:sz w:val="21"/>
          <w:szCs w:val="21"/>
          <w:color w:val="231F20"/>
          <w:spacing w:val="-9"/>
        </w:rPr>
        <w:t>3 例；年</w:t>
      </w:r>
      <w:r>
        <w:rPr>
          <w:sz w:val="21"/>
          <w:szCs w:val="21"/>
          <w:color w:val="231F20"/>
        </w:rPr>
        <w:t xml:space="preserve"> </w:t>
      </w:r>
      <w:r>
        <w:rPr>
          <w:sz w:val="21"/>
          <w:szCs w:val="21"/>
          <w:color w:val="231F20"/>
          <w:spacing w:val="-2"/>
        </w:rPr>
        <w:t>龄 20~71 岁，平</w:t>
      </w:r>
      <w:r>
        <w:rPr>
          <w:sz w:val="21"/>
          <w:szCs w:val="21"/>
          <w:color w:val="231F20"/>
          <w:spacing w:val="-36"/>
        </w:rPr>
        <w:t xml:space="preserve"> </w:t>
      </w:r>
      <w:r>
        <w:rPr>
          <w:sz w:val="21"/>
          <w:szCs w:val="21"/>
          <w:color w:val="231F20"/>
          <w:spacing w:val="-2"/>
        </w:rPr>
        <w:t>均（47.4±6.1）岁；病程</w:t>
      </w:r>
      <w:r>
        <w:rPr>
          <w:sz w:val="21"/>
          <w:szCs w:val="21"/>
          <w:color w:val="231F20"/>
          <w:spacing w:val="-3"/>
        </w:rPr>
        <w:t xml:space="preserve"> 3~18 h，平</w:t>
      </w:r>
      <w:r>
        <w:rPr>
          <w:sz w:val="21"/>
          <w:szCs w:val="21"/>
          <w:color w:val="231F20"/>
        </w:rPr>
        <w:t xml:space="preserve"> </w:t>
      </w:r>
      <w:r>
        <w:rPr>
          <w:sz w:val="21"/>
          <w:szCs w:val="21"/>
          <w:color w:val="231F20"/>
          <w:spacing w:val="-3"/>
        </w:rPr>
        <w:t>均（9.8±0.6）h。</w:t>
      </w:r>
      <w:r>
        <w:rPr>
          <w:sz w:val="21"/>
          <w:szCs w:val="21"/>
          <w:color w:val="231F20"/>
          <w:spacing w:val="-20"/>
        </w:rPr>
        <w:t xml:space="preserve"> </w:t>
      </w:r>
      <w:r>
        <w:rPr>
          <w:sz w:val="21"/>
          <w:szCs w:val="21"/>
          <w:color w:val="231F20"/>
          <w:spacing w:val="-3"/>
        </w:rPr>
        <w:t>对 照 组 男</w:t>
      </w:r>
      <w:r>
        <w:rPr>
          <w:sz w:val="21"/>
          <w:szCs w:val="21"/>
          <w:color w:val="231F20"/>
          <w:spacing w:val="27"/>
        </w:rPr>
        <w:t xml:space="preserve"> </w:t>
      </w:r>
      <w:r>
        <w:rPr>
          <w:sz w:val="21"/>
          <w:szCs w:val="21"/>
          <w:color w:val="231F20"/>
          <w:spacing w:val="-3"/>
        </w:rPr>
        <w:t>140 例， 女</w:t>
      </w:r>
      <w:r>
        <w:rPr>
          <w:sz w:val="21"/>
          <w:szCs w:val="21"/>
          <w:color w:val="231F20"/>
          <w:spacing w:val="26"/>
          <w:w w:val="101"/>
        </w:rPr>
        <w:t xml:space="preserve"> </w:t>
      </w:r>
      <w:r>
        <w:rPr>
          <w:sz w:val="21"/>
          <w:szCs w:val="21"/>
          <w:color w:val="231F20"/>
          <w:spacing w:val="-3"/>
        </w:rPr>
        <w:t>11</w:t>
      </w:r>
      <w:r>
        <w:rPr>
          <w:sz w:val="21"/>
          <w:szCs w:val="21"/>
          <w:color w:val="231F20"/>
          <w:spacing w:val="-4"/>
        </w:rPr>
        <w:t>0 例； 年</w:t>
      </w:r>
      <w:r>
        <w:rPr>
          <w:sz w:val="21"/>
          <w:szCs w:val="21"/>
          <w:color w:val="231F20"/>
        </w:rPr>
        <w:t xml:space="preserve"> </w:t>
      </w:r>
      <w:r>
        <w:rPr>
          <w:sz w:val="21"/>
          <w:szCs w:val="21"/>
          <w:color w:val="231F20"/>
          <w:spacing w:val="-2"/>
        </w:rPr>
        <w:t>龄 22~70 岁，平</w:t>
      </w:r>
      <w:r>
        <w:rPr>
          <w:sz w:val="21"/>
          <w:szCs w:val="21"/>
          <w:color w:val="231F20"/>
          <w:spacing w:val="-36"/>
        </w:rPr>
        <w:t xml:space="preserve"> </w:t>
      </w:r>
      <w:r>
        <w:rPr>
          <w:sz w:val="21"/>
          <w:szCs w:val="21"/>
          <w:color w:val="231F20"/>
          <w:spacing w:val="-2"/>
        </w:rPr>
        <w:t>均（47.6±5.8）岁；病程</w:t>
      </w:r>
      <w:r>
        <w:rPr>
          <w:sz w:val="21"/>
          <w:szCs w:val="21"/>
          <w:color w:val="231F20"/>
          <w:spacing w:val="-3"/>
        </w:rPr>
        <w:t xml:space="preserve"> 4~20 h，平</w:t>
      </w:r>
      <w:r>
        <w:rPr>
          <w:sz w:val="21"/>
          <w:szCs w:val="21"/>
          <w:color w:val="231F20"/>
        </w:rPr>
        <w:t xml:space="preserve"> </w:t>
      </w:r>
      <w:r>
        <w:rPr>
          <w:sz w:val="21"/>
          <w:szCs w:val="21"/>
          <w:color w:val="231F20"/>
          <w:spacing w:val="11"/>
        </w:rPr>
        <w:t>均（10.0±0.4）h。两组资料比较差异无统计学意义</w:t>
      </w:r>
      <w:r>
        <w:rPr>
          <w:sz w:val="21"/>
          <w:szCs w:val="21"/>
          <w:color w:val="231F20"/>
          <w:spacing w:val="14"/>
        </w:rPr>
        <w:t xml:space="preserve"> </w:t>
      </w:r>
      <w:r>
        <w:rPr>
          <w:sz w:val="21"/>
          <w:szCs w:val="21"/>
          <w:color w:val="231F20"/>
          <w:spacing w:val="-7"/>
        </w:rPr>
        <w:t>（</w:t>
      </w:r>
      <w:r>
        <w:rPr>
          <w:sz w:val="21"/>
          <w:szCs w:val="21"/>
          <w:color w:val="231F20"/>
          <w:spacing w:val="-24"/>
        </w:rPr>
        <w:t xml:space="preserve"> </w:t>
      </w:r>
      <w:r>
        <w:rPr>
          <w:rFonts w:ascii="SimSun" w:hAnsi="SimSun" w:eastAsia="SimSun" w:cs="SimSun"/>
          <w:sz w:val="21"/>
          <w:szCs w:val="21"/>
          <w:color w:val="231F20"/>
          <w:spacing w:val="-7"/>
        </w:rPr>
        <w:t>P</w:t>
      </w:r>
      <w:r>
        <w:rPr>
          <w:sz w:val="21"/>
          <w:szCs w:val="21"/>
          <w:color w:val="231F20"/>
          <w:spacing w:val="-7"/>
        </w:rPr>
        <w:t>&gt;0.05</w:t>
      </w:r>
      <w:r>
        <w:rPr>
          <w:sz w:val="21"/>
          <w:szCs w:val="21"/>
          <w:color w:val="231F20"/>
          <w:spacing w:val="-32"/>
        </w:rPr>
        <w:t>），</w:t>
      </w:r>
      <w:r>
        <w:rPr>
          <w:sz w:val="21"/>
          <w:szCs w:val="21"/>
          <w:color w:val="231F20"/>
          <w:spacing w:val="-7"/>
        </w:rPr>
        <w:t>有可比性，且经医院伦理委员会准许。</w:t>
      </w:r>
    </w:p>
    <w:p>
      <w:pPr>
        <w:pStyle w:val="BodyText"/>
        <w:ind w:left="404"/>
        <w:spacing w:before="1" w:line="205" w:lineRule="auto"/>
        <w:rPr>
          <w:sz w:val="21"/>
          <w:szCs w:val="21"/>
        </w:rPr>
      </w:pPr>
      <w:r>
        <w:rPr>
          <w:sz w:val="21"/>
          <w:szCs w:val="21"/>
          <w:color w:val="231F20"/>
          <w:spacing w:val="-13"/>
        </w:rPr>
        <w:t>1.2</w:t>
      </w:r>
      <w:r>
        <w:rPr>
          <w:sz w:val="21"/>
          <w:szCs w:val="21"/>
          <w:color w:val="231F20"/>
          <w:spacing w:val="9"/>
        </w:rPr>
        <w:t xml:space="preserve">   </w:t>
      </w:r>
      <w:r>
        <w:rPr>
          <w:sz w:val="21"/>
          <w:szCs w:val="21"/>
          <w:color w:val="231F20"/>
          <w:spacing w:val="-13"/>
        </w:rPr>
        <w:t>方法</w:t>
      </w:r>
    </w:p>
    <w:p>
      <w:pPr>
        <w:pStyle w:val="BodyText"/>
        <w:ind w:left="384" w:right="46" w:firstLine="435"/>
        <w:spacing w:before="6" w:line="212" w:lineRule="auto"/>
        <w:jc w:val="both"/>
        <w:rPr>
          <w:sz w:val="21"/>
          <w:szCs w:val="21"/>
        </w:rPr>
      </w:pPr>
      <w:r>
        <w:rPr>
          <w:sz w:val="21"/>
          <w:szCs w:val="21"/>
          <w:color w:val="231F20"/>
          <w:spacing w:val="9"/>
        </w:rPr>
        <w:t>对照组，阿莫西林联合奥美拉唑治疗，具体为：</w:t>
      </w:r>
      <w:r>
        <w:rPr>
          <w:sz w:val="21"/>
          <w:szCs w:val="21"/>
          <w:color w:val="231F20"/>
          <w:spacing w:val="17"/>
          <w:w w:val="101"/>
        </w:rPr>
        <w:t xml:space="preserve"> </w:t>
      </w:r>
      <w:r>
        <w:rPr>
          <w:sz w:val="21"/>
          <w:szCs w:val="21"/>
          <w:color w:val="231F20"/>
          <w:spacing w:val="6"/>
        </w:rPr>
        <w:t>阿莫西林胶囊（生产厂家：石家庄市华新药业有限责</w:t>
      </w:r>
      <w:r>
        <w:rPr>
          <w:sz w:val="21"/>
          <w:szCs w:val="21"/>
          <w:color w:val="231F20"/>
          <w:spacing w:val="3"/>
        </w:rPr>
        <w:t xml:space="preserve">  </w:t>
      </w:r>
      <w:r>
        <w:rPr>
          <w:sz w:val="21"/>
          <w:szCs w:val="21"/>
          <w:color w:val="231F20"/>
          <w:spacing w:val="-14"/>
        </w:rPr>
        <w:t>任公司，</w:t>
      </w:r>
      <w:r>
        <w:rPr>
          <w:sz w:val="21"/>
          <w:szCs w:val="21"/>
          <w:color w:val="231F20"/>
          <w:spacing w:val="-35"/>
        </w:rPr>
        <w:t xml:space="preserve"> </w:t>
      </w:r>
      <w:r>
        <w:rPr>
          <w:sz w:val="21"/>
          <w:szCs w:val="21"/>
          <w:color w:val="231F20"/>
          <w:spacing w:val="-14"/>
        </w:rPr>
        <w:t>国药准字 H20123313</w:t>
      </w:r>
      <w:r>
        <w:rPr>
          <w:sz w:val="21"/>
          <w:szCs w:val="21"/>
          <w:color w:val="231F20"/>
          <w:spacing w:val="-28"/>
        </w:rPr>
        <w:t>），</w:t>
      </w:r>
      <w:r>
        <w:rPr>
          <w:sz w:val="21"/>
          <w:szCs w:val="21"/>
          <w:color w:val="231F20"/>
          <w:spacing w:val="-14"/>
        </w:rPr>
        <w:t>1.0</w:t>
      </w:r>
      <w:r>
        <w:rPr>
          <w:sz w:val="21"/>
          <w:szCs w:val="21"/>
          <w:color w:val="231F20"/>
          <w:spacing w:val="14"/>
        </w:rPr>
        <w:t xml:space="preserve"> </w:t>
      </w:r>
      <w:r>
        <w:rPr>
          <w:sz w:val="21"/>
          <w:szCs w:val="21"/>
          <w:color w:val="231F20"/>
          <w:spacing w:val="-14"/>
        </w:rPr>
        <w:t>g/ 次，1 次 /d；奥</w:t>
      </w:r>
      <w:r>
        <w:rPr>
          <w:sz w:val="21"/>
          <w:szCs w:val="21"/>
          <w:color w:val="231F20"/>
        </w:rPr>
        <w:t xml:space="preserve">  </w:t>
      </w:r>
      <w:r>
        <w:rPr>
          <w:sz w:val="21"/>
          <w:szCs w:val="21"/>
          <w:color w:val="231F20"/>
          <w:spacing w:val="6"/>
        </w:rPr>
        <w:t>美拉唑（生产厂家：四川科伦药业股份有限公司</w:t>
      </w:r>
      <w:r>
        <w:rPr>
          <w:sz w:val="21"/>
          <w:szCs w:val="21"/>
          <w:color w:val="231F20"/>
          <w:spacing w:val="5"/>
        </w:rPr>
        <w:t>，国</w:t>
      </w:r>
      <w:r>
        <w:rPr>
          <w:sz w:val="21"/>
          <w:szCs w:val="21"/>
          <w:color w:val="231F20"/>
        </w:rPr>
        <w:t xml:space="preserve">  </w:t>
      </w:r>
      <w:r>
        <w:rPr>
          <w:sz w:val="21"/>
          <w:szCs w:val="21"/>
          <w:color w:val="231F20"/>
          <w:spacing w:val="-14"/>
        </w:rPr>
        <w:t>药准字 H20056108</w:t>
      </w:r>
      <w:r>
        <w:rPr>
          <w:sz w:val="21"/>
          <w:szCs w:val="21"/>
          <w:color w:val="231F20"/>
          <w:spacing w:val="-24"/>
        </w:rPr>
        <w:t>），</w:t>
      </w:r>
      <w:r>
        <w:rPr>
          <w:sz w:val="21"/>
          <w:szCs w:val="21"/>
          <w:color w:val="231F20"/>
          <w:spacing w:val="-14"/>
        </w:rPr>
        <w:t>将 40 mg 奥美拉唑溶入</w:t>
      </w:r>
      <w:r>
        <w:rPr>
          <w:sz w:val="21"/>
          <w:szCs w:val="21"/>
          <w:color w:val="231F20"/>
          <w:spacing w:val="14"/>
        </w:rPr>
        <w:t xml:space="preserve"> </w:t>
      </w:r>
      <w:r>
        <w:rPr>
          <w:sz w:val="21"/>
          <w:szCs w:val="21"/>
          <w:color w:val="231F20"/>
          <w:spacing w:val="-14"/>
        </w:rPr>
        <w:t>100 m</w:t>
      </w:r>
      <w:r>
        <w:rPr>
          <w:sz w:val="21"/>
          <w:szCs w:val="21"/>
          <w:color w:val="231F20"/>
          <w:spacing w:val="-15"/>
        </w:rPr>
        <w:t>l 生</w:t>
      </w:r>
      <w:r>
        <w:rPr>
          <w:sz w:val="21"/>
          <w:szCs w:val="21"/>
          <w:color w:val="231F20"/>
        </w:rPr>
        <w:t xml:space="preserve">  </w:t>
      </w:r>
      <w:r>
        <w:rPr>
          <w:sz w:val="21"/>
          <w:szCs w:val="21"/>
          <w:color w:val="231F20"/>
          <w:spacing w:val="3"/>
        </w:rPr>
        <w:t>理盐水中，以静脉滴注方式给药，2 次 /d，治疗时间  </w:t>
      </w:r>
      <w:r>
        <w:rPr>
          <w:sz w:val="21"/>
          <w:szCs w:val="21"/>
          <w:color w:val="231F20"/>
          <w:spacing w:val="4"/>
        </w:rPr>
        <w:t>为 4 周。研究组：阿莫西林、奥美拉唑与双歧杆菌相</w:t>
      </w:r>
      <w:r>
        <w:rPr>
          <w:sz w:val="21"/>
          <w:szCs w:val="21"/>
          <w:color w:val="231F20"/>
          <w:spacing w:val="3"/>
        </w:rPr>
        <w:t xml:space="preserve">  </w:t>
      </w:r>
      <w:r>
        <w:rPr>
          <w:sz w:val="21"/>
          <w:szCs w:val="21"/>
          <w:color w:val="231F20"/>
          <w:spacing w:val="6"/>
        </w:rPr>
        <w:t>联合，其中前两种药物的用法与对照组相同，双歧杆  </w:t>
      </w:r>
      <w:r>
        <w:rPr>
          <w:sz w:val="21"/>
          <w:szCs w:val="21"/>
          <w:color w:val="231F20"/>
          <w:spacing w:val="-3"/>
        </w:rPr>
        <w:t>菌（生产厂家：上海上药信宜药厂有限公司，国药准字</w:t>
      </w:r>
      <w:r>
        <w:rPr>
          <w:sz w:val="21"/>
          <w:szCs w:val="21"/>
          <w:color w:val="231F20"/>
          <w:spacing w:val="4"/>
        </w:rPr>
        <w:t xml:space="preserve">  </w:t>
      </w:r>
      <w:r>
        <w:rPr>
          <w:sz w:val="21"/>
          <w:szCs w:val="21"/>
          <w:color w:val="231F20"/>
          <w:spacing w:val="-19"/>
        </w:rPr>
        <w:t>S10970105</w:t>
      </w:r>
      <w:r>
        <w:rPr>
          <w:sz w:val="21"/>
          <w:szCs w:val="21"/>
          <w:color w:val="231F20"/>
          <w:spacing w:val="-28"/>
        </w:rPr>
        <w:t>），</w:t>
      </w:r>
      <w:r>
        <w:rPr>
          <w:sz w:val="21"/>
          <w:szCs w:val="21"/>
          <w:color w:val="231F20"/>
          <w:spacing w:val="-19"/>
        </w:rPr>
        <w:t>1.5 g/ 次，3 次</w:t>
      </w:r>
      <w:r>
        <w:rPr>
          <w:sz w:val="21"/>
          <w:szCs w:val="21"/>
          <w:color w:val="231F20"/>
          <w:spacing w:val="-13"/>
        </w:rPr>
        <w:t xml:space="preserve"> </w:t>
      </w:r>
      <w:r>
        <w:rPr>
          <w:sz w:val="21"/>
          <w:szCs w:val="21"/>
          <w:color w:val="231F20"/>
          <w:spacing w:val="-19"/>
        </w:rPr>
        <w:t>/d，口服，治疗时间为</w:t>
      </w:r>
      <w:r>
        <w:rPr>
          <w:sz w:val="21"/>
          <w:szCs w:val="21"/>
          <w:color w:val="231F20"/>
          <w:spacing w:val="-11"/>
        </w:rPr>
        <w:t xml:space="preserve"> </w:t>
      </w:r>
      <w:r>
        <w:rPr>
          <w:sz w:val="21"/>
          <w:szCs w:val="21"/>
          <w:color w:val="231F20"/>
          <w:spacing w:val="-19"/>
        </w:rPr>
        <w:t>4 </w:t>
      </w:r>
      <w:r>
        <w:rPr>
          <w:sz w:val="21"/>
          <w:szCs w:val="21"/>
          <w:color w:val="231F20"/>
          <w:spacing w:val="-20"/>
        </w:rPr>
        <w:t>周。</w:t>
      </w:r>
    </w:p>
    <w:p>
      <w:pPr>
        <w:pStyle w:val="BodyText"/>
        <w:ind w:left="404"/>
        <w:spacing w:line="205" w:lineRule="auto"/>
        <w:rPr>
          <w:sz w:val="21"/>
          <w:szCs w:val="21"/>
        </w:rPr>
      </w:pPr>
      <w:r>
        <w:rPr>
          <w:sz w:val="21"/>
          <w:szCs w:val="21"/>
          <w:color w:val="231F20"/>
          <w:spacing w:val="-6"/>
        </w:rPr>
        <w:t>1.3</w:t>
      </w:r>
      <w:r>
        <w:rPr>
          <w:sz w:val="21"/>
          <w:szCs w:val="21"/>
          <w:color w:val="231F20"/>
          <w:spacing w:val="11"/>
        </w:rPr>
        <w:t xml:space="preserve">   </w:t>
      </w:r>
      <w:r>
        <w:rPr>
          <w:sz w:val="21"/>
          <w:szCs w:val="21"/>
          <w:color w:val="231F20"/>
          <w:spacing w:val="-6"/>
        </w:rPr>
        <w:t>观察指标及评价标准</w:t>
      </w:r>
    </w:p>
    <w:p>
      <w:pPr>
        <w:pStyle w:val="BodyText"/>
        <w:ind w:left="384" w:right="126" w:firstLine="303"/>
        <w:spacing w:before="12" w:line="212" w:lineRule="auto"/>
        <w:jc w:val="both"/>
        <w:rPr>
          <w:sz w:val="21"/>
          <w:szCs w:val="21"/>
        </w:rPr>
      </w:pPr>
      <w:r>
        <w:rPr>
          <w:sz w:val="21"/>
          <w:szCs w:val="21"/>
          <w:color w:val="231F20"/>
          <w:spacing w:val="6"/>
        </w:rPr>
        <w:t>（1）两组疗效对比，其具体判定标准为；若经治 </w:t>
      </w:r>
      <w:r>
        <w:rPr>
          <w:sz w:val="21"/>
          <w:szCs w:val="21"/>
          <w:color w:val="231F20"/>
          <w:spacing w:val="6"/>
        </w:rPr>
        <w:t>疗患者肠胃消化功能改善，症状消失则为显效；若其</w:t>
      </w:r>
      <w:r>
        <w:rPr>
          <w:sz w:val="21"/>
          <w:szCs w:val="21"/>
          <w:color w:val="231F20"/>
          <w:spacing w:val="13"/>
        </w:rPr>
        <w:t xml:space="preserve"> </w:t>
      </w:r>
      <w:r>
        <w:rPr>
          <w:sz w:val="21"/>
          <w:szCs w:val="21"/>
          <w:color w:val="231F20"/>
          <w:spacing w:val="6"/>
        </w:rPr>
        <w:t>大小便、体力等症状均有所好转为有效；若患者症状</w:t>
      </w:r>
      <w:r>
        <w:rPr>
          <w:sz w:val="21"/>
          <w:szCs w:val="21"/>
          <w:color w:val="231F20"/>
          <w:spacing w:val="12"/>
        </w:rPr>
        <w:t xml:space="preserve"> </w:t>
      </w:r>
      <w:r>
        <w:rPr>
          <w:sz w:val="21"/>
          <w:szCs w:val="21"/>
          <w:color w:val="231F20"/>
          <w:spacing w:val="5"/>
        </w:rPr>
        <w:t>无改善，甚至病情加重为无效。总有效率 =（显效 +</w:t>
      </w:r>
      <w:r>
        <w:rPr>
          <w:sz w:val="21"/>
          <w:szCs w:val="21"/>
          <w:color w:val="231F20"/>
          <w:spacing w:val="13"/>
        </w:rPr>
        <w:t xml:space="preserve"> </w:t>
      </w:r>
      <w:r>
        <w:rPr>
          <w:sz w:val="21"/>
          <w:szCs w:val="21"/>
          <w:color w:val="231F20"/>
          <w:spacing w:val="-12"/>
        </w:rPr>
        <w:t>有效）/ 总例数</w:t>
      </w:r>
      <w:r>
        <w:rPr>
          <w:sz w:val="21"/>
          <w:szCs w:val="21"/>
          <w:color w:val="231F20"/>
          <w:spacing w:val="62"/>
        </w:rPr>
        <w:t xml:space="preserve"> </w:t>
      </w:r>
      <w:r>
        <w:rPr>
          <w:sz w:val="21"/>
          <w:szCs w:val="21"/>
          <w:color w:val="231F20"/>
          <w:spacing w:val="-12"/>
        </w:rPr>
        <w:t>×100%。（2）记录并比较两组症状（腹</w:t>
      </w:r>
      <w:r>
        <w:rPr>
          <w:sz w:val="21"/>
          <w:szCs w:val="21"/>
          <w:color w:val="231F20"/>
        </w:rPr>
        <w:t xml:space="preserve"> </w:t>
      </w:r>
      <w:r>
        <w:rPr>
          <w:sz w:val="21"/>
          <w:szCs w:val="21"/>
          <w:color w:val="231F20"/>
          <w:spacing w:val="1"/>
        </w:rPr>
        <w:t>痛、腹泻、恶心呕吐）缓解时间及住院时间。（3）检</w:t>
      </w:r>
      <w:r>
        <w:rPr>
          <w:sz w:val="21"/>
          <w:szCs w:val="21"/>
          <w:color w:val="231F20"/>
          <w:spacing w:val="3"/>
        </w:rPr>
        <w:t xml:space="preserve"> </w:t>
      </w:r>
      <w:r>
        <w:rPr>
          <w:sz w:val="21"/>
          <w:szCs w:val="21"/>
          <w:color w:val="231F20"/>
          <w:spacing w:val="4"/>
        </w:rPr>
        <w:t>测对比两组 C 反应蛋白（</w:t>
      </w:r>
      <w:r>
        <w:rPr>
          <w:sz w:val="21"/>
          <w:szCs w:val="21"/>
          <w:color w:val="231F20"/>
        </w:rPr>
        <w:t>CRP</w:t>
      </w:r>
      <w:r>
        <w:rPr>
          <w:sz w:val="21"/>
          <w:szCs w:val="21"/>
          <w:color w:val="231F20"/>
          <w:spacing w:val="4"/>
        </w:rPr>
        <w:t>）并比较其不良反应情</w:t>
      </w:r>
      <w:r>
        <w:rPr>
          <w:sz w:val="21"/>
          <w:szCs w:val="21"/>
          <w:color w:val="231F20"/>
          <w:spacing w:val="14"/>
        </w:rPr>
        <w:t xml:space="preserve"> </w:t>
      </w:r>
      <w:r>
        <w:rPr>
          <w:sz w:val="21"/>
          <w:szCs w:val="21"/>
          <w:color w:val="231F20"/>
        </w:rPr>
        <w:t>况。分别在治疗前后抽取两组 4 ml 空腹静脉血，离心</w:t>
      </w:r>
      <w:r>
        <w:rPr>
          <w:sz w:val="21"/>
          <w:szCs w:val="21"/>
          <w:color w:val="231F20"/>
          <w:spacing w:val="13"/>
        </w:rPr>
        <w:t xml:space="preserve"> </w:t>
      </w:r>
      <w:r>
        <w:rPr>
          <w:sz w:val="21"/>
          <w:szCs w:val="21"/>
          <w:color w:val="231F20"/>
          <w:spacing w:val="6"/>
        </w:rPr>
        <w:t>后取其血清采用全自动生化分析仪借助免疫比浊法检</w:t>
      </w:r>
      <w:r>
        <w:rPr>
          <w:sz w:val="21"/>
          <w:szCs w:val="21"/>
          <w:color w:val="231F20"/>
          <w:spacing w:val="15"/>
        </w:rPr>
        <w:t xml:space="preserve"> </w:t>
      </w:r>
      <w:r>
        <w:rPr>
          <w:sz w:val="21"/>
          <w:szCs w:val="21"/>
          <w:color w:val="231F20"/>
          <w:spacing w:val="11"/>
        </w:rPr>
        <w:t>测其 </w:t>
      </w:r>
      <w:r>
        <w:rPr>
          <w:sz w:val="21"/>
          <w:szCs w:val="21"/>
          <w:color w:val="231F20"/>
        </w:rPr>
        <w:t>CRP</w:t>
      </w:r>
      <w:r>
        <w:rPr>
          <w:sz w:val="21"/>
          <w:szCs w:val="21"/>
          <w:color w:val="231F20"/>
          <w:spacing w:val="11"/>
        </w:rPr>
        <w:t xml:space="preserve"> 指标，不良反应则包含头痛、嗜睡与轻度</w:t>
      </w:r>
    </w:p>
    <w:p>
      <w:pPr>
        <w:spacing w:line="14" w:lineRule="auto"/>
        <w:rPr>
          <w:rFonts w:ascii="Arial"/>
          <w:sz w:val="2"/>
        </w:rPr>
      </w:pPr>
      <w:r>
        <w:rPr>
          <w:rFonts w:ascii="Arial" w:hAnsi="Arial" w:eastAsia="Arial" w:cs="Arial"/>
          <w:sz w:val="2"/>
          <w:szCs w:val="2"/>
        </w:rPr>
        <w:br w:type="column"/>
      </w:r>
    </w:p>
    <w:p>
      <w:pPr>
        <w:pStyle w:val="BodyText"/>
        <w:ind w:left="121"/>
        <w:spacing w:before="58" w:line="174" w:lineRule="auto"/>
        <w:rPr>
          <w:sz w:val="21"/>
          <w:szCs w:val="21"/>
        </w:rPr>
      </w:pPr>
      <w:r>
        <w:rPr>
          <w:sz w:val="21"/>
          <w:szCs w:val="21"/>
          <w:color w:val="231F20"/>
          <w:spacing w:val="-6"/>
        </w:rPr>
        <w:t>恶心。</w:t>
      </w:r>
    </w:p>
    <w:p>
      <w:pPr>
        <w:pStyle w:val="BodyText"/>
        <w:ind w:left="136"/>
        <w:spacing w:before="45" w:line="205" w:lineRule="auto"/>
        <w:rPr>
          <w:sz w:val="21"/>
          <w:szCs w:val="21"/>
        </w:rPr>
      </w:pPr>
      <w:r>
        <w:rPr>
          <w:sz w:val="21"/>
          <w:szCs w:val="21"/>
          <w:color w:val="231F20"/>
          <w:spacing w:val="-9"/>
        </w:rPr>
        <w:t>1.4</w:t>
      </w:r>
      <w:r>
        <w:rPr>
          <w:sz w:val="21"/>
          <w:szCs w:val="21"/>
          <w:color w:val="231F20"/>
          <w:spacing w:val="11"/>
        </w:rPr>
        <w:t xml:space="preserve">   </w:t>
      </w:r>
      <w:r>
        <w:rPr>
          <w:sz w:val="21"/>
          <w:szCs w:val="21"/>
          <w:color w:val="231F20"/>
          <w:spacing w:val="-9"/>
        </w:rPr>
        <w:t>统计学处理</w:t>
      </w:r>
    </w:p>
    <w:p>
      <w:pPr>
        <w:pStyle w:val="BodyText"/>
        <w:ind w:left="116" w:right="81" w:firstLine="427"/>
        <w:spacing w:before="10" w:line="210" w:lineRule="auto"/>
        <w:jc w:val="both"/>
        <w:rPr>
          <w:sz w:val="21"/>
          <w:szCs w:val="21"/>
        </w:rPr>
      </w:pPr>
      <w:r>
        <w:rPr>
          <w:sz w:val="21"/>
          <w:szCs w:val="21"/>
          <w:color w:val="231F20"/>
          <w:spacing w:val="-8"/>
        </w:rPr>
        <w:t>应用 SPSS</w:t>
      </w:r>
      <w:r>
        <w:rPr>
          <w:sz w:val="21"/>
          <w:szCs w:val="21"/>
          <w:color w:val="231F20"/>
          <w:spacing w:val="37"/>
          <w:w w:val="101"/>
        </w:rPr>
        <w:t xml:space="preserve"> </w:t>
      </w:r>
      <w:r>
        <w:rPr>
          <w:sz w:val="21"/>
          <w:szCs w:val="21"/>
          <w:color w:val="231F20"/>
          <w:spacing w:val="-8"/>
        </w:rPr>
        <w:t>19.0 分析数据，计量资料以（</w:t>
      </w:r>
      <w:r>
        <w:rPr>
          <w:rFonts w:ascii="SimSun" w:hAnsi="SimSun" w:eastAsia="SimSun" w:cs="SimSun"/>
          <w:sz w:val="21"/>
          <w:szCs w:val="21"/>
          <w:color w:val="231F20"/>
          <w:spacing w:val="-8"/>
        </w:rPr>
        <w:t>x</w:t>
      </w:r>
      <w:r>
        <w:rPr>
          <w:rFonts w:ascii="SimSun" w:hAnsi="SimSun" w:eastAsia="SimSun" w:cs="SimSun"/>
          <w:sz w:val="14"/>
          <w:szCs w:val="14"/>
          <w:color w:val="231F20"/>
          <w:spacing w:val="-8"/>
          <w:position w:val="9"/>
        </w:rPr>
        <w:t>- </w:t>
      </w:r>
      <w:r>
        <w:rPr>
          <w:sz w:val="21"/>
          <w:szCs w:val="21"/>
          <w:color w:val="231F20"/>
          <w:spacing w:val="-8"/>
        </w:rPr>
        <w:t>±</w:t>
      </w:r>
      <w:r>
        <w:rPr>
          <w:rFonts w:ascii="SimSun" w:hAnsi="SimSun" w:eastAsia="SimSun" w:cs="SimSun"/>
          <w:sz w:val="21"/>
          <w:szCs w:val="21"/>
          <w:color w:val="231F20"/>
          <w:spacing w:val="-8"/>
        </w:rPr>
        <w:t>s</w:t>
      </w:r>
      <w:r>
        <w:rPr>
          <w:sz w:val="21"/>
          <w:szCs w:val="21"/>
          <w:color w:val="231F20"/>
          <w:spacing w:val="-8"/>
        </w:rPr>
        <w:t>）表</w:t>
      </w:r>
      <w:r>
        <w:rPr>
          <w:sz w:val="21"/>
          <w:szCs w:val="21"/>
          <w:color w:val="231F20"/>
        </w:rPr>
        <w:t xml:space="preserve"> </w:t>
      </w:r>
      <w:r>
        <w:rPr>
          <w:sz w:val="21"/>
          <w:szCs w:val="21"/>
          <w:color w:val="231F20"/>
          <w:spacing w:val="1"/>
        </w:rPr>
        <w:t>示，</w:t>
      </w:r>
      <w:r>
        <w:rPr>
          <w:sz w:val="21"/>
          <w:szCs w:val="21"/>
          <w:color w:val="231F20"/>
          <w:spacing w:val="-22"/>
        </w:rPr>
        <w:t xml:space="preserve"> </w:t>
      </w:r>
      <w:r>
        <w:rPr>
          <w:sz w:val="21"/>
          <w:szCs w:val="21"/>
          <w:color w:val="231F20"/>
          <w:spacing w:val="1"/>
        </w:rPr>
        <w:t>采用 </w:t>
      </w:r>
      <w:r>
        <w:rPr>
          <w:rFonts w:ascii="SimSun" w:hAnsi="SimSun" w:eastAsia="SimSun" w:cs="SimSun"/>
          <w:sz w:val="21"/>
          <w:szCs w:val="21"/>
          <w:color w:val="231F20"/>
          <w:spacing w:val="1"/>
        </w:rPr>
        <w:t>t</w:t>
      </w:r>
      <w:r>
        <w:rPr>
          <w:rFonts w:ascii="SimSun" w:hAnsi="SimSun" w:eastAsia="SimSun" w:cs="SimSun"/>
          <w:sz w:val="21"/>
          <w:szCs w:val="21"/>
          <w:color w:val="231F20"/>
          <w:spacing w:val="-42"/>
        </w:rPr>
        <w:t xml:space="preserve"> </w:t>
      </w:r>
      <w:r>
        <w:rPr>
          <w:sz w:val="21"/>
          <w:szCs w:val="21"/>
          <w:color w:val="231F20"/>
          <w:spacing w:val="1"/>
        </w:rPr>
        <w:t>检验，计数资料以率（%）表示，</w:t>
      </w:r>
      <w:r>
        <w:rPr>
          <w:sz w:val="21"/>
          <w:szCs w:val="21"/>
          <w:color w:val="231F20"/>
          <w:spacing w:val="-40"/>
        </w:rPr>
        <w:t xml:space="preserve"> </w:t>
      </w:r>
      <w:r>
        <w:rPr>
          <w:sz w:val="21"/>
          <w:szCs w:val="21"/>
          <w:color w:val="231F20"/>
          <w:spacing w:val="1"/>
        </w:rPr>
        <w:t>采用</w:t>
      </w:r>
      <w:r>
        <w:rPr>
          <w:rFonts w:ascii="SimSun" w:hAnsi="SimSun" w:eastAsia="SimSun" w:cs="SimSun"/>
          <w:sz w:val="21"/>
          <w:szCs w:val="21"/>
          <w:color w:val="231F20"/>
          <w:spacing w:val="1"/>
        </w:rPr>
        <w:t>字</w:t>
      </w:r>
      <w:r>
        <w:rPr>
          <w:sz w:val="12"/>
          <w:szCs w:val="12"/>
          <w:color w:val="231F20"/>
          <w:spacing w:val="1"/>
          <w:position w:val="9"/>
        </w:rPr>
        <w:t>2</w:t>
      </w:r>
      <w:r>
        <w:rPr>
          <w:sz w:val="12"/>
          <w:szCs w:val="12"/>
          <w:color w:val="231F20"/>
          <w:position w:val="9"/>
        </w:rPr>
        <w:t xml:space="preserve"> </w:t>
      </w:r>
      <w:r>
        <w:rPr>
          <w:sz w:val="21"/>
          <w:szCs w:val="21"/>
          <w:color w:val="231F20"/>
          <w:spacing w:val="-6"/>
        </w:rPr>
        <w:t>检验，</w:t>
      </w:r>
      <w:r>
        <w:rPr>
          <w:rFonts w:ascii="SimSun" w:hAnsi="SimSun" w:eastAsia="SimSun" w:cs="SimSun"/>
          <w:sz w:val="21"/>
          <w:szCs w:val="21"/>
          <w:color w:val="231F20"/>
          <w:spacing w:val="-6"/>
        </w:rPr>
        <w:t>P</w:t>
      </w:r>
      <w:r>
        <w:rPr>
          <w:sz w:val="21"/>
          <w:szCs w:val="21"/>
          <w:color w:val="231F20"/>
          <w:spacing w:val="-6"/>
        </w:rPr>
        <w:t>&lt;0.05 为差异有统计学意义。</w:t>
      </w:r>
    </w:p>
    <w:p>
      <w:pPr>
        <w:ind w:left="119"/>
        <w:spacing w:line="280" w:lineRule="exact"/>
        <w:outlineLvl w:val="0"/>
        <w:rPr>
          <w:rFonts w:ascii="SimHei" w:hAnsi="SimHei" w:eastAsia="SimHei" w:cs="SimHei"/>
          <w:sz w:val="21"/>
          <w:szCs w:val="21"/>
        </w:rPr>
      </w:pPr>
      <w:r>
        <w:rPr>
          <w:rFonts w:ascii="SimHei" w:hAnsi="SimHei" w:eastAsia="SimHei" w:cs="SimHei"/>
          <w:sz w:val="21"/>
          <w:szCs w:val="21"/>
          <w:color w:val="231F20"/>
          <w:spacing w:val="-3"/>
          <w:position w:val="1"/>
        </w:rPr>
        <w:t>2</w:t>
      </w:r>
      <w:r>
        <w:rPr>
          <w:rFonts w:ascii="SimHei" w:hAnsi="SimHei" w:eastAsia="SimHei" w:cs="SimHei"/>
          <w:sz w:val="21"/>
          <w:szCs w:val="21"/>
          <w:color w:val="231F20"/>
          <w:spacing w:val="6"/>
          <w:position w:val="1"/>
        </w:rPr>
        <w:t xml:space="preserve">  </w:t>
      </w:r>
      <w:r>
        <w:rPr>
          <w:rFonts w:ascii="SimHei" w:hAnsi="SimHei" w:eastAsia="SimHei" w:cs="SimHei"/>
          <w:sz w:val="21"/>
          <w:szCs w:val="21"/>
          <w:color w:val="231F20"/>
          <w:spacing w:val="-3"/>
          <w:position w:val="1"/>
        </w:rPr>
        <w:t>结果</w:t>
      </w:r>
    </w:p>
    <w:p>
      <w:pPr>
        <w:pStyle w:val="BodyText"/>
        <w:ind w:left="119"/>
        <w:spacing w:before="45" w:line="205" w:lineRule="auto"/>
        <w:rPr>
          <w:sz w:val="21"/>
          <w:szCs w:val="21"/>
        </w:rPr>
      </w:pPr>
      <w:r>
        <w:rPr>
          <w:sz w:val="21"/>
          <w:szCs w:val="21"/>
          <w:color w:val="231F20"/>
          <w:spacing w:val="-6"/>
        </w:rPr>
        <w:t>2.1</w:t>
      </w:r>
      <w:r>
        <w:rPr>
          <w:sz w:val="21"/>
          <w:szCs w:val="21"/>
          <w:color w:val="231F20"/>
          <w:spacing w:val="11"/>
        </w:rPr>
        <w:t xml:space="preserve">   </w:t>
      </w:r>
      <w:r>
        <w:rPr>
          <w:sz w:val="21"/>
          <w:szCs w:val="21"/>
          <w:color w:val="231F20"/>
          <w:spacing w:val="-6"/>
        </w:rPr>
        <w:t>两组疗效比较</w:t>
      </w:r>
    </w:p>
    <w:p>
      <w:pPr>
        <w:pStyle w:val="BodyText"/>
        <w:ind w:left="118" w:right="13" w:firstLine="453"/>
        <w:spacing w:before="10" w:line="210" w:lineRule="auto"/>
        <w:rPr>
          <w:sz w:val="21"/>
          <w:szCs w:val="21"/>
        </w:rPr>
      </w:pPr>
      <w:r>
        <w:rPr>
          <w:sz w:val="21"/>
          <w:szCs w:val="21"/>
          <w:color w:val="231F20"/>
          <w:spacing w:val="10"/>
        </w:rPr>
        <w:t>与对照组相比研究组总有效率较高（</w:t>
      </w:r>
      <w:r>
        <w:rPr>
          <w:rFonts w:ascii="SimSun" w:hAnsi="SimSun" w:eastAsia="SimSun" w:cs="SimSun"/>
          <w:sz w:val="21"/>
          <w:szCs w:val="21"/>
          <w:color w:val="231F20"/>
          <w:spacing w:val="10"/>
        </w:rPr>
        <w:t>P</w:t>
      </w:r>
      <w:r>
        <w:rPr>
          <w:sz w:val="21"/>
          <w:szCs w:val="21"/>
          <w:color w:val="231F20"/>
          <w:spacing w:val="10"/>
        </w:rPr>
        <w:t>&lt;0.05</w:t>
      </w:r>
      <w:r>
        <w:rPr>
          <w:sz w:val="21"/>
          <w:szCs w:val="21"/>
          <w:color w:val="231F20"/>
          <w:spacing w:val="-42"/>
        </w:rPr>
        <w:t>），</w:t>
      </w:r>
      <w:r>
        <w:rPr>
          <w:sz w:val="21"/>
          <w:szCs w:val="21"/>
          <w:color w:val="231F20"/>
          <w:spacing w:val="1"/>
        </w:rPr>
        <w:t xml:space="preserve"> </w:t>
      </w:r>
      <w:r>
        <w:rPr>
          <w:sz w:val="21"/>
          <w:szCs w:val="21"/>
          <w:color w:val="231F20"/>
          <w:spacing w:val="-6"/>
        </w:rPr>
        <w:t>见表</w:t>
      </w:r>
      <w:r>
        <w:rPr>
          <w:sz w:val="21"/>
          <w:szCs w:val="21"/>
          <w:color w:val="231F20"/>
          <w:spacing w:val="17"/>
        </w:rPr>
        <w:t xml:space="preserve"> </w:t>
      </w:r>
      <w:r>
        <w:rPr>
          <w:sz w:val="21"/>
          <w:szCs w:val="21"/>
          <w:color w:val="231F20"/>
          <w:spacing w:val="-6"/>
        </w:rPr>
        <w:t>1。</w:t>
      </w:r>
    </w:p>
    <w:p>
      <w:pPr>
        <w:pStyle w:val="BodyText"/>
        <w:ind w:left="1579"/>
        <w:spacing w:before="1" w:line="194" w:lineRule="auto"/>
        <w:outlineLvl w:val="1"/>
        <w:rPr>
          <w:sz w:val="16"/>
          <w:szCs w:val="16"/>
        </w:rPr>
      </w:pPr>
      <w:r>
        <w:rPr>
          <w:rFonts w:ascii="SimHei" w:hAnsi="SimHei" w:eastAsia="SimHei" w:cs="SimHei"/>
          <w:sz w:val="16"/>
          <w:szCs w:val="16"/>
          <w:color w:val="231F20"/>
          <w:spacing w:val="-2"/>
        </w:rPr>
        <w:t>表1</w:t>
      </w:r>
      <w:r>
        <w:rPr>
          <w:rFonts w:ascii="SimHei" w:hAnsi="SimHei" w:eastAsia="SimHei" w:cs="SimHei"/>
          <w:sz w:val="16"/>
          <w:szCs w:val="16"/>
          <w:color w:val="231F20"/>
          <w:spacing w:val="-2"/>
        </w:rPr>
        <w:t xml:space="preserve">  </w:t>
      </w:r>
      <w:r>
        <w:rPr>
          <w:rFonts w:ascii="SimHei" w:hAnsi="SimHei" w:eastAsia="SimHei" w:cs="SimHei"/>
          <w:sz w:val="16"/>
          <w:szCs w:val="16"/>
          <w:color w:val="231F20"/>
          <w:spacing w:val="-2"/>
        </w:rPr>
        <w:t>两组疗效比较</w:t>
      </w:r>
      <w:r>
        <w:rPr>
          <w:sz w:val="16"/>
          <w:szCs w:val="16"/>
          <w:color w:val="231F20"/>
          <w:spacing w:val="-2"/>
        </w:rPr>
        <w:t>[例（%）]</w:t>
      </w:r>
    </w:p>
    <w:tbl>
      <w:tblPr>
        <w:tblStyle w:val="TableNormal"/>
        <w:tblW w:w="4988"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1"/>
        <w:gridCol w:w="918"/>
        <w:gridCol w:w="867"/>
        <w:gridCol w:w="897"/>
        <w:gridCol w:w="985"/>
      </w:tblGrid>
      <w:tr>
        <w:trPr>
          <w:trHeight w:val="278" w:hRule="atLeast"/>
        </w:trPr>
        <w:tc>
          <w:tcPr>
            <w:tcW w:w="1321" w:type="dxa"/>
            <w:vAlign w:val="top"/>
            <w:tcBorders>
              <w:bottom w:val="single" w:color="231F20" w:sz="2" w:space="0"/>
              <w:top w:val="single" w:color="231F20" w:sz="4" w:space="0"/>
            </w:tcBorders>
          </w:tcPr>
          <w:p>
            <w:pPr>
              <w:pStyle w:val="TableText"/>
              <w:ind w:left="506"/>
              <w:spacing w:before="61" w:line="179" w:lineRule="auto"/>
              <w:rPr/>
            </w:pPr>
            <w:r>
              <w:rPr>
                <w:color w:val="231F20"/>
                <w:spacing w:val="-1"/>
              </w:rPr>
              <w:t>组别</w:t>
            </w:r>
          </w:p>
        </w:tc>
        <w:tc>
          <w:tcPr>
            <w:tcW w:w="918" w:type="dxa"/>
            <w:vAlign w:val="top"/>
            <w:tcBorders>
              <w:bottom w:val="single" w:color="231F20" w:sz="2" w:space="0"/>
              <w:top w:val="single" w:color="231F20" w:sz="4" w:space="0"/>
            </w:tcBorders>
          </w:tcPr>
          <w:p>
            <w:pPr>
              <w:pStyle w:val="TableText"/>
              <w:ind w:left="292"/>
              <w:spacing w:before="61" w:line="178" w:lineRule="auto"/>
              <w:rPr/>
            </w:pPr>
            <w:r>
              <w:rPr>
                <w:color w:val="231F20"/>
                <w:spacing w:val="-1"/>
              </w:rPr>
              <w:t>显效</w:t>
            </w:r>
          </w:p>
        </w:tc>
        <w:tc>
          <w:tcPr>
            <w:tcW w:w="867" w:type="dxa"/>
            <w:vAlign w:val="top"/>
            <w:tcBorders>
              <w:bottom w:val="single" w:color="231F20" w:sz="2" w:space="0"/>
              <w:top w:val="single" w:color="231F20" w:sz="4" w:space="0"/>
            </w:tcBorders>
          </w:tcPr>
          <w:p>
            <w:pPr>
              <w:pStyle w:val="TableText"/>
              <w:ind w:left="263"/>
              <w:spacing w:before="61" w:line="178" w:lineRule="auto"/>
              <w:rPr/>
            </w:pPr>
            <w:r>
              <w:rPr>
                <w:color w:val="231F20"/>
                <w:spacing w:val="-1"/>
              </w:rPr>
              <w:t>有效</w:t>
            </w:r>
          </w:p>
        </w:tc>
        <w:tc>
          <w:tcPr>
            <w:tcW w:w="897" w:type="dxa"/>
            <w:vAlign w:val="top"/>
            <w:tcBorders>
              <w:bottom w:val="single" w:color="231F20" w:sz="2" w:space="0"/>
              <w:top w:val="single" w:color="231F20" w:sz="4" w:space="0"/>
            </w:tcBorders>
          </w:tcPr>
          <w:p>
            <w:pPr>
              <w:pStyle w:val="TableText"/>
              <w:ind w:left="283"/>
              <w:spacing w:before="61" w:line="178" w:lineRule="auto"/>
              <w:rPr/>
            </w:pPr>
            <w:r>
              <w:rPr>
                <w:color w:val="231F20"/>
                <w:spacing w:val="-1"/>
              </w:rPr>
              <w:t>无效</w:t>
            </w:r>
          </w:p>
        </w:tc>
        <w:tc>
          <w:tcPr>
            <w:tcW w:w="985" w:type="dxa"/>
            <w:vAlign w:val="top"/>
            <w:tcBorders>
              <w:bottom w:val="single" w:color="231F20" w:sz="2" w:space="0"/>
              <w:top w:val="single" w:color="231F20" w:sz="4" w:space="0"/>
            </w:tcBorders>
          </w:tcPr>
          <w:p>
            <w:pPr>
              <w:pStyle w:val="TableText"/>
              <w:ind w:left="255"/>
              <w:spacing w:before="61" w:line="178" w:lineRule="auto"/>
              <w:rPr/>
            </w:pPr>
            <w:r>
              <w:rPr>
                <w:color w:val="231F20"/>
                <w:spacing w:val="-2"/>
              </w:rPr>
              <w:t>总有效</w:t>
            </w:r>
          </w:p>
        </w:tc>
      </w:tr>
      <w:tr>
        <w:trPr>
          <w:trHeight w:val="276" w:hRule="atLeast"/>
        </w:trPr>
        <w:tc>
          <w:tcPr>
            <w:tcW w:w="1321" w:type="dxa"/>
            <w:vAlign w:val="top"/>
            <w:tcBorders>
              <w:top w:val="single" w:color="231F20" w:sz="2" w:space="0"/>
            </w:tcBorders>
          </w:tcPr>
          <w:p>
            <w:pPr>
              <w:pStyle w:val="TableText"/>
              <w:spacing w:before="58" w:line="181" w:lineRule="auto"/>
              <w:jc w:val="right"/>
              <w:rPr/>
            </w:pPr>
            <w:r>
              <w:rPr>
                <w:color w:val="231F20"/>
                <w:spacing w:val="-8"/>
              </w:rPr>
              <w:t>对照组（</w:t>
            </w:r>
            <w:r>
              <w:rPr>
                <w:rFonts w:ascii="SimSun" w:hAnsi="SimSun" w:eastAsia="SimSun" w:cs="SimSun"/>
                <w:color w:val="231F20"/>
                <w:spacing w:val="-8"/>
              </w:rPr>
              <w:t>n</w:t>
            </w:r>
            <w:r>
              <w:rPr>
                <w:color w:val="231F20"/>
                <w:spacing w:val="-8"/>
              </w:rPr>
              <w:t>=250）</w:t>
            </w:r>
          </w:p>
        </w:tc>
        <w:tc>
          <w:tcPr>
            <w:tcW w:w="918" w:type="dxa"/>
            <w:vAlign w:val="top"/>
            <w:tcBorders>
              <w:top w:val="single" w:color="231F20" w:sz="2" w:space="0"/>
            </w:tcBorders>
          </w:tcPr>
          <w:p>
            <w:pPr>
              <w:pStyle w:val="TableText"/>
              <w:spacing w:before="58" w:line="181" w:lineRule="auto"/>
              <w:jc w:val="right"/>
              <w:rPr/>
            </w:pPr>
            <w:r>
              <w:rPr>
                <w:color w:val="231F20"/>
                <w:spacing w:val="-11"/>
              </w:rPr>
              <w:t>104（41.6）</w:t>
            </w:r>
          </w:p>
        </w:tc>
        <w:tc>
          <w:tcPr>
            <w:tcW w:w="867" w:type="dxa"/>
            <w:vAlign w:val="top"/>
            <w:tcBorders>
              <w:top w:val="single" w:color="231F20" w:sz="2" w:space="0"/>
            </w:tcBorders>
          </w:tcPr>
          <w:p>
            <w:pPr>
              <w:pStyle w:val="TableText"/>
              <w:ind w:left="86"/>
              <w:spacing w:before="58" w:line="181" w:lineRule="auto"/>
              <w:rPr/>
            </w:pPr>
            <w:r>
              <w:rPr>
                <w:color w:val="231F20"/>
                <w:spacing w:val="-9"/>
              </w:rPr>
              <w:t>99（39.6）</w:t>
            </w:r>
          </w:p>
        </w:tc>
        <w:tc>
          <w:tcPr>
            <w:tcW w:w="897" w:type="dxa"/>
            <w:vAlign w:val="top"/>
            <w:tcBorders>
              <w:top w:val="single" w:color="231F20" w:sz="2" w:space="0"/>
            </w:tcBorders>
          </w:tcPr>
          <w:p>
            <w:pPr>
              <w:pStyle w:val="TableText"/>
              <w:ind w:left="104"/>
              <w:spacing w:before="58" w:line="181" w:lineRule="auto"/>
              <w:rPr/>
            </w:pPr>
            <w:r>
              <w:rPr>
                <w:color w:val="231F20"/>
                <w:spacing w:val="-8"/>
              </w:rPr>
              <w:t>47（18.8）</w:t>
            </w:r>
          </w:p>
        </w:tc>
        <w:tc>
          <w:tcPr>
            <w:tcW w:w="985" w:type="dxa"/>
            <w:vAlign w:val="top"/>
            <w:tcBorders>
              <w:top w:val="single" w:color="231F20" w:sz="2" w:space="0"/>
            </w:tcBorders>
          </w:tcPr>
          <w:p>
            <w:pPr>
              <w:pStyle w:val="TableText"/>
              <w:ind w:left="113"/>
              <w:spacing w:before="58" w:line="181" w:lineRule="auto"/>
              <w:rPr/>
            </w:pPr>
            <w:r>
              <w:rPr>
                <w:color w:val="231F20"/>
                <w:spacing w:val="-9"/>
              </w:rPr>
              <w:t>203（81.2）</w:t>
            </w:r>
          </w:p>
        </w:tc>
      </w:tr>
      <w:tr>
        <w:trPr>
          <w:trHeight w:val="278" w:hRule="atLeast"/>
        </w:trPr>
        <w:tc>
          <w:tcPr>
            <w:tcW w:w="1321" w:type="dxa"/>
            <w:vAlign w:val="top"/>
          </w:tcPr>
          <w:p>
            <w:pPr>
              <w:pStyle w:val="TableText"/>
              <w:spacing w:before="66" w:line="176" w:lineRule="auto"/>
              <w:jc w:val="right"/>
              <w:rPr/>
            </w:pPr>
            <w:r>
              <w:rPr>
                <w:color w:val="231F20"/>
                <w:spacing w:val="-8"/>
              </w:rPr>
              <w:t>研究组（</w:t>
            </w:r>
            <w:r>
              <w:rPr>
                <w:rFonts w:ascii="SimSun" w:hAnsi="SimSun" w:eastAsia="SimSun" w:cs="SimSun"/>
                <w:color w:val="231F20"/>
                <w:spacing w:val="-8"/>
              </w:rPr>
              <w:t>n</w:t>
            </w:r>
            <w:r>
              <w:rPr>
                <w:color w:val="231F20"/>
                <w:spacing w:val="-8"/>
              </w:rPr>
              <w:t>=250）</w:t>
            </w:r>
          </w:p>
        </w:tc>
        <w:tc>
          <w:tcPr>
            <w:tcW w:w="918" w:type="dxa"/>
            <w:vAlign w:val="top"/>
          </w:tcPr>
          <w:p>
            <w:pPr>
              <w:pStyle w:val="TableText"/>
              <w:spacing w:before="66" w:line="176" w:lineRule="auto"/>
              <w:jc w:val="right"/>
              <w:rPr/>
            </w:pPr>
            <w:r>
              <w:rPr>
                <w:color w:val="231F20"/>
                <w:spacing w:val="-11"/>
              </w:rPr>
              <w:t>156（62.4）</w:t>
            </w:r>
          </w:p>
        </w:tc>
        <w:tc>
          <w:tcPr>
            <w:tcW w:w="867" w:type="dxa"/>
            <w:vAlign w:val="top"/>
          </w:tcPr>
          <w:p>
            <w:pPr>
              <w:pStyle w:val="TableText"/>
              <w:ind w:left="88"/>
              <w:spacing w:before="66" w:line="176" w:lineRule="auto"/>
              <w:rPr/>
            </w:pPr>
            <w:r>
              <w:rPr>
                <w:color w:val="231F20"/>
                <w:spacing w:val="-9"/>
              </w:rPr>
              <w:t>86（34.4）</w:t>
            </w:r>
          </w:p>
        </w:tc>
        <w:tc>
          <w:tcPr>
            <w:tcW w:w="897" w:type="dxa"/>
            <w:vAlign w:val="top"/>
          </w:tcPr>
          <w:p>
            <w:pPr>
              <w:pStyle w:val="TableText"/>
              <w:ind w:left="188"/>
              <w:spacing w:before="66" w:line="176" w:lineRule="auto"/>
              <w:rPr/>
            </w:pPr>
            <w:r>
              <w:rPr>
                <w:color w:val="231F20"/>
                <w:spacing w:val="-7"/>
              </w:rPr>
              <w:t>8（3.2）</w:t>
            </w:r>
          </w:p>
        </w:tc>
        <w:tc>
          <w:tcPr>
            <w:tcW w:w="985" w:type="dxa"/>
            <w:vAlign w:val="top"/>
          </w:tcPr>
          <w:p>
            <w:pPr>
              <w:pStyle w:val="TableText"/>
              <w:ind w:left="113"/>
              <w:spacing w:before="66" w:line="176" w:lineRule="auto"/>
              <w:rPr/>
            </w:pPr>
            <w:r>
              <w:rPr>
                <w:color w:val="231F20"/>
                <w:spacing w:val="-9"/>
              </w:rPr>
              <w:t>242（96.8）</w:t>
            </w:r>
          </w:p>
        </w:tc>
      </w:tr>
      <w:tr>
        <w:trPr>
          <w:trHeight w:val="293" w:hRule="atLeast"/>
        </w:trPr>
        <w:tc>
          <w:tcPr>
            <w:tcW w:w="1321" w:type="dxa"/>
            <w:vAlign w:val="top"/>
          </w:tcPr>
          <w:p>
            <w:pPr>
              <w:pStyle w:val="TableText"/>
              <w:ind w:left="496"/>
              <w:spacing w:before="51" w:line="202" w:lineRule="auto"/>
              <w:rPr/>
            </w:pPr>
            <w:r>
              <w:rPr>
                <w:rFonts w:ascii="SimSun" w:hAnsi="SimSun" w:eastAsia="SimSun" w:cs="SimSun"/>
                <w:color w:val="231F20"/>
                <w:spacing w:val="-8"/>
                <w:w w:val="66"/>
                <w:position w:val="-1"/>
              </w:rPr>
              <w:t>字</w:t>
            </w:r>
            <w:r>
              <w:rPr>
                <w:sz w:val="9"/>
                <w:szCs w:val="9"/>
                <w:color w:val="231F20"/>
                <w:spacing w:val="-4"/>
                <w:position w:val="5"/>
              </w:rPr>
              <w:t>2</w:t>
            </w:r>
            <w:r>
              <w:rPr>
                <w:sz w:val="9"/>
                <w:szCs w:val="9"/>
                <w:color w:val="231F20"/>
                <w:spacing w:val="15"/>
                <w:w w:val="101"/>
                <w:position w:val="5"/>
              </w:rPr>
              <w:t xml:space="preserve"> </w:t>
            </w:r>
            <w:r>
              <w:rPr>
                <w:color w:val="231F20"/>
                <w:spacing w:val="-4"/>
                <w:position w:val="-1"/>
              </w:rPr>
              <w:t>值</w:t>
            </w:r>
          </w:p>
        </w:tc>
        <w:tc>
          <w:tcPr>
            <w:tcW w:w="918" w:type="dxa"/>
            <w:vAlign w:val="top"/>
          </w:tcPr>
          <w:p>
            <w:pPr>
              <w:rPr>
                <w:rFonts w:ascii="Arial"/>
                <w:sz w:val="21"/>
              </w:rPr>
            </w:pPr>
            <w:r/>
          </w:p>
        </w:tc>
        <w:tc>
          <w:tcPr>
            <w:tcW w:w="867" w:type="dxa"/>
            <w:vAlign w:val="top"/>
          </w:tcPr>
          <w:p>
            <w:pPr>
              <w:rPr>
                <w:rFonts w:ascii="Arial"/>
                <w:sz w:val="21"/>
              </w:rPr>
            </w:pPr>
            <w:r/>
          </w:p>
        </w:tc>
        <w:tc>
          <w:tcPr>
            <w:tcW w:w="897" w:type="dxa"/>
            <w:vAlign w:val="top"/>
          </w:tcPr>
          <w:p>
            <w:pPr>
              <w:rPr>
                <w:rFonts w:ascii="Arial"/>
                <w:sz w:val="21"/>
              </w:rPr>
            </w:pPr>
            <w:r/>
          </w:p>
        </w:tc>
        <w:tc>
          <w:tcPr>
            <w:tcW w:w="985" w:type="dxa"/>
            <w:vAlign w:val="top"/>
          </w:tcPr>
          <w:p>
            <w:pPr>
              <w:pStyle w:val="TableText"/>
              <w:ind w:left="310"/>
              <w:spacing w:before="71" w:line="185" w:lineRule="auto"/>
              <w:rPr/>
            </w:pPr>
            <w:r>
              <w:rPr>
                <w:color w:val="231F20"/>
                <w:spacing w:val="-10"/>
              </w:rPr>
              <w:t>4.637</w:t>
            </w:r>
          </w:p>
        </w:tc>
      </w:tr>
      <w:tr>
        <w:trPr>
          <w:trHeight w:val="281" w:hRule="atLeast"/>
        </w:trPr>
        <w:tc>
          <w:tcPr>
            <w:tcW w:w="1321" w:type="dxa"/>
            <w:vAlign w:val="top"/>
            <w:tcBorders>
              <w:bottom w:val="single" w:color="231F20" w:sz="4" w:space="0"/>
            </w:tcBorders>
          </w:tcPr>
          <w:p>
            <w:pPr>
              <w:pStyle w:val="TableText"/>
              <w:ind w:left="513"/>
              <w:spacing w:before="65" w:line="180" w:lineRule="auto"/>
              <w:rPr/>
            </w:pPr>
            <w:r>
              <w:rPr>
                <w:rFonts w:ascii="SimSun" w:hAnsi="SimSun" w:eastAsia="SimSun" w:cs="SimSun"/>
                <w:color w:val="231F20"/>
                <w:spacing w:val="9"/>
              </w:rPr>
              <w:t>P</w:t>
            </w:r>
            <w:r>
              <w:rPr>
                <w:rFonts w:ascii="SimSun" w:hAnsi="SimSun" w:eastAsia="SimSun" w:cs="SimSun"/>
                <w:color w:val="231F20"/>
                <w:spacing w:val="-39"/>
              </w:rPr>
              <w:t xml:space="preserve"> </w:t>
            </w:r>
            <w:r>
              <w:rPr>
                <w:color w:val="231F20"/>
                <w:spacing w:val="9"/>
              </w:rPr>
              <w:t>值</w:t>
            </w:r>
          </w:p>
        </w:tc>
        <w:tc>
          <w:tcPr>
            <w:tcW w:w="918" w:type="dxa"/>
            <w:vAlign w:val="top"/>
            <w:tcBorders>
              <w:bottom w:val="single" w:color="231F20" w:sz="4" w:space="0"/>
            </w:tcBorders>
          </w:tcPr>
          <w:p>
            <w:pPr>
              <w:rPr>
                <w:rFonts w:ascii="Arial"/>
                <w:sz w:val="21"/>
              </w:rPr>
            </w:pPr>
            <w:r/>
          </w:p>
        </w:tc>
        <w:tc>
          <w:tcPr>
            <w:tcW w:w="867" w:type="dxa"/>
            <w:vAlign w:val="top"/>
            <w:tcBorders>
              <w:bottom w:val="single" w:color="231F20" w:sz="4" w:space="0"/>
            </w:tcBorders>
          </w:tcPr>
          <w:p>
            <w:pPr>
              <w:rPr>
                <w:rFonts w:ascii="Arial"/>
                <w:sz w:val="21"/>
              </w:rPr>
            </w:pPr>
            <w:r/>
          </w:p>
        </w:tc>
        <w:tc>
          <w:tcPr>
            <w:tcW w:w="897" w:type="dxa"/>
            <w:vAlign w:val="top"/>
            <w:tcBorders>
              <w:bottom w:val="single" w:color="231F20" w:sz="4" w:space="0"/>
            </w:tcBorders>
          </w:tcPr>
          <w:p>
            <w:pPr>
              <w:rPr>
                <w:rFonts w:ascii="Arial"/>
                <w:sz w:val="21"/>
              </w:rPr>
            </w:pPr>
            <w:r/>
          </w:p>
        </w:tc>
        <w:tc>
          <w:tcPr>
            <w:tcW w:w="985" w:type="dxa"/>
            <w:vAlign w:val="top"/>
            <w:tcBorders>
              <w:bottom w:val="single" w:color="231F20" w:sz="4" w:space="0"/>
            </w:tcBorders>
          </w:tcPr>
          <w:p>
            <w:pPr>
              <w:pStyle w:val="TableText"/>
              <w:ind w:left="311"/>
              <w:spacing w:before="61" w:line="183" w:lineRule="auto"/>
              <w:rPr/>
            </w:pPr>
            <w:r>
              <w:rPr>
                <w:color w:val="231F20"/>
                <w:spacing w:val="-14"/>
              </w:rPr>
              <w:t>&lt;0.05</w:t>
            </w:r>
          </w:p>
        </w:tc>
      </w:tr>
    </w:tbl>
    <w:p>
      <w:pPr>
        <w:pStyle w:val="BodyText"/>
        <w:ind w:left="119"/>
        <w:spacing w:before="101" w:line="206" w:lineRule="auto"/>
        <w:rPr>
          <w:sz w:val="21"/>
          <w:szCs w:val="21"/>
        </w:rPr>
      </w:pPr>
      <w:r>
        <w:rPr>
          <w:sz w:val="21"/>
          <w:szCs w:val="21"/>
          <w:color w:val="231F20"/>
          <w:spacing w:val="-1"/>
        </w:rPr>
        <w:t>2.2   两组症状缓解时间及住院时间比较</w:t>
      </w:r>
    </w:p>
    <w:p>
      <w:pPr>
        <w:pStyle w:val="BodyText"/>
        <w:ind w:left="117" w:right="14" w:firstLine="429"/>
        <w:spacing w:before="15" w:line="208" w:lineRule="auto"/>
        <w:rPr>
          <w:sz w:val="21"/>
          <w:szCs w:val="21"/>
        </w:rPr>
      </w:pPr>
      <w:r>
        <w:rPr>
          <w:sz w:val="21"/>
          <w:szCs w:val="21"/>
          <w:color w:val="231F20"/>
        </w:rPr>
        <w:t>与对照组相比研究组症状缓解时间均早于对照组，</w:t>
      </w:r>
      <w:r>
        <w:rPr>
          <w:sz w:val="21"/>
          <w:szCs w:val="21"/>
          <w:color w:val="231F20"/>
          <w:spacing w:val="2"/>
        </w:rPr>
        <w:t xml:space="preserve"> </w:t>
      </w:r>
      <w:r>
        <w:rPr>
          <w:sz w:val="21"/>
          <w:szCs w:val="21"/>
          <w:color w:val="231F20"/>
          <w:spacing w:val="-7"/>
        </w:rPr>
        <w:t>住院时间短于对照组（</w:t>
      </w:r>
      <w:r>
        <w:rPr>
          <w:rFonts w:ascii="SimSun" w:hAnsi="SimSun" w:eastAsia="SimSun" w:cs="SimSun"/>
          <w:sz w:val="21"/>
          <w:szCs w:val="21"/>
          <w:color w:val="231F20"/>
          <w:spacing w:val="-7"/>
        </w:rPr>
        <w:t>P</w:t>
      </w:r>
      <w:r>
        <w:rPr>
          <w:sz w:val="21"/>
          <w:szCs w:val="21"/>
          <w:color w:val="231F20"/>
          <w:spacing w:val="-7"/>
        </w:rPr>
        <w:t>&lt;0.05</w:t>
      </w:r>
      <w:r>
        <w:rPr>
          <w:sz w:val="21"/>
          <w:szCs w:val="21"/>
          <w:color w:val="231F20"/>
          <w:spacing w:val="-29"/>
        </w:rPr>
        <w:t>），</w:t>
      </w:r>
      <w:r>
        <w:rPr>
          <w:sz w:val="21"/>
          <w:szCs w:val="21"/>
          <w:color w:val="231F20"/>
          <w:spacing w:val="-7"/>
        </w:rPr>
        <w:t>见表 2。</w:t>
      </w:r>
    </w:p>
    <w:p>
      <w:pPr>
        <w:pStyle w:val="BodyText"/>
        <w:ind w:left="907"/>
        <w:spacing w:before="1" w:line="194" w:lineRule="auto"/>
        <w:outlineLvl w:val="1"/>
        <w:rPr>
          <w:sz w:val="16"/>
          <w:szCs w:val="16"/>
        </w:rPr>
      </w:pPr>
      <w:r>
        <w:rPr>
          <w:rFonts w:ascii="SimHei" w:hAnsi="SimHei" w:eastAsia="SimHei" w:cs="SimHei"/>
          <w:sz w:val="16"/>
          <w:szCs w:val="16"/>
          <w:color w:val="231F20"/>
          <w:spacing w:val="-4"/>
        </w:rPr>
        <w:t>表2</w:t>
      </w:r>
      <w:r>
        <w:rPr>
          <w:rFonts w:ascii="SimHei" w:hAnsi="SimHei" w:eastAsia="SimHei" w:cs="SimHei"/>
          <w:sz w:val="16"/>
          <w:szCs w:val="16"/>
          <w:color w:val="231F20"/>
          <w:spacing w:val="-4"/>
        </w:rPr>
        <w:t xml:space="preserve">  </w:t>
      </w:r>
      <w:r>
        <w:rPr>
          <w:rFonts w:ascii="SimHei" w:hAnsi="SimHei" w:eastAsia="SimHei" w:cs="SimHei"/>
          <w:sz w:val="16"/>
          <w:szCs w:val="16"/>
          <w:color w:val="231F20"/>
          <w:spacing w:val="-4"/>
        </w:rPr>
        <w:t>两组症状缓解时间及住院时间比较</w:t>
      </w:r>
      <w:r>
        <w:rPr>
          <w:sz w:val="16"/>
          <w:szCs w:val="16"/>
          <w:color w:val="231F20"/>
          <w:spacing w:val="-4"/>
        </w:rPr>
        <w:t>（</w:t>
      </w:r>
      <w:r>
        <w:rPr>
          <w:rFonts w:ascii="SimSun" w:hAnsi="SimSun" w:eastAsia="SimSun" w:cs="SimSun"/>
          <w:sz w:val="16"/>
          <w:szCs w:val="16"/>
          <w:color w:val="231F20"/>
          <w:spacing w:val="-4"/>
        </w:rPr>
        <w:t>x</w:t>
      </w:r>
      <w:r>
        <w:rPr>
          <w:rFonts w:ascii="SimSun" w:hAnsi="SimSun" w:eastAsia="SimSun" w:cs="SimSun"/>
          <w:sz w:val="14"/>
          <w:szCs w:val="14"/>
          <w:color w:val="231F20"/>
          <w:spacing w:val="-4"/>
          <w:position w:val="5"/>
        </w:rPr>
        <w:t>-</w:t>
      </w:r>
      <w:r>
        <w:rPr>
          <w:rFonts w:ascii="SimSun" w:hAnsi="SimSun" w:eastAsia="SimSun" w:cs="SimSun"/>
          <w:sz w:val="14"/>
          <w:szCs w:val="14"/>
          <w:color w:val="231F20"/>
          <w:spacing w:val="-27"/>
          <w:position w:val="5"/>
        </w:rPr>
        <w:t xml:space="preserve"> </w:t>
      </w:r>
      <w:r>
        <w:rPr>
          <w:sz w:val="16"/>
          <w:szCs w:val="16"/>
          <w:color w:val="231F20"/>
          <w:spacing w:val="-4"/>
        </w:rPr>
        <w:t>±</w:t>
      </w:r>
      <w:r>
        <w:rPr>
          <w:rFonts w:ascii="SimSun" w:hAnsi="SimSun" w:eastAsia="SimSun" w:cs="SimSun"/>
          <w:sz w:val="16"/>
          <w:szCs w:val="16"/>
          <w:color w:val="231F20"/>
          <w:spacing w:val="-4"/>
        </w:rPr>
        <w:t>s</w:t>
      </w:r>
      <w:r>
        <w:rPr>
          <w:sz w:val="16"/>
          <w:szCs w:val="16"/>
          <w:color w:val="231F20"/>
          <w:spacing w:val="-4"/>
        </w:rPr>
        <w:t>）</w:t>
      </w:r>
    </w:p>
    <w:tbl>
      <w:tblPr>
        <w:tblStyle w:val="TableNormal"/>
        <w:tblW w:w="4988"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2"/>
        <w:gridCol w:w="752"/>
        <w:gridCol w:w="900"/>
        <w:gridCol w:w="835"/>
        <w:gridCol w:w="1129"/>
      </w:tblGrid>
      <w:tr>
        <w:trPr>
          <w:trHeight w:val="283" w:hRule="atLeast"/>
        </w:trPr>
        <w:tc>
          <w:tcPr>
            <w:tcW w:w="1372" w:type="dxa"/>
            <w:vAlign w:val="top"/>
            <w:vMerge w:val="restart"/>
            <w:tcBorders>
              <w:bottom w:val="nil"/>
              <w:top w:val="single" w:color="231F20" w:sz="4" w:space="0"/>
            </w:tcBorders>
          </w:tcPr>
          <w:p>
            <w:pPr>
              <w:pStyle w:val="TableText"/>
              <w:ind w:left="463"/>
              <w:spacing w:before="203" w:line="179" w:lineRule="auto"/>
              <w:rPr/>
            </w:pPr>
            <w:r>
              <w:rPr>
                <w:color w:val="231F20"/>
                <w:spacing w:val="-1"/>
              </w:rPr>
              <w:t>组别</w:t>
            </w:r>
          </w:p>
        </w:tc>
        <w:tc>
          <w:tcPr>
            <w:tcW w:w="2487" w:type="dxa"/>
            <w:vAlign w:val="top"/>
            <w:gridSpan w:val="3"/>
            <w:tcBorders>
              <w:bottom w:val="single" w:color="231F20" w:sz="2" w:space="0"/>
              <w:top w:val="single" w:color="231F20" w:sz="4" w:space="0"/>
            </w:tcBorders>
          </w:tcPr>
          <w:p>
            <w:pPr>
              <w:pStyle w:val="TableText"/>
              <w:ind w:left="606"/>
              <w:spacing w:before="74" w:line="171" w:lineRule="auto"/>
              <w:rPr/>
            </w:pPr>
            <w:r>
              <w:rPr>
                <w:color w:val="231F20"/>
                <w:spacing w:val="-2"/>
              </w:rPr>
              <w:t>症状缓解时间（h）</w:t>
            </w:r>
          </w:p>
        </w:tc>
        <w:tc>
          <w:tcPr>
            <w:tcW w:w="1129" w:type="dxa"/>
            <w:vAlign w:val="top"/>
            <w:vMerge w:val="restart"/>
            <w:tcBorders>
              <w:bottom w:val="nil"/>
              <w:top w:val="single" w:color="231F20" w:sz="4" w:space="0"/>
            </w:tcBorders>
          </w:tcPr>
          <w:p>
            <w:pPr>
              <w:pStyle w:val="TableText"/>
              <w:ind w:left="313"/>
              <w:spacing w:before="73" w:line="179" w:lineRule="auto"/>
              <w:rPr/>
            </w:pPr>
            <w:r>
              <w:rPr>
                <w:color w:val="231F20"/>
                <w:spacing w:val="-1"/>
              </w:rPr>
              <w:t>住院时间</w:t>
            </w:r>
          </w:p>
          <w:p>
            <w:pPr>
              <w:pStyle w:val="TableText"/>
              <w:ind w:left="424"/>
              <w:spacing w:before="51" w:line="192" w:lineRule="auto"/>
              <w:rPr/>
            </w:pPr>
            <w:r>
              <w:rPr>
                <w:color w:val="231F20"/>
                <w:spacing w:val="-3"/>
              </w:rPr>
              <w:t>（d）</w:t>
            </w:r>
          </w:p>
        </w:tc>
      </w:tr>
      <w:tr>
        <w:trPr>
          <w:trHeight w:val="272" w:hRule="atLeast"/>
        </w:trPr>
        <w:tc>
          <w:tcPr>
            <w:tcW w:w="1372" w:type="dxa"/>
            <w:vAlign w:val="top"/>
            <w:vMerge w:val="continue"/>
            <w:tcBorders>
              <w:bottom w:val="single" w:color="231F20" w:sz="2" w:space="0"/>
              <w:top w:val="nil"/>
            </w:tcBorders>
          </w:tcPr>
          <w:p>
            <w:pPr>
              <w:rPr>
                <w:rFonts w:ascii="Arial"/>
                <w:sz w:val="21"/>
              </w:rPr>
            </w:pPr>
            <w:r/>
          </w:p>
        </w:tc>
        <w:tc>
          <w:tcPr>
            <w:tcW w:w="752" w:type="dxa"/>
            <w:vAlign w:val="top"/>
            <w:tcBorders>
              <w:bottom w:val="single" w:color="231F20" w:sz="2" w:space="0"/>
              <w:top w:val="single" w:color="231F20" w:sz="2" w:space="0"/>
            </w:tcBorders>
          </w:tcPr>
          <w:p>
            <w:pPr>
              <w:pStyle w:val="TableText"/>
              <w:ind w:left="149"/>
              <w:spacing w:before="57" w:line="178" w:lineRule="auto"/>
              <w:rPr/>
            </w:pPr>
            <w:r>
              <w:rPr>
                <w:color w:val="231F20"/>
                <w:spacing w:val="-1"/>
              </w:rPr>
              <w:t>腹痛</w:t>
            </w:r>
          </w:p>
        </w:tc>
        <w:tc>
          <w:tcPr>
            <w:tcW w:w="900" w:type="dxa"/>
            <w:vAlign w:val="top"/>
            <w:tcBorders>
              <w:bottom w:val="single" w:color="231F20" w:sz="2" w:space="0"/>
              <w:top w:val="single" w:color="231F20" w:sz="2" w:space="0"/>
            </w:tcBorders>
          </w:tcPr>
          <w:p>
            <w:pPr>
              <w:pStyle w:val="TableText"/>
              <w:ind w:left="273"/>
              <w:spacing w:before="60" w:line="175" w:lineRule="auto"/>
              <w:rPr/>
            </w:pPr>
            <w:r>
              <w:rPr>
                <w:color w:val="231F20"/>
                <w:spacing w:val="-1"/>
              </w:rPr>
              <w:t>腹泻</w:t>
            </w:r>
          </w:p>
        </w:tc>
        <w:tc>
          <w:tcPr>
            <w:tcW w:w="835" w:type="dxa"/>
            <w:vAlign w:val="top"/>
            <w:tcBorders>
              <w:bottom w:val="single" w:color="231F20" w:sz="2" w:space="0"/>
              <w:top w:val="single" w:color="231F20" w:sz="2" w:space="0"/>
            </w:tcBorders>
          </w:tcPr>
          <w:p>
            <w:pPr>
              <w:pStyle w:val="TableText"/>
              <w:ind w:left="153"/>
              <w:spacing w:before="61" w:line="175" w:lineRule="auto"/>
              <w:rPr/>
            </w:pPr>
            <w:r>
              <w:rPr>
                <w:color w:val="231F20"/>
                <w:spacing w:val="-2"/>
              </w:rPr>
              <w:t>恶心呕吐</w:t>
            </w:r>
          </w:p>
        </w:tc>
        <w:tc>
          <w:tcPr>
            <w:tcW w:w="1129" w:type="dxa"/>
            <w:vAlign w:val="top"/>
            <w:vMerge w:val="continue"/>
            <w:tcBorders>
              <w:bottom w:val="single" w:color="231F20" w:sz="2" w:space="0"/>
              <w:top w:val="nil"/>
            </w:tcBorders>
          </w:tcPr>
          <w:p>
            <w:pPr>
              <w:rPr>
                <w:rFonts w:ascii="Arial"/>
                <w:sz w:val="21"/>
              </w:rPr>
            </w:pPr>
            <w:r/>
          </w:p>
        </w:tc>
      </w:tr>
      <w:tr>
        <w:trPr>
          <w:trHeight w:val="276" w:hRule="atLeast"/>
        </w:trPr>
        <w:tc>
          <w:tcPr>
            <w:tcW w:w="1372" w:type="dxa"/>
            <w:vAlign w:val="top"/>
            <w:tcBorders>
              <w:top w:val="single" w:color="231F20" w:sz="2" w:space="0"/>
            </w:tcBorders>
          </w:tcPr>
          <w:p>
            <w:pPr>
              <w:pStyle w:val="TableText"/>
              <w:ind w:left="59"/>
              <w:spacing w:before="60" w:line="180" w:lineRule="auto"/>
              <w:rPr/>
            </w:pPr>
            <w:r>
              <w:rPr>
                <w:color w:val="231F20"/>
                <w:spacing w:val="-6"/>
              </w:rPr>
              <w:t>对照组（</w:t>
            </w:r>
            <w:r>
              <w:rPr>
                <w:rFonts w:ascii="SimSun" w:hAnsi="SimSun" w:eastAsia="SimSun" w:cs="SimSun"/>
                <w:color w:val="231F20"/>
                <w:spacing w:val="-6"/>
              </w:rPr>
              <w:t>n</w:t>
            </w:r>
            <w:r>
              <w:rPr>
                <w:color w:val="231F20"/>
                <w:spacing w:val="-6"/>
              </w:rPr>
              <w:t>=250）</w:t>
            </w:r>
          </w:p>
        </w:tc>
        <w:tc>
          <w:tcPr>
            <w:tcW w:w="752" w:type="dxa"/>
            <w:vAlign w:val="top"/>
            <w:tcBorders>
              <w:top w:val="single" w:color="231F20" w:sz="2" w:space="0"/>
            </w:tcBorders>
          </w:tcPr>
          <w:p>
            <w:pPr>
              <w:pStyle w:val="TableText"/>
              <w:ind w:left="6"/>
              <w:spacing w:before="60" w:line="180" w:lineRule="auto"/>
              <w:rPr/>
            </w:pPr>
            <w:r>
              <w:rPr>
                <w:color w:val="231F20"/>
                <w:spacing w:val="-5"/>
              </w:rPr>
              <w:t>12.5±1.2</w:t>
            </w:r>
          </w:p>
        </w:tc>
        <w:tc>
          <w:tcPr>
            <w:tcW w:w="900" w:type="dxa"/>
            <w:vAlign w:val="top"/>
            <w:tcBorders>
              <w:top w:val="single" w:color="231F20" w:sz="2" w:space="0"/>
            </w:tcBorders>
          </w:tcPr>
          <w:p>
            <w:pPr>
              <w:pStyle w:val="TableText"/>
              <w:ind w:left="130"/>
              <w:spacing w:before="60" w:line="180" w:lineRule="auto"/>
              <w:rPr/>
            </w:pPr>
            <w:r>
              <w:rPr>
                <w:color w:val="231F20"/>
                <w:spacing w:val="-5"/>
              </w:rPr>
              <w:t>13.5±1.0</w:t>
            </w:r>
          </w:p>
        </w:tc>
        <w:tc>
          <w:tcPr>
            <w:tcW w:w="835" w:type="dxa"/>
            <w:vAlign w:val="top"/>
            <w:tcBorders>
              <w:top w:val="single" w:color="231F20" w:sz="2" w:space="0"/>
            </w:tcBorders>
          </w:tcPr>
          <w:p>
            <w:pPr>
              <w:pStyle w:val="TableText"/>
              <w:ind w:left="167"/>
              <w:spacing w:before="60" w:line="180" w:lineRule="auto"/>
              <w:rPr/>
            </w:pPr>
            <w:r>
              <w:rPr>
                <w:color w:val="231F20"/>
                <w:spacing w:val="-5"/>
              </w:rPr>
              <w:t>16.2±1.6</w:t>
            </w:r>
          </w:p>
        </w:tc>
        <w:tc>
          <w:tcPr>
            <w:tcW w:w="1129" w:type="dxa"/>
            <w:vAlign w:val="top"/>
            <w:tcBorders>
              <w:top w:val="single" w:color="231F20" w:sz="2" w:space="0"/>
            </w:tcBorders>
          </w:tcPr>
          <w:p>
            <w:pPr>
              <w:pStyle w:val="TableText"/>
              <w:ind w:left="357"/>
              <w:spacing w:before="60" w:line="180" w:lineRule="auto"/>
              <w:rPr/>
            </w:pPr>
            <w:r>
              <w:rPr>
                <w:color w:val="231F20"/>
                <w:spacing w:val="-1"/>
              </w:rPr>
              <w:t>5.5±1.0</w:t>
            </w:r>
          </w:p>
        </w:tc>
      </w:tr>
      <w:tr>
        <w:trPr>
          <w:trHeight w:val="281" w:hRule="atLeast"/>
        </w:trPr>
        <w:tc>
          <w:tcPr>
            <w:tcW w:w="1372" w:type="dxa"/>
            <w:vAlign w:val="top"/>
          </w:tcPr>
          <w:p>
            <w:pPr>
              <w:pStyle w:val="TableText"/>
              <w:ind w:left="59"/>
              <w:spacing w:before="67" w:line="178" w:lineRule="auto"/>
              <w:rPr/>
            </w:pPr>
            <w:r>
              <w:rPr>
                <w:color w:val="231F20"/>
                <w:spacing w:val="-6"/>
              </w:rPr>
              <w:t>研究组（</w:t>
            </w:r>
            <w:r>
              <w:rPr>
                <w:rFonts w:ascii="SimSun" w:hAnsi="SimSun" w:eastAsia="SimSun" w:cs="SimSun"/>
                <w:color w:val="231F20"/>
                <w:spacing w:val="-6"/>
              </w:rPr>
              <w:t>n</w:t>
            </w:r>
            <w:r>
              <w:rPr>
                <w:color w:val="231F20"/>
                <w:spacing w:val="-6"/>
              </w:rPr>
              <w:t>=250）</w:t>
            </w:r>
          </w:p>
        </w:tc>
        <w:tc>
          <w:tcPr>
            <w:tcW w:w="752" w:type="dxa"/>
            <w:vAlign w:val="top"/>
          </w:tcPr>
          <w:p>
            <w:pPr>
              <w:pStyle w:val="TableText"/>
              <w:ind w:left="72"/>
              <w:spacing w:before="67" w:line="178" w:lineRule="auto"/>
              <w:rPr/>
            </w:pPr>
            <w:r>
              <w:rPr>
                <w:color w:val="231F20"/>
                <w:spacing w:val="-1"/>
              </w:rPr>
              <w:t>6.8±1.0</w:t>
            </w:r>
          </w:p>
        </w:tc>
        <w:tc>
          <w:tcPr>
            <w:tcW w:w="900" w:type="dxa"/>
            <w:vAlign w:val="top"/>
          </w:tcPr>
          <w:p>
            <w:pPr>
              <w:pStyle w:val="TableText"/>
              <w:ind w:left="195"/>
              <w:spacing w:before="67" w:line="178" w:lineRule="auto"/>
              <w:rPr/>
            </w:pPr>
            <w:r>
              <w:rPr>
                <w:color w:val="231F20"/>
                <w:spacing w:val="-1"/>
              </w:rPr>
              <w:t>7.0±1.4</w:t>
            </w:r>
          </w:p>
        </w:tc>
        <w:tc>
          <w:tcPr>
            <w:tcW w:w="835" w:type="dxa"/>
            <w:vAlign w:val="top"/>
          </w:tcPr>
          <w:p>
            <w:pPr>
              <w:pStyle w:val="TableText"/>
              <w:ind w:left="235"/>
              <w:spacing w:before="67" w:line="178" w:lineRule="auto"/>
              <w:rPr/>
            </w:pPr>
            <w:r>
              <w:rPr>
                <w:color w:val="231F20"/>
                <w:spacing w:val="-1"/>
              </w:rPr>
              <w:t>8.2±1.0</w:t>
            </w:r>
          </w:p>
        </w:tc>
        <w:tc>
          <w:tcPr>
            <w:tcW w:w="1129" w:type="dxa"/>
            <w:vAlign w:val="top"/>
          </w:tcPr>
          <w:p>
            <w:pPr>
              <w:pStyle w:val="TableText"/>
              <w:ind w:left="357"/>
              <w:spacing w:before="67" w:line="178" w:lineRule="auto"/>
              <w:rPr/>
            </w:pPr>
            <w:r>
              <w:rPr>
                <w:color w:val="231F20"/>
                <w:spacing w:val="-1"/>
              </w:rPr>
              <w:t>2.1±0.9</w:t>
            </w:r>
          </w:p>
        </w:tc>
      </w:tr>
      <w:tr>
        <w:trPr>
          <w:trHeight w:val="283" w:hRule="atLeast"/>
        </w:trPr>
        <w:tc>
          <w:tcPr>
            <w:tcW w:w="1372" w:type="dxa"/>
            <w:vAlign w:val="top"/>
          </w:tcPr>
          <w:p>
            <w:pPr>
              <w:pStyle w:val="TableText"/>
              <w:ind w:left="500"/>
              <w:spacing w:before="72" w:line="175" w:lineRule="auto"/>
              <w:rPr/>
            </w:pPr>
            <w:r>
              <w:rPr>
                <w:rFonts w:ascii="SimSun" w:hAnsi="SimSun" w:eastAsia="SimSun" w:cs="SimSun"/>
                <w:color w:val="231F20"/>
                <w:spacing w:val="1"/>
              </w:rPr>
              <w:t>t</w:t>
            </w:r>
            <w:r>
              <w:rPr>
                <w:color w:val="231F20"/>
                <w:spacing w:val="1"/>
              </w:rPr>
              <w:t>值</w:t>
            </w:r>
          </w:p>
        </w:tc>
        <w:tc>
          <w:tcPr>
            <w:tcW w:w="752" w:type="dxa"/>
            <w:vAlign w:val="top"/>
          </w:tcPr>
          <w:p>
            <w:pPr>
              <w:pStyle w:val="TableText"/>
              <w:ind w:left="105"/>
              <w:spacing w:before="70" w:line="177" w:lineRule="auto"/>
              <w:rPr/>
            </w:pPr>
            <w:r>
              <w:rPr>
                <w:color w:val="231F20"/>
                <w:spacing w:val="-13"/>
              </w:rPr>
              <w:t>11.310</w:t>
            </w:r>
          </w:p>
        </w:tc>
        <w:tc>
          <w:tcPr>
            <w:tcW w:w="900" w:type="dxa"/>
            <w:vAlign w:val="top"/>
          </w:tcPr>
          <w:p>
            <w:pPr>
              <w:pStyle w:val="TableText"/>
              <w:ind w:left="230"/>
              <w:spacing w:before="70" w:line="177" w:lineRule="auto"/>
              <w:rPr/>
            </w:pPr>
            <w:r>
              <w:rPr>
                <w:color w:val="231F20"/>
                <w:spacing w:val="-13"/>
              </w:rPr>
              <w:t>12.517</w:t>
            </w:r>
          </w:p>
        </w:tc>
        <w:tc>
          <w:tcPr>
            <w:tcW w:w="835" w:type="dxa"/>
            <w:vAlign w:val="top"/>
          </w:tcPr>
          <w:p>
            <w:pPr>
              <w:pStyle w:val="TableText"/>
              <w:ind w:left="267"/>
              <w:spacing w:before="70" w:line="177" w:lineRule="auto"/>
              <w:rPr/>
            </w:pPr>
            <w:r>
              <w:rPr>
                <w:color w:val="231F20"/>
                <w:spacing w:val="-13"/>
              </w:rPr>
              <w:t>11.968</w:t>
            </w:r>
          </w:p>
        </w:tc>
        <w:tc>
          <w:tcPr>
            <w:tcW w:w="1129" w:type="dxa"/>
            <w:vAlign w:val="top"/>
          </w:tcPr>
          <w:p>
            <w:pPr>
              <w:pStyle w:val="TableText"/>
              <w:ind w:left="430"/>
              <w:spacing w:before="70" w:line="177" w:lineRule="auto"/>
              <w:rPr/>
            </w:pPr>
            <w:r>
              <w:rPr>
                <w:color w:val="231F20"/>
                <w:spacing w:val="-13"/>
              </w:rPr>
              <w:t>10.935</w:t>
            </w:r>
          </w:p>
        </w:tc>
      </w:tr>
      <w:tr>
        <w:trPr>
          <w:trHeight w:val="289" w:hRule="atLeast"/>
        </w:trPr>
        <w:tc>
          <w:tcPr>
            <w:tcW w:w="1372" w:type="dxa"/>
            <w:vAlign w:val="top"/>
            <w:tcBorders>
              <w:bottom w:val="single" w:color="231F20" w:sz="4" w:space="0"/>
            </w:tcBorders>
          </w:tcPr>
          <w:p>
            <w:pPr>
              <w:pStyle w:val="TableText"/>
              <w:ind w:left="470"/>
              <w:spacing w:before="73" w:line="180" w:lineRule="auto"/>
              <w:rPr/>
            </w:pPr>
            <w:r>
              <w:rPr>
                <w:rFonts w:ascii="SimSun" w:hAnsi="SimSun" w:eastAsia="SimSun" w:cs="SimSun"/>
                <w:color w:val="231F20"/>
                <w:spacing w:val="9"/>
              </w:rPr>
              <w:t>P</w:t>
            </w:r>
            <w:r>
              <w:rPr>
                <w:rFonts w:ascii="SimSun" w:hAnsi="SimSun" w:eastAsia="SimSun" w:cs="SimSun"/>
                <w:color w:val="231F20"/>
                <w:spacing w:val="-39"/>
              </w:rPr>
              <w:t xml:space="preserve"> </w:t>
            </w:r>
            <w:r>
              <w:rPr>
                <w:color w:val="231F20"/>
                <w:spacing w:val="9"/>
              </w:rPr>
              <w:t>值</w:t>
            </w:r>
          </w:p>
        </w:tc>
        <w:tc>
          <w:tcPr>
            <w:tcW w:w="752" w:type="dxa"/>
            <w:vAlign w:val="top"/>
            <w:tcBorders>
              <w:bottom w:val="single" w:color="231F20" w:sz="4" w:space="0"/>
            </w:tcBorders>
          </w:tcPr>
          <w:p>
            <w:pPr>
              <w:pStyle w:val="TableText"/>
              <w:ind w:left="130"/>
              <w:spacing w:before="70" w:line="182" w:lineRule="auto"/>
              <w:rPr/>
            </w:pPr>
            <w:r>
              <w:rPr>
                <w:color w:val="231F20"/>
                <w:spacing w:val="-14"/>
              </w:rPr>
              <w:t>&lt;0.05</w:t>
            </w:r>
          </w:p>
        </w:tc>
        <w:tc>
          <w:tcPr>
            <w:tcW w:w="900" w:type="dxa"/>
            <w:vAlign w:val="top"/>
            <w:tcBorders>
              <w:bottom w:val="single" w:color="231F20" w:sz="4" w:space="0"/>
            </w:tcBorders>
          </w:tcPr>
          <w:p>
            <w:pPr>
              <w:pStyle w:val="TableText"/>
              <w:ind w:left="255"/>
              <w:spacing w:before="70" w:line="182" w:lineRule="auto"/>
              <w:rPr/>
            </w:pPr>
            <w:r>
              <w:rPr>
                <w:color w:val="231F20"/>
                <w:spacing w:val="-14"/>
              </w:rPr>
              <w:t>&lt;0.05</w:t>
            </w:r>
          </w:p>
        </w:tc>
        <w:tc>
          <w:tcPr>
            <w:tcW w:w="835" w:type="dxa"/>
            <w:vAlign w:val="top"/>
            <w:tcBorders>
              <w:bottom w:val="single" w:color="231F20" w:sz="4" w:space="0"/>
            </w:tcBorders>
          </w:tcPr>
          <w:p>
            <w:pPr>
              <w:pStyle w:val="TableText"/>
              <w:ind w:left="292"/>
              <w:spacing w:before="70" w:line="182" w:lineRule="auto"/>
              <w:rPr/>
            </w:pPr>
            <w:r>
              <w:rPr>
                <w:color w:val="231F20"/>
                <w:spacing w:val="-14"/>
              </w:rPr>
              <w:t>&lt;0.05</w:t>
            </w:r>
          </w:p>
        </w:tc>
        <w:tc>
          <w:tcPr>
            <w:tcW w:w="1129" w:type="dxa"/>
            <w:vAlign w:val="top"/>
            <w:tcBorders>
              <w:bottom w:val="single" w:color="231F20" w:sz="4" w:space="0"/>
            </w:tcBorders>
          </w:tcPr>
          <w:p>
            <w:pPr>
              <w:pStyle w:val="TableText"/>
              <w:ind w:left="455"/>
              <w:spacing w:before="70" w:line="182" w:lineRule="auto"/>
              <w:rPr/>
            </w:pPr>
            <w:r>
              <w:rPr>
                <w:color w:val="231F20"/>
                <w:spacing w:val="-14"/>
              </w:rPr>
              <w:t>&lt;0.05</w:t>
            </w:r>
          </w:p>
        </w:tc>
      </w:tr>
    </w:tbl>
    <w:p>
      <w:pPr>
        <w:pStyle w:val="BodyText"/>
        <w:ind w:left="119"/>
        <w:spacing w:before="102" w:line="205" w:lineRule="auto"/>
        <w:rPr>
          <w:sz w:val="21"/>
          <w:szCs w:val="21"/>
        </w:rPr>
      </w:pPr>
      <w:r>
        <w:rPr>
          <w:sz w:val="21"/>
          <w:szCs w:val="21"/>
          <w:color w:val="231F20"/>
          <w:spacing w:val="-5"/>
        </w:rPr>
        <w:t>2.3</w:t>
      </w:r>
      <w:r>
        <w:rPr>
          <w:sz w:val="21"/>
          <w:szCs w:val="21"/>
          <w:color w:val="231F20"/>
          <w:spacing w:val="14"/>
        </w:rPr>
        <w:t xml:space="preserve">   </w:t>
      </w:r>
      <w:r>
        <w:rPr>
          <w:sz w:val="21"/>
          <w:szCs w:val="21"/>
          <w:color w:val="231F20"/>
          <w:spacing w:val="-5"/>
        </w:rPr>
        <w:t>两组 CRP 水平及不良反应情况比较</w:t>
      </w:r>
    </w:p>
    <w:p>
      <w:pPr>
        <w:pStyle w:val="BodyText"/>
        <w:ind w:right="80" w:firstLine="576"/>
        <w:spacing w:before="14" w:line="219" w:lineRule="auto"/>
        <w:jc w:val="both"/>
        <w:rPr>
          <w:sz w:val="21"/>
          <w:szCs w:val="21"/>
        </w:rPr>
      </w:pPr>
      <w:r>
        <w:rPr>
          <w:sz w:val="21"/>
          <w:szCs w:val="21"/>
          <w:color w:val="231F20"/>
          <w:spacing w:val="22"/>
        </w:rPr>
        <w:t>与对照组治疗后相比，研究组 </w:t>
      </w:r>
      <w:r>
        <w:rPr>
          <w:sz w:val="21"/>
          <w:szCs w:val="21"/>
          <w:color w:val="231F20"/>
        </w:rPr>
        <w:t>CRP</w:t>
      </w:r>
      <w:r>
        <w:rPr>
          <w:sz w:val="21"/>
          <w:szCs w:val="21"/>
          <w:color w:val="231F20"/>
          <w:spacing w:val="22"/>
        </w:rPr>
        <w:t xml:space="preserve"> 水平较低</w:t>
      </w:r>
      <w:r>
        <w:rPr>
          <w:sz w:val="21"/>
          <w:szCs w:val="21"/>
          <w:color w:val="231F20"/>
          <w:spacing w:val="7"/>
        </w:rPr>
        <w:t xml:space="preserve"> </w:t>
      </w:r>
      <w:r>
        <w:rPr>
          <w:sz w:val="21"/>
          <w:szCs w:val="21"/>
          <w:color w:val="231F20"/>
          <w:spacing w:val="2"/>
        </w:rPr>
        <w:t>（</w:t>
      </w:r>
      <w:r>
        <w:rPr>
          <w:sz w:val="21"/>
          <w:szCs w:val="21"/>
          <w:color w:val="231F20"/>
          <w:spacing w:val="-24"/>
        </w:rPr>
        <w:t xml:space="preserve"> </w:t>
      </w:r>
      <w:r>
        <w:rPr>
          <w:rFonts w:ascii="SimSun" w:hAnsi="SimSun" w:eastAsia="SimSun" w:cs="SimSun"/>
          <w:sz w:val="21"/>
          <w:szCs w:val="21"/>
          <w:color w:val="231F20"/>
          <w:spacing w:val="2"/>
        </w:rPr>
        <w:t>P</w:t>
      </w:r>
      <w:r>
        <w:rPr>
          <w:sz w:val="21"/>
          <w:szCs w:val="21"/>
          <w:color w:val="231F20"/>
          <w:spacing w:val="2"/>
        </w:rPr>
        <w:t>&lt;0.05</w:t>
      </w:r>
      <w:r>
        <w:rPr>
          <w:sz w:val="21"/>
          <w:szCs w:val="21"/>
          <w:color w:val="231F20"/>
          <w:spacing w:val="-43"/>
        </w:rPr>
        <w:t>），</w:t>
      </w:r>
      <w:r>
        <w:rPr>
          <w:sz w:val="21"/>
          <w:szCs w:val="21"/>
          <w:color w:val="231F20"/>
          <w:spacing w:val="2"/>
        </w:rPr>
        <w:t>两组不良反应发生率比较差异无统计学意</w:t>
      </w:r>
      <w:r>
        <w:rPr>
          <w:sz w:val="21"/>
          <w:szCs w:val="21"/>
          <w:color w:val="231F20"/>
        </w:rPr>
        <w:t xml:space="preserve"> </w:t>
      </w:r>
      <w:r>
        <w:rPr>
          <w:sz w:val="21"/>
          <w:szCs w:val="21"/>
          <w:color w:val="231F20"/>
          <w:spacing w:val="-2"/>
        </w:rPr>
        <w:t>义（</w:t>
      </w:r>
      <w:r>
        <w:rPr>
          <w:rFonts w:ascii="SimSun" w:hAnsi="SimSun" w:eastAsia="SimSun" w:cs="SimSun"/>
          <w:sz w:val="21"/>
          <w:szCs w:val="21"/>
          <w:color w:val="231F20"/>
          <w:spacing w:val="-2"/>
        </w:rPr>
        <w:t>P</w:t>
      </w:r>
      <w:r>
        <w:rPr>
          <w:sz w:val="21"/>
          <w:szCs w:val="21"/>
          <w:color w:val="231F20"/>
          <w:spacing w:val="-2"/>
        </w:rPr>
        <w:t>&gt;0.05</w:t>
      </w:r>
      <w:r>
        <w:rPr>
          <w:sz w:val="21"/>
          <w:szCs w:val="21"/>
          <w:color w:val="231F20"/>
          <w:spacing w:val="-30"/>
        </w:rPr>
        <w:t>），</w:t>
      </w:r>
      <w:r>
        <w:rPr>
          <w:sz w:val="21"/>
          <w:szCs w:val="21"/>
          <w:color w:val="231F20"/>
          <w:spacing w:val="-2"/>
        </w:rPr>
        <w:t>见表 3。</w:t>
      </w:r>
    </w:p>
    <w:p>
      <w:pPr>
        <w:spacing w:line="219" w:lineRule="auto"/>
        <w:sectPr>
          <w:type w:val="continuous"/>
          <w:pgSz w:w="11906" w:h="16838"/>
          <w:pgMar w:top="1471" w:right="716" w:bottom="0" w:left="407" w:header="1038" w:footer="0" w:gutter="0"/>
          <w:cols w:equalWidth="0" w:num="2">
            <w:col w:w="5498" w:space="100"/>
            <w:col w:w="5185" w:space="0"/>
          </w:cols>
        </w:sectPr>
        <w:rPr>
          <w:sz w:val="21"/>
          <w:szCs w:val="21"/>
        </w:rPr>
      </w:pPr>
    </w:p>
    <w:p>
      <w:pPr>
        <w:ind w:left="4134"/>
        <w:spacing w:before="14" w:line="242" w:lineRule="auto"/>
        <w:outlineLvl w:val="1"/>
        <w:rPr>
          <w:rFonts w:ascii="SimHei" w:hAnsi="SimHei" w:eastAsia="SimHei" w:cs="SimHei"/>
          <w:sz w:val="16"/>
          <w:szCs w:val="16"/>
        </w:rPr>
      </w:pPr>
      <w:r>
        <w:rPr>
          <w:rFonts w:ascii="SimHei" w:hAnsi="SimHei" w:eastAsia="SimHei" w:cs="SimHei"/>
          <w:sz w:val="16"/>
          <w:szCs w:val="16"/>
          <w:color w:val="231F20"/>
          <w:spacing w:val="5"/>
        </w:rPr>
        <w:t>表3</w:t>
      </w:r>
      <w:r>
        <w:rPr>
          <w:rFonts w:ascii="SimHei" w:hAnsi="SimHei" w:eastAsia="SimHei" w:cs="SimHei"/>
          <w:sz w:val="16"/>
          <w:szCs w:val="16"/>
          <w:color w:val="231F20"/>
          <w:spacing w:val="5"/>
        </w:rPr>
        <w:t xml:space="preserve">  </w:t>
      </w:r>
      <w:r>
        <w:rPr>
          <w:rFonts w:ascii="SimHei" w:hAnsi="SimHei" w:eastAsia="SimHei" w:cs="SimHei"/>
          <w:sz w:val="16"/>
          <w:szCs w:val="16"/>
          <w:color w:val="231F20"/>
          <w:spacing w:val="5"/>
        </w:rPr>
        <w:t>两组</w:t>
      </w:r>
      <w:r>
        <w:rPr>
          <w:rFonts w:ascii="SimHei" w:hAnsi="SimHei" w:eastAsia="SimHei" w:cs="SimHei"/>
          <w:sz w:val="16"/>
          <w:szCs w:val="16"/>
          <w:color w:val="231F20"/>
        </w:rPr>
        <w:t>CRP</w:t>
      </w:r>
      <w:r>
        <w:rPr>
          <w:rFonts w:ascii="SimHei" w:hAnsi="SimHei" w:eastAsia="SimHei" w:cs="SimHei"/>
          <w:sz w:val="16"/>
          <w:szCs w:val="16"/>
          <w:color w:val="231F20"/>
          <w:spacing w:val="5"/>
        </w:rPr>
        <w:t>水平及不良反应情况比较</w:t>
      </w:r>
    </w:p>
    <w:p>
      <w:pPr>
        <w:spacing w:line="141" w:lineRule="auto"/>
        <w:rPr>
          <w:rFonts w:ascii="Arial"/>
          <w:sz w:val="2"/>
        </w:rPr>
      </w:pPr>
      <w:r>
        <w:rPr>
          <w:rFonts w:ascii="Arial"/>
          <w:sz w:val="2"/>
        </w:rPr>
      </w:r>
    </w:p>
    <w:tbl>
      <w:tblPr>
        <w:tblStyle w:val="TableNormal"/>
        <w:tblW w:w="10318" w:type="dxa"/>
        <w:tblInd w:w="3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3"/>
        <w:gridCol w:w="1171"/>
        <w:gridCol w:w="1406"/>
        <w:gridCol w:w="1501"/>
        <w:gridCol w:w="1443"/>
        <w:gridCol w:w="1515"/>
        <w:gridCol w:w="1148"/>
        <w:gridCol w:w="311"/>
      </w:tblGrid>
      <w:tr>
        <w:trPr>
          <w:trHeight w:val="283" w:hRule="atLeast"/>
        </w:trPr>
        <w:tc>
          <w:tcPr>
            <w:tcW w:w="1823" w:type="dxa"/>
            <w:vAlign w:val="top"/>
            <w:vMerge w:val="restart"/>
            <w:tcBorders>
              <w:bottom w:val="nil"/>
              <w:top w:val="single" w:color="231F20" w:sz="4" w:space="0"/>
            </w:tcBorders>
          </w:tcPr>
          <w:p>
            <w:pPr>
              <w:pStyle w:val="TableText"/>
              <w:ind w:left="580"/>
              <w:spacing w:before="203" w:line="179" w:lineRule="auto"/>
              <w:rPr/>
            </w:pPr>
            <w:r>
              <w:rPr>
                <w:color w:val="231F20"/>
                <w:spacing w:val="-1"/>
              </w:rPr>
              <w:t>组别</w:t>
            </w:r>
          </w:p>
        </w:tc>
        <w:tc>
          <w:tcPr>
            <w:tcW w:w="2577" w:type="dxa"/>
            <w:vAlign w:val="top"/>
            <w:gridSpan w:val="2"/>
            <w:tcBorders>
              <w:bottom w:val="single" w:color="231F20" w:sz="2" w:space="0"/>
              <w:top w:val="single" w:color="231F20" w:sz="4" w:space="0"/>
            </w:tcBorders>
          </w:tcPr>
          <w:p>
            <w:pPr>
              <w:pStyle w:val="TableText"/>
              <w:ind w:left="706"/>
              <w:spacing w:before="68" w:line="179" w:lineRule="auto"/>
              <w:rPr/>
            </w:pPr>
            <w:r>
              <w:rPr>
                <w:color w:val="231F20"/>
                <w:spacing w:val="-10"/>
              </w:rPr>
              <w:t>CRP（mg/L）</w:t>
            </w:r>
          </w:p>
        </w:tc>
        <w:tc>
          <w:tcPr>
            <w:tcW w:w="5607" w:type="dxa"/>
            <w:vAlign w:val="top"/>
            <w:gridSpan w:val="4"/>
            <w:tcBorders>
              <w:bottom w:val="single" w:color="231F20" w:sz="2" w:space="0"/>
              <w:top w:val="single" w:color="231F20" w:sz="4" w:space="0"/>
            </w:tcBorders>
          </w:tcPr>
          <w:p>
            <w:pPr>
              <w:pStyle w:val="TableText"/>
              <w:ind w:left="2263"/>
              <w:spacing w:before="68" w:line="179" w:lineRule="auto"/>
              <w:rPr/>
            </w:pPr>
            <w:r>
              <w:rPr>
                <w:color w:val="231F20"/>
                <w:spacing w:val="-4"/>
              </w:rPr>
              <w:t>不良反应 [ 例（%）]</w:t>
            </w:r>
          </w:p>
        </w:tc>
        <w:tc>
          <w:tcPr>
            <w:tcW w:w="311" w:type="dxa"/>
            <w:vAlign w:val="top"/>
            <w:vMerge w:val="restart"/>
            <w:tcBorders>
              <w:bottom w:val="nil"/>
              <w:top w:val="single" w:color="231F20" w:sz="4" w:space="0"/>
            </w:tcBorders>
          </w:tcPr>
          <w:p>
            <w:pPr>
              <w:rPr>
                <w:rFonts w:ascii="Arial"/>
                <w:sz w:val="21"/>
              </w:rPr>
            </w:pPr>
            <w:r/>
          </w:p>
        </w:tc>
      </w:tr>
      <w:tr>
        <w:trPr>
          <w:trHeight w:val="272" w:hRule="atLeast"/>
        </w:trPr>
        <w:tc>
          <w:tcPr>
            <w:tcW w:w="1823" w:type="dxa"/>
            <w:vAlign w:val="top"/>
            <w:vMerge w:val="continue"/>
            <w:tcBorders>
              <w:bottom w:val="single" w:color="231F20" w:sz="2" w:space="0"/>
              <w:top w:val="nil"/>
            </w:tcBorders>
          </w:tcPr>
          <w:p>
            <w:pPr>
              <w:rPr>
                <w:rFonts w:ascii="Arial"/>
                <w:sz w:val="21"/>
              </w:rPr>
            </w:pPr>
            <w:r/>
          </w:p>
        </w:tc>
        <w:tc>
          <w:tcPr>
            <w:tcW w:w="1171" w:type="dxa"/>
            <w:vAlign w:val="top"/>
            <w:tcBorders>
              <w:bottom w:val="single" w:color="231F20" w:sz="2" w:space="0"/>
              <w:top w:val="single" w:color="231F20" w:sz="2" w:space="0"/>
            </w:tcBorders>
          </w:tcPr>
          <w:p>
            <w:pPr>
              <w:pStyle w:val="TableText"/>
              <w:ind w:left="152"/>
              <w:spacing w:before="58" w:line="178" w:lineRule="auto"/>
              <w:rPr/>
            </w:pPr>
            <w:r>
              <w:rPr>
                <w:color w:val="231F20"/>
                <w:spacing w:val="-2"/>
              </w:rPr>
              <w:t>治疗前</w:t>
            </w:r>
          </w:p>
        </w:tc>
        <w:tc>
          <w:tcPr>
            <w:tcW w:w="1406" w:type="dxa"/>
            <w:vAlign w:val="top"/>
            <w:tcBorders>
              <w:bottom w:val="single" w:color="231F20" w:sz="2" w:space="0"/>
              <w:top w:val="single" w:color="231F20" w:sz="2" w:space="0"/>
            </w:tcBorders>
          </w:tcPr>
          <w:p>
            <w:pPr>
              <w:pStyle w:val="TableText"/>
              <w:ind w:left="456"/>
              <w:spacing w:before="58" w:line="178" w:lineRule="auto"/>
              <w:rPr/>
            </w:pPr>
            <w:r>
              <w:rPr>
                <w:color w:val="231F20"/>
                <w:spacing w:val="-2"/>
              </w:rPr>
              <w:t>治疗后</w:t>
            </w:r>
          </w:p>
        </w:tc>
        <w:tc>
          <w:tcPr>
            <w:tcW w:w="1501" w:type="dxa"/>
            <w:vAlign w:val="top"/>
            <w:tcBorders>
              <w:bottom w:val="single" w:color="231F20" w:sz="2" w:space="0"/>
              <w:top w:val="single" w:color="231F20" w:sz="2" w:space="0"/>
            </w:tcBorders>
          </w:tcPr>
          <w:p>
            <w:pPr>
              <w:pStyle w:val="TableText"/>
              <w:ind w:left="604"/>
              <w:spacing w:before="58" w:line="177" w:lineRule="auto"/>
              <w:rPr/>
            </w:pPr>
            <w:r>
              <w:rPr>
                <w:color w:val="231F20"/>
                <w:spacing w:val="-2"/>
              </w:rPr>
              <w:t>头痛</w:t>
            </w:r>
          </w:p>
        </w:tc>
        <w:tc>
          <w:tcPr>
            <w:tcW w:w="1443" w:type="dxa"/>
            <w:vAlign w:val="top"/>
            <w:tcBorders>
              <w:bottom w:val="single" w:color="231F20" w:sz="2" w:space="0"/>
              <w:top w:val="single" w:color="231F20" w:sz="2" w:space="0"/>
            </w:tcBorders>
          </w:tcPr>
          <w:p>
            <w:pPr>
              <w:pStyle w:val="TableText"/>
              <w:ind w:left="583"/>
              <w:spacing w:before="58" w:line="178" w:lineRule="auto"/>
              <w:rPr/>
            </w:pPr>
            <w:r>
              <w:rPr>
                <w:color w:val="231F20"/>
                <w:spacing w:val="-3"/>
              </w:rPr>
              <w:t>嗜睡</w:t>
            </w:r>
          </w:p>
        </w:tc>
        <w:tc>
          <w:tcPr>
            <w:tcW w:w="1515" w:type="dxa"/>
            <w:vAlign w:val="top"/>
            <w:tcBorders>
              <w:bottom w:val="single" w:color="231F20" w:sz="2" w:space="0"/>
              <w:top w:val="single" w:color="231F20" w:sz="2" w:space="0"/>
            </w:tcBorders>
          </w:tcPr>
          <w:p>
            <w:pPr>
              <w:pStyle w:val="TableText"/>
              <w:ind w:left="446"/>
              <w:spacing w:before="57" w:line="179" w:lineRule="auto"/>
              <w:rPr/>
            </w:pPr>
            <w:r>
              <w:rPr>
                <w:color w:val="231F20"/>
                <w:spacing w:val="-1"/>
              </w:rPr>
              <w:t>轻度恶心</w:t>
            </w:r>
          </w:p>
        </w:tc>
        <w:tc>
          <w:tcPr>
            <w:tcW w:w="1148" w:type="dxa"/>
            <w:vAlign w:val="top"/>
            <w:tcBorders>
              <w:bottom w:val="single" w:color="231F20" w:sz="2" w:space="0"/>
              <w:top w:val="single" w:color="231F20" w:sz="2" w:space="0"/>
            </w:tcBorders>
          </w:tcPr>
          <w:p>
            <w:pPr>
              <w:pStyle w:val="TableText"/>
              <w:ind w:left="564"/>
              <w:spacing w:before="56" w:line="180" w:lineRule="auto"/>
              <w:rPr/>
            </w:pPr>
            <w:r>
              <w:rPr>
                <w:color w:val="231F20"/>
                <w:spacing w:val="-1"/>
              </w:rPr>
              <w:t>合计</w:t>
            </w:r>
          </w:p>
        </w:tc>
        <w:tc>
          <w:tcPr>
            <w:tcW w:w="311" w:type="dxa"/>
            <w:vAlign w:val="top"/>
            <w:vMerge w:val="continue"/>
            <w:tcBorders>
              <w:bottom w:val="single" w:color="231F20" w:sz="2" w:space="0"/>
              <w:top w:val="nil"/>
            </w:tcBorders>
          </w:tcPr>
          <w:p>
            <w:pPr>
              <w:rPr>
                <w:rFonts w:ascii="Arial"/>
                <w:sz w:val="21"/>
              </w:rPr>
            </w:pPr>
            <w:r/>
          </w:p>
        </w:tc>
      </w:tr>
      <w:tr>
        <w:trPr>
          <w:trHeight w:val="276" w:hRule="atLeast"/>
        </w:trPr>
        <w:tc>
          <w:tcPr>
            <w:tcW w:w="1823" w:type="dxa"/>
            <w:vAlign w:val="top"/>
            <w:tcBorders>
              <w:top w:val="single" w:color="231F20" w:sz="2" w:space="0"/>
            </w:tcBorders>
          </w:tcPr>
          <w:p>
            <w:pPr>
              <w:pStyle w:val="TableText"/>
              <w:ind w:left="176"/>
              <w:spacing w:before="60" w:line="180" w:lineRule="auto"/>
              <w:rPr/>
            </w:pPr>
            <w:r>
              <w:rPr>
                <w:color w:val="231F20"/>
                <w:spacing w:val="-6"/>
              </w:rPr>
              <w:t>对照组（</w:t>
            </w:r>
            <w:r>
              <w:rPr>
                <w:rFonts w:ascii="SimSun" w:hAnsi="SimSun" w:eastAsia="SimSun" w:cs="SimSun"/>
                <w:color w:val="231F20"/>
                <w:spacing w:val="-6"/>
              </w:rPr>
              <w:t>n</w:t>
            </w:r>
            <w:r>
              <w:rPr>
                <w:color w:val="231F20"/>
                <w:spacing w:val="-6"/>
              </w:rPr>
              <w:t>=250）</w:t>
            </w:r>
          </w:p>
        </w:tc>
        <w:tc>
          <w:tcPr>
            <w:tcW w:w="1171" w:type="dxa"/>
            <w:vAlign w:val="top"/>
            <w:tcBorders>
              <w:top w:val="single" w:color="231F20" w:sz="2" w:space="0"/>
            </w:tcBorders>
          </w:tcPr>
          <w:p>
            <w:pPr>
              <w:pStyle w:val="TableText"/>
              <w:ind w:left="74"/>
              <w:spacing w:before="60" w:line="180" w:lineRule="auto"/>
              <w:rPr/>
            </w:pPr>
            <w:r>
              <w:rPr>
                <w:color w:val="231F20"/>
                <w:spacing w:val="-4"/>
              </w:rPr>
              <w:t>55.2±10.6</w:t>
            </w:r>
          </w:p>
        </w:tc>
        <w:tc>
          <w:tcPr>
            <w:tcW w:w="1406" w:type="dxa"/>
            <w:vAlign w:val="top"/>
            <w:tcBorders>
              <w:top w:val="single" w:color="231F20" w:sz="2" w:space="0"/>
            </w:tcBorders>
          </w:tcPr>
          <w:p>
            <w:pPr>
              <w:pStyle w:val="TableText"/>
              <w:ind w:left="390"/>
              <w:spacing w:before="60" w:line="180" w:lineRule="auto"/>
              <w:rPr/>
            </w:pPr>
            <w:r>
              <w:rPr>
                <w:color w:val="231F20"/>
                <w:spacing w:val="-5"/>
              </w:rPr>
              <w:t>11.0±3.7</w:t>
            </w:r>
          </w:p>
        </w:tc>
        <w:tc>
          <w:tcPr>
            <w:tcW w:w="1501" w:type="dxa"/>
            <w:vAlign w:val="top"/>
            <w:tcBorders>
              <w:top w:val="single" w:color="231F20" w:sz="2" w:space="0"/>
            </w:tcBorders>
          </w:tcPr>
          <w:p>
            <w:pPr>
              <w:pStyle w:val="TableText"/>
              <w:ind w:left="504"/>
              <w:spacing w:before="60" w:line="180" w:lineRule="auto"/>
              <w:rPr/>
            </w:pPr>
            <w:r>
              <w:rPr>
                <w:color w:val="231F20"/>
                <w:spacing w:val="-6"/>
              </w:rPr>
              <w:t>5（2.0）</w:t>
            </w:r>
          </w:p>
        </w:tc>
        <w:tc>
          <w:tcPr>
            <w:tcW w:w="1443" w:type="dxa"/>
            <w:vAlign w:val="top"/>
            <w:tcBorders>
              <w:top w:val="single" w:color="231F20" w:sz="2" w:space="0"/>
            </w:tcBorders>
          </w:tcPr>
          <w:p>
            <w:pPr>
              <w:pStyle w:val="TableText"/>
              <w:ind w:left="478"/>
              <w:spacing w:before="60" w:line="180" w:lineRule="auto"/>
              <w:rPr/>
            </w:pPr>
            <w:r>
              <w:rPr>
                <w:color w:val="231F20"/>
                <w:spacing w:val="-7"/>
              </w:rPr>
              <w:t>6（2.4）</w:t>
            </w:r>
          </w:p>
        </w:tc>
        <w:tc>
          <w:tcPr>
            <w:tcW w:w="1515" w:type="dxa"/>
            <w:vAlign w:val="top"/>
            <w:tcBorders>
              <w:top w:val="single" w:color="231F20" w:sz="2" w:space="0"/>
            </w:tcBorders>
          </w:tcPr>
          <w:p>
            <w:pPr>
              <w:pStyle w:val="TableText"/>
              <w:ind w:left="511"/>
              <w:spacing w:before="60" w:line="180" w:lineRule="auto"/>
              <w:rPr/>
            </w:pPr>
            <w:r>
              <w:rPr>
                <w:color w:val="231F20"/>
                <w:spacing w:val="-7"/>
              </w:rPr>
              <w:t>3（1.2）</w:t>
            </w:r>
          </w:p>
        </w:tc>
        <w:tc>
          <w:tcPr>
            <w:tcW w:w="1148" w:type="dxa"/>
            <w:vAlign w:val="top"/>
            <w:tcBorders>
              <w:top w:val="single" w:color="231F20" w:sz="2" w:space="0"/>
            </w:tcBorders>
          </w:tcPr>
          <w:p>
            <w:pPr>
              <w:pStyle w:val="TableText"/>
              <w:ind w:left="441"/>
              <w:spacing w:before="60" w:line="180" w:lineRule="auto"/>
              <w:rPr/>
            </w:pPr>
            <w:r>
              <w:rPr>
                <w:color w:val="231F20"/>
                <w:spacing w:val="-10"/>
              </w:rPr>
              <w:t>14（5.6）</w:t>
            </w:r>
          </w:p>
        </w:tc>
        <w:tc>
          <w:tcPr>
            <w:tcW w:w="311" w:type="dxa"/>
            <w:vAlign w:val="top"/>
            <w:tcBorders>
              <w:top w:val="single" w:color="231F20" w:sz="2" w:space="0"/>
            </w:tcBorders>
          </w:tcPr>
          <w:p>
            <w:pPr>
              <w:rPr>
                <w:rFonts w:ascii="Arial"/>
                <w:sz w:val="21"/>
              </w:rPr>
            </w:pPr>
            <w:r/>
          </w:p>
        </w:tc>
      </w:tr>
      <w:tr>
        <w:trPr>
          <w:trHeight w:val="278" w:hRule="atLeast"/>
        </w:trPr>
        <w:tc>
          <w:tcPr>
            <w:tcW w:w="1823" w:type="dxa"/>
            <w:vAlign w:val="top"/>
          </w:tcPr>
          <w:p>
            <w:pPr>
              <w:pStyle w:val="TableText"/>
              <w:ind w:left="176"/>
              <w:spacing w:before="67" w:line="175" w:lineRule="auto"/>
              <w:rPr/>
            </w:pPr>
            <w:r>
              <w:rPr>
                <w:color w:val="231F20"/>
                <w:spacing w:val="-6"/>
              </w:rPr>
              <w:t>研究组（</w:t>
            </w:r>
            <w:r>
              <w:rPr>
                <w:rFonts w:ascii="SimSun" w:hAnsi="SimSun" w:eastAsia="SimSun" w:cs="SimSun"/>
                <w:color w:val="231F20"/>
                <w:spacing w:val="-6"/>
              </w:rPr>
              <w:t>n</w:t>
            </w:r>
            <w:r>
              <w:rPr>
                <w:color w:val="231F20"/>
                <w:spacing w:val="-6"/>
              </w:rPr>
              <w:t>=250）</w:t>
            </w:r>
          </w:p>
        </w:tc>
        <w:tc>
          <w:tcPr>
            <w:tcW w:w="1171" w:type="dxa"/>
            <w:vAlign w:val="top"/>
          </w:tcPr>
          <w:p>
            <w:pPr>
              <w:pStyle w:val="TableText"/>
              <w:ind w:left="74"/>
              <w:spacing w:before="67" w:line="175" w:lineRule="auto"/>
              <w:rPr/>
            </w:pPr>
            <w:r>
              <w:rPr>
                <w:color w:val="231F20"/>
                <w:spacing w:val="-3"/>
              </w:rPr>
              <w:t>56.3±9.5</w:t>
            </w:r>
          </w:p>
        </w:tc>
        <w:tc>
          <w:tcPr>
            <w:tcW w:w="1406" w:type="dxa"/>
            <w:vAlign w:val="top"/>
          </w:tcPr>
          <w:p>
            <w:pPr>
              <w:pStyle w:val="TableText"/>
              <w:ind w:left="454"/>
              <w:spacing w:before="67" w:line="175" w:lineRule="auto"/>
              <w:rPr/>
            </w:pPr>
            <w:r>
              <w:rPr>
                <w:color w:val="231F20"/>
                <w:spacing w:val="-1"/>
              </w:rPr>
              <w:t>4.4±0.9</w:t>
            </w:r>
          </w:p>
        </w:tc>
        <w:tc>
          <w:tcPr>
            <w:tcW w:w="1501" w:type="dxa"/>
            <w:vAlign w:val="top"/>
          </w:tcPr>
          <w:p>
            <w:pPr>
              <w:pStyle w:val="TableText"/>
              <w:ind w:left="502"/>
              <w:spacing w:before="67" w:line="175" w:lineRule="auto"/>
              <w:rPr/>
            </w:pPr>
            <w:r>
              <w:rPr>
                <w:color w:val="231F20"/>
                <w:spacing w:val="-6"/>
              </w:rPr>
              <w:t>4（1.6）</w:t>
            </w:r>
          </w:p>
        </w:tc>
        <w:tc>
          <w:tcPr>
            <w:tcW w:w="1443" w:type="dxa"/>
            <w:vAlign w:val="top"/>
          </w:tcPr>
          <w:p>
            <w:pPr>
              <w:pStyle w:val="TableText"/>
              <w:ind w:left="477"/>
              <w:spacing w:before="67" w:line="175" w:lineRule="auto"/>
              <w:rPr/>
            </w:pPr>
            <w:r>
              <w:rPr>
                <w:color w:val="231F20"/>
                <w:spacing w:val="-6"/>
              </w:rPr>
              <w:t>2（0.8）</w:t>
            </w:r>
          </w:p>
        </w:tc>
        <w:tc>
          <w:tcPr>
            <w:tcW w:w="1515" w:type="dxa"/>
            <w:vAlign w:val="top"/>
          </w:tcPr>
          <w:p>
            <w:pPr>
              <w:pStyle w:val="TableText"/>
              <w:ind w:left="508"/>
              <w:spacing w:before="67" w:line="175" w:lineRule="auto"/>
              <w:rPr/>
            </w:pPr>
            <w:r>
              <w:rPr>
                <w:color w:val="231F20"/>
                <w:spacing w:val="-6"/>
              </w:rPr>
              <w:t>5（2.0）</w:t>
            </w:r>
          </w:p>
        </w:tc>
        <w:tc>
          <w:tcPr>
            <w:tcW w:w="1148" w:type="dxa"/>
            <w:vAlign w:val="top"/>
          </w:tcPr>
          <w:p>
            <w:pPr>
              <w:pStyle w:val="TableText"/>
              <w:ind w:left="441"/>
              <w:spacing w:before="67" w:line="175" w:lineRule="auto"/>
              <w:rPr/>
            </w:pPr>
            <w:r>
              <w:rPr>
                <w:color w:val="231F20"/>
                <w:spacing w:val="-10"/>
              </w:rPr>
              <w:t>11（4.4）</w:t>
            </w:r>
          </w:p>
        </w:tc>
        <w:tc>
          <w:tcPr>
            <w:tcW w:w="311" w:type="dxa"/>
            <w:vAlign w:val="top"/>
          </w:tcPr>
          <w:p>
            <w:pPr>
              <w:rPr>
                <w:rFonts w:ascii="Arial"/>
                <w:sz w:val="21"/>
              </w:rPr>
            </w:pPr>
            <w:r/>
          </w:p>
        </w:tc>
      </w:tr>
      <w:tr>
        <w:trPr>
          <w:trHeight w:val="293" w:hRule="atLeast"/>
        </w:trPr>
        <w:tc>
          <w:tcPr>
            <w:tcW w:w="1823" w:type="dxa"/>
            <w:vAlign w:val="top"/>
          </w:tcPr>
          <w:p>
            <w:pPr>
              <w:pStyle w:val="TableText"/>
              <w:ind w:left="519"/>
              <w:spacing w:before="53" w:line="201" w:lineRule="auto"/>
              <w:rPr/>
            </w:pPr>
            <w:r>
              <w:rPr>
                <w:rFonts w:ascii="SimSun" w:hAnsi="SimSun" w:eastAsia="SimSun" w:cs="SimSun"/>
                <w:color w:val="231F20"/>
                <w:spacing w:val="-6"/>
                <w:w w:val="68"/>
                <w:position w:val="-1"/>
              </w:rPr>
              <w:t>t</w:t>
            </w:r>
            <w:r>
              <w:rPr>
                <w:color w:val="231F20"/>
                <w:spacing w:val="-6"/>
                <w:w w:val="68"/>
                <w:position w:val="-1"/>
              </w:rPr>
              <w:t>/</w:t>
            </w:r>
            <w:r>
              <w:rPr>
                <w:rFonts w:ascii="SimSun" w:hAnsi="SimSun" w:eastAsia="SimSun" w:cs="SimSun"/>
                <w:color w:val="231F20"/>
                <w:spacing w:val="-6"/>
                <w:w w:val="68"/>
                <w:position w:val="-1"/>
              </w:rPr>
              <w:t>字</w:t>
            </w:r>
            <w:r>
              <w:rPr>
                <w:sz w:val="9"/>
                <w:szCs w:val="9"/>
                <w:color w:val="231F20"/>
                <w:spacing w:val="-4"/>
                <w:position w:val="6"/>
              </w:rPr>
              <w:t>2</w:t>
            </w:r>
            <w:r>
              <w:rPr>
                <w:sz w:val="9"/>
                <w:szCs w:val="9"/>
                <w:color w:val="231F20"/>
                <w:spacing w:val="15"/>
                <w:w w:val="103"/>
                <w:position w:val="6"/>
              </w:rPr>
              <w:t xml:space="preserve"> </w:t>
            </w:r>
            <w:r>
              <w:rPr>
                <w:color w:val="231F20"/>
                <w:spacing w:val="-4"/>
                <w:position w:val="-1"/>
              </w:rPr>
              <w:t>值</w:t>
            </w:r>
          </w:p>
        </w:tc>
        <w:tc>
          <w:tcPr>
            <w:tcW w:w="1171" w:type="dxa"/>
            <w:vAlign w:val="top"/>
          </w:tcPr>
          <w:p>
            <w:pPr>
              <w:pStyle w:val="TableText"/>
              <w:ind w:left="227"/>
              <w:spacing w:before="72" w:line="184" w:lineRule="auto"/>
              <w:rPr/>
            </w:pPr>
            <w:r>
              <w:rPr>
                <w:color w:val="231F20"/>
                <w:spacing w:val="-12"/>
              </w:rPr>
              <w:t>1.291</w:t>
            </w:r>
          </w:p>
        </w:tc>
        <w:tc>
          <w:tcPr>
            <w:tcW w:w="1406" w:type="dxa"/>
            <w:vAlign w:val="top"/>
          </w:tcPr>
          <w:p>
            <w:pPr>
              <w:pStyle w:val="TableText"/>
              <w:ind w:left="490"/>
              <w:spacing w:before="72" w:line="184" w:lineRule="auto"/>
              <w:rPr/>
            </w:pPr>
            <w:r>
              <w:rPr>
                <w:color w:val="231F20"/>
                <w:spacing w:val="-13"/>
              </w:rPr>
              <w:t>10.391</w:t>
            </w:r>
          </w:p>
        </w:tc>
        <w:tc>
          <w:tcPr>
            <w:tcW w:w="1501" w:type="dxa"/>
            <w:vAlign w:val="top"/>
          </w:tcPr>
          <w:p>
            <w:pPr>
              <w:rPr>
                <w:rFonts w:ascii="Arial"/>
                <w:sz w:val="21"/>
              </w:rPr>
            </w:pPr>
            <w:r/>
          </w:p>
        </w:tc>
        <w:tc>
          <w:tcPr>
            <w:tcW w:w="1443" w:type="dxa"/>
            <w:vAlign w:val="top"/>
          </w:tcPr>
          <w:p>
            <w:pPr>
              <w:rPr>
                <w:rFonts w:ascii="Arial"/>
                <w:sz w:val="21"/>
              </w:rPr>
            </w:pPr>
            <w:r/>
          </w:p>
        </w:tc>
        <w:tc>
          <w:tcPr>
            <w:tcW w:w="1515" w:type="dxa"/>
            <w:vAlign w:val="top"/>
          </w:tcPr>
          <w:p>
            <w:pPr>
              <w:rPr>
                <w:rFonts w:ascii="Arial"/>
                <w:sz w:val="21"/>
              </w:rPr>
            </w:pPr>
            <w:r/>
          </w:p>
        </w:tc>
        <w:tc>
          <w:tcPr>
            <w:tcW w:w="1148" w:type="dxa"/>
            <w:vAlign w:val="top"/>
          </w:tcPr>
          <w:p>
            <w:pPr>
              <w:pStyle w:val="TableText"/>
              <w:ind w:left="561"/>
              <w:spacing w:before="72" w:line="184" w:lineRule="auto"/>
              <w:rPr/>
            </w:pPr>
            <w:r>
              <w:rPr>
                <w:color w:val="231F20"/>
                <w:spacing w:val="-12"/>
              </w:rPr>
              <w:t>1.610</w:t>
            </w:r>
          </w:p>
        </w:tc>
        <w:tc>
          <w:tcPr>
            <w:tcW w:w="311" w:type="dxa"/>
            <w:vAlign w:val="top"/>
          </w:tcPr>
          <w:p>
            <w:pPr>
              <w:rPr>
                <w:rFonts w:ascii="Arial"/>
                <w:sz w:val="21"/>
              </w:rPr>
            </w:pPr>
            <w:r/>
          </w:p>
        </w:tc>
      </w:tr>
      <w:tr>
        <w:trPr>
          <w:trHeight w:val="282" w:hRule="atLeast"/>
        </w:trPr>
        <w:tc>
          <w:tcPr>
            <w:tcW w:w="1823" w:type="dxa"/>
            <w:vAlign w:val="top"/>
            <w:tcBorders>
              <w:bottom w:val="single" w:color="231F20" w:sz="4" w:space="0"/>
            </w:tcBorders>
          </w:tcPr>
          <w:p>
            <w:pPr>
              <w:pStyle w:val="TableText"/>
              <w:ind w:left="587"/>
              <w:spacing w:before="66" w:line="180" w:lineRule="auto"/>
              <w:rPr/>
            </w:pPr>
            <w:r>
              <w:rPr>
                <w:rFonts w:ascii="SimSun" w:hAnsi="SimSun" w:eastAsia="SimSun" w:cs="SimSun"/>
                <w:color w:val="231F20"/>
                <w:spacing w:val="9"/>
              </w:rPr>
              <w:t>P</w:t>
            </w:r>
            <w:r>
              <w:rPr>
                <w:rFonts w:ascii="SimSun" w:hAnsi="SimSun" w:eastAsia="SimSun" w:cs="SimSun"/>
                <w:color w:val="231F20"/>
                <w:spacing w:val="-39"/>
              </w:rPr>
              <w:t xml:space="preserve"> </w:t>
            </w:r>
            <w:r>
              <w:rPr>
                <w:color w:val="231F20"/>
                <w:spacing w:val="9"/>
              </w:rPr>
              <w:t>值</w:t>
            </w:r>
          </w:p>
        </w:tc>
        <w:tc>
          <w:tcPr>
            <w:tcW w:w="1171" w:type="dxa"/>
            <w:vAlign w:val="top"/>
            <w:tcBorders>
              <w:bottom w:val="single" w:color="231F20" w:sz="4" w:space="0"/>
            </w:tcBorders>
          </w:tcPr>
          <w:p>
            <w:pPr>
              <w:pStyle w:val="TableText"/>
              <w:ind w:left="212"/>
              <w:spacing w:before="63" w:line="182" w:lineRule="auto"/>
              <w:rPr/>
            </w:pPr>
            <w:r>
              <w:rPr>
                <w:color w:val="231F20"/>
                <w:spacing w:val="-14"/>
              </w:rPr>
              <w:t>&gt;0.05</w:t>
            </w:r>
          </w:p>
        </w:tc>
        <w:tc>
          <w:tcPr>
            <w:tcW w:w="1406" w:type="dxa"/>
            <w:vAlign w:val="top"/>
            <w:tcBorders>
              <w:bottom w:val="single" w:color="231F20" w:sz="4" w:space="0"/>
            </w:tcBorders>
          </w:tcPr>
          <w:p>
            <w:pPr>
              <w:pStyle w:val="TableText"/>
              <w:ind w:left="515"/>
              <w:spacing w:before="63" w:line="182" w:lineRule="auto"/>
              <w:rPr/>
            </w:pPr>
            <w:r>
              <w:rPr>
                <w:color w:val="231F20"/>
                <w:spacing w:val="-14"/>
              </w:rPr>
              <w:t>&lt;0.05</w:t>
            </w:r>
          </w:p>
        </w:tc>
        <w:tc>
          <w:tcPr>
            <w:tcW w:w="1501" w:type="dxa"/>
            <w:vAlign w:val="top"/>
            <w:tcBorders>
              <w:bottom w:val="single" w:color="231F20" w:sz="4" w:space="0"/>
            </w:tcBorders>
          </w:tcPr>
          <w:p>
            <w:pPr>
              <w:rPr>
                <w:rFonts w:ascii="Arial"/>
                <w:sz w:val="21"/>
              </w:rPr>
            </w:pPr>
            <w:r/>
          </w:p>
        </w:tc>
        <w:tc>
          <w:tcPr>
            <w:tcW w:w="1443" w:type="dxa"/>
            <w:vAlign w:val="top"/>
            <w:tcBorders>
              <w:bottom w:val="single" w:color="231F20" w:sz="4" w:space="0"/>
            </w:tcBorders>
          </w:tcPr>
          <w:p>
            <w:pPr>
              <w:rPr>
                <w:rFonts w:ascii="Arial"/>
                <w:sz w:val="21"/>
              </w:rPr>
            </w:pPr>
            <w:r/>
          </w:p>
        </w:tc>
        <w:tc>
          <w:tcPr>
            <w:tcW w:w="1515" w:type="dxa"/>
            <w:vAlign w:val="top"/>
            <w:tcBorders>
              <w:bottom w:val="single" w:color="231F20" w:sz="4" w:space="0"/>
            </w:tcBorders>
          </w:tcPr>
          <w:p>
            <w:pPr>
              <w:rPr>
                <w:rFonts w:ascii="Arial"/>
                <w:sz w:val="21"/>
              </w:rPr>
            </w:pPr>
            <w:r/>
          </w:p>
        </w:tc>
        <w:tc>
          <w:tcPr>
            <w:tcW w:w="1148" w:type="dxa"/>
            <w:vAlign w:val="top"/>
            <w:tcBorders>
              <w:bottom w:val="single" w:color="231F20" w:sz="4" w:space="0"/>
            </w:tcBorders>
          </w:tcPr>
          <w:p>
            <w:pPr>
              <w:pStyle w:val="TableText"/>
              <w:ind w:left="546"/>
              <w:spacing w:before="63" w:line="182" w:lineRule="auto"/>
              <w:rPr/>
            </w:pPr>
            <w:r>
              <w:rPr>
                <w:color w:val="231F20"/>
                <w:spacing w:val="-14"/>
              </w:rPr>
              <w:t>&gt;0.05</w:t>
            </w:r>
          </w:p>
        </w:tc>
        <w:tc>
          <w:tcPr>
            <w:tcW w:w="311" w:type="dxa"/>
            <w:vAlign w:val="top"/>
            <w:tcBorders>
              <w:bottom w:val="single" w:color="231F20" w:sz="4" w:space="0"/>
            </w:tcBorders>
          </w:tcPr>
          <w:p>
            <w:pPr>
              <w:rPr>
                <w:rFonts w:ascii="Arial"/>
                <w:sz w:val="21"/>
              </w:rPr>
            </w:pPr>
            <w:r/>
          </w:p>
        </w:tc>
      </w:tr>
    </w:tbl>
    <w:p>
      <w:pPr>
        <w:spacing w:line="138" w:lineRule="exact"/>
        <w:rPr>
          <w:rFonts w:ascii="Arial"/>
          <w:sz w:val="12"/>
        </w:rPr>
      </w:pPr>
      <w:r/>
    </w:p>
    <w:p>
      <w:pPr>
        <w:spacing w:line="138" w:lineRule="exact"/>
        <w:sectPr>
          <w:type w:val="continuous"/>
          <w:pgSz w:w="11906" w:h="16838"/>
          <w:pgMar w:top="1471" w:right="716" w:bottom="0" w:left="407" w:header="1038" w:footer="0" w:gutter="0"/>
          <w:cols w:equalWidth="0" w:num="1">
            <w:col w:w="10782" w:space="0"/>
          </w:cols>
        </w:sectPr>
        <w:rPr>
          <w:rFonts w:ascii="Arial" w:hAnsi="Arial" w:eastAsia="Arial" w:cs="Arial"/>
          <w:sz w:val="12"/>
          <w:szCs w:val="12"/>
        </w:rPr>
      </w:pPr>
    </w:p>
    <w:p>
      <w:pPr>
        <w:ind w:left="389"/>
        <w:spacing w:before="48" w:line="277" w:lineRule="exact"/>
        <w:rPr>
          <w:rFonts w:ascii="SimHei" w:hAnsi="SimHei" w:eastAsia="SimHei" w:cs="SimHei"/>
          <w:sz w:val="21"/>
          <w:szCs w:val="21"/>
        </w:rPr>
      </w:pPr>
      <w:r>
        <w:rPr>
          <w:rFonts w:ascii="SimHei" w:hAnsi="SimHei" w:eastAsia="SimHei" w:cs="SimHei"/>
          <w:sz w:val="21"/>
          <w:szCs w:val="21"/>
          <w:color w:val="231F20"/>
          <w:spacing w:val="-1"/>
          <w:position w:val="1"/>
        </w:rPr>
        <w:t>3</w:t>
      </w:r>
      <w:r>
        <w:rPr>
          <w:rFonts w:ascii="SimHei" w:hAnsi="SimHei" w:eastAsia="SimHei" w:cs="SimHei"/>
          <w:sz w:val="21"/>
          <w:szCs w:val="21"/>
          <w:color w:val="231F20"/>
          <w:spacing w:val="3"/>
          <w:position w:val="1"/>
        </w:rPr>
        <w:t xml:space="preserve">  </w:t>
      </w:r>
      <w:r>
        <w:rPr>
          <w:rFonts w:ascii="SimHei" w:hAnsi="SimHei" w:eastAsia="SimHei" w:cs="SimHei"/>
          <w:sz w:val="21"/>
          <w:szCs w:val="21"/>
          <w:color w:val="231F20"/>
          <w:spacing w:val="-1"/>
          <w:position w:val="1"/>
        </w:rPr>
        <w:t>讨论</w:t>
      </w:r>
    </w:p>
    <w:p>
      <w:pPr>
        <w:pStyle w:val="BodyText"/>
        <w:ind w:left="382" w:right="158" w:firstLine="437"/>
        <w:spacing w:before="51" w:line="212" w:lineRule="auto"/>
        <w:jc w:val="both"/>
        <w:rPr>
          <w:sz w:val="21"/>
          <w:szCs w:val="21"/>
        </w:rPr>
      </w:pPr>
      <w:r>
        <w:rPr>
          <w:sz w:val="21"/>
          <w:szCs w:val="21"/>
          <w:color w:val="231F20"/>
          <w:spacing w:val="6"/>
        </w:rPr>
        <w:t>近年来，伴随着人们经济生活水平的提升，致使</w:t>
      </w:r>
      <w:r>
        <w:rPr>
          <w:sz w:val="21"/>
          <w:szCs w:val="21"/>
          <w:color w:val="231F20"/>
          <w:spacing w:val="4"/>
        </w:rPr>
        <w:t xml:space="preserve">  </w:t>
      </w:r>
      <w:r>
        <w:rPr>
          <w:sz w:val="21"/>
          <w:szCs w:val="21"/>
          <w:color w:val="231F20"/>
          <w:spacing w:val="10"/>
        </w:rPr>
        <w:t>其饮食结构与生活习惯等也发生相应转变，受细菌、</w:t>
      </w:r>
      <w:r>
        <w:rPr>
          <w:sz w:val="21"/>
          <w:szCs w:val="21"/>
          <w:color w:val="231F20"/>
          <w:spacing w:val="12"/>
        </w:rPr>
        <w:t xml:space="preserve"> </w:t>
      </w:r>
      <w:r>
        <w:rPr>
          <w:sz w:val="21"/>
          <w:szCs w:val="21"/>
          <w:color w:val="231F20"/>
          <w:spacing w:val="6"/>
        </w:rPr>
        <w:t>病毒及化学等因素的影响，致使急性肠胃炎患者的发  </w:t>
      </w:r>
      <w:r>
        <w:rPr>
          <w:sz w:val="21"/>
          <w:szCs w:val="21"/>
          <w:color w:val="231F20"/>
          <w:spacing w:val="7"/>
        </w:rPr>
        <w:t>病率逐渐呈递增趋势 </w:t>
      </w:r>
      <w:r>
        <w:rPr>
          <w:sz w:val="12"/>
          <w:szCs w:val="12"/>
          <w:color w:val="231F20"/>
          <w:spacing w:val="7"/>
          <w:position w:val="9"/>
        </w:rPr>
        <w:t>[6]</w:t>
      </w:r>
      <w:r>
        <w:rPr>
          <w:sz w:val="12"/>
          <w:szCs w:val="12"/>
          <w:color w:val="231F20"/>
          <w:spacing w:val="5"/>
          <w:position w:val="9"/>
        </w:rPr>
        <w:t xml:space="preserve"> </w:t>
      </w:r>
      <w:r>
        <w:rPr>
          <w:sz w:val="21"/>
          <w:szCs w:val="21"/>
          <w:color w:val="231F20"/>
          <w:spacing w:val="7"/>
        </w:rPr>
        <w:t>。急性肠胃炎患者在发病后，</w:t>
      </w:r>
      <w:r>
        <w:rPr>
          <w:sz w:val="21"/>
          <w:szCs w:val="21"/>
          <w:color w:val="231F20"/>
        </w:rPr>
        <w:t xml:space="preserve"> </w:t>
      </w:r>
      <w:r>
        <w:rPr>
          <w:sz w:val="21"/>
          <w:szCs w:val="21"/>
          <w:color w:val="231F20"/>
          <w:spacing w:val="6"/>
        </w:rPr>
        <w:t>若不能采取及时有效的治疗方案，则极易导致病情恶</w:t>
      </w:r>
      <w:r>
        <w:rPr>
          <w:sz w:val="21"/>
          <w:szCs w:val="21"/>
          <w:color w:val="231F20"/>
          <w:spacing w:val="3"/>
        </w:rPr>
        <w:t xml:space="preserve">  </w:t>
      </w:r>
      <w:r>
        <w:rPr>
          <w:sz w:val="21"/>
          <w:szCs w:val="21"/>
          <w:color w:val="231F20"/>
          <w:spacing w:val="1"/>
        </w:rPr>
        <w:t>化，从而出现水、电解质紊乱、腹部绞痛等不良情况，</w:t>
      </w:r>
      <w:r>
        <w:rPr>
          <w:sz w:val="21"/>
          <w:szCs w:val="21"/>
          <w:color w:val="231F20"/>
          <w:spacing w:val="8"/>
        </w:rPr>
        <w:t xml:space="preserve"> </w:t>
      </w:r>
      <w:r>
        <w:rPr>
          <w:sz w:val="21"/>
          <w:szCs w:val="21"/>
          <w:color w:val="231F20"/>
          <w:spacing w:val="5"/>
        </w:rPr>
        <w:t>进而对患者生活质量水平的提升产生不利影响 </w:t>
      </w:r>
      <w:r>
        <w:rPr>
          <w:sz w:val="12"/>
          <w:szCs w:val="12"/>
          <w:color w:val="231F20"/>
          <w:spacing w:val="5"/>
          <w:position w:val="9"/>
        </w:rPr>
        <w:t>[7]</w:t>
      </w:r>
      <w:r>
        <w:rPr>
          <w:sz w:val="21"/>
          <w:szCs w:val="21"/>
          <w:color w:val="231F20"/>
          <w:spacing w:val="5"/>
        </w:rPr>
        <w:t>。因</w:t>
      </w:r>
      <w:r>
        <w:rPr>
          <w:sz w:val="21"/>
          <w:szCs w:val="21"/>
          <w:color w:val="231F20"/>
          <w:spacing w:val="1"/>
        </w:rPr>
        <w:t xml:space="preserve">   </w:t>
      </w:r>
      <w:r>
        <w:rPr>
          <w:sz w:val="21"/>
          <w:szCs w:val="21"/>
          <w:color w:val="231F20"/>
          <w:spacing w:val="6"/>
        </w:rPr>
        <w:t>此，在对急性肠胃炎患者进行临床治疗期间应引起足</w:t>
      </w:r>
    </w:p>
    <w:p>
      <w:pPr>
        <w:spacing w:line="14" w:lineRule="auto"/>
        <w:rPr>
          <w:rFonts w:ascii="Arial"/>
          <w:sz w:val="2"/>
        </w:rPr>
      </w:pPr>
      <w:r>
        <w:rPr>
          <w:rFonts w:ascii="Arial" w:hAnsi="Arial" w:eastAsia="Arial" w:cs="Arial"/>
          <w:sz w:val="2"/>
          <w:szCs w:val="2"/>
        </w:rPr>
        <w:br w:type="column"/>
      </w:r>
    </w:p>
    <w:p>
      <w:pPr>
        <w:pStyle w:val="BodyText"/>
        <w:ind w:left="1" w:right="13"/>
        <w:spacing w:before="57" w:line="212" w:lineRule="auto"/>
        <w:rPr>
          <w:sz w:val="21"/>
          <w:szCs w:val="21"/>
        </w:rPr>
      </w:pPr>
      <w:r>
        <w:rPr>
          <w:sz w:val="21"/>
          <w:szCs w:val="21"/>
          <w:color w:val="231F20"/>
          <w:spacing w:val="9"/>
        </w:rPr>
        <w:t>够重视，并采取有效方案，以便缓解患者临床症状，</w:t>
      </w:r>
      <w:r>
        <w:rPr>
          <w:sz w:val="21"/>
          <w:szCs w:val="21"/>
          <w:color w:val="231F20"/>
          <w:spacing w:val="12"/>
        </w:rPr>
        <w:t xml:space="preserve"> </w:t>
      </w:r>
      <w:r>
        <w:rPr>
          <w:sz w:val="21"/>
          <w:szCs w:val="21"/>
          <w:color w:val="231F20"/>
          <w:spacing w:val="-4"/>
        </w:rPr>
        <w:t>加速其病情恢复。</w:t>
      </w:r>
    </w:p>
    <w:p>
      <w:pPr>
        <w:pStyle w:val="BodyText"/>
        <w:ind w:firstLine="430"/>
        <w:spacing w:before="10" w:line="211" w:lineRule="auto"/>
        <w:jc w:val="both"/>
        <w:rPr>
          <w:sz w:val="21"/>
          <w:szCs w:val="21"/>
        </w:rPr>
      </w:pPr>
      <w:r>
        <w:rPr>
          <w:sz w:val="21"/>
          <w:szCs w:val="21"/>
          <w:color w:val="231F20"/>
          <w:spacing w:val="6"/>
        </w:rPr>
        <w:t>在目前的临床治疗中，对急性肠胃炎患者大</w:t>
      </w:r>
      <w:r>
        <w:rPr>
          <w:sz w:val="21"/>
          <w:szCs w:val="21"/>
          <w:color w:val="231F20"/>
          <w:spacing w:val="5"/>
        </w:rPr>
        <w:t>多以</w:t>
      </w:r>
      <w:r>
        <w:rPr>
          <w:sz w:val="21"/>
          <w:szCs w:val="21"/>
          <w:color w:val="231F20"/>
        </w:rPr>
        <w:t xml:space="preserve">  </w:t>
      </w:r>
      <w:r>
        <w:rPr>
          <w:sz w:val="21"/>
          <w:szCs w:val="21"/>
          <w:color w:val="231F20"/>
          <w:spacing w:val="6"/>
        </w:rPr>
        <w:t>药物治疗为主，其中主要以解痉药、葡萄糖等电解质</w:t>
      </w:r>
      <w:r>
        <w:rPr>
          <w:sz w:val="21"/>
          <w:szCs w:val="21"/>
          <w:color w:val="231F20"/>
          <w:spacing w:val="4"/>
        </w:rPr>
        <w:t xml:space="preserve">  </w:t>
      </w:r>
      <w:r>
        <w:rPr>
          <w:sz w:val="21"/>
          <w:szCs w:val="21"/>
          <w:color w:val="231F20"/>
          <w:spacing w:val="6"/>
        </w:rPr>
        <w:t>溶液、止吐药及质子泵抑制剂等药物为主，但其总体  </w:t>
      </w:r>
      <w:r>
        <w:rPr>
          <w:sz w:val="21"/>
          <w:szCs w:val="21"/>
          <w:color w:val="231F20"/>
          <w:spacing w:val="10"/>
        </w:rPr>
        <w:t>治疗效果并不理想，使其在临床应用存在一定限制。</w:t>
      </w:r>
      <w:r>
        <w:rPr>
          <w:sz w:val="21"/>
          <w:szCs w:val="21"/>
          <w:color w:val="231F20"/>
          <w:spacing w:val="5"/>
        </w:rPr>
        <w:t xml:space="preserve"> </w:t>
      </w:r>
      <w:r>
        <w:rPr>
          <w:sz w:val="21"/>
          <w:szCs w:val="21"/>
          <w:color w:val="231F20"/>
          <w:spacing w:val="6"/>
        </w:rPr>
        <w:t>其中阿司匹林、奥美拉唑的应用较为广泛，并能够取</w:t>
      </w:r>
      <w:r>
        <w:rPr>
          <w:sz w:val="21"/>
          <w:szCs w:val="21"/>
          <w:color w:val="231F20"/>
          <w:spacing w:val="5"/>
        </w:rPr>
        <w:t xml:space="preserve">  </w:t>
      </w:r>
      <w:r>
        <w:rPr>
          <w:sz w:val="21"/>
          <w:szCs w:val="21"/>
          <w:color w:val="231F20"/>
          <w:spacing w:val="-1"/>
        </w:rPr>
        <w:t>得一定效果，加速患者病情康复 </w:t>
      </w:r>
      <w:r>
        <w:rPr>
          <w:sz w:val="12"/>
          <w:szCs w:val="12"/>
          <w:color w:val="231F20"/>
          <w:spacing w:val="-1"/>
          <w:position w:val="9"/>
        </w:rPr>
        <w:t>[8]</w:t>
      </w:r>
      <w:r>
        <w:rPr>
          <w:sz w:val="12"/>
          <w:szCs w:val="12"/>
          <w:color w:val="231F20"/>
          <w:spacing w:val="1"/>
          <w:position w:val="9"/>
        </w:rPr>
        <w:t xml:space="preserve"> </w:t>
      </w:r>
      <w:r>
        <w:rPr>
          <w:sz w:val="21"/>
          <w:szCs w:val="21"/>
          <w:color w:val="231F20"/>
          <w:spacing w:val="-1"/>
        </w:rPr>
        <w:t>。经临床研究显示，</w:t>
      </w:r>
      <w:r>
        <w:rPr>
          <w:sz w:val="21"/>
          <w:szCs w:val="21"/>
          <w:color w:val="231F20"/>
        </w:rPr>
        <w:t xml:space="preserve"> </w:t>
      </w:r>
      <w:r>
        <w:rPr>
          <w:sz w:val="21"/>
          <w:szCs w:val="21"/>
          <w:color w:val="231F20"/>
          <w:spacing w:val="6"/>
        </w:rPr>
        <w:t>对急性肠胃炎患者采用阿司匹林与奥美拉唑联合治疗</w:t>
      </w:r>
    </w:p>
    <w:p>
      <w:pPr>
        <w:spacing w:line="211" w:lineRule="auto"/>
        <w:sectPr>
          <w:type w:val="continuous"/>
          <w:pgSz w:w="11906" w:h="16838"/>
          <w:pgMar w:top="1471" w:right="716" w:bottom="0" w:left="407" w:header="1038" w:footer="0" w:gutter="0"/>
          <w:cols w:equalWidth="0" w:num="2">
            <w:col w:w="5615" w:space="100"/>
            <w:col w:w="5067" w:space="0"/>
          </w:cols>
        </w:sectPr>
        <w:rPr>
          <w:sz w:val="21"/>
          <w:szCs w:val="21"/>
        </w:rPr>
      </w:pPr>
    </w:p>
    <w:p>
      <w:pPr>
        <w:pStyle w:val="BodyText"/>
        <w:ind w:left="381"/>
        <w:spacing w:before="131" w:line="157" w:lineRule="auto"/>
        <w:rPr>
          <w:sz w:val="13"/>
          <w:szCs w:val="13"/>
        </w:rPr>
      </w:pPr>
      <w:r>
        <w:rPr>
          <w:color w:val="231F20"/>
          <w:spacing w:val="-3"/>
          <w:position w:val="-2"/>
        </w:rPr>
        <w:t>- 38 -</w:t>
      </w:r>
      <w:r>
        <w:rPr>
          <w:color w:val="231F20"/>
          <w:position w:val="-2"/>
        </w:rPr>
        <w:t xml:space="preserve">                                                                                                              </w:t>
      </w:r>
      <w:r>
        <w:rPr>
          <w:sz w:val="13"/>
          <w:szCs w:val="13"/>
          <w:color w:val="231F20"/>
          <w:spacing w:val="-3"/>
        </w:rPr>
        <w:t>Chinese and</w:t>
      </w:r>
      <w:r>
        <w:rPr>
          <w:sz w:val="13"/>
          <w:szCs w:val="13"/>
          <w:color w:val="231F20"/>
          <w:spacing w:val="19"/>
        </w:rPr>
        <w:t xml:space="preserve"> </w:t>
      </w:r>
      <w:r>
        <w:rPr>
          <w:sz w:val="13"/>
          <w:szCs w:val="13"/>
          <w:color w:val="231F20"/>
          <w:spacing w:val="-3"/>
        </w:rPr>
        <w:t>Foreign Me</w:t>
      </w:r>
      <w:r>
        <w:rPr>
          <w:sz w:val="13"/>
          <w:szCs w:val="13"/>
          <w:color w:val="231F20"/>
          <w:spacing w:val="-4"/>
        </w:rPr>
        <w:t>dical</w:t>
      </w:r>
      <w:r>
        <w:rPr>
          <w:sz w:val="13"/>
          <w:szCs w:val="13"/>
          <w:color w:val="231F20"/>
          <w:spacing w:val="8"/>
        </w:rPr>
        <w:t xml:space="preserve"> </w:t>
      </w:r>
      <w:r>
        <w:rPr>
          <w:sz w:val="13"/>
          <w:szCs w:val="13"/>
          <w:color w:val="231F20"/>
          <w:spacing w:val="-4"/>
        </w:rPr>
        <w:t>Research Vol.19,</w:t>
      </w:r>
      <w:r>
        <w:rPr>
          <w:sz w:val="13"/>
          <w:szCs w:val="13"/>
          <w:color w:val="231F20"/>
          <w:spacing w:val="8"/>
        </w:rPr>
        <w:t xml:space="preserve"> </w:t>
      </w:r>
      <w:r>
        <w:rPr>
          <w:sz w:val="13"/>
          <w:szCs w:val="13"/>
          <w:color w:val="231F20"/>
          <w:spacing w:val="-4"/>
        </w:rPr>
        <w:t>No.30 October,</w:t>
      </w:r>
      <w:r>
        <w:rPr>
          <w:sz w:val="13"/>
          <w:szCs w:val="13"/>
          <w:color w:val="231F20"/>
          <w:spacing w:val="1"/>
        </w:rPr>
        <w:t xml:space="preserve"> </w:t>
      </w:r>
      <w:r>
        <w:rPr>
          <w:sz w:val="13"/>
          <w:szCs w:val="13"/>
          <w:color w:val="231F20"/>
          <w:spacing w:val="-4"/>
        </w:rPr>
        <w:t>2021</w:t>
      </w:r>
    </w:p>
    <w:p>
      <w:pPr>
        <w:spacing w:line="157" w:lineRule="auto"/>
        <w:sectPr>
          <w:type w:val="continuous"/>
          <w:pgSz w:w="11906" w:h="16838"/>
          <w:pgMar w:top="1471" w:right="716" w:bottom="0" w:left="407" w:header="1038" w:footer="0" w:gutter="0"/>
          <w:cols w:equalWidth="0" w:num="1">
            <w:col w:w="10782" w:space="0"/>
          </w:cols>
        </w:sectPr>
        <w:rPr>
          <w:sz w:val="13"/>
          <w:szCs w:val="13"/>
        </w:rPr>
      </w:pPr>
    </w:p>
    <w:p>
      <w:pPr>
        <w:spacing w:line="189" w:lineRule="exact"/>
        <w:rPr/>
      </w:pPr>
      <w:r/>
    </w:p>
    <w:p>
      <w:pPr>
        <w:spacing w:line="189" w:lineRule="exact"/>
        <w:sectPr>
          <w:headerReference w:type="default" r:id="rId3"/>
          <w:footerReference w:type="default" r:id="rId4"/>
          <w:pgSz w:w="11906" w:h="16838"/>
          <w:pgMar w:top="1471" w:right="729" w:bottom="1085" w:left="407" w:header="1038" w:footer="812" w:gutter="0"/>
          <w:cols w:equalWidth="0" w:num="1">
            <w:col w:w="10769" w:space="0"/>
          </w:cols>
        </w:sectPr>
        <w:rPr/>
      </w:pPr>
    </w:p>
    <w:p>
      <w:pPr>
        <w:pStyle w:val="BodyText"/>
        <w:ind w:left="384" w:right="158" w:firstLine="18"/>
        <w:spacing w:before="46" w:line="210" w:lineRule="auto"/>
        <w:jc w:val="both"/>
        <w:rPr>
          <w:sz w:val="21"/>
          <w:szCs w:val="21"/>
        </w:rPr>
      </w:pPr>
      <w:r>
        <w:rPr>
          <w:sz w:val="21"/>
          <w:szCs w:val="21"/>
          <w:color w:val="231F20"/>
          <w:spacing w:val="6"/>
        </w:rPr>
        <w:t>的方案，与单一治疗相比能够有效提升其总体治</w:t>
      </w:r>
      <w:r>
        <w:rPr>
          <w:sz w:val="21"/>
          <w:szCs w:val="21"/>
          <w:color w:val="231F20"/>
          <w:spacing w:val="5"/>
        </w:rPr>
        <w:t>疗效</w:t>
      </w:r>
      <w:r>
        <w:rPr>
          <w:sz w:val="21"/>
          <w:szCs w:val="21"/>
          <w:color w:val="231F20"/>
        </w:rPr>
        <w:t xml:space="preserve">  </w:t>
      </w:r>
      <w:r>
        <w:rPr>
          <w:sz w:val="21"/>
          <w:szCs w:val="21"/>
          <w:color w:val="231F20"/>
          <w:spacing w:val="4"/>
        </w:rPr>
        <w:t>果，改善患者临床症状 </w:t>
      </w:r>
      <w:r>
        <w:rPr>
          <w:sz w:val="12"/>
          <w:szCs w:val="12"/>
          <w:color w:val="231F20"/>
          <w:spacing w:val="4"/>
          <w:position w:val="9"/>
        </w:rPr>
        <w:t>[9]</w:t>
      </w:r>
      <w:r>
        <w:rPr>
          <w:sz w:val="12"/>
          <w:szCs w:val="12"/>
          <w:color w:val="231F20"/>
          <w:spacing w:val="3"/>
          <w:position w:val="9"/>
        </w:rPr>
        <w:t xml:space="preserve"> </w:t>
      </w:r>
      <w:r>
        <w:rPr>
          <w:sz w:val="21"/>
          <w:szCs w:val="21"/>
          <w:color w:val="231F20"/>
          <w:spacing w:val="4"/>
        </w:rPr>
        <w:t>。近年来，伴随着医疗技术</w:t>
      </w:r>
      <w:r>
        <w:rPr>
          <w:sz w:val="21"/>
          <w:szCs w:val="21"/>
          <w:color w:val="231F20"/>
        </w:rPr>
        <w:t xml:space="preserve">  </w:t>
      </w:r>
      <w:r>
        <w:rPr>
          <w:sz w:val="21"/>
          <w:szCs w:val="21"/>
          <w:color w:val="231F20"/>
          <w:spacing w:val="6"/>
        </w:rPr>
        <w:t>的进步与发展，针对急性肠胃炎病理机制的研究也相</w:t>
      </w:r>
      <w:r>
        <w:rPr>
          <w:sz w:val="21"/>
          <w:szCs w:val="21"/>
          <w:color w:val="231F20"/>
          <w:spacing w:val="2"/>
        </w:rPr>
        <w:t xml:space="preserve">  </w:t>
      </w:r>
      <w:r>
        <w:rPr>
          <w:sz w:val="21"/>
          <w:szCs w:val="21"/>
          <w:color w:val="231F20"/>
          <w:spacing w:val="5"/>
        </w:rPr>
        <w:t>对深入，部分研究显示，采用双歧杆菌在对急性肠胃</w:t>
      </w:r>
      <w:r>
        <w:rPr>
          <w:sz w:val="21"/>
          <w:szCs w:val="21"/>
          <w:color w:val="231F20"/>
          <w:spacing w:val="4"/>
        </w:rPr>
        <w:t xml:space="preserve">   </w:t>
      </w:r>
      <w:r>
        <w:rPr>
          <w:sz w:val="21"/>
          <w:szCs w:val="21"/>
          <w:color w:val="231F20"/>
          <w:spacing w:val="6"/>
        </w:rPr>
        <w:t>炎患者的治疗中也能够获取较好效果，且应用的安全  </w:t>
      </w:r>
      <w:r>
        <w:rPr>
          <w:sz w:val="21"/>
          <w:szCs w:val="21"/>
          <w:color w:val="231F20"/>
          <w:spacing w:val="6"/>
        </w:rPr>
        <w:t>性较高。因此，本研究在采用阿莫西林与奥美拉唑治</w:t>
      </w:r>
      <w:r>
        <w:rPr>
          <w:sz w:val="21"/>
          <w:szCs w:val="21"/>
          <w:color w:val="231F20"/>
          <w:spacing w:val="3"/>
        </w:rPr>
        <w:t xml:space="preserve">  </w:t>
      </w:r>
      <w:r>
        <w:rPr>
          <w:sz w:val="21"/>
          <w:szCs w:val="21"/>
          <w:color w:val="231F20"/>
          <w:spacing w:val="10"/>
        </w:rPr>
        <w:t>疗的同时，进一步探讨与双歧杆菌联合的应用效果。</w:t>
      </w:r>
      <w:r>
        <w:rPr>
          <w:sz w:val="21"/>
          <w:szCs w:val="21"/>
          <w:color w:val="231F20"/>
          <w:spacing w:val="6"/>
        </w:rPr>
        <w:t xml:space="preserve"> </w:t>
      </w:r>
      <w:r>
        <w:rPr>
          <w:sz w:val="21"/>
          <w:szCs w:val="21"/>
          <w:color w:val="231F20"/>
          <w:spacing w:val="6"/>
        </w:rPr>
        <w:t>经本研究显示：与对照组相比研究组治疗总有效率较</w:t>
      </w:r>
      <w:r>
        <w:rPr>
          <w:sz w:val="21"/>
          <w:szCs w:val="21"/>
          <w:color w:val="231F20"/>
          <w:spacing w:val="5"/>
        </w:rPr>
        <w:t xml:space="preserve">  </w:t>
      </w:r>
      <w:r>
        <w:rPr>
          <w:sz w:val="21"/>
          <w:szCs w:val="21"/>
          <w:color w:val="231F20"/>
          <w:spacing w:val="-6"/>
        </w:rPr>
        <w:t>高（</w:t>
      </w:r>
      <w:r>
        <w:rPr>
          <w:rFonts w:ascii="Times New Roman" w:hAnsi="Times New Roman" w:eastAsia="Times New Roman" w:cs="Times New Roman"/>
          <w:sz w:val="21"/>
          <w:szCs w:val="21"/>
          <w:color w:val="231F20"/>
          <w:spacing w:val="-6"/>
        </w:rPr>
        <w:t>P</w:t>
      </w:r>
      <w:r>
        <w:rPr>
          <w:sz w:val="21"/>
          <w:szCs w:val="21"/>
          <w:color w:val="231F20"/>
          <w:spacing w:val="-6"/>
        </w:rPr>
        <w:t>&lt;0.05</w:t>
      </w:r>
      <w:r>
        <w:rPr>
          <w:sz w:val="21"/>
          <w:szCs w:val="21"/>
          <w:color w:val="231F20"/>
          <w:spacing w:val="-44"/>
        </w:rPr>
        <w:t>）；</w:t>
      </w:r>
      <w:r>
        <w:rPr>
          <w:sz w:val="21"/>
          <w:szCs w:val="21"/>
          <w:color w:val="231F20"/>
          <w:spacing w:val="-6"/>
        </w:rPr>
        <w:t>与对照组相比研究组症状缓解时间较早、</w:t>
      </w:r>
      <w:r>
        <w:rPr>
          <w:sz w:val="21"/>
          <w:szCs w:val="21"/>
          <w:color w:val="231F20"/>
          <w:spacing w:val="1"/>
        </w:rPr>
        <w:t xml:space="preserve"> </w:t>
      </w:r>
      <w:r>
        <w:rPr>
          <w:sz w:val="21"/>
          <w:szCs w:val="21"/>
          <w:color w:val="231F20"/>
          <w:spacing w:val="-1"/>
        </w:rPr>
        <w:t>住院时间较短（</w:t>
      </w:r>
      <w:r>
        <w:rPr>
          <w:rFonts w:ascii="Times New Roman" w:hAnsi="Times New Roman" w:eastAsia="Times New Roman" w:cs="Times New Roman"/>
          <w:sz w:val="21"/>
          <w:szCs w:val="21"/>
          <w:color w:val="231F20"/>
          <w:spacing w:val="-1"/>
        </w:rPr>
        <w:t>P</w:t>
      </w:r>
      <w:r>
        <w:rPr>
          <w:sz w:val="21"/>
          <w:szCs w:val="21"/>
          <w:color w:val="231F20"/>
          <w:spacing w:val="-1"/>
        </w:rPr>
        <w:t>&lt;0.05</w:t>
      </w:r>
      <w:r>
        <w:rPr>
          <w:sz w:val="21"/>
          <w:szCs w:val="21"/>
          <w:color w:val="231F20"/>
          <w:spacing w:val="-49"/>
          <w:w w:val="98"/>
        </w:rPr>
        <w:t>），</w:t>
      </w:r>
      <w:r>
        <w:rPr>
          <w:sz w:val="21"/>
          <w:szCs w:val="21"/>
          <w:color w:val="231F20"/>
          <w:spacing w:val="-1"/>
        </w:rPr>
        <w:t>说明，对急性肠胃炎患者采</w:t>
      </w:r>
      <w:r>
        <w:rPr>
          <w:sz w:val="21"/>
          <w:szCs w:val="21"/>
          <w:color w:val="231F20"/>
          <w:spacing w:val="1"/>
        </w:rPr>
        <w:t xml:space="preserve">  </w:t>
      </w:r>
      <w:r>
        <w:rPr>
          <w:sz w:val="21"/>
          <w:szCs w:val="21"/>
          <w:color w:val="231F20"/>
          <w:spacing w:val="6"/>
        </w:rPr>
        <w:t>用阿莫西林、奥美拉唑与双歧杆菌相联合，能够提升</w:t>
      </w:r>
      <w:r>
        <w:rPr>
          <w:sz w:val="21"/>
          <w:szCs w:val="21"/>
          <w:color w:val="231F20"/>
          <w:spacing w:val="4"/>
        </w:rPr>
        <w:t xml:space="preserve">  </w:t>
      </w:r>
      <w:r>
        <w:rPr>
          <w:sz w:val="21"/>
          <w:szCs w:val="21"/>
          <w:color w:val="231F20"/>
          <w:spacing w:val="6"/>
        </w:rPr>
        <w:t>其临床治疗效果，缩短其病情康复时间，加速患者预</w:t>
      </w:r>
      <w:r>
        <w:rPr>
          <w:sz w:val="21"/>
          <w:szCs w:val="21"/>
          <w:color w:val="231F20"/>
          <w:spacing w:val="5"/>
        </w:rPr>
        <w:t xml:space="preserve">  </w:t>
      </w:r>
      <w:r>
        <w:rPr>
          <w:sz w:val="21"/>
          <w:szCs w:val="21"/>
          <w:color w:val="231F20"/>
          <w:spacing w:val="6"/>
        </w:rPr>
        <w:t>后。双歧杆菌主要是由粪肠球菌、嗜酸乳酸杆菌及长</w:t>
      </w:r>
      <w:r>
        <w:rPr>
          <w:sz w:val="21"/>
          <w:szCs w:val="21"/>
          <w:color w:val="231F20"/>
          <w:spacing w:val="4"/>
        </w:rPr>
        <w:t xml:space="preserve">  </w:t>
      </w:r>
      <w:r>
        <w:rPr>
          <w:sz w:val="21"/>
          <w:szCs w:val="21"/>
          <w:color w:val="231F20"/>
          <w:spacing w:val="6"/>
        </w:rPr>
        <w:t>型双歧杆菌联合组成的一种活菌抑制剂，通过将上述</w:t>
      </w:r>
      <w:r>
        <w:rPr>
          <w:sz w:val="21"/>
          <w:szCs w:val="21"/>
          <w:color w:val="231F20"/>
          <w:spacing w:val="4"/>
        </w:rPr>
        <w:t xml:space="preserve">  </w:t>
      </w:r>
      <w:r>
        <w:rPr>
          <w:sz w:val="21"/>
          <w:szCs w:val="21"/>
          <w:color w:val="231F20"/>
          <w:spacing w:val="10"/>
        </w:rPr>
        <w:t>三种菌种联合使用有助于提升总体的临床治疗效果，</w:t>
      </w:r>
      <w:r>
        <w:rPr>
          <w:sz w:val="21"/>
          <w:szCs w:val="21"/>
          <w:color w:val="231F20"/>
          <w:spacing w:val="9"/>
        </w:rPr>
        <w:t xml:space="preserve"> </w:t>
      </w:r>
      <w:r>
        <w:rPr>
          <w:sz w:val="21"/>
          <w:szCs w:val="21"/>
          <w:color w:val="231F20"/>
          <w:spacing w:val="1"/>
        </w:rPr>
        <w:t>并能够形成对肠道黏膜表面进行直接作用的生物屏障，</w:t>
      </w:r>
      <w:r>
        <w:rPr>
          <w:sz w:val="21"/>
          <w:szCs w:val="21"/>
          <w:color w:val="231F20"/>
          <w:spacing w:val="5"/>
        </w:rPr>
        <w:t xml:space="preserve"> </w:t>
      </w:r>
      <w:r>
        <w:rPr>
          <w:sz w:val="21"/>
          <w:szCs w:val="21"/>
          <w:color w:val="231F20"/>
          <w:spacing w:val="6"/>
        </w:rPr>
        <w:t>防止病菌侵入人体，与此同时对于病菌内毒素的产生</w:t>
      </w:r>
      <w:r>
        <w:rPr>
          <w:sz w:val="21"/>
          <w:szCs w:val="21"/>
          <w:color w:val="231F20"/>
          <w:spacing w:val="3"/>
        </w:rPr>
        <w:t xml:space="preserve">  </w:t>
      </w:r>
      <w:r>
        <w:rPr>
          <w:sz w:val="21"/>
          <w:szCs w:val="21"/>
          <w:color w:val="231F20"/>
          <w:spacing w:val="6"/>
        </w:rPr>
        <w:t>也具有较好的抑制效果，有助于促进人体内肠道恢复</w:t>
      </w:r>
      <w:r>
        <w:rPr>
          <w:sz w:val="21"/>
          <w:szCs w:val="21"/>
          <w:color w:val="231F20"/>
          <w:spacing w:val="4"/>
        </w:rPr>
        <w:t xml:space="preserve">  </w:t>
      </w:r>
      <w:r>
        <w:rPr>
          <w:sz w:val="21"/>
          <w:szCs w:val="21"/>
          <w:color w:val="231F20"/>
          <w:spacing w:val="2"/>
        </w:rPr>
        <w:t>正常 </w:t>
      </w:r>
      <w:r>
        <w:rPr>
          <w:sz w:val="12"/>
          <w:szCs w:val="12"/>
          <w:color w:val="231F20"/>
          <w:spacing w:val="2"/>
          <w:position w:val="9"/>
        </w:rPr>
        <w:t>[10]</w:t>
      </w:r>
      <w:r>
        <w:rPr>
          <w:sz w:val="12"/>
          <w:szCs w:val="12"/>
          <w:color w:val="231F20"/>
          <w:spacing w:val="-12"/>
          <w:position w:val="9"/>
        </w:rPr>
        <w:t xml:space="preserve"> </w:t>
      </w:r>
      <w:r>
        <w:rPr>
          <w:sz w:val="21"/>
          <w:szCs w:val="21"/>
          <w:color w:val="231F20"/>
          <w:spacing w:val="2"/>
        </w:rPr>
        <w:t>。另外，采用双歧杆菌进行</w:t>
      </w:r>
      <w:r>
        <w:rPr>
          <w:sz w:val="21"/>
          <w:szCs w:val="21"/>
          <w:color w:val="231F20"/>
          <w:spacing w:val="1"/>
        </w:rPr>
        <w:t>治疗期间，该药物</w:t>
      </w:r>
      <w:r>
        <w:rPr>
          <w:sz w:val="21"/>
          <w:szCs w:val="21"/>
          <w:color w:val="231F20"/>
        </w:rPr>
        <w:t xml:space="preserve">  </w:t>
      </w:r>
      <w:r>
        <w:rPr>
          <w:sz w:val="21"/>
          <w:szCs w:val="21"/>
          <w:color w:val="231F20"/>
          <w:spacing w:val="6"/>
        </w:rPr>
        <w:t>的产酶能力相对较强，且具有较快的繁殖速度，与其  </w:t>
      </w:r>
      <w:r>
        <w:rPr>
          <w:sz w:val="21"/>
          <w:szCs w:val="21"/>
          <w:color w:val="231F20"/>
          <w:spacing w:val="6"/>
        </w:rPr>
        <w:t>他类型的复合制剂相比，具有较强的缓冲能力与适应</w:t>
      </w:r>
      <w:r>
        <w:rPr>
          <w:sz w:val="21"/>
          <w:szCs w:val="21"/>
          <w:color w:val="231F20"/>
          <w:spacing w:val="3"/>
        </w:rPr>
        <w:t xml:space="preserve">  </w:t>
      </w:r>
      <w:r>
        <w:rPr>
          <w:sz w:val="21"/>
          <w:szCs w:val="21"/>
          <w:color w:val="231F20"/>
          <w:spacing w:val="6"/>
        </w:rPr>
        <w:t>能力，能够对肠道内的微生物菌群进行有效调整 </w:t>
      </w:r>
      <w:r>
        <w:rPr>
          <w:sz w:val="12"/>
          <w:szCs w:val="12"/>
          <w:color w:val="231F20"/>
          <w:spacing w:val="6"/>
          <w:position w:val="9"/>
        </w:rPr>
        <w:t>[11]</w:t>
      </w:r>
      <w:r>
        <w:rPr>
          <w:sz w:val="21"/>
          <w:szCs w:val="21"/>
          <w:color w:val="231F20"/>
          <w:spacing w:val="6"/>
        </w:rPr>
        <w:t>。</w:t>
      </w:r>
      <w:r>
        <w:rPr>
          <w:sz w:val="21"/>
          <w:szCs w:val="21"/>
          <w:color w:val="231F20"/>
          <w:spacing w:val="4"/>
        </w:rPr>
        <w:t xml:space="preserve"> </w:t>
      </w:r>
      <w:r>
        <w:rPr>
          <w:sz w:val="21"/>
          <w:szCs w:val="21"/>
          <w:color w:val="231F20"/>
          <w:spacing w:val="6"/>
        </w:rPr>
        <w:t>在对急性肠胃炎患者进行治疗期间，通过采用双歧杆</w:t>
      </w:r>
      <w:r>
        <w:rPr>
          <w:sz w:val="21"/>
          <w:szCs w:val="21"/>
          <w:color w:val="231F20"/>
          <w:spacing w:val="5"/>
        </w:rPr>
        <w:t xml:space="preserve">  </w:t>
      </w:r>
      <w:r>
        <w:rPr>
          <w:sz w:val="21"/>
          <w:szCs w:val="21"/>
          <w:color w:val="231F20"/>
          <w:spacing w:val="6"/>
        </w:rPr>
        <w:t>菌进行治疗，其细胞外的核糖苷酸能够促进人体肠道</w:t>
      </w:r>
      <w:r>
        <w:rPr>
          <w:sz w:val="21"/>
          <w:szCs w:val="21"/>
          <w:color w:val="231F20"/>
          <w:spacing w:val="4"/>
        </w:rPr>
        <w:t xml:space="preserve">  </w:t>
      </w:r>
      <w:r>
        <w:rPr>
          <w:sz w:val="21"/>
          <w:szCs w:val="21"/>
          <w:color w:val="231F20"/>
          <w:spacing w:val="6"/>
        </w:rPr>
        <w:t>蠕动情况逐渐恢复正常，并对小肠上皮细胞发挥较好</w:t>
      </w:r>
      <w:r>
        <w:rPr>
          <w:sz w:val="21"/>
          <w:szCs w:val="21"/>
          <w:color w:val="231F20"/>
          <w:spacing w:val="5"/>
        </w:rPr>
        <w:t xml:space="preserve">  </w:t>
      </w:r>
      <w:r>
        <w:rPr>
          <w:sz w:val="21"/>
          <w:szCs w:val="21"/>
          <w:color w:val="231F20"/>
          <w:spacing w:val="16"/>
        </w:rPr>
        <w:t>的保护功能，使得肠黏膜表明绒毛损伤情况显著减</w:t>
      </w:r>
      <w:r>
        <w:rPr>
          <w:sz w:val="21"/>
          <w:szCs w:val="21"/>
          <w:color w:val="231F20"/>
        </w:rPr>
        <w:t xml:space="preserve">  </w:t>
      </w:r>
      <w:r>
        <w:rPr>
          <w:sz w:val="21"/>
          <w:szCs w:val="21"/>
          <w:color w:val="231F20"/>
          <w:spacing w:val="6"/>
        </w:rPr>
        <w:t>轻，减少病菌侵入。双歧杆菌对于消化酶分泌也具有</w:t>
      </w:r>
      <w:r>
        <w:rPr>
          <w:sz w:val="21"/>
          <w:szCs w:val="21"/>
          <w:color w:val="231F20"/>
          <w:spacing w:val="2"/>
        </w:rPr>
        <w:t xml:space="preserve">  </w:t>
      </w:r>
      <w:r>
        <w:rPr>
          <w:sz w:val="21"/>
          <w:szCs w:val="21"/>
          <w:color w:val="231F20"/>
          <w:spacing w:val="6"/>
        </w:rPr>
        <w:t>较好的促进功能，有助于提升机体对营养的吸收，使  </w:t>
      </w:r>
      <w:r>
        <w:rPr>
          <w:sz w:val="21"/>
          <w:szCs w:val="21"/>
          <w:color w:val="231F20"/>
          <w:spacing w:val="6"/>
        </w:rPr>
        <w:t>得肠道的运动功能得到显著改善，进而提高机体免疫</w:t>
      </w:r>
      <w:r>
        <w:rPr>
          <w:sz w:val="21"/>
          <w:szCs w:val="21"/>
          <w:color w:val="231F20"/>
          <w:spacing w:val="4"/>
        </w:rPr>
        <w:t xml:space="preserve">  </w:t>
      </w:r>
      <w:r>
        <w:rPr>
          <w:sz w:val="21"/>
          <w:szCs w:val="21"/>
          <w:color w:val="231F20"/>
          <w:spacing w:val="6"/>
        </w:rPr>
        <w:t>力，以便达到控制并改善患者病情的效果。阿莫西林  </w:t>
      </w:r>
      <w:r>
        <w:rPr>
          <w:sz w:val="21"/>
          <w:szCs w:val="21"/>
          <w:color w:val="231F20"/>
          <w:spacing w:val="6"/>
        </w:rPr>
        <w:t>属于青霉素类的抗生素药物，在较为稳定的酸性状态</w:t>
      </w:r>
      <w:r>
        <w:rPr>
          <w:sz w:val="21"/>
          <w:szCs w:val="21"/>
          <w:color w:val="231F20"/>
          <w:spacing w:val="3"/>
        </w:rPr>
        <w:t xml:space="preserve">  </w:t>
      </w:r>
      <w:r>
        <w:rPr>
          <w:sz w:val="21"/>
          <w:szCs w:val="21"/>
          <w:color w:val="231F20"/>
          <w:spacing w:val="6"/>
        </w:rPr>
        <w:t>下，能够加速胃肠道吸收，使得胃脘胀痛情况得到显</w:t>
      </w:r>
      <w:r>
        <w:rPr>
          <w:sz w:val="21"/>
          <w:szCs w:val="21"/>
          <w:color w:val="231F20"/>
          <w:spacing w:val="3"/>
        </w:rPr>
        <w:t xml:space="preserve">  </w:t>
      </w:r>
      <w:r>
        <w:rPr>
          <w:sz w:val="21"/>
          <w:szCs w:val="21"/>
          <w:color w:val="231F20"/>
          <w:spacing w:val="6"/>
        </w:rPr>
        <w:t>著改善，但单纯采用该药物治疗的效果并不理想。奥</w:t>
      </w:r>
      <w:r>
        <w:rPr>
          <w:sz w:val="21"/>
          <w:szCs w:val="21"/>
          <w:color w:val="231F20"/>
          <w:spacing w:val="4"/>
        </w:rPr>
        <w:t xml:space="preserve">  </w:t>
      </w:r>
      <w:r>
        <w:rPr>
          <w:sz w:val="21"/>
          <w:szCs w:val="21"/>
          <w:color w:val="231F20"/>
          <w:spacing w:val="6"/>
        </w:rPr>
        <w:t>美拉唑则属于质子泵抑制剂药物的一种，该药物对于</w:t>
      </w:r>
      <w:r>
        <w:rPr>
          <w:sz w:val="21"/>
          <w:szCs w:val="21"/>
          <w:color w:val="231F20"/>
          <w:spacing w:val="4"/>
        </w:rPr>
        <w:t xml:space="preserve">  </w:t>
      </w:r>
      <w:r>
        <w:rPr>
          <w:sz w:val="21"/>
          <w:szCs w:val="21"/>
          <w:color w:val="231F20"/>
          <w:spacing w:val="6"/>
        </w:rPr>
        <w:t>胃黏膜具有较好的保护效果，能够对质子泵活性进行</w:t>
      </w:r>
      <w:r>
        <w:rPr>
          <w:sz w:val="21"/>
          <w:szCs w:val="21"/>
          <w:color w:val="231F20"/>
          <w:spacing w:val="5"/>
        </w:rPr>
        <w:t xml:space="preserve">  </w:t>
      </w:r>
      <w:r>
        <w:rPr>
          <w:sz w:val="21"/>
          <w:szCs w:val="21"/>
          <w:color w:val="231F20"/>
          <w:spacing w:val="6"/>
        </w:rPr>
        <w:t>有效抑制，降低机体内胃酸分泌量，有效控制病情避</w:t>
      </w:r>
      <w:r>
        <w:rPr>
          <w:sz w:val="21"/>
          <w:szCs w:val="21"/>
          <w:color w:val="231F20"/>
          <w:spacing w:val="4"/>
        </w:rPr>
        <w:t xml:space="preserve">  </w:t>
      </w:r>
      <w:r>
        <w:rPr>
          <w:sz w:val="21"/>
          <w:szCs w:val="21"/>
          <w:color w:val="231F20"/>
          <w:spacing w:val="1"/>
        </w:rPr>
        <w:t>免疾病进一步发展 </w:t>
      </w:r>
      <w:r>
        <w:rPr>
          <w:sz w:val="12"/>
          <w:szCs w:val="12"/>
          <w:color w:val="231F20"/>
          <w:spacing w:val="1"/>
          <w:position w:val="9"/>
        </w:rPr>
        <w:t>[12]</w:t>
      </w:r>
      <w:r>
        <w:rPr>
          <w:sz w:val="12"/>
          <w:szCs w:val="12"/>
          <w:color w:val="231F20"/>
          <w:spacing w:val="4"/>
          <w:position w:val="9"/>
        </w:rPr>
        <w:t xml:space="preserve"> </w:t>
      </w:r>
      <w:r>
        <w:rPr>
          <w:sz w:val="21"/>
          <w:szCs w:val="21"/>
          <w:color w:val="231F20"/>
          <w:spacing w:val="1"/>
        </w:rPr>
        <w:t>。奥美拉唑经患者口服后能够与</w:t>
      </w:r>
      <w:r>
        <w:rPr>
          <w:sz w:val="21"/>
          <w:szCs w:val="21"/>
          <w:color w:val="231F20"/>
        </w:rPr>
        <w:t xml:space="preserve">  </w:t>
      </w:r>
      <w:r>
        <w:rPr>
          <w:sz w:val="21"/>
          <w:szCs w:val="21"/>
          <w:color w:val="231F20"/>
          <w:spacing w:val="5"/>
        </w:rPr>
        <w:t>机体内的 H</w:t>
      </w:r>
      <w:r>
        <w:rPr>
          <w:sz w:val="12"/>
          <w:szCs w:val="12"/>
          <w:color w:val="231F20"/>
          <w:spacing w:val="5"/>
          <w:position w:val="10"/>
        </w:rPr>
        <w:t>+</w:t>
      </w:r>
      <w:r>
        <w:rPr>
          <w:sz w:val="21"/>
          <w:szCs w:val="21"/>
          <w:color w:val="231F20"/>
          <w:spacing w:val="5"/>
        </w:rPr>
        <w:t>-</w:t>
      </w:r>
      <w:r>
        <w:rPr>
          <w:sz w:val="21"/>
          <w:szCs w:val="21"/>
          <w:color w:val="231F20"/>
        </w:rPr>
        <w:t>ATP</w:t>
      </w:r>
      <w:r>
        <w:rPr>
          <w:sz w:val="21"/>
          <w:szCs w:val="21"/>
          <w:color w:val="231F20"/>
          <w:spacing w:val="5"/>
        </w:rPr>
        <w:t xml:space="preserve"> 酶进行有效结合，并对酶活性进行  </w:t>
      </w:r>
      <w:r>
        <w:rPr>
          <w:sz w:val="21"/>
          <w:szCs w:val="21"/>
          <w:color w:val="231F20"/>
          <w:spacing w:val="6"/>
        </w:rPr>
        <w:t>有效抑制，阻断胃酸分泌情况，进而达到较为持久的</w:t>
      </w:r>
      <w:r>
        <w:rPr>
          <w:sz w:val="21"/>
          <w:szCs w:val="21"/>
          <w:color w:val="231F20"/>
          <w:spacing w:val="1"/>
        </w:rPr>
        <w:t xml:space="preserve">  </w:t>
      </w:r>
      <w:r>
        <w:rPr>
          <w:sz w:val="21"/>
          <w:szCs w:val="21"/>
          <w:color w:val="231F20"/>
          <w:spacing w:val="6"/>
        </w:rPr>
        <w:t>抑酸效果，另外，该药物对于胃酸分泌情况能够进行</w:t>
      </w:r>
      <w:r>
        <w:rPr>
          <w:sz w:val="21"/>
          <w:szCs w:val="21"/>
          <w:color w:val="231F20"/>
          <w:spacing w:val="5"/>
        </w:rPr>
        <w:t xml:space="preserve">  </w:t>
      </w:r>
      <w:r>
        <w:rPr>
          <w:sz w:val="21"/>
          <w:szCs w:val="21"/>
          <w:color w:val="231F20"/>
          <w:spacing w:val="6"/>
        </w:rPr>
        <w:t>较长时间抑制，使得胃部环境得到明显改善，促进患</w:t>
      </w:r>
      <w:r>
        <w:rPr>
          <w:sz w:val="21"/>
          <w:szCs w:val="21"/>
          <w:color w:val="231F20"/>
        </w:rPr>
        <w:t xml:space="preserve">  </w:t>
      </w:r>
      <w:r>
        <w:rPr>
          <w:sz w:val="21"/>
          <w:szCs w:val="21"/>
          <w:color w:val="231F20"/>
          <w:spacing w:val="2"/>
        </w:rPr>
        <w:t>者预后 </w:t>
      </w:r>
      <w:r>
        <w:rPr>
          <w:sz w:val="12"/>
          <w:szCs w:val="12"/>
          <w:color w:val="231F20"/>
          <w:spacing w:val="2"/>
          <w:position w:val="9"/>
        </w:rPr>
        <w:t>[13]</w:t>
      </w:r>
      <w:r>
        <w:rPr>
          <w:sz w:val="12"/>
          <w:szCs w:val="12"/>
          <w:color w:val="231F20"/>
          <w:spacing w:val="-8"/>
          <w:position w:val="9"/>
        </w:rPr>
        <w:t xml:space="preserve"> </w:t>
      </w:r>
      <w:r>
        <w:rPr>
          <w:sz w:val="21"/>
          <w:szCs w:val="21"/>
          <w:color w:val="231F20"/>
          <w:spacing w:val="2"/>
        </w:rPr>
        <w:t>。但该药物的单一应用使得急性肠胃炎患者</w:t>
      </w:r>
      <w:r>
        <w:rPr>
          <w:sz w:val="21"/>
          <w:szCs w:val="21"/>
          <w:color w:val="231F20"/>
        </w:rPr>
        <w:t xml:space="preserve">  </w:t>
      </w:r>
      <w:r>
        <w:rPr>
          <w:sz w:val="21"/>
          <w:szCs w:val="21"/>
          <w:color w:val="231F20"/>
          <w:spacing w:val="6"/>
        </w:rPr>
        <w:t>症状缓解时间相对较长，且由该药物引发的不良反应</w:t>
      </w:r>
      <w:r>
        <w:rPr>
          <w:sz w:val="21"/>
          <w:szCs w:val="21"/>
          <w:color w:val="231F20"/>
          <w:spacing w:val="3"/>
        </w:rPr>
        <w:t xml:space="preserve">  </w:t>
      </w:r>
      <w:r>
        <w:rPr>
          <w:sz w:val="21"/>
          <w:szCs w:val="21"/>
          <w:color w:val="231F20"/>
          <w:spacing w:val="2"/>
        </w:rPr>
        <w:t>情况也相对较多 </w:t>
      </w:r>
      <w:r>
        <w:rPr>
          <w:sz w:val="12"/>
          <w:szCs w:val="12"/>
          <w:color w:val="231F20"/>
          <w:spacing w:val="2"/>
          <w:position w:val="9"/>
        </w:rPr>
        <w:t>[12]</w:t>
      </w:r>
      <w:r>
        <w:rPr>
          <w:sz w:val="12"/>
          <w:szCs w:val="12"/>
          <w:color w:val="231F20"/>
          <w:spacing w:val="-12"/>
          <w:position w:val="9"/>
        </w:rPr>
        <w:t xml:space="preserve"> </w:t>
      </w:r>
      <w:r>
        <w:rPr>
          <w:sz w:val="21"/>
          <w:szCs w:val="21"/>
          <w:color w:val="231F20"/>
          <w:spacing w:val="2"/>
        </w:rPr>
        <w:t>。而采用双歧杆菌、阿</w:t>
      </w:r>
      <w:r>
        <w:rPr>
          <w:sz w:val="21"/>
          <w:szCs w:val="21"/>
          <w:color w:val="231F20"/>
          <w:spacing w:val="1"/>
        </w:rPr>
        <w:t>司匹林与奥</w:t>
      </w:r>
    </w:p>
    <w:p>
      <w:pPr>
        <w:spacing w:line="14" w:lineRule="auto"/>
        <w:rPr>
          <w:rFonts w:ascii="Arial"/>
          <w:sz w:val="2"/>
        </w:rPr>
      </w:pPr>
      <w:r>
        <w:rPr>
          <w:rFonts w:ascii="Arial" w:hAnsi="Arial" w:eastAsia="Arial" w:cs="Arial"/>
          <w:sz w:val="2"/>
          <w:szCs w:val="2"/>
        </w:rPr>
        <w:br w:type="column"/>
      </w:r>
    </w:p>
    <w:p>
      <w:pPr>
        <w:pStyle w:val="BodyText"/>
        <w:spacing w:before="35" w:line="212" w:lineRule="auto"/>
        <w:jc w:val="both"/>
        <w:rPr>
          <w:sz w:val="21"/>
          <w:szCs w:val="21"/>
        </w:rPr>
      </w:pPr>
      <w:r>
        <w:rPr>
          <w:sz w:val="21"/>
          <w:szCs w:val="21"/>
          <w:color w:val="231F20"/>
          <w:spacing w:val="6"/>
        </w:rPr>
        <w:t>美拉唑相联合的方案，则能够对肠道菌群失衡情况进</w:t>
      </w:r>
      <w:r>
        <w:rPr>
          <w:sz w:val="21"/>
          <w:szCs w:val="21"/>
          <w:color w:val="231F20"/>
          <w:spacing w:val="4"/>
        </w:rPr>
        <w:t xml:space="preserve">  </w:t>
      </w:r>
      <w:r>
        <w:rPr>
          <w:sz w:val="21"/>
          <w:szCs w:val="21"/>
          <w:color w:val="231F20"/>
          <w:spacing w:val="6"/>
        </w:rPr>
        <w:t>行有效调控，抑制病菌繁殖，促进胃肠道黏膜修复的</w:t>
      </w:r>
      <w:r>
        <w:rPr>
          <w:sz w:val="21"/>
          <w:szCs w:val="21"/>
          <w:color w:val="231F20"/>
          <w:spacing w:val="1"/>
        </w:rPr>
        <w:t xml:space="preserve">  </w:t>
      </w:r>
      <w:r>
        <w:rPr>
          <w:sz w:val="21"/>
          <w:szCs w:val="21"/>
          <w:color w:val="231F20"/>
          <w:spacing w:val="6"/>
        </w:rPr>
        <w:t>同时能够加速胃肠道蠕动，对于改善患者头痛、恶心</w:t>
      </w:r>
      <w:r>
        <w:rPr>
          <w:sz w:val="21"/>
          <w:szCs w:val="21"/>
          <w:color w:val="231F20"/>
          <w:spacing w:val="2"/>
        </w:rPr>
        <w:t xml:space="preserve">  </w:t>
      </w:r>
      <w:r>
        <w:rPr>
          <w:sz w:val="21"/>
          <w:szCs w:val="21"/>
          <w:color w:val="231F20"/>
          <w:spacing w:val="2"/>
        </w:rPr>
        <w:t>等症状也具有较好的促进作用 </w:t>
      </w:r>
      <w:r>
        <w:rPr>
          <w:sz w:val="12"/>
          <w:szCs w:val="12"/>
          <w:color w:val="231F20"/>
          <w:spacing w:val="2"/>
          <w:position w:val="9"/>
        </w:rPr>
        <w:t>[14]</w:t>
      </w:r>
      <w:r>
        <w:rPr>
          <w:sz w:val="12"/>
          <w:szCs w:val="12"/>
          <w:color w:val="231F20"/>
          <w:spacing w:val="-12"/>
          <w:position w:val="9"/>
        </w:rPr>
        <w:t xml:space="preserve"> </w:t>
      </w:r>
      <w:r>
        <w:rPr>
          <w:sz w:val="21"/>
          <w:szCs w:val="21"/>
          <w:color w:val="231F20"/>
          <w:spacing w:val="2"/>
        </w:rPr>
        <w:t>。此外，</w:t>
      </w:r>
      <w:r>
        <w:rPr>
          <w:sz w:val="21"/>
          <w:szCs w:val="21"/>
          <w:color w:val="231F20"/>
          <w:spacing w:val="1"/>
        </w:rPr>
        <w:t>通过采用三</w:t>
      </w:r>
      <w:r>
        <w:rPr>
          <w:sz w:val="21"/>
          <w:szCs w:val="21"/>
          <w:color w:val="231F20"/>
        </w:rPr>
        <w:t xml:space="preserve">  </w:t>
      </w:r>
      <w:r>
        <w:rPr>
          <w:sz w:val="21"/>
          <w:szCs w:val="21"/>
          <w:color w:val="231F20"/>
        </w:rPr>
        <w:t>种药物联合的方法，能够充分发挥其药物的协同功能，</w:t>
      </w:r>
      <w:r>
        <w:rPr>
          <w:sz w:val="21"/>
          <w:szCs w:val="21"/>
          <w:color w:val="231F20"/>
          <w:spacing w:val="11"/>
        </w:rPr>
        <w:t xml:space="preserve"> </w:t>
      </w:r>
      <w:r>
        <w:rPr>
          <w:sz w:val="21"/>
          <w:szCs w:val="21"/>
          <w:color w:val="231F20"/>
          <w:spacing w:val="6"/>
        </w:rPr>
        <w:t>提升对于各种抗菌药物的耐药性，使得患者胃内微循</w:t>
      </w:r>
      <w:r>
        <w:rPr>
          <w:sz w:val="21"/>
          <w:szCs w:val="21"/>
          <w:color w:val="231F20"/>
          <w:spacing w:val="5"/>
        </w:rPr>
        <w:t xml:space="preserve">  </w:t>
      </w:r>
      <w:r>
        <w:rPr>
          <w:sz w:val="21"/>
          <w:szCs w:val="21"/>
          <w:color w:val="231F20"/>
          <w:spacing w:val="6"/>
        </w:rPr>
        <w:t>环情况得到明显改善，加速胃黏膜修复，并有效减轻</w:t>
      </w:r>
      <w:r>
        <w:rPr>
          <w:sz w:val="21"/>
          <w:szCs w:val="21"/>
          <w:color w:val="231F20"/>
          <w:spacing w:val="5"/>
        </w:rPr>
        <w:t xml:space="preserve">  </w:t>
      </w:r>
      <w:r>
        <w:rPr>
          <w:sz w:val="21"/>
          <w:szCs w:val="21"/>
          <w:color w:val="231F20"/>
          <w:spacing w:val="6"/>
        </w:rPr>
        <w:t>胃胀、胃酸等症状，患者总体的临床治疗效果得到显</w:t>
      </w:r>
      <w:r>
        <w:rPr>
          <w:sz w:val="21"/>
          <w:szCs w:val="21"/>
          <w:color w:val="231F20"/>
          <w:spacing w:val="2"/>
        </w:rPr>
        <w:t xml:space="preserve">  </w:t>
      </w:r>
      <w:r>
        <w:rPr>
          <w:sz w:val="21"/>
          <w:szCs w:val="21"/>
          <w:color w:val="231F20"/>
        </w:rPr>
        <w:t>著改善，有助于提升其生活质量水平 </w:t>
      </w:r>
      <w:r>
        <w:rPr>
          <w:sz w:val="12"/>
          <w:szCs w:val="12"/>
          <w:color w:val="231F20"/>
          <w:position w:val="9"/>
        </w:rPr>
        <w:t>[15]</w:t>
      </w:r>
      <w:r>
        <w:rPr>
          <w:sz w:val="12"/>
          <w:szCs w:val="12"/>
          <w:color w:val="231F20"/>
          <w:spacing w:val="-3"/>
          <w:position w:val="9"/>
        </w:rPr>
        <w:t xml:space="preserve"> </w:t>
      </w:r>
      <w:r>
        <w:rPr>
          <w:sz w:val="21"/>
          <w:szCs w:val="21"/>
          <w:color w:val="231F20"/>
        </w:rPr>
        <w:t>。CRP 主要是  </w:t>
      </w:r>
      <w:r>
        <w:rPr>
          <w:sz w:val="21"/>
          <w:szCs w:val="21"/>
          <w:color w:val="231F20"/>
          <w:spacing w:val="6"/>
        </w:rPr>
        <w:t>经由肝脏合成并分泌的一种急性期反应蛋白，能够反</w:t>
      </w:r>
      <w:r>
        <w:rPr>
          <w:sz w:val="21"/>
          <w:szCs w:val="21"/>
          <w:color w:val="231F20"/>
          <w:spacing w:val="3"/>
        </w:rPr>
        <w:t xml:space="preserve">  </w:t>
      </w:r>
      <w:r>
        <w:rPr>
          <w:sz w:val="21"/>
          <w:szCs w:val="21"/>
          <w:color w:val="231F20"/>
          <w:spacing w:val="6"/>
        </w:rPr>
        <w:t>映对机体炎症损伤程度，当机体受到炎症刺激时该指</w:t>
      </w:r>
      <w:r>
        <w:rPr>
          <w:sz w:val="21"/>
          <w:szCs w:val="21"/>
          <w:color w:val="231F20"/>
          <w:spacing w:val="1"/>
        </w:rPr>
        <w:t xml:space="preserve">  </w:t>
      </w:r>
      <w:r>
        <w:rPr>
          <w:sz w:val="21"/>
          <w:szCs w:val="21"/>
          <w:color w:val="231F20"/>
          <w:spacing w:val="-3"/>
        </w:rPr>
        <w:t>标会迅速升高，大多在 4~6 h，而在炎症改</w:t>
      </w:r>
      <w:r>
        <w:rPr>
          <w:sz w:val="21"/>
          <w:szCs w:val="21"/>
          <w:color w:val="231F20"/>
          <w:spacing w:val="-4"/>
        </w:rPr>
        <w:t>善后则又会</w:t>
      </w:r>
      <w:r>
        <w:rPr>
          <w:sz w:val="21"/>
          <w:szCs w:val="21"/>
          <w:color w:val="231F20"/>
        </w:rPr>
        <w:t xml:space="preserve">  </w:t>
      </w:r>
      <w:r>
        <w:rPr>
          <w:sz w:val="21"/>
          <w:szCs w:val="21"/>
          <w:color w:val="231F20"/>
          <w:spacing w:val="1"/>
        </w:rPr>
        <w:t>迅速降低，因此，</w:t>
      </w:r>
      <w:r>
        <w:rPr>
          <w:sz w:val="21"/>
          <w:szCs w:val="21"/>
          <w:color w:val="231F20"/>
          <w:spacing w:val="-41"/>
        </w:rPr>
        <w:t xml:space="preserve"> </w:t>
      </w:r>
      <w:r>
        <w:rPr>
          <w:sz w:val="21"/>
          <w:szCs w:val="21"/>
          <w:color w:val="231F20"/>
          <w:spacing w:val="1"/>
        </w:rPr>
        <w:t>临床中大多将 </w:t>
      </w:r>
      <w:r>
        <w:rPr>
          <w:sz w:val="21"/>
          <w:szCs w:val="21"/>
          <w:color w:val="231F20"/>
        </w:rPr>
        <w:t>CRP</w:t>
      </w:r>
      <w:r>
        <w:rPr>
          <w:sz w:val="21"/>
          <w:szCs w:val="21"/>
          <w:color w:val="231F20"/>
          <w:spacing w:val="1"/>
        </w:rPr>
        <w:t xml:space="preserve"> 作为患者细</w:t>
      </w:r>
      <w:r>
        <w:rPr>
          <w:sz w:val="21"/>
          <w:szCs w:val="21"/>
          <w:color w:val="231F20"/>
        </w:rPr>
        <w:t>菌感  </w:t>
      </w:r>
      <w:r>
        <w:rPr>
          <w:sz w:val="21"/>
          <w:szCs w:val="21"/>
          <w:color w:val="231F20"/>
          <w:spacing w:val="2"/>
        </w:rPr>
        <w:t>染情况判定的重要指标 </w:t>
      </w:r>
      <w:r>
        <w:rPr>
          <w:sz w:val="12"/>
          <w:szCs w:val="12"/>
          <w:color w:val="231F20"/>
          <w:spacing w:val="2"/>
          <w:position w:val="9"/>
        </w:rPr>
        <w:t>[16]</w:t>
      </w:r>
      <w:r>
        <w:rPr>
          <w:sz w:val="12"/>
          <w:szCs w:val="12"/>
          <w:color w:val="231F20"/>
          <w:spacing w:val="-12"/>
          <w:position w:val="9"/>
        </w:rPr>
        <w:t xml:space="preserve"> </w:t>
      </w:r>
      <w:r>
        <w:rPr>
          <w:sz w:val="21"/>
          <w:szCs w:val="21"/>
          <w:color w:val="231F20"/>
          <w:spacing w:val="2"/>
        </w:rPr>
        <w:t>。经本研究显</w:t>
      </w:r>
      <w:r>
        <w:rPr>
          <w:sz w:val="21"/>
          <w:szCs w:val="21"/>
          <w:color w:val="231F20"/>
          <w:spacing w:val="1"/>
        </w:rPr>
        <w:t>示：与对照组</w:t>
      </w:r>
      <w:r>
        <w:rPr>
          <w:sz w:val="21"/>
          <w:szCs w:val="21"/>
          <w:color w:val="231F20"/>
        </w:rPr>
        <w:t xml:space="preserve">  </w:t>
      </w:r>
      <w:r>
        <w:rPr>
          <w:sz w:val="21"/>
          <w:szCs w:val="21"/>
          <w:color w:val="231F20"/>
          <w:spacing w:val="-6"/>
        </w:rPr>
        <w:t>治疗后相比，研究组 CRP 水平较低（</w:t>
      </w:r>
      <w:r>
        <w:rPr>
          <w:rFonts w:ascii="Times New Roman" w:hAnsi="Times New Roman" w:eastAsia="Times New Roman" w:cs="Times New Roman"/>
          <w:sz w:val="21"/>
          <w:szCs w:val="21"/>
          <w:color w:val="231F20"/>
          <w:spacing w:val="-6"/>
        </w:rPr>
        <w:t>P</w:t>
      </w:r>
      <w:r>
        <w:rPr>
          <w:sz w:val="21"/>
          <w:szCs w:val="21"/>
          <w:color w:val="231F20"/>
          <w:spacing w:val="-6"/>
        </w:rPr>
        <w:t>&lt;0.05</w:t>
      </w:r>
      <w:r>
        <w:rPr>
          <w:sz w:val="21"/>
          <w:szCs w:val="21"/>
          <w:color w:val="231F20"/>
          <w:spacing w:val="-31"/>
        </w:rPr>
        <w:t>），</w:t>
      </w:r>
      <w:r>
        <w:rPr>
          <w:sz w:val="21"/>
          <w:szCs w:val="21"/>
          <w:color w:val="231F20"/>
          <w:spacing w:val="-6"/>
        </w:rPr>
        <w:t>两组不</w:t>
      </w:r>
      <w:r>
        <w:rPr>
          <w:sz w:val="21"/>
          <w:szCs w:val="21"/>
          <w:color w:val="231F20"/>
        </w:rPr>
        <w:t xml:space="preserve">  </w:t>
      </w:r>
      <w:r>
        <w:rPr>
          <w:sz w:val="21"/>
          <w:szCs w:val="21"/>
          <w:color w:val="231F20"/>
          <w:spacing w:val="-9"/>
        </w:rPr>
        <w:t>良反应发生率比较差异无统计学意义（</w:t>
      </w:r>
      <w:r>
        <w:rPr>
          <w:rFonts w:ascii="Times New Roman" w:hAnsi="Times New Roman" w:eastAsia="Times New Roman" w:cs="Times New Roman"/>
          <w:sz w:val="21"/>
          <w:szCs w:val="21"/>
          <w:color w:val="231F20"/>
          <w:spacing w:val="-9"/>
        </w:rPr>
        <w:t>P</w:t>
      </w:r>
      <w:r>
        <w:rPr>
          <w:sz w:val="21"/>
          <w:szCs w:val="21"/>
          <w:color w:val="231F20"/>
          <w:spacing w:val="-9"/>
        </w:rPr>
        <w:t>&gt;0</w:t>
      </w:r>
      <w:r>
        <w:rPr>
          <w:sz w:val="21"/>
          <w:szCs w:val="21"/>
          <w:color w:val="231F20"/>
          <w:spacing w:val="-10"/>
        </w:rPr>
        <w:t>.05）。说明，</w:t>
      </w:r>
      <w:r>
        <w:rPr>
          <w:sz w:val="21"/>
          <w:szCs w:val="21"/>
          <w:color w:val="231F20"/>
        </w:rPr>
        <w:t xml:space="preserve"> </w:t>
      </w:r>
      <w:r>
        <w:rPr>
          <w:sz w:val="21"/>
          <w:szCs w:val="21"/>
          <w:color w:val="231F20"/>
          <w:spacing w:val="6"/>
        </w:rPr>
        <w:t>对急性肠胃炎患者采用阿莫西林、奥美拉唑与双歧杆</w:t>
      </w:r>
      <w:r>
        <w:rPr>
          <w:sz w:val="21"/>
          <w:szCs w:val="21"/>
          <w:color w:val="231F20"/>
          <w:spacing w:val="5"/>
        </w:rPr>
        <w:t xml:space="preserve">  </w:t>
      </w:r>
      <w:r>
        <w:rPr>
          <w:sz w:val="21"/>
          <w:szCs w:val="21"/>
          <w:color w:val="231F20"/>
          <w:spacing w:val="6"/>
        </w:rPr>
        <w:t>菌联合，能够有效降低机体炎症因子水平，且不会增</w:t>
      </w:r>
      <w:r>
        <w:rPr>
          <w:sz w:val="21"/>
          <w:szCs w:val="21"/>
          <w:color w:val="231F20"/>
          <w:spacing w:val="1"/>
        </w:rPr>
        <w:t xml:space="preserve">  </w:t>
      </w:r>
      <w:r>
        <w:rPr>
          <w:sz w:val="21"/>
          <w:szCs w:val="21"/>
          <w:color w:val="231F20"/>
          <w:spacing w:val="6"/>
        </w:rPr>
        <w:t>加患者不良反应，其应用的安全性相对较高。但由于</w:t>
      </w:r>
      <w:r>
        <w:rPr>
          <w:sz w:val="21"/>
          <w:szCs w:val="21"/>
          <w:color w:val="231F20"/>
          <w:spacing w:val="4"/>
        </w:rPr>
        <w:t xml:space="preserve">  </w:t>
      </w:r>
      <w:r>
        <w:rPr>
          <w:sz w:val="21"/>
          <w:szCs w:val="21"/>
          <w:color w:val="231F20"/>
          <w:spacing w:val="6"/>
        </w:rPr>
        <w:t>受随访时间的限制，可能使其在结果判定方面存在局</w:t>
      </w:r>
      <w:r>
        <w:rPr>
          <w:sz w:val="21"/>
          <w:szCs w:val="21"/>
          <w:color w:val="231F20"/>
          <w:spacing w:val="1"/>
        </w:rPr>
        <w:t xml:space="preserve">  </w:t>
      </w:r>
      <w:r>
        <w:rPr>
          <w:sz w:val="21"/>
          <w:szCs w:val="21"/>
          <w:color w:val="231F20"/>
          <w:spacing w:val="-2"/>
        </w:rPr>
        <w:t>限性，还需通过后期开展进一步研究而证实。</w:t>
      </w:r>
    </w:p>
    <w:p>
      <w:pPr>
        <w:pStyle w:val="BodyText"/>
        <w:ind w:right="69" w:firstLine="428"/>
        <w:spacing w:before="1" w:line="217" w:lineRule="auto"/>
        <w:jc w:val="both"/>
        <w:rPr>
          <w:sz w:val="21"/>
          <w:szCs w:val="21"/>
        </w:rPr>
      </w:pPr>
      <w:r>
        <w:rPr>
          <w:sz w:val="21"/>
          <w:szCs w:val="21"/>
          <w:color w:val="231F20"/>
          <w:spacing w:val="6"/>
        </w:rPr>
        <w:t>综上所述，对急性肠胃炎患者采用阿莫西林、奥</w:t>
      </w:r>
      <w:r>
        <w:rPr>
          <w:sz w:val="21"/>
          <w:szCs w:val="21"/>
          <w:color w:val="231F20"/>
          <w:spacing w:val="11"/>
        </w:rPr>
        <w:t xml:space="preserve"> </w:t>
      </w:r>
      <w:r>
        <w:rPr>
          <w:sz w:val="21"/>
          <w:szCs w:val="21"/>
          <w:color w:val="231F20"/>
          <w:spacing w:val="6"/>
        </w:rPr>
        <w:t>美拉唑与双歧杆菌相结合的方案，其效果较好，有助</w:t>
      </w:r>
      <w:r>
        <w:rPr>
          <w:sz w:val="21"/>
          <w:szCs w:val="21"/>
          <w:color w:val="231F20"/>
          <w:spacing w:val="5"/>
        </w:rPr>
        <w:t xml:space="preserve"> </w:t>
      </w:r>
      <w:r>
        <w:rPr>
          <w:sz w:val="21"/>
          <w:szCs w:val="21"/>
          <w:color w:val="231F20"/>
          <w:spacing w:val="1"/>
        </w:rPr>
        <w:t>于缩短患者病情恢复时间，</w:t>
      </w:r>
      <w:r>
        <w:rPr>
          <w:sz w:val="21"/>
          <w:szCs w:val="21"/>
          <w:color w:val="231F20"/>
          <w:spacing w:val="-42"/>
        </w:rPr>
        <w:t xml:space="preserve"> </w:t>
      </w:r>
      <w:r>
        <w:rPr>
          <w:sz w:val="21"/>
          <w:szCs w:val="21"/>
          <w:color w:val="231F20"/>
          <w:spacing w:val="1"/>
        </w:rPr>
        <w:t>降低其 </w:t>
      </w:r>
      <w:r>
        <w:rPr>
          <w:sz w:val="21"/>
          <w:szCs w:val="21"/>
          <w:color w:val="231F20"/>
        </w:rPr>
        <w:t>CRP</w:t>
      </w:r>
      <w:r>
        <w:rPr>
          <w:sz w:val="21"/>
          <w:szCs w:val="21"/>
          <w:color w:val="231F20"/>
          <w:spacing w:val="1"/>
        </w:rPr>
        <w:t xml:space="preserve"> 水平，且安全</w:t>
      </w:r>
      <w:r>
        <w:rPr>
          <w:sz w:val="21"/>
          <w:szCs w:val="21"/>
          <w:color w:val="231F20"/>
        </w:rPr>
        <w:t xml:space="preserve"> </w:t>
      </w:r>
      <w:r>
        <w:rPr>
          <w:sz w:val="21"/>
          <w:szCs w:val="21"/>
          <w:color w:val="231F20"/>
          <w:spacing w:val="-2"/>
        </w:rPr>
        <w:t>性较高，利于临床推广应用。</w:t>
      </w:r>
    </w:p>
    <w:p>
      <w:pPr>
        <w:ind w:left="1956"/>
        <w:spacing w:before="126" w:line="242" w:lineRule="auto"/>
        <w:outlineLvl w:val="1"/>
        <w:rPr>
          <w:rFonts w:ascii="SimHei" w:hAnsi="SimHei" w:eastAsia="SimHei" w:cs="SimHei"/>
          <w:sz w:val="20"/>
          <w:szCs w:val="20"/>
        </w:rPr>
      </w:pPr>
      <w:r>
        <w:rPr>
          <w:rFonts w:ascii="SimHei" w:hAnsi="SimHei" w:eastAsia="SimHei" w:cs="SimHei"/>
          <w:sz w:val="20"/>
          <w:szCs w:val="20"/>
          <w:color w:val="231F20"/>
          <w:spacing w:val="-8"/>
        </w:rPr>
        <w:t>参</w:t>
      </w:r>
      <w:r>
        <w:rPr>
          <w:rFonts w:ascii="SimHei" w:hAnsi="SimHei" w:eastAsia="SimHei" w:cs="SimHei"/>
          <w:sz w:val="20"/>
          <w:szCs w:val="20"/>
          <w:color w:val="231F20"/>
          <w:spacing w:val="6"/>
        </w:rPr>
        <w:t xml:space="preserve"> </w:t>
      </w:r>
      <w:r>
        <w:rPr>
          <w:rFonts w:ascii="SimHei" w:hAnsi="SimHei" w:eastAsia="SimHei" w:cs="SimHei"/>
          <w:sz w:val="20"/>
          <w:szCs w:val="20"/>
          <w:color w:val="231F20"/>
          <w:spacing w:val="-8"/>
        </w:rPr>
        <w:t>考</w:t>
      </w:r>
      <w:r>
        <w:rPr>
          <w:rFonts w:ascii="SimHei" w:hAnsi="SimHei" w:eastAsia="SimHei" w:cs="SimHei"/>
          <w:sz w:val="20"/>
          <w:szCs w:val="20"/>
          <w:color w:val="231F20"/>
          <w:spacing w:val="9"/>
        </w:rPr>
        <w:t xml:space="preserve"> </w:t>
      </w:r>
      <w:r>
        <w:rPr>
          <w:rFonts w:ascii="SimHei" w:hAnsi="SimHei" w:eastAsia="SimHei" w:cs="SimHei"/>
          <w:sz w:val="20"/>
          <w:szCs w:val="20"/>
          <w:color w:val="231F20"/>
          <w:spacing w:val="-8"/>
        </w:rPr>
        <w:t>文</w:t>
      </w:r>
      <w:r>
        <w:rPr>
          <w:rFonts w:ascii="SimHei" w:hAnsi="SimHei" w:eastAsia="SimHei" w:cs="SimHei"/>
          <w:sz w:val="20"/>
          <w:szCs w:val="20"/>
          <w:color w:val="231F20"/>
          <w:spacing w:val="5"/>
        </w:rPr>
        <w:t xml:space="preserve"> </w:t>
      </w:r>
      <w:r>
        <w:rPr>
          <w:rFonts w:ascii="SimHei" w:hAnsi="SimHei" w:eastAsia="SimHei" w:cs="SimHei"/>
          <w:sz w:val="20"/>
          <w:szCs w:val="20"/>
          <w:color w:val="231F20"/>
          <w:spacing w:val="-8"/>
        </w:rPr>
        <w:t>献</w:t>
      </w:r>
    </w:p>
    <w:p>
      <w:pPr>
        <w:pStyle w:val="BodyText"/>
        <w:ind w:left="125" w:right="67" w:hanging="120"/>
        <w:spacing w:before="176" w:line="221" w:lineRule="auto"/>
        <w:rPr>
          <w:sz w:val="17"/>
          <w:szCs w:val="17"/>
        </w:rPr>
      </w:pPr>
      <w:r>
        <w:rPr>
          <w:sz w:val="17"/>
          <w:szCs w:val="17"/>
          <w:color w:val="231F20"/>
          <w:spacing w:val="-1"/>
        </w:rPr>
        <w:t>[1] 朱凯，叶小雪，黄适 .</w:t>
      </w:r>
      <w:r>
        <w:rPr>
          <w:sz w:val="17"/>
          <w:szCs w:val="17"/>
          <w:color w:val="231F20"/>
          <w:spacing w:val="17"/>
          <w:w w:val="101"/>
        </w:rPr>
        <w:t xml:space="preserve"> </w:t>
      </w:r>
      <w:r>
        <w:rPr>
          <w:sz w:val="17"/>
          <w:szCs w:val="17"/>
          <w:color w:val="231F20"/>
          <w:spacing w:val="-1"/>
        </w:rPr>
        <w:t>中医辨证施治联合西医常规治疗急性肠胃</w:t>
      </w:r>
      <w:r>
        <w:rPr>
          <w:sz w:val="17"/>
          <w:szCs w:val="17"/>
          <w:color w:val="231F20"/>
        </w:rPr>
        <w:t xml:space="preserve"> </w:t>
      </w:r>
      <w:r>
        <w:rPr>
          <w:sz w:val="17"/>
          <w:szCs w:val="17"/>
          <w:color w:val="231F20"/>
          <w:spacing w:val="1"/>
        </w:rPr>
        <w:t>炎的疗效及对炎症因子水平的影响 [J]. 辽宁中医杂志，</w:t>
      </w:r>
      <w:r>
        <w:rPr>
          <w:sz w:val="17"/>
          <w:szCs w:val="17"/>
          <w:color w:val="231F20"/>
        </w:rPr>
        <w:t>2019，46 </w:t>
      </w:r>
      <w:r>
        <w:rPr>
          <w:sz w:val="17"/>
          <w:szCs w:val="17"/>
          <w:color w:val="231F20"/>
          <w:spacing w:val="-12"/>
        </w:rPr>
        <w:t>（4</w:t>
      </w:r>
      <w:r>
        <w:rPr>
          <w:sz w:val="17"/>
          <w:szCs w:val="17"/>
          <w:color w:val="231F20"/>
          <w:spacing w:val="-19"/>
        </w:rPr>
        <w:t>）：</w:t>
      </w:r>
      <w:r>
        <w:rPr>
          <w:sz w:val="17"/>
          <w:szCs w:val="17"/>
          <w:color w:val="231F20"/>
          <w:spacing w:val="-12"/>
        </w:rPr>
        <w:t>785-787.</w:t>
      </w:r>
    </w:p>
    <w:p>
      <w:pPr>
        <w:pStyle w:val="BodyText"/>
        <w:ind w:left="220" w:right="13" w:hanging="215"/>
        <w:spacing w:before="36" w:line="228" w:lineRule="auto"/>
        <w:rPr>
          <w:sz w:val="17"/>
          <w:szCs w:val="17"/>
        </w:rPr>
      </w:pPr>
      <w:r>
        <w:rPr>
          <w:sz w:val="17"/>
          <w:szCs w:val="17"/>
          <w:color w:val="231F20"/>
          <w:spacing w:val="5"/>
        </w:rPr>
        <w:t>[2] 樊冬杰，黄玉伟 . 铝碳酸镁联合四联</w:t>
      </w:r>
      <w:r>
        <w:rPr>
          <w:sz w:val="17"/>
          <w:szCs w:val="17"/>
          <w:color w:val="231F20"/>
          <w:spacing w:val="4"/>
        </w:rPr>
        <w:t>疗法治疗幽门螺杆菌感染</w:t>
      </w:r>
      <w:r>
        <w:rPr>
          <w:sz w:val="17"/>
          <w:szCs w:val="17"/>
          <w:color w:val="231F20"/>
        </w:rPr>
        <w:t xml:space="preserve">  </w:t>
      </w:r>
      <w:r>
        <w:rPr>
          <w:sz w:val="17"/>
          <w:szCs w:val="17"/>
          <w:color w:val="231F20"/>
          <w:spacing w:val="-5"/>
        </w:rPr>
        <w:t>并十二指肠溃疡</w:t>
      </w:r>
      <w:r>
        <w:rPr>
          <w:sz w:val="17"/>
          <w:szCs w:val="17"/>
          <w:color w:val="231F20"/>
          <w:spacing w:val="13"/>
        </w:rPr>
        <w:t xml:space="preserve"> </w:t>
      </w:r>
      <w:r>
        <w:rPr>
          <w:sz w:val="17"/>
          <w:szCs w:val="17"/>
          <w:color w:val="231F20"/>
          <w:spacing w:val="-5"/>
        </w:rPr>
        <w:t>120 例临床观察 [J]. 安徽医药，2020，24（2</w:t>
      </w:r>
      <w:r>
        <w:rPr>
          <w:sz w:val="17"/>
          <w:szCs w:val="17"/>
          <w:color w:val="231F20"/>
          <w:spacing w:val="-2"/>
        </w:rPr>
        <w:t>）：</w:t>
      </w:r>
      <w:r>
        <w:rPr>
          <w:sz w:val="17"/>
          <w:szCs w:val="17"/>
          <w:color w:val="231F20"/>
        </w:rPr>
        <w:t xml:space="preserve"> </w:t>
      </w:r>
      <w:r>
        <w:rPr>
          <w:sz w:val="17"/>
          <w:szCs w:val="17"/>
          <w:color w:val="231F20"/>
          <w:spacing w:val="-10"/>
        </w:rPr>
        <w:t>393-397.</w:t>
      </w:r>
    </w:p>
    <w:p>
      <w:pPr>
        <w:pStyle w:val="BodyText"/>
        <w:ind w:left="222" w:right="70" w:hanging="217"/>
        <w:spacing w:before="8" w:line="216" w:lineRule="auto"/>
        <w:rPr>
          <w:sz w:val="17"/>
          <w:szCs w:val="17"/>
        </w:rPr>
      </w:pPr>
      <w:r>
        <w:rPr>
          <w:sz w:val="17"/>
          <w:szCs w:val="17"/>
          <w:color w:val="231F20"/>
          <w:spacing w:val="-2"/>
        </w:rPr>
        <w:t>[3]</w:t>
      </w:r>
      <w:r>
        <w:rPr>
          <w:sz w:val="17"/>
          <w:szCs w:val="17"/>
          <w:color w:val="231F20"/>
          <w:spacing w:val="37"/>
        </w:rPr>
        <w:t xml:space="preserve"> </w:t>
      </w:r>
      <w:r>
        <w:rPr>
          <w:sz w:val="17"/>
          <w:szCs w:val="17"/>
          <w:color w:val="231F20"/>
          <w:spacing w:val="-2"/>
        </w:rPr>
        <w:t>田英 . 探讨益生菌联合铋剂四联治疗 Hp</w:t>
      </w:r>
      <w:r>
        <w:rPr>
          <w:sz w:val="17"/>
          <w:szCs w:val="17"/>
          <w:color w:val="231F20"/>
          <w:spacing w:val="13"/>
        </w:rPr>
        <w:t xml:space="preserve"> </w:t>
      </w:r>
      <w:r>
        <w:rPr>
          <w:sz w:val="17"/>
          <w:szCs w:val="17"/>
          <w:color w:val="231F20"/>
          <w:spacing w:val="-2"/>
        </w:rPr>
        <w:t>阳性慢性胃炎患者的临</w:t>
      </w:r>
      <w:r>
        <w:rPr>
          <w:sz w:val="17"/>
          <w:szCs w:val="17"/>
          <w:color w:val="231F20"/>
        </w:rPr>
        <w:t xml:space="preserve"> </w:t>
      </w:r>
      <w:r>
        <w:rPr>
          <w:sz w:val="17"/>
          <w:szCs w:val="17"/>
          <w:color w:val="231F20"/>
          <w:spacing w:val="-8"/>
        </w:rPr>
        <w:t>床疗效与安全性 [J].</w:t>
      </w:r>
      <w:r>
        <w:rPr>
          <w:sz w:val="17"/>
          <w:szCs w:val="17"/>
          <w:color w:val="231F20"/>
          <w:spacing w:val="13"/>
        </w:rPr>
        <w:t xml:space="preserve"> </w:t>
      </w:r>
      <w:r>
        <w:rPr>
          <w:sz w:val="17"/>
          <w:szCs w:val="17"/>
          <w:color w:val="231F20"/>
          <w:spacing w:val="-8"/>
        </w:rPr>
        <w:t>中国医师杂志，2019，21（4）：6</w:t>
      </w:r>
      <w:r>
        <w:rPr>
          <w:sz w:val="17"/>
          <w:szCs w:val="17"/>
          <w:color w:val="231F20"/>
          <w:spacing w:val="-9"/>
        </w:rPr>
        <w:t>01-603.</w:t>
      </w:r>
    </w:p>
    <w:p>
      <w:pPr>
        <w:pStyle w:val="BodyText"/>
        <w:ind w:left="220" w:right="13" w:hanging="215"/>
        <w:spacing w:before="34" w:line="221" w:lineRule="auto"/>
        <w:rPr>
          <w:sz w:val="17"/>
          <w:szCs w:val="17"/>
        </w:rPr>
      </w:pPr>
      <w:r>
        <w:rPr>
          <w:sz w:val="17"/>
          <w:szCs w:val="17"/>
          <w:color w:val="231F20"/>
          <w:spacing w:val="-1"/>
        </w:rPr>
        <w:t>[4] 都海燕 . 泮托拉唑与奥美拉唑分别联合克拉霉素阿莫西林治疗幽</w:t>
      </w:r>
      <w:r>
        <w:rPr>
          <w:sz w:val="17"/>
          <w:szCs w:val="17"/>
          <w:color w:val="231F20"/>
          <w:spacing w:val="9"/>
        </w:rPr>
        <w:t xml:space="preserve">  </w:t>
      </w:r>
      <w:r>
        <w:rPr>
          <w:sz w:val="17"/>
          <w:szCs w:val="17"/>
          <w:color w:val="231F20"/>
        </w:rPr>
        <w:t>门螺杆菌阳性十二指肠溃疡效果对比 [J]. 山西医药杂志，2020，</w:t>
      </w:r>
      <w:r>
        <w:rPr>
          <w:sz w:val="17"/>
          <w:szCs w:val="17"/>
          <w:color w:val="231F20"/>
          <w:spacing w:val="18"/>
          <w:w w:val="101"/>
        </w:rPr>
        <w:t xml:space="preserve"> </w:t>
      </w:r>
      <w:r>
        <w:rPr>
          <w:sz w:val="17"/>
          <w:szCs w:val="17"/>
          <w:color w:val="231F20"/>
          <w:spacing w:val="-14"/>
        </w:rPr>
        <w:t>49（21）：51-52.</w:t>
      </w:r>
    </w:p>
    <w:p>
      <w:pPr>
        <w:pStyle w:val="BodyText"/>
        <w:ind w:left="220" w:right="68" w:hanging="215"/>
        <w:spacing w:before="34" w:line="221" w:lineRule="auto"/>
        <w:rPr>
          <w:sz w:val="17"/>
          <w:szCs w:val="17"/>
        </w:rPr>
      </w:pPr>
      <w:r>
        <w:rPr>
          <w:sz w:val="17"/>
          <w:szCs w:val="17"/>
          <w:color w:val="231F20"/>
          <w:spacing w:val="-1"/>
        </w:rPr>
        <w:t>[5] 翟琦，陈英杰，宣佶，等 . 双歧杆菌三联活菌胶囊联合四联疗法</w:t>
      </w:r>
      <w:r>
        <w:rPr>
          <w:sz w:val="17"/>
          <w:szCs w:val="17"/>
          <w:color w:val="231F20"/>
          <w:spacing w:val="17"/>
          <w:w w:val="101"/>
        </w:rPr>
        <w:t xml:space="preserve"> </w:t>
      </w:r>
      <w:r>
        <w:rPr>
          <w:sz w:val="17"/>
          <w:szCs w:val="17"/>
          <w:color w:val="231F20"/>
        </w:rPr>
        <w:t>对 Hp</w:t>
      </w:r>
      <w:r>
        <w:rPr>
          <w:sz w:val="17"/>
          <w:szCs w:val="17"/>
          <w:color w:val="231F20"/>
          <w:spacing w:val="15"/>
        </w:rPr>
        <w:t xml:space="preserve"> </w:t>
      </w:r>
      <w:r>
        <w:rPr>
          <w:sz w:val="17"/>
          <w:szCs w:val="17"/>
          <w:color w:val="231F20"/>
        </w:rPr>
        <w:t>阳性慢性浅表性胃炎炎症 - 氧化应激水平的影响 [J]. 贵阳 </w:t>
      </w:r>
      <w:r>
        <w:rPr>
          <w:sz w:val="17"/>
          <w:szCs w:val="17"/>
          <w:color w:val="231F20"/>
          <w:spacing w:val="-11"/>
        </w:rPr>
        <w:t>医学院学报，2020，45（2</w:t>
      </w:r>
      <w:r>
        <w:rPr>
          <w:sz w:val="17"/>
          <w:szCs w:val="17"/>
          <w:color w:val="231F20"/>
          <w:spacing w:val="-5"/>
        </w:rPr>
        <w:t>）：</w:t>
      </w:r>
      <w:r>
        <w:rPr>
          <w:sz w:val="17"/>
          <w:szCs w:val="17"/>
          <w:color w:val="231F20"/>
          <w:spacing w:val="-11"/>
        </w:rPr>
        <w:t>209-213，218.</w:t>
      </w:r>
    </w:p>
    <w:p>
      <w:pPr>
        <w:pStyle w:val="BodyText"/>
        <w:ind w:left="226" w:right="14" w:hanging="221"/>
        <w:spacing w:before="36" w:line="228" w:lineRule="auto"/>
        <w:rPr>
          <w:sz w:val="17"/>
          <w:szCs w:val="17"/>
        </w:rPr>
      </w:pPr>
      <w:r>
        <w:rPr>
          <w:sz w:val="17"/>
          <w:szCs w:val="17"/>
          <w:color w:val="231F20"/>
          <w:spacing w:val="-1"/>
        </w:rPr>
        <w:t>[6] 吴建华，陈晓敏 . 阿莫西林联合奥美拉唑治疗消化性溃疡合并上</w:t>
      </w:r>
      <w:r>
        <w:rPr>
          <w:sz w:val="17"/>
          <w:szCs w:val="17"/>
          <w:color w:val="231F20"/>
          <w:spacing w:val="8"/>
        </w:rPr>
        <w:t xml:space="preserve">  </w:t>
      </w:r>
      <w:r>
        <w:rPr>
          <w:sz w:val="17"/>
          <w:szCs w:val="17"/>
          <w:color w:val="231F20"/>
          <w:spacing w:val="-1"/>
        </w:rPr>
        <w:t>消化道出血的随机对照研究 [J]. 药物评价研</w:t>
      </w:r>
      <w:r>
        <w:rPr>
          <w:sz w:val="17"/>
          <w:szCs w:val="17"/>
          <w:color w:val="231F20"/>
          <w:spacing w:val="-2"/>
        </w:rPr>
        <w:t>究，2019，42（5</w:t>
      </w:r>
      <w:r>
        <w:rPr>
          <w:sz w:val="17"/>
          <w:szCs w:val="17"/>
          <w:color w:val="231F20"/>
          <w:spacing w:val="-37"/>
        </w:rPr>
        <w:t>）：</w:t>
      </w:r>
      <w:r>
        <w:rPr>
          <w:sz w:val="17"/>
          <w:szCs w:val="17"/>
          <w:color w:val="231F20"/>
        </w:rPr>
        <w:t xml:space="preserve"> </w:t>
      </w:r>
      <w:r>
        <w:rPr>
          <w:sz w:val="17"/>
          <w:szCs w:val="17"/>
          <w:color w:val="231F20"/>
          <w:spacing w:val="-11"/>
        </w:rPr>
        <w:t>157-159.</w:t>
      </w:r>
    </w:p>
    <w:p>
      <w:pPr>
        <w:pStyle w:val="BodyText"/>
        <w:ind w:left="222" w:right="14" w:hanging="217"/>
        <w:spacing w:before="8" w:line="216" w:lineRule="auto"/>
        <w:rPr>
          <w:sz w:val="17"/>
          <w:szCs w:val="17"/>
        </w:rPr>
      </w:pPr>
      <w:r>
        <w:rPr>
          <w:sz w:val="17"/>
          <w:szCs w:val="17"/>
          <w:color w:val="231F20"/>
          <w:spacing w:val="2"/>
        </w:rPr>
        <w:t>[7] 赖永旭，李艳萍，宁红，等 .2</w:t>
      </w:r>
      <w:r>
        <w:rPr>
          <w:sz w:val="17"/>
          <w:szCs w:val="17"/>
          <w:color w:val="231F20"/>
          <w:spacing w:val="1"/>
        </w:rPr>
        <w:t xml:space="preserve"> 种治疗方案对幽门螺杆菌感染患</w:t>
      </w:r>
      <w:r>
        <w:rPr>
          <w:sz w:val="17"/>
          <w:szCs w:val="17"/>
          <w:color w:val="231F20"/>
        </w:rPr>
        <w:t xml:space="preserve">  </w:t>
      </w:r>
      <w:r>
        <w:rPr>
          <w:sz w:val="17"/>
          <w:szCs w:val="17"/>
          <w:color w:val="231F20"/>
          <w:spacing w:val="-4"/>
        </w:rPr>
        <w:t>者肠道菌群的影响比较 [J]. 临床药物治疗杂志，2020，18（12</w:t>
      </w:r>
      <w:r>
        <w:rPr>
          <w:sz w:val="17"/>
          <w:szCs w:val="17"/>
          <w:color w:val="231F20"/>
          <w:spacing w:val="-37"/>
        </w:rPr>
        <w:t>）：</w:t>
      </w:r>
    </w:p>
    <w:p>
      <w:pPr>
        <w:spacing w:line="216" w:lineRule="auto"/>
        <w:sectPr>
          <w:type w:val="continuous"/>
          <w:pgSz w:w="11906" w:h="16838"/>
          <w:pgMar w:top="1471" w:right="729" w:bottom="1085" w:left="407" w:header="1038" w:footer="812" w:gutter="0"/>
          <w:cols w:equalWidth="0" w:num="2">
            <w:col w:w="5614" w:space="100"/>
            <w:col w:w="5055" w:space="0"/>
          </w:cols>
        </w:sectPr>
        <w:rPr>
          <w:sz w:val="17"/>
          <w:szCs w:val="17"/>
        </w:rPr>
      </w:pPr>
    </w:p>
    <w:p>
      <w:pPr>
        <w:spacing w:line="307" w:lineRule="auto"/>
        <w:rPr>
          <w:rFonts w:ascii="Arial"/>
          <w:sz w:val="21"/>
        </w:rPr>
      </w:pPr>
      <w:r/>
    </w:p>
    <w:p>
      <w:pPr>
        <w:pStyle w:val="BodyText"/>
        <w:ind w:left="498" w:right="94" w:hanging="98"/>
        <w:spacing w:before="188" w:line="173" w:lineRule="auto"/>
        <w:outlineLvl w:val="0"/>
        <w:rPr>
          <w:sz w:val="44"/>
          <w:szCs w:val="44"/>
        </w:rPr>
      </w:pPr>
      <w:r>
        <w:rPr>
          <w:sz w:val="44"/>
          <w:szCs w:val="44"/>
          <w:color w:val="231F20"/>
          <w:spacing w:val="7"/>
        </w:rPr>
        <w:t>特布他林联合孟鲁司特治疗儿童支气管哮喘急性发作</w:t>
      </w:r>
      <w:r>
        <w:rPr>
          <w:sz w:val="44"/>
          <w:szCs w:val="44"/>
          <w:color w:val="231F20"/>
          <w:spacing w:val="14"/>
        </w:rPr>
        <w:t xml:space="preserve"> </w:t>
      </w:r>
      <w:r>
        <w:rPr>
          <w:sz w:val="44"/>
          <w:szCs w:val="44"/>
          <w:color w:val="231F20"/>
          <w:spacing w:val="-1"/>
        </w:rPr>
        <w:t>合并支气管肺炎的效果及对肺功能、免疫功能的影响</w:t>
      </w:r>
    </w:p>
    <w:p>
      <w:pPr>
        <w:pStyle w:val="BodyText"/>
        <w:ind w:left="10100"/>
        <w:spacing w:before="1" w:line="215" w:lineRule="auto"/>
        <w:rPr>
          <w:sz w:val="13"/>
          <w:szCs w:val="13"/>
        </w:rPr>
      </w:pPr>
      <w:r>
        <w:rPr>
          <w:sz w:val="24"/>
          <w:szCs w:val="24"/>
          <w:color w:val="231F20"/>
          <w:spacing w:val="-4"/>
          <w:position w:val="-1"/>
        </w:rPr>
        <w:t>翁翔</w:t>
      </w:r>
      <w:r>
        <w:rPr>
          <w:sz w:val="13"/>
          <w:szCs w:val="13"/>
          <w:color w:val="231F20"/>
          <w:spacing w:val="-4"/>
          <w:position w:val="9"/>
        </w:rPr>
        <w:t>①</w:t>
      </w:r>
    </w:p>
    <w:p>
      <w:pPr>
        <w:pStyle w:val="BodyText"/>
        <w:ind w:left="385" w:right="19" w:firstLine="259"/>
        <w:spacing w:before="259" w:line="222" w:lineRule="auto"/>
        <w:jc w:val="both"/>
        <w:rPr/>
      </w:pPr>
      <w:r>
        <w:rPr>
          <w:color w:val="231F20"/>
          <w:spacing w:val="-1"/>
        </w:rPr>
        <w:t>【摘要】  目的：探讨特布他林联合孟鲁司特治疗儿童支气管哮喘急性发作合并支气管肺炎的效果及对肺功能、免疫</w:t>
      </w:r>
      <w:r>
        <w:rPr>
          <w:color w:val="231F20"/>
          <w:spacing w:val="-2"/>
        </w:rPr>
        <w:t>功能的影响。</w:t>
      </w:r>
      <w:r>
        <w:rPr>
          <w:color w:val="231F20"/>
        </w:rPr>
        <w:t xml:space="preserve"> </w:t>
      </w:r>
      <w:r>
        <w:rPr>
          <w:color w:val="231F20"/>
          <w:spacing w:val="-2"/>
        </w:rPr>
        <w:t>方法：选取 2016 年 1 月 -2021 年 1 月笔者所在医院收治的 150 例支气管哮喘急性发作合并支气管肺炎患儿。按照随机数字表法将</w:t>
      </w:r>
      <w:r>
        <w:rPr>
          <w:color w:val="231F20"/>
          <w:spacing w:val="3"/>
        </w:rPr>
        <w:t xml:space="preserve">  </w:t>
      </w:r>
      <w:r>
        <w:rPr>
          <w:color w:val="231F20"/>
          <w:spacing w:val="2"/>
        </w:rPr>
        <w:t>其分为对照组与观察组，每组 75 例。对照组给予常规</w:t>
      </w:r>
      <w:r>
        <w:rPr>
          <w:color w:val="231F20"/>
          <w:spacing w:val="1"/>
        </w:rPr>
        <w:t>治疗，观察组在对照组基础上给予特布他林联合孟鲁司特治疗。比较两组临</w:t>
      </w:r>
      <w:r>
        <w:rPr>
          <w:color w:val="231F20"/>
        </w:rPr>
        <w:t xml:space="preserve">  </w:t>
      </w:r>
      <w:r>
        <w:rPr>
          <w:color w:val="231F20"/>
          <w:spacing w:val="-7"/>
        </w:rPr>
        <w:t>床疗效、肺功能指标 [ 每分钟静息通气量（mi</w:t>
      </w:r>
      <w:r>
        <w:rPr>
          <w:color w:val="231F20"/>
          <w:spacing w:val="-8"/>
        </w:rPr>
        <w:t>nute</w:t>
      </w:r>
      <w:r>
        <w:rPr>
          <w:color w:val="231F20"/>
          <w:spacing w:val="9"/>
        </w:rPr>
        <w:t xml:space="preserve"> </w:t>
      </w:r>
      <w:r>
        <w:rPr>
          <w:color w:val="231F20"/>
          <w:spacing w:val="-8"/>
        </w:rPr>
        <w:t>ventilation</w:t>
      </w:r>
      <w:r>
        <w:rPr>
          <w:color w:val="231F20"/>
          <w:spacing w:val="10"/>
        </w:rPr>
        <w:t xml:space="preserve"> </w:t>
      </w:r>
      <w:r>
        <w:rPr>
          <w:color w:val="231F20"/>
          <w:spacing w:val="-8"/>
        </w:rPr>
        <w:t>volume，MV）和潮气量（tidal</w:t>
      </w:r>
      <w:r>
        <w:rPr>
          <w:color w:val="231F20"/>
          <w:spacing w:val="10"/>
        </w:rPr>
        <w:t xml:space="preserve"> </w:t>
      </w:r>
      <w:r>
        <w:rPr>
          <w:color w:val="231F20"/>
          <w:spacing w:val="-8"/>
        </w:rPr>
        <w:t>volume，VT）]、免疫功能指标（CD4</w:t>
      </w:r>
      <w:r>
        <w:rPr>
          <w:sz w:val="10"/>
          <w:szCs w:val="10"/>
          <w:color w:val="231F20"/>
          <w:spacing w:val="-8"/>
          <w:position w:val="8"/>
        </w:rPr>
        <w:t>+</w:t>
      </w:r>
      <w:r>
        <w:rPr>
          <w:color w:val="231F20"/>
          <w:spacing w:val="-17"/>
        </w:rPr>
        <w:t>、</w:t>
      </w:r>
      <w:r>
        <w:rPr>
          <w:color w:val="231F20"/>
        </w:rPr>
        <w:t xml:space="preserve"> </w:t>
      </w:r>
      <w:r>
        <w:rPr>
          <w:color w:val="231F20"/>
          <w:spacing w:val="-14"/>
        </w:rPr>
        <w:t>CD8</w:t>
      </w:r>
      <w:r>
        <w:rPr>
          <w:sz w:val="10"/>
          <w:szCs w:val="10"/>
          <w:color w:val="231F20"/>
          <w:spacing w:val="-14"/>
          <w:position w:val="8"/>
        </w:rPr>
        <w:t>+</w:t>
      </w:r>
      <w:r>
        <w:rPr>
          <w:color w:val="231F20"/>
          <w:spacing w:val="-14"/>
        </w:rPr>
        <w:t>、CD4</w:t>
      </w:r>
      <w:r>
        <w:rPr>
          <w:sz w:val="10"/>
          <w:szCs w:val="10"/>
          <w:color w:val="231F20"/>
          <w:spacing w:val="-14"/>
          <w:position w:val="8"/>
        </w:rPr>
        <w:t>+</w:t>
      </w:r>
      <w:r>
        <w:rPr>
          <w:color w:val="231F20"/>
          <w:spacing w:val="-5"/>
        </w:rPr>
        <w:t>/CD8</w:t>
      </w:r>
      <w:r>
        <w:rPr>
          <w:sz w:val="10"/>
          <w:szCs w:val="10"/>
          <w:color w:val="231F20"/>
          <w:spacing w:val="-5"/>
          <w:position w:val="8"/>
        </w:rPr>
        <w:t>+ </w:t>
      </w:r>
      <w:r>
        <w:rPr>
          <w:color w:val="231F20"/>
          <w:spacing w:val="-5"/>
        </w:rPr>
        <w:t>）及不良反应。</w:t>
      </w:r>
      <w:r>
        <w:rPr>
          <w:color w:val="231F20"/>
          <w:spacing w:val="-28"/>
        </w:rPr>
        <w:t xml:space="preserve"> </w:t>
      </w:r>
      <w:r>
        <w:rPr>
          <w:color w:val="231F20"/>
          <w:spacing w:val="-5"/>
        </w:rPr>
        <w:t>结果：观察组总有效率为 96.00%，明显高于对照组的</w:t>
      </w:r>
      <w:r>
        <w:rPr>
          <w:color w:val="231F20"/>
          <w:spacing w:val="13"/>
        </w:rPr>
        <w:t xml:space="preserve"> </w:t>
      </w:r>
      <w:r>
        <w:rPr>
          <w:color w:val="231F20"/>
          <w:spacing w:val="-5"/>
        </w:rPr>
        <w:t>8</w:t>
      </w:r>
      <w:r>
        <w:rPr>
          <w:color w:val="231F20"/>
          <w:spacing w:val="-6"/>
        </w:rPr>
        <w:t>2.67%，差异有统计学意义（</w:t>
      </w:r>
      <w:r>
        <w:rPr>
          <w:rFonts w:ascii="Times New Roman" w:hAnsi="Times New Roman" w:eastAsia="Times New Roman" w:cs="Times New Roman"/>
          <w:color w:val="231F20"/>
          <w:spacing w:val="-6"/>
        </w:rPr>
        <w:t>P</w:t>
      </w:r>
      <w:r>
        <w:rPr>
          <w:color w:val="231F20"/>
          <w:spacing w:val="-6"/>
        </w:rPr>
        <w:t>&lt;0.05）。治</w:t>
      </w:r>
      <w:r>
        <w:rPr>
          <w:color w:val="231F20"/>
        </w:rPr>
        <w:t xml:space="preserve">  </w:t>
      </w:r>
      <w:r>
        <w:rPr>
          <w:color w:val="231F20"/>
          <w:spacing w:val="-6"/>
        </w:rPr>
        <w:t>疗后，两组肺功能指标及免疫功能指标均较治疗前明显改善（</w:t>
      </w:r>
      <w:r>
        <w:rPr>
          <w:rFonts w:ascii="Times New Roman" w:hAnsi="Times New Roman" w:eastAsia="Times New Roman" w:cs="Times New Roman"/>
          <w:color w:val="231F20"/>
          <w:spacing w:val="-6"/>
        </w:rPr>
        <w:t>P</w:t>
      </w:r>
      <w:r>
        <w:rPr>
          <w:color w:val="231F20"/>
          <w:spacing w:val="-6"/>
        </w:rPr>
        <w:t>&lt;0.05）。观察组治疗后 MV（4.52±1.03）L，VT（8.</w:t>
      </w:r>
      <w:r>
        <w:rPr>
          <w:color w:val="231F20"/>
          <w:spacing w:val="-7"/>
        </w:rPr>
        <w:t>47±0.59）ml/kg，</w:t>
      </w:r>
      <w:r>
        <w:rPr>
          <w:color w:val="231F20"/>
        </w:rPr>
        <w:t xml:space="preserve"> </w:t>
      </w:r>
      <w:r>
        <w:rPr>
          <w:color w:val="231F20"/>
          <w:spacing w:val="-16"/>
        </w:rPr>
        <w:t>CD4</w:t>
      </w:r>
      <w:r>
        <w:rPr>
          <w:sz w:val="10"/>
          <w:szCs w:val="10"/>
          <w:color w:val="231F20"/>
          <w:spacing w:val="-16"/>
          <w:position w:val="8"/>
        </w:rPr>
        <w:t>+</w:t>
      </w:r>
      <w:r>
        <w:rPr>
          <w:color w:val="231F20"/>
          <w:spacing w:val="-16"/>
        </w:rPr>
        <w:t>（38.61±6.24）%，CD4</w:t>
      </w:r>
      <w:r>
        <w:rPr>
          <w:sz w:val="10"/>
          <w:szCs w:val="10"/>
          <w:color w:val="231F20"/>
          <w:spacing w:val="-16"/>
          <w:position w:val="8"/>
        </w:rPr>
        <w:t>+</w:t>
      </w:r>
      <w:r>
        <w:rPr>
          <w:color w:val="231F20"/>
          <w:spacing w:val="-16"/>
        </w:rPr>
        <w:t>/CD8</w:t>
      </w:r>
      <w:r>
        <w:rPr>
          <w:sz w:val="10"/>
          <w:szCs w:val="10"/>
          <w:color w:val="231F20"/>
          <w:spacing w:val="-16"/>
          <w:position w:val="8"/>
        </w:rPr>
        <w:t>+</w:t>
      </w:r>
      <w:r>
        <w:rPr>
          <w:color w:val="231F20"/>
          <w:spacing w:val="-16"/>
        </w:rPr>
        <w:t>（1.83±0.25</w:t>
      </w:r>
      <w:r>
        <w:rPr>
          <w:color w:val="231F20"/>
          <w:spacing w:val="-40"/>
        </w:rPr>
        <w:t>），</w:t>
      </w:r>
      <w:r>
        <w:rPr>
          <w:color w:val="231F20"/>
          <w:spacing w:val="-16"/>
        </w:rPr>
        <w:t>均高于对照组的（3.89±0.64）L、（7.04±0.33）m</w:t>
      </w:r>
      <w:r>
        <w:rPr>
          <w:color w:val="231F20"/>
          <w:spacing w:val="-17"/>
        </w:rPr>
        <w:t>l/kg、（33.54±5.19）%、（1.24±0.16</w:t>
      </w:r>
      <w:r>
        <w:rPr>
          <w:color w:val="231F20"/>
          <w:spacing w:val="-40"/>
        </w:rPr>
        <w:t>），</w:t>
      </w:r>
      <w:r>
        <w:rPr>
          <w:color w:val="231F20"/>
          <w:spacing w:val="2"/>
        </w:rPr>
        <w:t xml:space="preserve"> </w:t>
      </w:r>
      <w:r>
        <w:rPr>
          <w:color w:val="231F20"/>
          <w:spacing w:val="-9"/>
        </w:rPr>
        <w:t>差异有统计学意义（</w:t>
      </w:r>
      <w:r>
        <w:rPr>
          <w:rFonts w:ascii="Times New Roman" w:hAnsi="Times New Roman" w:eastAsia="Times New Roman" w:cs="Times New Roman"/>
          <w:color w:val="231F20"/>
          <w:spacing w:val="-9"/>
        </w:rPr>
        <w:t>P</w:t>
      </w:r>
      <w:r>
        <w:rPr>
          <w:color w:val="231F20"/>
          <w:spacing w:val="-9"/>
        </w:rPr>
        <w:t>&lt;0.05）。观察组治疗后</w:t>
      </w:r>
      <w:r>
        <w:rPr>
          <w:color w:val="231F20"/>
          <w:spacing w:val="25"/>
          <w:w w:val="101"/>
        </w:rPr>
        <w:t xml:space="preserve"> </w:t>
      </w:r>
      <w:r>
        <w:rPr>
          <w:color w:val="231F20"/>
          <w:spacing w:val="-9"/>
        </w:rPr>
        <w:t>C</w:t>
      </w:r>
      <w:r>
        <w:rPr>
          <w:color w:val="231F20"/>
          <w:spacing w:val="-10"/>
        </w:rPr>
        <w:t>D8</w:t>
      </w:r>
      <w:r>
        <w:rPr>
          <w:sz w:val="10"/>
          <w:szCs w:val="10"/>
          <w:color w:val="231F20"/>
          <w:spacing w:val="-10"/>
          <w:position w:val="8"/>
        </w:rPr>
        <w:t>+</w:t>
      </w:r>
      <w:r>
        <w:rPr>
          <w:color w:val="231F20"/>
          <w:spacing w:val="-10"/>
        </w:rPr>
        <w:t>（22.61±1.25）%，低于对照组的（27.45±3.93）%，差异有统计学意义（</w:t>
      </w:r>
      <w:r>
        <w:rPr>
          <w:rFonts w:ascii="Times New Roman" w:hAnsi="Times New Roman" w:eastAsia="Times New Roman" w:cs="Times New Roman"/>
          <w:color w:val="231F20"/>
          <w:spacing w:val="-10"/>
        </w:rPr>
        <w:t>P</w:t>
      </w:r>
      <w:r>
        <w:rPr>
          <w:color w:val="231F20"/>
          <w:spacing w:val="-10"/>
        </w:rPr>
        <w:t>&lt;0.05）。</w:t>
      </w:r>
      <w:r>
        <w:rPr>
          <w:color w:val="231F20"/>
        </w:rPr>
        <w:t xml:space="preserve"> </w:t>
      </w:r>
      <w:r>
        <w:rPr>
          <w:color w:val="231F20"/>
        </w:rPr>
        <w:t>两组不良反应发生率比较差异无统计学意义（</w:t>
      </w:r>
      <w:r>
        <w:rPr>
          <w:rFonts w:ascii="Times New Roman" w:hAnsi="Times New Roman" w:eastAsia="Times New Roman" w:cs="Times New Roman"/>
          <w:color w:val="231F20"/>
        </w:rPr>
        <w:t>P</w:t>
      </w:r>
      <w:r>
        <w:rPr>
          <w:color w:val="231F20"/>
        </w:rPr>
        <w:t>&gt;0.05）。结论：特布他林联合孟鲁司特对支气管哮喘急性发作合并支气管肺炎患儿  </w:t>
      </w:r>
      <w:r>
        <w:rPr>
          <w:color w:val="231F20"/>
          <w:spacing w:val="-1"/>
        </w:rPr>
        <w:t>具有很好的治疗效果及很高的安全性，能有效改善患儿的肺功能及免疫功能。</w:t>
      </w:r>
    </w:p>
    <w:p>
      <w:pPr>
        <w:pStyle w:val="BodyText"/>
        <w:ind w:left="645"/>
        <w:spacing w:before="1" w:line="201" w:lineRule="auto"/>
        <w:rPr/>
      </w:pPr>
      <w:r>
        <w:rPr>
          <w:color w:val="231F20"/>
        </w:rPr>
        <w:t>【关键词】</w:t>
      </w:r>
      <w:r>
        <w:rPr>
          <w:color w:val="231F20"/>
          <w:spacing w:val="49"/>
        </w:rPr>
        <w:t xml:space="preserve"> </w:t>
      </w:r>
      <w:r>
        <w:rPr>
          <w:color w:val="231F20"/>
        </w:rPr>
        <w:t>儿童   支气管哮喘    急性发作   支气管肺炎   特布他林</w:t>
      </w:r>
      <w:r>
        <w:rPr>
          <w:color w:val="231F20"/>
          <w:spacing w:val="-1"/>
        </w:rPr>
        <w:t xml:space="preserve">    孟鲁司特   肺功能    免疫功能</w:t>
      </w:r>
    </w:p>
    <w:p>
      <w:pPr>
        <w:ind w:left="749"/>
        <w:spacing w:before="27" w:line="238" w:lineRule="auto"/>
        <w:rPr>
          <w:rFonts w:ascii="SimHei" w:hAnsi="SimHei" w:eastAsia="SimHei" w:cs="SimHei"/>
          <w:sz w:val="18"/>
          <w:szCs w:val="18"/>
        </w:rPr>
      </w:pPr>
      <w:r>
        <w:rPr>
          <w:rFonts w:ascii="SimHei" w:hAnsi="SimHei" w:eastAsia="SimHei" w:cs="SimHei"/>
          <w:sz w:val="18"/>
          <w:szCs w:val="18"/>
          <w:color w:val="231F20"/>
        </w:rPr>
        <w:t>doi：10.14033/j.cnki.cfmr.2021.30.011</w:t>
      </w:r>
      <w:r>
        <w:rPr>
          <w:rFonts w:ascii="SimHei" w:hAnsi="SimHei" w:eastAsia="SimHei" w:cs="SimHei"/>
          <w:sz w:val="18"/>
          <w:szCs w:val="18"/>
          <w:color w:val="231F20"/>
        </w:rPr>
        <w:t xml:space="preserve">          </w:t>
      </w:r>
      <w:r>
        <w:rPr>
          <w:rFonts w:ascii="SimHei" w:hAnsi="SimHei" w:eastAsia="SimHei" w:cs="SimHei"/>
          <w:sz w:val="18"/>
          <w:szCs w:val="18"/>
          <w:color w:val="231F20"/>
        </w:rPr>
        <w:t>文献标识码</w:t>
      </w:r>
      <w:r>
        <w:rPr>
          <w:rFonts w:ascii="SimHei" w:hAnsi="SimHei" w:eastAsia="SimHei" w:cs="SimHei"/>
          <w:sz w:val="18"/>
          <w:szCs w:val="18"/>
          <w:color w:val="231F20"/>
        </w:rPr>
        <w:t xml:space="preserve">  </w:t>
      </w:r>
      <w:r>
        <w:rPr>
          <w:rFonts w:ascii="SimHei" w:hAnsi="SimHei" w:eastAsia="SimHei" w:cs="SimHei"/>
          <w:sz w:val="18"/>
          <w:szCs w:val="18"/>
          <w:color w:val="231F20"/>
        </w:rPr>
        <w:t>B</w:t>
      </w:r>
      <w:r>
        <w:rPr>
          <w:rFonts w:ascii="SimHei" w:hAnsi="SimHei" w:eastAsia="SimHei" w:cs="SimHei"/>
          <w:sz w:val="18"/>
          <w:szCs w:val="18"/>
          <w:color w:val="231F20"/>
        </w:rPr>
        <w:t xml:space="preserve">      </w:t>
      </w:r>
      <w:r>
        <w:rPr>
          <w:rFonts w:ascii="SimHei" w:hAnsi="SimHei" w:eastAsia="SimHei" w:cs="SimHei"/>
          <w:sz w:val="18"/>
          <w:szCs w:val="18"/>
          <w:color w:val="231F20"/>
          <w:spacing w:val="-1"/>
        </w:rPr>
        <w:t xml:space="preserve">     </w:t>
      </w:r>
      <w:r>
        <w:rPr>
          <w:rFonts w:ascii="SimHei" w:hAnsi="SimHei" w:eastAsia="SimHei" w:cs="SimHei"/>
          <w:sz w:val="18"/>
          <w:szCs w:val="18"/>
          <w:color w:val="231F20"/>
          <w:spacing w:val="-1"/>
        </w:rPr>
        <w:t>文章编号</w:t>
      </w:r>
      <w:r>
        <w:rPr>
          <w:rFonts w:ascii="SimHei" w:hAnsi="SimHei" w:eastAsia="SimHei" w:cs="SimHei"/>
          <w:sz w:val="18"/>
          <w:szCs w:val="18"/>
          <w:color w:val="231F20"/>
          <w:spacing w:val="-1"/>
        </w:rPr>
        <w:t xml:space="preserve">  </w:t>
      </w:r>
      <w:r>
        <w:rPr>
          <w:rFonts w:ascii="SimHei" w:hAnsi="SimHei" w:eastAsia="SimHei" w:cs="SimHei"/>
          <w:sz w:val="18"/>
          <w:szCs w:val="18"/>
          <w:color w:val="231F20"/>
          <w:spacing w:val="-1"/>
        </w:rPr>
        <w:t>1674-6805（2021）30-0040-04</w:t>
      </w:r>
    </w:p>
    <w:p>
      <w:pPr>
        <w:spacing w:line="275" w:lineRule="auto"/>
        <w:rPr>
          <w:rFonts w:ascii="Arial"/>
          <w:sz w:val="21"/>
        </w:rPr>
      </w:pPr>
      <w:r/>
    </w:p>
    <w:p>
      <w:pPr>
        <w:ind w:left="386" w:right="92" w:firstLine="369"/>
        <w:spacing w:before="59" w:line="292" w:lineRule="auto"/>
        <w:jc w:val="both"/>
        <w:rPr>
          <w:rFonts w:ascii="SimSun" w:hAnsi="SimSun" w:eastAsia="SimSun" w:cs="SimSun"/>
          <w:sz w:val="18"/>
          <w:szCs w:val="18"/>
        </w:rPr>
      </w:pPr>
      <w:r>
        <w:rPr>
          <w:rFonts w:ascii="SimSun" w:hAnsi="SimSun" w:eastAsia="SimSun" w:cs="SimSun"/>
          <w:sz w:val="18"/>
          <w:szCs w:val="18"/>
          <w:b/>
          <w:bCs/>
          <w:color w:val="231F20"/>
          <w:spacing w:val="-2"/>
        </w:rPr>
        <w:t>Effect</w:t>
      </w:r>
      <w:r>
        <w:rPr>
          <w:rFonts w:ascii="SimSun" w:hAnsi="SimSun" w:eastAsia="SimSun" w:cs="SimSun"/>
          <w:sz w:val="18"/>
          <w:szCs w:val="18"/>
          <w:color w:val="231F20"/>
          <w:spacing w:val="-16"/>
        </w:rPr>
        <w:t xml:space="preserve"> </w:t>
      </w:r>
      <w:r>
        <w:rPr>
          <w:rFonts w:ascii="SimSun" w:hAnsi="SimSun" w:eastAsia="SimSun" w:cs="SimSun"/>
          <w:sz w:val="18"/>
          <w:szCs w:val="18"/>
          <w:b/>
          <w:bCs/>
          <w:color w:val="231F20"/>
          <w:spacing w:val="-2"/>
        </w:rPr>
        <w:t>of</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Terbutaline</w:t>
      </w:r>
      <w:r>
        <w:rPr>
          <w:rFonts w:ascii="SimSun" w:hAnsi="SimSun" w:eastAsia="SimSun" w:cs="SimSun"/>
          <w:sz w:val="18"/>
          <w:szCs w:val="18"/>
          <w:color w:val="231F20"/>
          <w:spacing w:val="-2"/>
        </w:rPr>
        <w:t xml:space="preserve"> </w:t>
      </w:r>
      <w:r>
        <w:rPr>
          <w:rFonts w:ascii="SimSun" w:hAnsi="SimSun" w:eastAsia="SimSun" w:cs="SimSun"/>
          <w:sz w:val="18"/>
          <w:szCs w:val="18"/>
          <w:b/>
          <w:bCs/>
          <w:color w:val="231F20"/>
          <w:spacing w:val="-2"/>
        </w:rPr>
        <w:t>Combined</w:t>
      </w:r>
      <w:r>
        <w:rPr>
          <w:rFonts w:ascii="SimSun" w:hAnsi="SimSun" w:eastAsia="SimSun" w:cs="SimSun"/>
          <w:sz w:val="18"/>
          <w:szCs w:val="18"/>
          <w:color w:val="231F20"/>
          <w:spacing w:val="-16"/>
        </w:rPr>
        <w:t xml:space="preserve"> </w:t>
      </w:r>
      <w:r>
        <w:rPr>
          <w:rFonts w:ascii="SimSun" w:hAnsi="SimSun" w:eastAsia="SimSun" w:cs="SimSun"/>
          <w:sz w:val="18"/>
          <w:szCs w:val="18"/>
          <w:b/>
          <w:bCs/>
          <w:color w:val="231F20"/>
          <w:spacing w:val="-2"/>
        </w:rPr>
        <w:t>with</w:t>
      </w:r>
      <w:r>
        <w:rPr>
          <w:rFonts w:ascii="SimSun" w:hAnsi="SimSun" w:eastAsia="SimSun" w:cs="SimSun"/>
          <w:sz w:val="18"/>
          <w:szCs w:val="18"/>
          <w:color w:val="231F20"/>
          <w:spacing w:val="-19"/>
        </w:rPr>
        <w:t xml:space="preserve"> </w:t>
      </w:r>
      <w:r>
        <w:rPr>
          <w:rFonts w:ascii="SimSun" w:hAnsi="SimSun" w:eastAsia="SimSun" w:cs="SimSun"/>
          <w:sz w:val="18"/>
          <w:szCs w:val="18"/>
          <w:b/>
          <w:bCs/>
          <w:color w:val="231F20"/>
          <w:spacing w:val="-2"/>
        </w:rPr>
        <w:t>Montelukast</w:t>
      </w:r>
      <w:r>
        <w:rPr>
          <w:rFonts w:ascii="SimSun" w:hAnsi="SimSun" w:eastAsia="SimSun" w:cs="SimSun"/>
          <w:sz w:val="18"/>
          <w:szCs w:val="18"/>
          <w:color w:val="231F20"/>
          <w:spacing w:val="-18"/>
        </w:rPr>
        <w:t xml:space="preserve"> </w:t>
      </w:r>
      <w:r>
        <w:rPr>
          <w:rFonts w:ascii="SimSun" w:hAnsi="SimSun" w:eastAsia="SimSun" w:cs="SimSun"/>
          <w:sz w:val="18"/>
          <w:szCs w:val="18"/>
          <w:b/>
          <w:bCs/>
          <w:color w:val="231F20"/>
          <w:spacing w:val="-2"/>
        </w:rPr>
        <w:t>in</w:t>
      </w:r>
      <w:r>
        <w:rPr>
          <w:rFonts w:ascii="SimSun" w:hAnsi="SimSun" w:eastAsia="SimSun" w:cs="SimSun"/>
          <w:sz w:val="18"/>
          <w:szCs w:val="18"/>
          <w:color w:val="231F20"/>
          <w:spacing w:val="-17"/>
        </w:rPr>
        <w:t xml:space="preserve"> </w:t>
      </w:r>
      <w:r>
        <w:rPr>
          <w:rFonts w:ascii="SimSun" w:hAnsi="SimSun" w:eastAsia="SimSun" w:cs="SimSun"/>
          <w:sz w:val="18"/>
          <w:szCs w:val="18"/>
          <w:b/>
          <w:bCs/>
          <w:color w:val="231F20"/>
          <w:spacing w:val="-2"/>
        </w:rPr>
        <w:t>the</w:t>
      </w:r>
      <w:r>
        <w:rPr>
          <w:rFonts w:ascii="SimSun" w:hAnsi="SimSun" w:eastAsia="SimSun" w:cs="SimSun"/>
          <w:sz w:val="18"/>
          <w:szCs w:val="18"/>
          <w:color w:val="231F20"/>
          <w:spacing w:val="-2"/>
        </w:rPr>
        <w:t xml:space="preserve"> </w:t>
      </w:r>
      <w:r>
        <w:rPr>
          <w:rFonts w:ascii="SimSun" w:hAnsi="SimSun" w:eastAsia="SimSun" w:cs="SimSun"/>
          <w:sz w:val="18"/>
          <w:szCs w:val="18"/>
          <w:b/>
          <w:bCs/>
          <w:color w:val="231F20"/>
          <w:spacing w:val="-2"/>
        </w:rPr>
        <w:t>Treatment</w:t>
      </w:r>
      <w:r>
        <w:rPr>
          <w:rFonts w:ascii="SimSun" w:hAnsi="SimSun" w:eastAsia="SimSun" w:cs="SimSun"/>
          <w:sz w:val="18"/>
          <w:szCs w:val="18"/>
          <w:color w:val="231F20"/>
          <w:spacing w:val="-17"/>
        </w:rPr>
        <w:t xml:space="preserve"> </w:t>
      </w:r>
      <w:r>
        <w:rPr>
          <w:rFonts w:ascii="SimSun" w:hAnsi="SimSun" w:eastAsia="SimSun" w:cs="SimSun"/>
          <w:sz w:val="18"/>
          <w:szCs w:val="18"/>
          <w:b/>
          <w:bCs/>
          <w:color w:val="231F20"/>
          <w:spacing w:val="-2"/>
        </w:rPr>
        <w:t>of</w:t>
      </w:r>
      <w:r>
        <w:rPr>
          <w:rFonts w:ascii="SimSun" w:hAnsi="SimSun" w:eastAsia="SimSun" w:cs="SimSun"/>
          <w:sz w:val="18"/>
          <w:szCs w:val="18"/>
          <w:color w:val="231F20"/>
          <w:spacing w:val="-23"/>
        </w:rPr>
        <w:t xml:space="preserve"> </w:t>
      </w:r>
      <w:r>
        <w:rPr>
          <w:rFonts w:ascii="SimSun" w:hAnsi="SimSun" w:eastAsia="SimSun" w:cs="SimSun"/>
          <w:sz w:val="18"/>
          <w:szCs w:val="18"/>
          <w:b/>
          <w:bCs/>
          <w:color w:val="231F20"/>
          <w:spacing w:val="-2"/>
        </w:rPr>
        <w:t>Children</w:t>
      </w:r>
      <w:r>
        <w:rPr>
          <w:rFonts w:ascii="SimSun" w:hAnsi="SimSun" w:eastAsia="SimSun" w:cs="SimSun"/>
          <w:sz w:val="18"/>
          <w:szCs w:val="18"/>
          <w:color w:val="231F20"/>
          <w:spacing w:val="-17"/>
        </w:rPr>
        <w:t xml:space="preserve"> </w:t>
      </w:r>
      <w:r>
        <w:rPr>
          <w:rFonts w:ascii="SimSun" w:hAnsi="SimSun" w:eastAsia="SimSun" w:cs="SimSun"/>
          <w:sz w:val="18"/>
          <w:szCs w:val="18"/>
          <w:b/>
          <w:bCs/>
          <w:color w:val="231F20"/>
          <w:spacing w:val="-2"/>
        </w:rPr>
        <w:t>wi</w:t>
      </w:r>
      <w:r>
        <w:rPr>
          <w:rFonts w:ascii="SimSun" w:hAnsi="SimSun" w:eastAsia="SimSun" w:cs="SimSun"/>
          <w:sz w:val="18"/>
          <w:szCs w:val="18"/>
          <w:b/>
          <w:bCs/>
          <w:color w:val="231F20"/>
          <w:spacing w:val="-3"/>
        </w:rPr>
        <w:t>th</w:t>
      </w:r>
      <w:r>
        <w:rPr>
          <w:rFonts w:ascii="SimSun" w:hAnsi="SimSun" w:eastAsia="SimSun" w:cs="SimSun"/>
          <w:sz w:val="18"/>
          <w:szCs w:val="18"/>
          <w:color w:val="231F20"/>
          <w:spacing w:val="-19"/>
        </w:rPr>
        <w:t xml:space="preserve"> </w:t>
      </w:r>
      <w:r>
        <w:rPr>
          <w:rFonts w:ascii="SimSun" w:hAnsi="SimSun" w:eastAsia="SimSun" w:cs="SimSun"/>
          <w:sz w:val="18"/>
          <w:szCs w:val="18"/>
          <w:b/>
          <w:bCs/>
          <w:color w:val="231F20"/>
          <w:spacing w:val="-3"/>
        </w:rPr>
        <w:t>Acute</w:t>
      </w:r>
      <w:r>
        <w:rPr>
          <w:rFonts w:ascii="SimSun" w:hAnsi="SimSun" w:eastAsia="SimSun" w:cs="SimSun"/>
          <w:sz w:val="18"/>
          <w:szCs w:val="18"/>
          <w:color w:val="231F20"/>
          <w:spacing w:val="-20"/>
        </w:rPr>
        <w:t xml:space="preserve"> </w:t>
      </w:r>
      <w:r>
        <w:rPr>
          <w:rFonts w:ascii="SimSun" w:hAnsi="SimSun" w:eastAsia="SimSun" w:cs="SimSun"/>
          <w:sz w:val="18"/>
          <w:szCs w:val="18"/>
          <w:b/>
          <w:bCs/>
          <w:color w:val="231F20"/>
          <w:spacing w:val="-3"/>
        </w:rPr>
        <w:t>Attack</w:t>
      </w:r>
      <w:r>
        <w:rPr>
          <w:rFonts w:ascii="SimSun" w:hAnsi="SimSun" w:eastAsia="SimSun" w:cs="SimSun"/>
          <w:sz w:val="18"/>
          <w:szCs w:val="18"/>
          <w:color w:val="231F20"/>
          <w:spacing w:val="-17"/>
        </w:rPr>
        <w:t xml:space="preserve"> </w:t>
      </w:r>
      <w:r>
        <w:rPr>
          <w:rFonts w:ascii="SimSun" w:hAnsi="SimSun" w:eastAsia="SimSun" w:cs="SimSun"/>
          <w:sz w:val="18"/>
          <w:szCs w:val="18"/>
          <w:b/>
          <w:bCs/>
          <w:color w:val="231F20"/>
          <w:spacing w:val="-3"/>
        </w:rPr>
        <w:t>of</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3"/>
        </w:rPr>
        <w:t>Bronchial</w:t>
      </w:r>
      <w:r>
        <w:rPr>
          <w:rFonts w:ascii="SimSun" w:hAnsi="SimSun" w:eastAsia="SimSun" w:cs="SimSun"/>
          <w:sz w:val="18"/>
          <w:szCs w:val="18"/>
          <w:color w:val="231F20"/>
          <w:spacing w:val="-20"/>
        </w:rPr>
        <w:t xml:space="preserve"> </w:t>
      </w:r>
      <w:r>
        <w:rPr>
          <w:rFonts w:ascii="SimSun" w:hAnsi="SimSun" w:eastAsia="SimSun" w:cs="SimSun"/>
          <w:sz w:val="18"/>
          <w:szCs w:val="18"/>
          <w:b/>
          <w:bCs/>
          <w:color w:val="231F20"/>
          <w:spacing w:val="-3"/>
        </w:rPr>
        <w:t>Asthma</w:t>
      </w:r>
      <w:r>
        <w:rPr>
          <w:rFonts w:ascii="SimSun" w:hAnsi="SimSun" w:eastAsia="SimSun" w:cs="SimSun"/>
          <w:sz w:val="18"/>
          <w:szCs w:val="18"/>
          <w:color w:val="231F20"/>
        </w:rPr>
        <w:t xml:space="preserve">   </w:t>
      </w:r>
      <w:r>
        <w:rPr>
          <w:rFonts w:ascii="SimSun" w:hAnsi="SimSun" w:eastAsia="SimSun" w:cs="SimSun"/>
          <w:sz w:val="18"/>
          <w:szCs w:val="18"/>
          <w:b/>
          <w:bCs/>
          <w:color w:val="231F20"/>
          <w:spacing w:val="-1"/>
        </w:rPr>
        <w:t>Complicated</w:t>
      </w:r>
      <w:r>
        <w:rPr>
          <w:rFonts w:ascii="SimSun" w:hAnsi="SimSun" w:eastAsia="SimSun" w:cs="SimSun"/>
          <w:sz w:val="18"/>
          <w:szCs w:val="18"/>
          <w:color w:val="231F20"/>
          <w:spacing w:val="-26"/>
        </w:rPr>
        <w:t xml:space="preserve"> </w:t>
      </w:r>
      <w:r>
        <w:rPr>
          <w:rFonts w:ascii="SimSun" w:hAnsi="SimSun" w:eastAsia="SimSun" w:cs="SimSun"/>
          <w:sz w:val="18"/>
          <w:szCs w:val="18"/>
          <w:b/>
          <w:bCs/>
          <w:color w:val="231F20"/>
          <w:spacing w:val="-1"/>
        </w:rPr>
        <w:t>with</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1"/>
        </w:rPr>
        <w:t>Bronchop</w:t>
      </w:r>
      <w:r>
        <w:rPr>
          <w:rFonts w:ascii="SimSun" w:hAnsi="SimSun" w:eastAsia="SimSun" w:cs="SimSun"/>
          <w:sz w:val="18"/>
          <w:szCs w:val="18"/>
          <w:b/>
          <w:bCs/>
          <w:color w:val="231F20"/>
          <w:spacing w:val="-2"/>
        </w:rPr>
        <w:t>neumonia</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2"/>
        </w:rPr>
        <w:t>and</w:t>
      </w:r>
      <w:r>
        <w:rPr>
          <w:rFonts w:ascii="SimSun" w:hAnsi="SimSun" w:eastAsia="SimSun" w:cs="SimSun"/>
          <w:sz w:val="18"/>
          <w:szCs w:val="18"/>
          <w:color w:val="231F20"/>
          <w:spacing w:val="-26"/>
        </w:rPr>
        <w:t xml:space="preserve"> </w:t>
      </w:r>
      <w:r>
        <w:rPr>
          <w:rFonts w:ascii="SimSun" w:hAnsi="SimSun" w:eastAsia="SimSun" w:cs="SimSun"/>
          <w:sz w:val="18"/>
          <w:szCs w:val="18"/>
          <w:b/>
          <w:bCs/>
          <w:color w:val="231F20"/>
          <w:spacing w:val="-2"/>
        </w:rPr>
        <w:t>Its</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2"/>
        </w:rPr>
        <w:t>Effect</w:t>
      </w:r>
      <w:r>
        <w:rPr>
          <w:rFonts w:ascii="SimSun" w:hAnsi="SimSun" w:eastAsia="SimSun" w:cs="SimSun"/>
          <w:sz w:val="18"/>
          <w:szCs w:val="18"/>
          <w:color w:val="231F20"/>
          <w:spacing w:val="-25"/>
        </w:rPr>
        <w:t xml:space="preserve"> </w:t>
      </w:r>
      <w:r>
        <w:rPr>
          <w:rFonts w:ascii="SimSun" w:hAnsi="SimSun" w:eastAsia="SimSun" w:cs="SimSun"/>
          <w:sz w:val="18"/>
          <w:szCs w:val="18"/>
          <w:b/>
          <w:bCs/>
          <w:color w:val="231F20"/>
          <w:spacing w:val="-2"/>
        </w:rPr>
        <w:t>on</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Lung</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Function</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2"/>
        </w:rPr>
        <w:t>and</w:t>
      </w:r>
      <w:r>
        <w:rPr>
          <w:rFonts w:ascii="SimSun" w:hAnsi="SimSun" w:eastAsia="SimSun" w:cs="SimSun"/>
          <w:sz w:val="18"/>
          <w:szCs w:val="18"/>
          <w:color w:val="231F20"/>
          <w:spacing w:val="-26"/>
        </w:rPr>
        <w:t xml:space="preserve"> </w:t>
      </w:r>
      <w:r>
        <w:rPr>
          <w:rFonts w:ascii="SimSun" w:hAnsi="SimSun" w:eastAsia="SimSun" w:cs="SimSun"/>
          <w:sz w:val="18"/>
          <w:szCs w:val="18"/>
          <w:b/>
          <w:bCs/>
          <w:color w:val="231F20"/>
          <w:spacing w:val="-2"/>
        </w:rPr>
        <w:t>Immune</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Function/WENG</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Xiang.</w:t>
      </w:r>
      <w:r>
        <w:rPr>
          <w:rFonts w:ascii="SimSun" w:hAnsi="SimSun" w:eastAsia="SimSun" w:cs="SimSun"/>
          <w:sz w:val="18"/>
          <w:szCs w:val="18"/>
          <w:color w:val="231F20"/>
          <w:spacing w:val="-33"/>
        </w:rPr>
        <w:t xml:space="preserve"> </w:t>
      </w:r>
      <w:r>
        <w:rPr>
          <w:rFonts w:ascii="SimSun" w:hAnsi="SimSun" w:eastAsia="SimSun" w:cs="SimSun"/>
          <w:sz w:val="18"/>
          <w:szCs w:val="18"/>
          <w:b/>
          <w:bCs/>
          <w:color w:val="231F20"/>
          <w:spacing w:val="-2"/>
        </w:rPr>
        <w:t>//Chinese</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2"/>
        </w:rPr>
        <w:t>and</w:t>
      </w:r>
      <w:r>
        <w:rPr>
          <w:rFonts w:ascii="SimSun" w:hAnsi="SimSun" w:eastAsia="SimSun" w:cs="SimSun"/>
          <w:sz w:val="18"/>
          <w:szCs w:val="18"/>
          <w:color w:val="231F20"/>
          <w:spacing w:val="-27"/>
        </w:rPr>
        <w:t xml:space="preserve"> </w:t>
      </w:r>
      <w:r>
        <w:rPr>
          <w:rFonts w:ascii="SimSun" w:hAnsi="SimSun" w:eastAsia="SimSun" w:cs="SimSun"/>
          <w:sz w:val="18"/>
          <w:szCs w:val="18"/>
          <w:b/>
          <w:bCs/>
          <w:color w:val="231F20"/>
          <w:spacing w:val="-2"/>
        </w:rPr>
        <w:t>Foreign</w:t>
      </w:r>
      <w:r>
        <w:rPr>
          <w:rFonts w:ascii="SimSun" w:hAnsi="SimSun" w:eastAsia="SimSun" w:cs="SimSun"/>
          <w:sz w:val="18"/>
          <w:szCs w:val="18"/>
          <w:color w:val="231F20"/>
        </w:rPr>
        <w:t xml:space="preserve">   </w:t>
      </w:r>
      <w:r>
        <w:rPr>
          <w:rFonts w:ascii="SimSun" w:hAnsi="SimSun" w:eastAsia="SimSun" w:cs="SimSun"/>
          <w:sz w:val="18"/>
          <w:szCs w:val="18"/>
          <w:b/>
          <w:bCs/>
          <w:color w:val="231F20"/>
          <w:spacing w:val="-9"/>
        </w:rPr>
        <w:t>Medical</w:t>
      </w:r>
      <w:r>
        <w:rPr>
          <w:rFonts w:ascii="SimSun" w:hAnsi="SimSun" w:eastAsia="SimSun" w:cs="SimSun"/>
          <w:sz w:val="18"/>
          <w:szCs w:val="18"/>
          <w:color w:val="231F20"/>
          <w:spacing w:val="-28"/>
        </w:rPr>
        <w:t xml:space="preserve"> </w:t>
      </w:r>
      <w:r>
        <w:rPr>
          <w:rFonts w:ascii="SimSun" w:hAnsi="SimSun" w:eastAsia="SimSun" w:cs="SimSun"/>
          <w:sz w:val="18"/>
          <w:szCs w:val="18"/>
          <w:b/>
          <w:bCs/>
          <w:color w:val="231F20"/>
          <w:spacing w:val="-9"/>
        </w:rPr>
        <w:t>Research,</w:t>
      </w:r>
      <w:r>
        <w:rPr>
          <w:rFonts w:ascii="SimSun" w:hAnsi="SimSun" w:eastAsia="SimSun" w:cs="SimSun"/>
          <w:sz w:val="18"/>
          <w:szCs w:val="18"/>
          <w:color w:val="231F20"/>
          <w:spacing w:val="-42"/>
        </w:rPr>
        <w:t xml:space="preserve"> </w:t>
      </w:r>
      <w:r>
        <w:rPr>
          <w:rFonts w:ascii="SimSun" w:hAnsi="SimSun" w:eastAsia="SimSun" w:cs="SimSun"/>
          <w:sz w:val="18"/>
          <w:szCs w:val="18"/>
          <w:b/>
          <w:bCs/>
          <w:color w:val="231F20"/>
          <w:spacing w:val="-9"/>
        </w:rPr>
        <w:t>2021,</w:t>
      </w:r>
      <w:r>
        <w:rPr>
          <w:rFonts w:ascii="SimSun" w:hAnsi="SimSun" w:eastAsia="SimSun" w:cs="SimSun"/>
          <w:sz w:val="18"/>
          <w:szCs w:val="18"/>
          <w:color w:val="231F20"/>
          <w:spacing w:val="-33"/>
        </w:rPr>
        <w:t xml:space="preserve"> </w:t>
      </w:r>
      <w:r>
        <w:rPr>
          <w:rFonts w:ascii="SimSun" w:hAnsi="SimSun" w:eastAsia="SimSun" w:cs="SimSun"/>
          <w:sz w:val="18"/>
          <w:szCs w:val="18"/>
          <w:b/>
          <w:bCs/>
          <w:color w:val="231F20"/>
          <w:spacing w:val="-9"/>
        </w:rPr>
        <w:t>19(30):</w:t>
      </w:r>
      <w:r>
        <w:rPr>
          <w:rFonts w:ascii="SimSun" w:hAnsi="SimSun" w:eastAsia="SimSun" w:cs="SimSun"/>
          <w:sz w:val="18"/>
          <w:szCs w:val="18"/>
          <w:color w:val="231F20"/>
          <w:spacing w:val="-41"/>
        </w:rPr>
        <w:t xml:space="preserve"> </w:t>
      </w:r>
      <w:r>
        <w:rPr>
          <w:rFonts w:ascii="SimSun" w:hAnsi="SimSun" w:eastAsia="SimSun" w:cs="SimSun"/>
          <w:sz w:val="18"/>
          <w:szCs w:val="18"/>
          <w:b/>
          <w:bCs/>
          <w:color w:val="231F20"/>
          <w:spacing w:val="-9"/>
        </w:rPr>
        <w:t>40-43</w:t>
      </w:r>
    </w:p>
    <w:p>
      <w:pPr>
        <w:pStyle w:val="BodyText"/>
        <w:ind w:left="387" w:right="81" w:firstLine="367"/>
        <w:spacing w:before="12" w:line="222" w:lineRule="auto"/>
        <w:jc w:val="both"/>
        <w:rPr/>
      </w:pPr>
      <w:r>
        <w:rPr>
          <w:rFonts w:ascii="SimSun" w:hAnsi="SimSun" w:eastAsia="SimSun" w:cs="SimSun"/>
          <w:b/>
          <w:bCs/>
          <w:color w:val="231F20"/>
          <w:spacing w:val="-17"/>
        </w:rPr>
        <w:t>[Abstract]</w:t>
      </w:r>
      <w:r>
        <w:rPr>
          <w:rFonts w:ascii="SimSun" w:hAnsi="SimSun" w:eastAsia="SimSun" w:cs="SimSun"/>
          <w:color w:val="231F20"/>
          <w:spacing w:val="3"/>
        </w:rPr>
        <w:t xml:space="preserve">  </w:t>
      </w:r>
      <w:r>
        <w:rPr>
          <w:rFonts w:ascii="SimSun" w:hAnsi="SimSun" w:eastAsia="SimSun" w:cs="SimSun"/>
          <w:b/>
          <w:bCs/>
          <w:color w:val="231F20"/>
          <w:spacing w:val="-17"/>
        </w:rPr>
        <w:t>Objective:</w:t>
      </w:r>
      <w:r>
        <w:rPr>
          <w:rFonts w:ascii="SimSun" w:hAnsi="SimSun" w:eastAsia="SimSun" w:cs="SimSun"/>
          <w:color w:val="231F20"/>
          <w:spacing w:val="-37"/>
        </w:rPr>
        <w:t xml:space="preserve"> </w:t>
      </w:r>
      <w:r>
        <w:rPr>
          <w:color w:val="231F20"/>
          <w:spacing w:val="-17"/>
        </w:rPr>
        <w:t>To</w:t>
      </w:r>
      <w:r>
        <w:rPr>
          <w:color w:val="231F20"/>
          <w:spacing w:val="2"/>
        </w:rPr>
        <w:t xml:space="preserve"> </w:t>
      </w:r>
      <w:r>
        <w:rPr>
          <w:color w:val="231F20"/>
          <w:spacing w:val="-17"/>
        </w:rPr>
        <w:t>investigate the</w:t>
      </w:r>
      <w:r>
        <w:rPr>
          <w:color w:val="231F20"/>
          <w:spacing w:val="3"/>
        </w:rPr>
        <w:t xml:space="preserve"> </w:t>
      </w:r>
      <w:r>
        <w:rPr>
          <w:color w:val="231F20"/>
          <w:spacing w:val="-17"/>
        </w:rPr>
        <w:t>effect</w:t>
      </w:r>
      <w:r>
        <w:rPr>
          <w:color w:val="231F20"/>
          <w:spacing w:val="2"/>
        </w:rPr>
        <w:t xml:space="preserve"> </w:t>
      </w:r>
      <w:r>
        <w:rPr>
          <w:color w:val="231F20"/>
          <w:spacing w:val="-17"/>
        </w:rPr>
        <w:t>of Terbutaline</w:t>
      </w:r>
      <w:r>
        <w:rPr>
          <w:color w:val="231F20"/>
          <w:spacing w:val="4"/>
        </w:rPr>
        <w:t xml:space="preserve"> </w:t>
      </w:r>
      <w:r>
        <w:rPr>
          <w:color w:val="231F20"/>
          <w:spacing w:val="-17"/>
        </w:rPr>
        <w:t>combined with</w:t>
      </w:r>
      <w:r>
        <w:rPr>
          <w:color w:val="231F20"/>
          <w:spacing w:val="5"/>
        </w:rPr>
        <w:t xml:space="preserve"> </w:t>
      </w:r>
      <w:r>
        <w:rPr>
          <w:color w:val="231F20"/>
          <w:spacing w:val="-17"/>
        </w:rPr>
        <w:t>Montelukast</w:t>
      </w:r>
      <w:r>
        <w:rPr>
          <w:color w:val="231F20"/>
          <w:spacing w:val="3"/>
        </w:rPr>
        <w:t xml:space="preserve"> </w:t>
      </w:r>
      <w:r>
        <w:rPr>
          <w:color w:val="231F20"/>
          <w:spacing w:val="-17"/>
        </w:rPr>
        <w:t>in the treatment</w:t>
      </w:r>
      <w:r>
        <w:rPr>
          <w:color w:val="231F20"/>
          <w:spacing w:val="2"/>
        </w:rPr>
        <w:t xml:space="preserve"> </w:t>
      </w:r>
      <w:r>
        <w:rPr>
          <w:color w:val="231F20"/>
          <w:spacing w:val="-17"/>
        </w:rPr>
        <w:t>of children</w:t>
      </w:r>
      <w:r>
        <w:rPr>
          <w:color w:val="231F20"/>
          <w:spacing w:val="-1"/>
        </w:rPr>
        <w:t xml:space="preserve"> </w:t>
      </w:r>
      <w:r>
        <w:rPr>
          <w:color w:val="231F20"/>
          <w:spacing w:val="-17"/>
        </w:rPr>
        <w:t>with</w:t>
      </w:r>
      <w:r>
        <w:rPr>
          <w:color w:val="231F20"/>
          <w:spacing w:val="2"/>
        </w:rPr>
        <w:t xml:space="preserve"> </w:t>
      </w:r>
      <w:r>
        <w:rPr>
          <w:color w:val="231F20"/>
          <w:spacing w:val="-17"/>
        </w:rPr>
        <w:t>a</w:t>
      </w:r>
      <w:r>
        <w:rPr>
          <w:color w:val="231F20"/>
          <w:spacing w:val="-18"/>
        </w:rPr>
        <w:t>cute</w:t>
      </w:r>
      <w:r>
        <w:rPr>
          <w:color w:val="231F20"/>
          <w:spacing w:val="2"/>
        </w:rPr>
        <w:t xml:space="preserve"> </w:t>
      </w:r>
      <w:r>
        <w:rPr>
          <w:color w:val="231F20"/>
          <w:spacing w:val="-18"/>
        </w:rPr>
        <w:t>attack</w:t>
      </w:r>
      <w:r>
        <w:rPr>
          <w:color w:val="231F20"/>
          <w:spacing w:val="2"/>
        </w:rPr>
        <w:t xml:space="preserve"> </w:t>
      </w:r>
      <w:r>
        <w:rPr>
          <w:color w:val="231F20"/>
          <w:spacing w:val="-18"/>
        </w:rPr>
        <w:t>of</w:t>
      </w:r>
      <w:r>
        <w:rPr>
          <w:color w:val="231F20"/>
        </w:rPr>
        <w:t xml:space="preserve"> </w:t>
      </w:r>
      <w:r>
        <w:rPr>
          <w:color w:val="231F20"/>
          <w:spacing w:val="-17"/>
        </w:rPr>
        <w:t>bronchial</w:t>
      </w:r>
      <w:r>
        <w:rPr>
          <w:color w:val="231F20"/>
          <w:spacing w:val="2"/>
        </w:rPr>
        <w:t xml:space="preserve"> </w:t>
      </w:r>
      <w:r>
        <w:rPr>
          <w:color w:val="231F20"/>
          <w:spacing w:val="-17"/>
        </w:rPr>
        <w:t>asthma</w:t>
      </w:r>
      <w:r>
        <w:rPr>
          <w:color w:val="231F20"/>
          <w:spacing w:val="2"/>
        </w:rPr>
        <w:t xml:space="preserve"> </w:t>
      </w:r>
      <w:r>
        <w:rPr>
          <w:color w:val="231F20"/>
          <w:spacing w:val="-17"/>
        </w:rPr>
        <w:t>complicated with</w:t>
      </w:r>
      <w:r>
        <w:rPr>
          <w:color w:val="231F20"/>
          <w:spacing w:val="1"/>
        </w:rPr>
        <w:t xml:space="preserve"> </w:t>
      </w:r>
      <w:r>
        <w:rPr>
          <w:color w:val="231F20"/>
          <w:spacing w:val="-17"/>
        </w:rPr>
        <w:t>bronchopneumonia</w:t>
      </w:r>
      <w:r>
        <w:rPr>
          <w:color w:val="231F20"/>
          <w:spacing w:val="2"/>
        </w:rPr>
        <w:t xml:space="preserve"> </w:t>
      </w:r>
      <w:r>
        <w:rPr>
          <w:color w:val="231F20"/>
          <w:spacing w:val="-17"/>
        </w:rPr>
        <w:t>and</w:t>
      </w:r>
      <w:r>
        <w:rPr>
          <w:color w:val="231F20"/>
          <w:spacing w:val="2"/>
        </w:rPr>
        <w:t xml:space="preserve"> </w:t>
      </w:r>
      <w:r>
        <w:rPr>
          <w:color w:val="231F20"/>
          <w:spacing w:val="-17"/>
        </w:rPr>
        <w:t>its</w:t>
      </w:r>
      <w:r>
        <w:rPr>
          <w:color w:val="231F20"/>
          <w:spacing w:val="3"/>
        </w:rPr>
        <w:t xml:space="preserve"> </w:t>
      </w:r>
      <w:r>
        <w:rPr>
          <w:color w:val="231F20"/>
          <w:spacing w:val="-18"/>
        </w:rPr>
        <w:t>effect</w:t>
      </w:r>
      <w:r>
        <w:rPr>
          <w:color w:val="231F20"/>
          <w:spacing w:val="1"/>
        </w:rPr>
        <w:t xml:space="preserve"> </w:t>
      </w:r>
      <w:r>
        <w:rPr>
          <w:color w:val="231F20"/>
          <w:spacing w:val="-18"/>
        </w:rPr>
        <w:t>on lung function</w:t>
      </w:r>
      <w:r>
        <w:rPr>
          <w:color w:val="231F20"/>
          <w:spacing w:val="2"/>
        </w:rPr>
        <w:t xml:space="preserve"> </w:t>
      </w:r>
      <w:r>
        <w:rPr>
          <w:color w:val="231F20"/>
          <w:spacing w:val="-18"/>
        </w:rPr>
        <w:t>and</w:t>
      </w:r>
      <w:r>
        <w:rPr>
          <w:color w:val="231F20"/>
          <w:spacing w:val="2"/>
        </w:rPr>
        <w:t xml:space="preserve"> </w:t>
      </w:r>
      <w:r>
        <w:rPr>
          <w:color w:val="231F20"/>
          <w:spacing w:val="-18"/>
        </w:rPr>
        <w:t>immune function.</w:t>
      </w:r>
      <w:r>
        <w:rPr>
          <w:color w:val="231F20"/>
          <w:spacing w:val="1"/>
        </w:rPr>
        <w:t xml:space="preserve"> </w:t>
      </w:r>
      <w:r>
        <w:rPr>
          <w:rFonts w:ascii="SimSun" w:hAnsi="SimSun" w:eastAsia="SimSun" w:cs="SimSun"/>
          <w:b/>
          <w:bCs/>
          <w:color w:val="231F20"/>
          <w:spacing w:val="-18"/>
        </w:rPr>
        <w:t>Method:</w:t>
      </w:r>
      <w:r>
        <w:rPr>
          <w:rFonts w:ascii="SimSun" w:hAnsi="SimSun" w:eastAsia="SimSun" w:cs="SimSun"/>
          <w:color w:val="231F20"/>
          <w:spacing w:val="-36"/>
        </w:rPr>
        <w:t xml:space="preserve"> </w:t>
      </w:r>
      <w:r>
        <w:rPr>
          <w:color w:val="231F20"/>
          <w:spacing w:val="-18"/>
        </w:rPr>
        <w:t>A</w:t>
      </w:r>
      <w:r>
        <w:rPr>
          <w:color w:val="231F20"/>
        </w:rPr>
        <w:t xml:space="preserve"> </w:t>
      </w:r>
      <w:r>
        <w:rPr>
          <w:color w:val="231F20"/>
          <w:spacing w:val="-18"/>
        </w:rPr>
        <w:t>total</w:t>
      </w:r>
      <w:r>
        <w:rPr>
          <w:color w:val="231F20"/>
          <w:spacing w:val="1"/>
        </w:rPr>
        <w:t xml:space="preserve"> </w:t>
      </w:r>
      <w:r>
        <w:rPr>
          <w:color w:val="231F20"/>
          <w:spacing w:val="-18"/>
        </w:rPr>
        <w:t>of</w:t>
      </w:r>
      <w:r>
        <w:rPr>
          <w:color w:val="231F20"/>
          <w:spacing w:val="6"/>
        </w:rPr>
        <w:t xml:space="preserve"> </w:t>
      </w:r>
      <w:r>
        <w:rPr>
          <w:color w:val="231F20"/>
          <w:spacing w:val="-18"/>
        </w:rPr>
        <w:t>150</w:t>
      </w:r>
      <w:r>
        <w:rPr>
          <w:color w:val="231F20"/>
          <w:spacing w:val="2"/>
        </w:rPr>
        <w:t xml:space="preserve"> </w:t>
      </w:r>
      <w:r>
        <w:rPr>
          <w:color w:val="231F20"/>
          <w:spacing w:val="-18"/>
        </w:rPr>
        <w:t>children with</w:t>
      </w:r>
      <w:r>
        <w:rPr>
          <w:color w:val="231F20"/>
        </w:rPr>
        <w:t xml:space="preserve"> </w:t>
      </w:r>
      <w:r>
        <w:rPr>
          <w:color w:val="231F20"/>
          <w:spacing w:val="-18"/>
        </w:rPr>
        <w:t>acute</w:t>
      </w:r>
      <w:r>
        <w:rPr>
          <w:color w:val="231F20"/>
          <w:spacing w:val="5"/>
        </w:rPr>
        <w:t xml:space="preserve"> </w:t>
      </w:r>
      <w:r>
        <w:rPr>
          <w:color w:val="231F20"/>
          <w:spacing w:val="-18"/>
        </w:rPr>
        <w:t>attack</w:t>
      </w:r>
      <w:r>
        <w:rPr>
          <w:color w:val="231F20"/>
          <w:spacing w:val="4"/>
        </w:rPr>
        <w:t xml:space="preserve"> </w:t>
      </w:r>
      <w:r>
        <w:rPr>
          <w:color w:val="231F20"/>
          <w:spacing w:val="-18"/>
        </w:rPr>
        <w:t>of bronchial</w:t>
      </w:r>
      <w:r>
        <w:rPr>
          <w:color w:val="231F20"/>
          <w:spacing w:val="4"/>
        </w:rPr>
        <w:t xml:space="preserve"> </w:t>
      </w:r>
      <w:r>
        <w:rPr>
          <w:color w:val="231F20"/>
          <w:spacing w:val="-19"/>
        </w:rPr>
        <w:t>asthma</w:t>
      </w:r>
      <w:r>
        <w:rPr>
          <w:color w:val="231F20"/>
          <w:spacing w:val="5"/>
        </w:rPr>
        <w:t xml:space="preserve"> </w:t>
      </w:r>
      <w:r>
        <w:rPr>
          <w:color w:val="231F20"/>
          <w:spacing w:val="-19"/>
        </w:rPr>
        <w:t>complicated</w:t>
      </w:r>
      <w:r>
        <w:rPr>
          <w:color w:val="231F20"/>
          <w:spacing w:val="2"/>
        </w:rPr>
        <w:t xml:space="preserve"> </w:t>
      </w:r>
      <w:r>
        <w:rPr>
          <w:color w:val="231F20"/>
          <w:spacing w:val="-19"/>
        </w:rPr>
        <w:t>with</w:t>
      </w:r>
      <w:r>
        <w:rPr>
          <w:color w:val="231F20"/>
          <w:spacing w:val="3"/>
        </w:rPr>
        <w:t xml:space="preserve"> </w:t>
      </w:r>
      <w:r>
        <w:rPr>
          <w:color w:val="231F20"/>
          <w:spacing w:val="-19"/>
        </w:rPr>
        <w:t>bronchopneumonia</w:t>
      </w:r>
      <w:r>
        <w:rPr>
          <w:color w:val="231F20"/>
          <w:spacing w:val="5"/>
        </w:rPr>
        <w:t xml:space="preserve"> </w:t>
      </w:r>
      <w:r>
        <w:rPr>
          <w:color w:val="231F20"/>
          <w:spacing w:val="-19"/>
        </w:rPr>
        <w:t>admitted</w:t>
      </w:r>
      <w:r>
        <w:rPr>
          <w:color w:val="231F20"/>
          <w:spacing w:val="5"/>
        </w:rPr>
        <w:t xml:space="preserve"> </w:t>
      </w:r>
      <w:r>
        <w:rPr>
          <w:color w:val="231F20"/>
          <w:spacing w:val="-19"/>
        </w:rPr>
        <w:t>in</w:t>
      </w:r>
      <w:r>
        <w:rPr>
          <w:color w:val="231F20"/>
          <w:spacing w:val="4"/>
        </w:rPr>
        <w:t xml:space="preserve"> </w:t>
      </w:r>
      <w:r>
        <w:rPr>
          <w:color w:val="231F20"/>
          <w:spacing w:val="-19"/>
        </w:rPr>
        <w:t>our</w:t>
      </w:r>
      <w:r>
        <w:rPr>
          <w:color w:val="231F20"/>
          <w:spacing w:val="2"/>
        </w:rPr>
        <w:t xml:space="preserve"> </w:t>
      </w:r>
      <w:r>
        <w:rPr>
          <w:color w:val="231F20"/>
          <w:spacing w:val="-19"/>
        </w:rPr>
        <w:t>hospital</w:t>
      </w:r>
      <w:r>
        <w:rPr>
          <w:color w:val="231F20"/>
        </w:rPr>
        <w:t xml:space="preserve"> </w:t>
      </w:r>
      <w:r>
        <w:rPr>
          <w:color w:val="231F20"/>
          <w:spacing w:val="-19"/>
        </w:rPr>
        <w:t>from January</w:t>
      </w:r>
      <w:r>
        <w:rPr>
          <w:color w:val="231F20"/>
          <w:spacing w:val="4"/>
        </w:rPr>
        <w:t xml:space="preserve"> </w:t>
      </w:r>
      <w:r>
        <w:rPr>
          <w:color w:val="231F20"/>
          <w:spacing w:val="-19"/>
        </w:rPr>
        <w:t>2016</w:t>
      </w:r>
      <w:r>
        <w:rPr>
          <w:color w:val="231F20"/>
          <w:spacing w:val="2"/>
        </w:rPr>
        <w:t xml:space="preserve"> </w:t>
      </w:r>
      <w:r>
        <w:rPr>
          <w:color w:val="231F20"/>
          <w:spacing w:val="-19"/>
        </w:rPr>
        <w:t>to January</w:t>
      </w:r>
      <w:r>
        <w:rPr>
          <w:color w:val="231F20"/>
          <w:spacing w:val="5"/>
        </w:rPr>
        <w:t xml:space="preserve"> </w:t>
      </w:r>
      <w:r>
        <w:rPr>
          <w:color w:val="231F20"/>
          <w:spacing w:val="-19"/>
        </w:rPr>
        <w:t>2021</w:t>
      </w:r>
      <w:r>
        <w:rPr>
          <w:color w:val="231F20"/>
        </w:rPr>
        <w:t xml:space="preserve"> </w:t>
      </w:r>
      <w:r>
        <w:rPr>
          <w:color w:val="231F20"/>
          <w:spacing w:val="-19"/>
        </w:rPr>
        <w:t>were</w:t>
      </w:r>
      <w:r>
        <w:rPr>
          <w:color w:val="231F20"/>
          <w:spacing w:val="6"/>
        </w:rPr>
        <w:t xml:space="preserve"> </w:t>
      </w:r>
      <w:r>
        <w:rPr>
          <w:color w:val="231F20"/>
          <w:spacing w:val="-19"/>
        </w:rPr>
        <w:t>selected.</w:t>
      </w:r>
    </w:p>
    <w:p>
      <w:pPr>
        <w:pStyle w:val="BodyText"/>
        <w:ind w:left="384" w:right="90" w:firstLine="2"/>
        <w:spacing w:before="4" w:line="235" w:lineRule="auto"/>
        <w:jc w:val="both"/>
        <w:rPr/>
      </w:pPr>
      <w:r>
        <w:pict>
          <v:shape id="_x0000_s18" style="position:absolute;margin-left:19.1604pt;margin-top:107.837pt;mso-position-vertical-relative:text;mso-position-horizontal-relative:text;width:515.95pt;height:0.85pt;z-index:251658240;" filled="false" strokecolor="#231F20" strokeweight="0.85pt" coordsize="10319,17" coordorigin="0,0" path="m0,8l10318,8e">
            <v:stroke joinstyle="miter" miterlimit="4"/>
          </v:shape>
        </w:pict>
      </w:r>
      <w:r>
        <w:rPr>
          <w:color w:val="231F20"/>
          <w:spacing w:val="-19"/>
          <w:w w:val="99"/>
        </w:rPr>
        <w:t>According</w:t>
      </w:r>
      <w:r>
        <w:rPr>
          <w:color w:val="231F20"/>
          <w:spacing w:val="6"/>
        </w:rPr>
        <w:t xml:space="preserve"> </w:t>
      </w:r>
      <w:r>
        <w:rPr>
          <w:color w:val="231F20"/>
          <w:spacing w:val="-19"/>
          <w:w w:val="99"/>
        </w:rPr>
        <w:t>to</w:t>
      </w:r>
      <w:r>
        <w:rPr>
          <w:color w:val="231F20"/>
          <w:spacing w:val="5"/>
        </w:rPr>
        <w:t xml:space="preserve"> </w:t>
      </w:r>
      <w:r>
        <w:rPr>
          <w:color w:val="231F20"/>
          <w:spacing w:val="-19"/>
          <w:w w:val="99"/>
        </w:rPr>
        <w:t>the</w:t>
      </w:r>
      <w:r>
        <w:rPr>
          <w:color w:val="231F20"/>
          <w:spacing w:val="6"/>
        </w:rPr>
        <w:t xml:space="preserve"> </w:t>
      </w:r>
      <w:r>
        <w:rPr>
          <w:color w:val="231F20"/>
          <w:spacing w:val="-19"/>
          <w:w w:val="99"/>
        </w:rPr>
        <w:t>rando</w:t>
      </w:r>
      <w:r>
        <w:rPr>
          <w:color w:val="231F20"/>
          <w:spacing w:val="-20"/>
          <w:w w:val="99"/>
        </w:rPr>
        <w:t>m</w:t>
      </w:r>
      <w:r>
        <w:rPr>
          <w:color w:val="231F20"/>
          <w:spacing w:val="7"/>
        </w:rPr>
        <w:t xml:space="preserve"> </w:t>
      </w:r>
      <w:r>
        <w:rPr>
          <w:color w:val="231F20"/>
          <w:spacing w:val="-20"/>
          <w:w w:val="99"/>
        </w:rPr>
        <w:t>number</w:t>
      </w:r>
      <w:r>
        <w:rPr>
          <w:color w:val="231F20"/>
          <w:spacing w:val="3"/>
        </w:rPr>
        <w:t xml:space="preserve"> </w:t>
      </w:r>
      <w:r>
        <w:rPr>
          <w:color w:val="231F20"/>
          <w:spacing w:val="-20"/>
          <w:w w:val="99"/>
        </w:rPr>
        <w:t>table</w:t>
      </w:r>
      <w:r>
        <w:rPr>
          <w:color w:val="231F20"/>
          <w:spacing w:val="7"/>
        </w:rPr>
        <w:t xml:space="preserve"> </w:t>
      </w:r>
      <w:r>
        <w:rPr>
          <w:color w:val="231F20"/>
          <w:spacing w:val="-20"/>
          <w:w w:val="99"/>
        </w:rPr>
        <w:t>method,</w:t>
      </w:r>
      <w:r>
        <w:rPr>
          <w:color w:val="231F20"/>
          <w:spacing w:val="6"/>
        </w:rPr>
        <w:t xml:space="preserve"> </w:t>
      </w:r>
      <w:r>
        <w:rPr>
          <w:color w:val="231F20"/>
          <w:spacing w:val="-20"/>
          <w:w w:val="99"/>
        </w:rPr>
        <w:t>they</w:t>
      </w:r>
      <w:r>
        <w:rPr>
          <w:color w:val="231F20"/>
          <w:spacing w:val="3"/>
        </w:rPr>
        <w:t xml:space="preserve"> </w:t>
      </w:r>
      <w:r>
        <w:rPr>
          <w:color w:val="231F20"/>
          <w:spacing w:val="-20"/>
          <w:w w:val="99"/>
        </w:rPr>
        <w:t>were</w:t>
      </w:r>
      <w:r>
        <w:rPr>
          <w:color w:val="231F20"/>
          <w:spacing w:val="8"/>
        </w:rPr>
        <w:t xml:space="preserve"> </w:t>
      </w:r>
      <w:r>
        <w:rPr>
          <w:color w:val="231F20"/>
          <w:spacing w:val="-20"/>
          <w:w w:val="99"/>
        </w:rPr>
        <w:t>divided</w:t>
      </w:r>
      <w:r>
        <w:rPr>
          <w:color w:val="231F20"/>
          <w:spacing w:val="8"/>
        </w:rPr>
        <w:t xml:space="preserve"> </w:t>
      </w:r>
      <w:r>
        <w:rPr>
          <w:color w:val="231F20"/>
          <w:spacing w:val="-20"/>
          <w:w w:val="99"/>
        </w:rPr>
        <w:t>into</w:t>
      </w:r>
      <w:r>
        <w:rPr>
          <w:color w:val="231F20"/>
          <w:spacing w:val="6"/>
        </w:rPr>
        <w:t xml:space="preserve"> </w:t>
      </w:r>
      <w:r>
        <w:rPr>
          <w:color w:val="231F20"/>
          <w:spacing w:val="-20"/>
          <w:w w:val="99"/>
        </w:rPr>
        <w:t>the</w:t>
      </w:r>
      <w:r>
        <w:rPr>
          <w:color w:val="231F20"/>
          <w:spacing w:val="7"/>
        </w:rPr>
        <w:t xml:space="preserve"> </w:t>
      </w:r>
      <w:r>
        <w:rPr>
          <w:color w:val="231F20"/>
          <w:spacing w:val="-20"/>
          <w:w w:val="99"/>
        </w:rPr>
        <w:t>control</w:t>
      </w:r>
      <w:r>
        <w:rPr>
          <w:color w:val="231F20"/>
          <w:spacing w:val="8"/>
        </w:rPr>
        <w:t xml:space="preserve"> </w:t>
      </w:r>
      <w:r>
        <w:rPr>
          <w:color w:val="231F20"/>
          <w:spacing w:val="-20"/>
          <w:w w:val="99"/>
        </w:rPr>
        <w:t>group</w:t>
      </w:r>
      <w:r>
        <w:rPr>
          <w:color w:val="231F20"/>
          <w:spacing w:val="8"/>
        </w:rPr>
        <w:t xml:space="preserve"> </w:t>
      </w:r>
      <w:r>
        <w:rPr>
          <w:color w:val="231F20"/>
          <w:spacing w:val="-20"/>
          <w:w w:val="99"/>
        </w:rPr>
        <w:t>and</w:t>
      </w:r>
      <w:r>
        <w:rPr>
          <w:color w:val="231F20"/>
          <w:spacing w:val="5"/>
        </w:rPr>
        <w:t xml:space="preserve"> </w:t>
      </w:r>
      <w:r>
        <w:rPr>
          <w:color w:val="231F20"/>
          <w:spacing w:val="-20"/>
          <w:w w:val="99"/>
        </w:rPr>
        <w:t>the</w:t>
      </w:r>
      <w:r>
        <w:rPr>
          <w:color w:val="231F20"/>
          <w:spacing w:val="7"/>
        </w:rPr>
        <w:t xml:space="preserve"> </w:t>
      </w:r>
      <w:r>
        <w:rPr>
          <w:color w:val="231F20"/>
          <w:spacing w:val="-20"/>
          <w:w w:val="99"/>
        </w:rPr>
        <w:t>observation</w:t>
      </w:r>
      <w:r>
        <w:rPr>
          <w:color w:val="231F20"/>
          <w:spacing w:val="8"/>
        </w:rPr>
        <w:t xml:space="preserve"> </w:t>
      </w:r>
      <w:r>
        <w:rPr>
          <w:color w:val="231F20"/>
          <w:spacing w:val="-20"/>
          <w:w w:val="99"/>
        </w:rPr>
        <w:t>group,</w:t>
      </w:r>
      <w:r>
        <w:rPr>
          <w:color w:val="231F20"/>
          <w:spacing w:val="4"/>
        </w:rPr>
        <w:t xml:space="preserve"> </w:t>
      </w:r>
      <w:r>
        <w:rPr>
          <w:color w:val="231F20"/>
          <w:spacing w:val="-20"/>
          <w:w w:val="99"/>
        </w:rPr>
        <w:t>with</w:t>
      </w:r>
      <w:r>
        <w:rPr>
          <w:color w:val="231F20"/>
          <w:spacing w:val="6"/>
        </w:rPr>
        <w:t xml:space="preserve"> </w:t>
      </w:r>
      <w:r>
        <w:rPr>
          <w:color w:val="231F20"/>
          <w:spacing w:val="-20"/>
          <w:w w:val="99"/>
        </w:rPr>
        <w:t>75</w:t>
      </w:r>
      <w:r>
        <w:rPr>
          <w:color w:val="231F20"/>
          <w:spacing w:val="7"/>
        </w:rPr>
        <w:t xml:space="preserve"> </w:t>
      </w:r>
      <w:r>
        <w:rPr>
          <w:color w:val="231F20"/>
          <w:spacing w:val="-20"/>
          <w:w w:val="99"/>
        </w:rPr>
        <w:t>cases</w:t>
      </w:r>
      <w:r>
        <w:rPr>
          <w:color w:val="231F20"/>
          <w:spacing w:val="8"/>
        </w:rPr>
        <w:t xml:space="preserve"> </w:t>
      </w:r>
      <w:r>
        <w:rPr>
          <w:color w:val="231F20"/>
          <w:spacing w:val="-20"/>
          <w:w w:val="99"/>
        </w:rPr>
        <w:t>in</w:t>
      </w:r>
      <w:r>
        <w:rPr>
          <w:color w:val="231F20"/>
          <w:spacing w:val="8"/>
        </w:rPr>
        <w:t xml:space="preserve"> </w:t>
      </w:r>
      <w:r>
        <w:rPr>
          <w:color w:val="231F20"/>
          <w:spacing w:val="-20"/>
          <w:w w:val="99"/>
        </w:rPr>
        <w:t>each</w:t>
      </w:r>
      <w:r>
        <w:rPr>
          <w:color w:val="231F20"/>
          <w:spacing w:val="8"/>
        </w:rPr>
        <w:t xml:space="preserve"> </w:t>
      </w:r>
      <w:r>
        <w:rPr>
          <w:color w:val="231F20"/>
          <w:spacing w:val="-20"/>
          <w:w w:val="99"/>
        </w:rPr>
        <w:t>group.</w:t>
      </w:r>
      <w:r>
        <w:rPr>
          <w:color w:val="231F20"/>
        </w:rPr>
        <w:t xml:space="preserve"> </w:t>
      </w:r>
      <w:r>
        <w:rPr>
          <w:color w:val="231F20"/>
          <w:spacing w:val="-19"/>
        </w:rPr>
        <w:t>The</w:t>
      </w:r>
      <w:r>
        <w:rPr>
          <w:color w:val="231F20"/>
          <w:spacing w:val="-1"/>
        </w:rPr>
        <w:t xml:space="preserve"> </w:t>
      </w:r>
      <w:r>
        <w:rPr>
          <w:color w:val="231F20"/>
          <w:spacing w:val="-19"/>
        </w:rPr>
        <w:t>control</w:t>
      </w:r>
      <w:r>
        <w:rPr>
          <w:color w:val="231F20"/>
        </w:rPr>
        <w:t xml:space="preserve"> </w:t>
      </w:r>
      <w:r>
        <w:rPr>
          <w:color w:val="231F20"/>
          <w:spacing w:val="-19"/>
        </w:rPr>
        <w:t>group was</w:t>
      </w:r>
      <w:r>
        <w:rPr>
          <w:color w:val="231F20"/>
        </w:rPr>
        <w:t xml:space="preserve"> </w:t>
      </w:r>
      <w:r>
        <w:rPr>
          <w:color w:val="231F20"/>
          <w:spacing w:val="-19"/>
        </w:rPr>
        <w:t>given routine treatment,</w:t>
      </w:r>
      <w:r>
        <w:rPr>
          <w:color w:val="231F20"/>
          <w:spacing w:val="-1"/>
        </w:rPr>
        <w:t xml:space="preserve"> </w:t>
      </w:r>
      <w:r>
        <w:rPr>
          <w:color w:val="231F20"/>
          <w:spacing w:val="-19"/>
        </w:rPr>
        <w:t>and the</w:t>
      </w:r>
      <w:r>
        <w:rPr>
          <w:color w:val="231F20"/>
        </w:rPr>
        <w:t xml:space="preserve"> </w:t>
      </w:r>
      <w:r>
        <w:rPr>
          <w:color w:val="231F20"/>
          <w:spacing w:val="-19"/>
        </w:rPr>
        <w:t>observation</w:t>
      </w:r>
      <w:r>
        <w:rPr>
          <w:color w:val="231F20"/>
        </w:rPr>
        <w:t xml:space="preserve"> </w:t>
      </w:r>
      <w:r>
        <w:rPr>
          <w:color w:val="231F20"/>
          <w:spacing w:val="-19"/>
        </w:rPr>
        <w:t>group </w:t>
      </w:r>
      <w:r>
        <w:rPr>
          <w:color w:val="231F20"/>
          <w:spacing w:val="-20"/>
        </w:rPr>
        <w:t>was</w:t>
      </w:r>
      <w:r>
        <w:rPr>
          <w:color w:val="231F20"/>
        </w:rPr>
        <w:t xml:space="preserve"> </w:t>
      </w:r>
      <w:r>
        <w:rPr>
          <w:color w:val="231F20"/>
          <w:spacing w:val="-20"/>
        </w:rPr>
        <w:t>given</w:t>
      </w:r>
      <w:r>
        <w:rPr>
          <w:color w:val="231F20"/>
          <w:spacing w:val="-4"/>
        </w:rPr>
        <w:t xml:space="preserve"> </w:t>
      </w:r>
      <w:r>
        <w:rPr>
          <w:color w:val="231F20"/>
          <w:spacing w:val="-20"/>
        </w:rPr>
        <w:t>Terbutaline</w:t>
      </w:r>
      <w:r>
        <w:rPr>
          <w:color w:val="231F20"/>
        </w:rPr>
        <w:t xml:space="preserve"> </w:t>
      </w:r>
      <w:r>
        <w:rPr>
          <w:color w:val="231F20"/>
          <w:spacing w:val="-20"/>
        </w:rPr>
        <w:t>combined</w:t>
      </w:r>
      <w:r>
        <w:rPr>
          <w:color w:val="231F20"/>
          <w:spacing w:val="-4"/>
        </w:rPr>
        <w:t xml:space="preserve"> </w:t>
      </w:r>
      <w:r>
        <w:rPr>
          <w:color w:val="231F20"/>
          <w:spacing w:val="-20"/>
        </w:rPr>
        <w:t>with</w:t>
      </w:r>
      <w:r>
        <w:rPr>
          <w:color w:val="231F20"/>
          <w:spacing w:val="2"/>
        </w:rPr>
        <w:t xml:space="preserve"> </w:t>
      </w:r>
      <w:r>
        <w:rPr>
          <w:color w:val="231F20"/>
          <w:spacing w:val="-20"/>
        </w:rPr>
        <w:t>Montelukast</w:t>
      </w:r>
      <w:r>
        <w:rPr>
          <w:color w:val="231F20"/>
        </w:rPr>
        <w:t xml:space="preserve"> </w:t>
      </w:r>
      <w:r>
        <w:rPr>
          <w:color w:val="231F20"/>
          <w:spacing w:val="-20"/>
        </w:rPr>
        <w:t>on</w:t>
      </w:r>
      <w:r>
        <w:rPr>
          <w:color w:val="231F20"/>
          <w:spacing w:val="-3"/>
        </w:rPr>
        <w:t xml:space="preserve"> </w:t>
      </w:r>
      <w:r>
        <w:rPr>
          <w:color w:val="231F20"/>
          <w:spacing w:val="-20"/>
        </w:rPr>
        <w:t>the</w:t>
      </w:r>
      <w:r>
        <w:rPr>
          <w:color w:val="231F20"/>
          <w:spacing w:val="-2"/>
        </w:rPr>
        <w:t xml:space="preserve"> </w:t>
      </w:r>
      <w:r>
        <w:rPr>
          <w:color w:val="231F20"/>
          <w:spacing w:val="-20"/>
        </w:rPr>
        <w:t>basis</w:t>
      </w:r>
      <w:r>
        <w:rPr>
          <w:color w:val="231F20"/>
        </w:rPr>
        <w:t xml:space="preserve"> </w:t>
      </w:r>
      <w:r>
        <w:rPr>
          <w:color w:val="231F20"/>
          <w:spacing w:val="-20"/>
        </w:rPr>
        <w:t>of control</w:t>
      </w:r>
      <w:r>
        <w:rPr>
          <w:color w:val="231F20"/>
        </w:rPr>
        <w:t xml:space="preserve"> </w:t>
      </w:r>
      <w:r>
        <w:rPr>
          <w:color w:val="231F20"/>
          <w:spacing w:val="-16"/>
        </w:rPr>
        <w:t>group. The clinical efficacy, lung function indexes</w:t>
      </w:r>
      <w:r>
        <w:rPr>
          <w:color w:val="231F20"/>
          <w:spacing w:val="2"/>
        </w:rPr>
        <w:t xml:space="preserve"> </w:t>
      </w:r>
      <w:r>
        <w:rPr>
          <w:color w:val="231F20"/>
          <w:spacing w:val="-16"/>
        </w:rPr>
        <w:t>[minute</w:t>
      </w:r>
      <w:r>
        <w:rPr>
          <w:color w:val="231F20"/>
          <w:spacing w:val="-3"/>
        </w:rPr>
        <w:t xml:space="preserve"> </w:t>
      </w:r>
      <w:r>
        <w:rPr>
          <w:color w:val="231F20"/>
          <w:spacing w:val="-16"/>
        </w:rPr>
        <w:t>ventilation</w:t>
      </w:r>
      <w:r>
        <w:rPr>
          <w:color w:val="231F20"/>
          <w:spacing w:val="-3"/>
        </w:rPr>
        <w:t xml:space="preserve"> </w:t>
      </w:r>
      <w:r>
        <w:rPr>
          <w:color w:val="231F20"/>
          <w:spacing w:val="-16"/>
        </w:rPr>
        <w:t>volume</w:t>
      </w:r>
      <w:r>
        <w:rPr>
          <w:color w:val="231F20"/>
          <w:spacing w:val="1"/>
        </w:rPr>
        <w:t xml:space="preserve"> </w:t>
      </w:r>
      <w:r>
        <w:rPr>
          <w:color w:val="231F20"/>
          <w:spacing w:val="-16"/>
        </w:rPr>
        <w:t>(M</w:t>
      </w:r>
      <w:r>
        <w:rPr>
          <w:color w:val="231F20"/>
          <w:spacing w:val="-17"/>
        </w:rPr>
        <w:t>V)</w:t>
      </w:r>
      <w:r>
        <w:rPr>
          <w:color w:val="231F20"/>
          <w:spacing w:val="-2"/>
        </w:rPr>
        <w:t xml:space="preserve"> </w:t>
      </w:r>
      <w:r>
        <w:rPr>
          <w:color w:val="231F20"/>
          <w:spacing w:val="-17"/>
        </w:rPr>
        <w:t>and</w:t>
      </w:r>
      <w:r>
        <w:rPr>
          <w:color w:val="231F20"/>
          <w:spacing w:val="-4"/>
        </w:rPr>
        <w:t xml:space="preserve"> </w:t>
      </w:r>
      <w:r>
        <w:rPr>
          <w:color w:val="231F20"/>
          <w:spacing w:val="-17"/>
        </w:rPr>
        <w:t>tidal</w:t>
      </w:r>
      <w:r>
        <w:rPr>
          <w:color w:val="231F20"/>
          <w:spacing w:val="-3"/>
        </w:rPr>
        <w:t xml:space="preserve"> </w:t>
      </w:r>
      <w:r>
        <w:rPr>
          <w:color w:val="231F20"/>
          <w:spacing w:val="-17"/>
        </w:rPr>
        <w:t>volume</w:t>
      </w:r>
      <w:r>
        <w:rPr>
          <w:color w:val="231F20"/>
          <w:spacing w:val="2"/>
        </w:rPr>
        <w:t xml:space="preserve"> </w:t>
      </w:r>
      <w:r>
        <w:rPr>
          <w:color w:val="231F20"/>
          <w:spacing w:val="-17"/>
        </w:rPr>
        <w:t>(VT)],</w:t>
      </w:r>
      <w:r>
        <w:rPr>
          <w:color w:val="231F20"/>
          <w:spacing w:val="-2"/>
        </w:rPr>
        <w:t xml:space="preserve"> </w:t>
      </w:r>
      <w:r>
        <w:rPr>
          <w:color w:val="231F20"/>
          <w:spacing w:val="-17"/>
        </w:rPr>
        <w:t>immune</w:t>
      </w:r>
      <w:r>
        <w:rPr>
          <w:color w:val="231F20"/>
          <w:spacing w:val="-6"/>
        </w:rPr>
        <w:t xml:space="preserve"> </w:t>
      </w:r>
      <w:r>
        <w:rPr>
          <w:color w:val="231F20"/>
          <w:spacing w:val="-17"/>
        </w:rPr>
        <w:t>function</w:t>
      </w:r>
      <w:r>
        <w:rPr>
          <w:color w:val="231F20"/>
          <w:spacing w:val="-1"/>
        </w:rPr>
        <w:t xml:space="preserve"> </w:t>
      </w:r>
      <w:r>
        <w:rPr>
          <w:color w:val="231F20"/>
          <w:spacing w:val="-17"/>
        </w:rPr>
        <w:t>indexes</w:t>
      </w:r>
      <w:r>
        <w:rPr>
          <w:color w:val="231F20"/>
          <w:spacing w:val="2"/>
        </w:rPr>
        <w:t xml:space="preserve"> </w:t>
      </w:r>
      <w:r>
        <w:rPr>
          <w:color w:val="231F20"/>
          <w:spacing w:val="-17"/>
        </w:rPr>
        <w:t>(CD4</w:t>
      </w:r>
      <w:r>
        <w:rPr>
          <w:sz w:val="10"/>
          <w:szCs w:val="10"/>
          <w:color w:val="231F20"/>
          <w:spacing w:val="-17"/>
          <w:position w:val="8"/>
        </w:rPr>
        <w:t>+</w:t>
      </w:r>
      <w:r>
        <w:rPr>
          <w:color w:val="231F20"/>
          <w:spacing w:val="-14"/>
        </w:rPr>
        <w:t>,</w:t>
      </w:r>
      <w:r>
        <w:rPr>
          <w:color w:val="231F20"/>
        </w:rPr>
        <w:t xml:space="preserve"> </w:t>
      </w:r>
      <w:r>
        <w:rPr>
          <w:color w:val="231F20"/>
          <w:spacing w:val="-14"/>
        </w:rPr>
        <w:t>CD8</w:t>
      </w:r>
      <w:r>
        <w:rPr>
          <w:sz w:val="10"/>
          <w:szCs w:val="10"/>
          <w:color w:val="231F20"/>
          <w:spacing w:val="-14"/>
          <w:position w:val="8"/>
        </w:rPr>
        <w:t>+</w:t>
      </w:r>
      <w:r>
        <w:rPr>
          <w:color w:val="231F20"/>
          <w:spacing w:val="2"/>
        </w:rPr>
        <w:t>,</w:t>
      </w:r>
      <w:r>
        <w:rPr>
          <w:color w:val="231F20"/>
        </w:rPr>
        <w:t xml:space="preserve"> </w:t>
      </w:r>
      <w:r>
        <w:rPr>
          <w:color w:val="231F20"/>
          <w:spacing w:val="-15"/>
        </w:rPr>
        <w:t>CD4</w:t>
      </w:r>
      <w:r>
        <w:rPr>
          <w:sz w:val="10"/>
          <w:szCs w:val="10"/>
          <w:color w:val="231F20"/>
          <w:spacing w:val="-15"/>
          <w:position w:val="8"/>
        </w:rPr>
        <w:t>+</w:t>
      </w:r>
      <w:r>
        <w:rPr>
          <w:color w:val="231F20"/>
          <w:spacing w:val="-16"/>
          <w:w w:val="99"/>
        </w:rPr>
        <w:t>/CD8</w:t>
      </w:r>
      <w:r>
        <w:rPr>
          <w:sz w:val="10"/>
          <w:szCs w:val="10"/>
          <w:color w:val="231F20"/>
          <w:spacing w:val="-16"/>
          <w:w w:val="99"/>
          <w:position w:val="8"/>
        </w:rPr>
        <w:t>+</w:t>
      </w:r>
      <w:r>
        <w:rPr>
          <w:color w:val="231F20"/>
          <w:spacing w:val="-18"/>
        </w:rPr>
        <w:t>)</w:t>
      </w:r>
      <w:r>
        <w:rPr>
          <w:color w:val="231F20"/>
          <w:spacing w:val="15"/>
        </w:rPr>
        <w:t xml:space="preserve"> </w:t>
      </w:r>
      <w:r>
        <w:rPr>
          <w:color w:val="231F20"/>
          <w:spacing w:val="-18"/>
        </w:rPr>
        <w:t>and</w:t>
      </w:r>
      <w:r>
        <w:rPr>
          <w:color w:val="231F20"/>
          <w:spacing w:val="13"/>
          <w:w w:val="101"/>
        </w:rPr>
        <w:t xml:space="preserve"> </w:t>
      </w:r>
      <w:r>
        <w:rPr>
          <w:color w:val="231F20"/>
          <w:spacing w:val="-18"/>
        </w:rPr>
        <w:t>adverse</w:t>
      </w:r>
      <w:r>
        <w:rPr>
          <w:color w:val="231F20"/>
          <w:spacing w:val="12"/>
        </w:rPr>
        <w:t xml:space="preserve"> </w:t>
      </w:r>
      <w:r>
        <w:rPr>
          <w:color w:val="231F20"/>
          <w:spacing w:val="-18"/>
        </w:rPr>
        <w:t>reactions</w:t>
      </w:r>
      <w:r>
        <w:rPr>
          <w:color w:val="231F20"/>
          <w:spacing w:val="9"/>
        </w:rPr>
        <w:t xml:space="preserve"> </w:t>
      </w:r>
      <w:r>
        <w:rPr>
          <w:color w:val="231F20"/>
          <w:spacing w:val="-18"/>
        </w:rPr>
        <w:t>were</w:t>
      </w:r>
      <w:r>
        <w:rPr>
          <w:color w:val="231F20"/>
          <w:spacing w:val="14"/>
          <w:w w:val="101"/>
        </w:rPr>
        <w:t xml:space="preserve"> </w:t>
      </w:r>
      <w:r>
        <w:rPr>
          <w:color w:val="231F20"/>
          <w:spacing w:val="-18"/>
        </w:rPr>
        <w:t>compared</w:t>
      </w:r>
      <w:r>
        <w:rPr>
          <w:color w:val="231F20"/>
          <w:spacing w:val="13"/>
        </w:rPr>
        <w:t xml:space="preserve"> </w:t>
      </w:r>
      <w:r>
        <w:rPr>
          <w:color w:val="231F20"/>
          <w:spacing w:val="-18"/>
        </w:rPr>
        <w:t>between</w:t>
      </w:r>
      <w:r>
        <w:rPr>
          <w:color w:val="231F20"/>
          <w:spacing w:val="11"/>
        </w:rPr>
        <w:t xml:space="preserve"> </w:t>
      </w:r>
      <w:r>
        <w:rPr>
          <w:color w:val="231F20"/>
          <w:spacing w:val="-18"/>
        </w:rPr>
        <w:t>two</w:t>
      </w:r>
      <w:r>
        <w:rPr>
          <w:color w:val="231F20"/>
          <w:spacing w:val="14"/>
        </w:rPr>
        <w:t xml:space="preserve"> </w:t>
      </w:r>
      <w:r>
        <w:rPr>
          <w:color w:val="231F20"/>
          <w:spacing w:val="-18"/>
        </w:rPr>
        <w:t>groups.</w:t>
      </w:r>
      <w:r>
        <w:rPr>
          <w:color w:val="231F20"/>
          <w:spacing w:val="12"/>
        </w:rPr>
        <w:t xml:space="preserve"> </w:t>
      </w:r>
      <w:r>
        <w:rPr>
          <w:rFonts w:ascii="SimSun" w:hAnsi="SimSun" w:eastAsia="SimSun" w:cs="SimSun"/>
          <w:b/>
          <w:bCs/>
          <w:color w:val="231F20"/>
          <w:spacing w:val="-18"/>
        </w:rPr>
        <w:t>Result:</w:t>
      </w:r>
      <w:r>
        <w:rPr>
          <w:rFonts w:ascii="SimSun" w:hAnsi="SimSun" w:eastAsia="SimSun" w:cs="SimSun"/>
          <w:color w:val="231F20"/>
          <w:spacing w:val="-26"/>
        </w:rPr>
        <w:t xml:space="preserve"> </w:t>
      </w:r>
      <w:r>
        <w:rPr>
          <w:color w:val="231F20"/>
          <w:spacing w:val="-18"/>
        </w:rPr>
        <w:t>The</w:t>
      </w:r>
      <w:r>
        <w:rPr>
          <w:color w:val="231F20"/>
          <w:spacing w:val="11"/>
        </w:rPr>
        <w:t xml:space="preserve"> </w:t>
      </w:r>
      <w:r>
        <w:rPr>
          <w:color w:val="231F20"/>
          <w:spacing w:val="-18"/>
        </w:rPr>
        <w:t>total</w:t>
      </w:r>
      <w:r>
        <w:rPr>
          <w:color w:val="231F20"/>
          <w:spacing w:val="14"/>
          <w:w w:val="101"/>
        </w:rPr>
        <w:t xml:space="preserve"> </w:t>
      </w:r>
      <w:r>
        <w:rPr>
          <w:color w:val="231F20"/>
          <w:spacing w:val="-18"/>
        </w:rPr>
        <w:t>effectiv</w:t>
      </w:r>
      <w:r>
        <w:rPr>
          <w:color w:val="231F20"/>
          <w:spacing w:val="-19"/>
        </w:rPr>
        <w:t>e</w:t>
      </w:r>
      <w:r>
        <w:rPr>
          <w:color w:val="231F20"/>
          <w:spacing w:val="12"/>
        </w:rPr>
        <w:t xml:space="preserve"> </w:t>
      </w:r>
      <w:r>
        <w:rPr>
          <w:color w:val="231F20"/>
          <w:spacing w:val="-19"/>
        </w:rPr>
        <w:t>rate</w:t>
      </w:r>
      <w:r>
        <w:rPr>
          <w:color w:val="231F20"/>
          <w:spacing w:val="14"/>
        </w:rPr>
        <w:t xml:space="preserve"> </w:t>
      </w:r>
      <w:r>
        <w:rPr>
          <w:color w:val="231F20"/>
          <w:spacing w:val="-19"/>
        </w:rPr>
        <w:t>in</w:t>
      </w:r>
      <w:r>
        <w:rPr>
          <w:color w:val="231F20"/>
          <w:spacing w:val="11"/>
        </w:rPr>
        <w:t xml:space="preserve"> </w:t>
      </w:r>
      <w:r>
        <w:rPr>
          <w:color w:val="231F20"/>
          <w:spacing w:val="-19"/>
        </w:rPr>
        <w:t>the</w:t>
      </w:r>
      <w:r>
        <w:rPr>
          <w:color w:val="231F20"/>
          <w:spacing w:val="14"/>
        </w:rPr>
        <w:t xml:space="preserve"> </w:t>
      </w:r>
      <w:r>
        <w:rPr>
          <w:color w:val="231F20"/>
          <w:spacing w:val="-19"/>
        </w:rPr>
        <w:t>observation</w:t>
      </w:r>
      <w:r>
        <w:rPr>
          <w:color w:val="231F20"/>
          <w:spacing w:val="14"/>
        </w:rPr>
        <w:t xml:space="preserve"> </w:t>
      </w:r>
      <w:r>
        <w:rPr>
          <w:color w:val="231F20"/>
          <w:spacing w:val="-19"/>
        </w:rPr>
        <w:t>group</w:t>
      </w:r>
      <w:r>
        <w:rPr>
          <w:color w:val="231F20"/>
          <w:spacing w:val="10"/>
        </w:rPr>
        <w:t xml:space="preserve"> </w:t>
      </w:r>
      <w:r>
        <w:rPr>
          <w:color w:val="231F20"/>
          <w:spacing w:val="-19"/>
        </w:rPr>
        <w:t>was</w:t>
      </w:r>
      <w:r>
        <w:rPr>
          <w:color w:val="231F20"/>
          <w:spacing w:val="13"/>
        </w:rPr>
        <w:t xml:space="preserve"> </w:t>
      </w:r>
      <w:r>
        <w:rPr>
          <w:color w:val="231F20"/>
          <w:spacing w:val="-19"/>
        </w:rPr>
        <w:t>96.00%,</w:t>
      </w:r>
      <w:r>
        <w:rPr>
          <w:color w:val="231F20"/>
        </w:rPr>
        <w:t xml:space="preserve"> </w:t>
      </w:r>
      <w:r>
        <w:rPr>
          <w:u w:val="single" w:color="auto"/>
          <w:color w:val="231F20"/>
          <w:spacing w:val="-16"/>
        </w:rPr>
        <w:t>which</w:t>
      </w:r>
      <w:r>
        <w:rPr>
          <w:u w:val="single" w:color="auto"/>
          <w:color w:val="231F20"/>
          <w:spacing w:val="24"/>
        </w:rPr>
        <w:t xml:space="preserve"> </w:t>
      </w:r>
      <w:r>
        <w:rPr>
          <w:u w:val="single" w:color="auto"/>
          <w:color w:val="231F20"/>
          <w:spacing w:val="-16"/>
        </w:rPr>
        <w:t>was</w:t>
      </w:r>
      <w:r>
        <w:rPr>
          <w:u w:val="single" w:color="auto"/>
          <w:color w:val="231F20"/>
          <w:spacing w:val="13"/>
          <w:w w:val="101"/>
        </w:rPr>
        <w:t xml:space="preserve"> </w:t>
      </w:r>
      <w:r>
        <w:rPr>
          <w:u w:val="single" w:color="auto"/>
          <w:color w:val="231F20"/>
          <w:spacing w:val="-16"/>
        </w:rPr>
        <w:t>significantly</w:t>
      </w:r>
      <w:r>
        <w:rPr>
          <w:u w:val="single" w:color="auto"/>
          <w:color w:val="231F20"/>
          <w:spacing w:val="11"/>
        </w:rPr>
        <w:t xml:space="preserve"> </w:t>
      </w:r>
      <w:r>
        <w:rPr>
          <w:u w:val="single" w:color="auto"/>
          <w:color w:val="231F20"/>
          <w:spacing w:val="-16"/>
        </w:rPr>
        <w:t>higher</w:t>
      </w:r>
      <w:r>
        <w:rPr>
          <w:u w:val="single" w:color="auto"/>
          <w:color w:val="231F20"/>
          <w:spacing w:val="8"/>
        </w:rPr>
        <w:t xml:space="preserve"> </w:t>
      </w:r>
      <w:r>
        <w:rPr>
          <w:u w:val="single" w:color="auto"/>
          <w:color w:val="231F20"/>
          <w:spacing w:val="-16"/>
        </w:rPr>
        <w:t>than</w:t>
      </w:r>
      <w:r>
        <w:rPr>
          <w:u w:val="single" w:color="auto"/>
          <w:color w:val="231F20"/>
          <w:spacing w:val="14"/>
          <w:w w:val="101"/>
        </w:rPr>
        <w:t xml:space="preserve"> </w:t>
      </w:r>
      <w:r>
        <w:rPr>
          <w:u w:val="single" w:color="auto"/>
          <w:color w:val="231F20"/>
          <w:spacing w:val="-16"/>
        </w:rPr>
        <w:t>82.67%</w:t>
      </w:r>
      <w:r>
        <w:rPr>
          <w:u w:val="single" w:color="auto"/>
          <w:color w:val="231F20"/>
          <w:spacing w:val="12"/>
        </w:rPr>
        <w:t xml:space="preserve"> </w:t>
      </w:r>
      <w:r>
        <w:rPr>
          <w:u w:val="single" w:color="auto"/>
          <w:color w:val="231F20"/>
          <w:spacing w:val="-16"/>
        </w:rPr>
        <w:t>in</w:t>
      </w:r>
      <w:r>
        <w:rPr>
          <w:u w:val="single" w:color="auto"/>
          <w:color w:val="231F20"/>
          <w:spacing w:val="10"/>
        </w:rPr>
        <w:t xml:space="preserve"> </w:t>
      </w:r>
      <w:r>
        <w:rPr>
          <w:u w:val="single" w:color="auto"/>
          <w:color w:val="231F20"/>
          <w:spacing w:val="-16"/>
        </w:rPr>
        <w:t>the</w:t>
      </w:r>
      <w:r>
        <w:rPr>
          <w:u w:val="single" w:color="auto"/>
          <w:color w:val="231F20"/>
          <w:spacing w:val="13"/>
        </w:rPr>
        <w:t xml:space="preserve"> </w:t>
      </w:r>
      <w:r>
        <w:rPr>
          <w:u w:val="single" w:color="auto"/>
          <w:color w:val="231F20"/>
          <w:spacing w:val="-16"/>
        </w:rPr>
        <w:t>control</w:t>
      </w:r>
      <w:r>
        <w:rPr>
          <w:u w:val="single" w:color="auto"/>
          <w:color w:val="231F20"/>
          <w:spacing w:val="12"/>
        </w:rPr>
        <w:t xml:space="preserve"> </w:t>
      </w:r>
      <w:r>
        <w:rPr>
          <w:u w:val="single" w:color="auto"/>
          <w:color w:val="231F20"/>
          <w:spacing w:val="-16"/>
        </w:rPr>
        <w:t>group,</w:t>
      </w:r>
      <w:r>
        <w:rPr>
          <w:u w:val="single" w:color="auto"/>
          <w:color w:val="231F20"/>
          <w:spacing w:val="10"/>
        </w:rPr>
        <w:t xml:space="preserve"> </w:t>
      </w:r>
      <w:r>
        <w:rPr>
          <w:u w:val="single" w:color="auto"/>
          <w:color w:val="231F20"/>
          <w:spacing w:val="-16"/>
        </w:rPr>
        <w:t>the</w:t>
      </w:r>
      <w:r>
        <w:rPr>
          <w:color w:val="231F20"/>
          <w:spacing w:val="13"/>
        </w:rPr>
        <w:t xml:space="preserve"> </w:t>
      </w:r>
      <w:r>
        <w:rPr>
          <w:color w:val="231F20"/>
          <w:spacing w:val="-16"/>
        </w:rPr>
        <w:t>difference</w:t>
      </w:r>
      <w:r>
        <w:rPr>
          <w:color w:val="231F20"/>
          <w:spacing w:val="8"/>
        </w:rPr>
        <w:t xml:space="preserve"> </w:t>
      </w:r>
      <w:r>
        <w:rPr>
          <w:color w:val="231F20"/>
          <w:spacing w:val="-16"/>
        </w:rPr>
        <w:t>was</w:t>
      </w:r>
      <w:r>
        <w:rPr>
          <w:color w:val="231F20"/>
          <w:spacing w:val="14"/>
        </w:rPr>
        <w:t xml:space="preserve"> </w:t>
      </w:r>
      <w:r>
        <w:rPr>
          <w:color w:val="231F20"/>
          <w:spacing w:val="-16"/>
        </w:rPr>
        <w:t>statistically</w:t>
      </w:r>
      <w:r>
        <w:rPr>
          <w:color w:val="231F20"/>
          <w:spacing w:val="13"/>
          <w:w w:val="101"/>
        </w:rPr>
        <w:t xml:space="preserve"> </w:t>
      </w:r>
      <w:r>
        <w:rPr>
          <w:color w:val="231F20"/>
          <w:spacing w:val="-16"/>
        </w:rPr>
        <w:t>significant</w:t>
      </w:r>
      <w:r>
        <w:rPr>
          <w:color w:val="231F20"/>
          <w:spacing w:val="15"/>
          <w:w w:val="101"/>
        </w:rPr>
        <w:t xml:space="preserve"> </w:t>
      </w:r>
      <w:r>
        <w:rPr>
          <w:color w:val="231F20"/>
          <w:spacing w:val="-16"/>
        </w:rPr>
        <w:t>(</w:t>
      </w:r>
      <w:r>
        <w:rPr>
          <w:rFonts w:ascii="Times New Roman" w:hAnsi="Times New Roman" w:eastAsia="Times New Roman" w:cs="Times New Roman"/>
          <w:color w:val="231F20"/>
          <w:spacing w:val="-16"/>
        </w:rPr>
        <w:t>P</w:t>
      </w:r>
      <w:r>
        <w:rPr>
          <w:color w:val="231F20"/>
          <w:spacing w:val="-16"/>
        </w:rPr>
        <w:t>&lt;0.05).</w:t>
      </w:r>
      <w:r>
        <w:rPr>
          <w:color w:val="231F20"/>
          <w:spacing w:val="11"/>
        </w:rPr>
        <w:t xml:space="preserve"> </w:t>
      </w:r>
      <w:r>
        <w:rPr>
          <w:color w:val="231F20"/>
          <w:spacing w:val="-16"/>
        </w:rPr>
        <w:t>After</w:t>
      </w:r>
      <w:r>
        <w:rPr>
          <w:color w:val="231F20"/>
          <w:spacing w:val="8"/>
        </w:rPr>
        <w:t xml:space="preserve"> </w:t>
      </w:r>
      <w:r>
        <w:rPr>
          <w:color w:val="231F20"/>
          <w:spacing w:val="-16"/>
        </w:rPr>
        <w:t>treatment,</w:t>
      </w:r>
      <w:r>
        <w:rPr>
          <w:color w:val="231F20"/>
          <w:spacing w:val="10"/>
        </w:rPr>
        <w:t xml:space="preserve"> </w:t>
      </w:r>
      <w:r>
        <w:rPr>
          <w:color w:val="231F20"/>
          <w:spacing w:val="-16"/>
        </w:rPr>
        <w:t>the</w:t>
      </w:r>
      <w:r>
        <w:rPr>
          <w:color w:val="231F20"/>
          <w:spacing w:val="11"/>
        </w:rPr>
        <w:t xml:space="preserve"> </w:t>
      </w:r>
      <w:r>
        <w:rPr>
          <w:color w:val="231F20"/>
          <w:spacing w:val="-16"/>
        </w:rPr>
        <w:t>lung</w:t>
      </w:r>
      <w:r>
        <w:rPr>
          <w:color w:val="231F20"/>
        </w:rPr>
        <w:t xml:space="preserve"> </w:t>
      </w:r>
      <w:r>
        <w:rPr>
          <w:color w:val="231F20"/>
          <w:spacing w:val="-4"/>
        </w:rPr>
        <w:t>①福建省福州儿童医院   福建    福州</w:t>
      </w:r>
      <w:r>
        <w:rPr>
          <w:color w:val="231F20"/>
          <w:spacing w:val="10"/>
        </w:rPr>
        <w:t xml:space="preserve">   </w:t>
      </w:r>
      <w:r>
        <w:rPr>
          <w:color w:val="231F20"/>
          <w:spacing w:val="-4"/>
        </w:rPr>
        <w:t>350004</w:t>
      </w:r>
    </w:p>
    <w:p>
      <w:pPr>
        <w:spacing w:before="10"/>
        <w:rPr/>
      </w:pPr>
      <w:r/>
    </w:p>
    <w:p>
      <w:pPr>
        <w:spacing w:before="10"/>
        <w:rPr/>
      </w:pPr>
      <w:r/>
    </w:p>
    <w:p>
      <w:pPr>
        <w:spacing w:before="10"/>
        <w:rPr/>
      </w:pPr>
      <w:r/>
    </w:p>
    <w:p>
      <w:pPr>
        <w:sectPr>
          <w:headerReference w:type="default" r:id="rId5"/>
          <w:footerReference w:type="default" r:id="rId6"/>
          <w:pgSz w:w="11906" w:h="16838"/>
          <w:pgMar w:top="1471" w:right="705" w:bottom="1085" w:left="407" w:header="1038" w:footer="812" w:gutter="0"/>
          <w:cols w:equalWidth="0" w:num="1">
            <w:col w:w="10792" w:space="0"/>
          </w:cols>
        </w:sectPr>
        <w:rPr/>
      </w:pPr>
    </w:p>
    <w:p>
      <w:pPr>
        <w:pStyle w:val="BodyText"/>
        <w:ind w:left="607"/>
        <w:spacing w:before="39" w:line="223" w:lineRule="auto"/>
        <w:rPr>
          <w:sz w:val="17"/>
          <w:szCs w:val="17"/>
        </w:rPr>
      </w:pPr>
      <w:r>
        <w:rPr>
          <w:sz w:val="17"/>
          <w:szCs w:val="17"/>
          <w:color w:val="231F20"/>
          <w:spacing w:val="-8"/>
        </w:rPr>
        <w:t>53-57.</w:t>
      </w:r>
    </w:p>
    <w:p>
      <w:pPr>
        <w:pStyle w:val="BodyText"/>
        <w:ind w:left="605" w:right="247" w:hanging="215"/>
        <w:spacing w:before="8" w:line="221" w:lineRule="auto"/>
        <w:rPr>
          <w:sz w:val="17"/>
          <w:szCs w:val="17"/>
        </w:rPr>
      </w:pPr>
      <w:r>
        <w:rPr>
          <w:sz w:val="17"/>
          <w:szCs w:val="17"/>
          <w:color w:val="231F20"/>
          <w:spacing w:val="-1"/>
        </w:rPr>
        <w:t>[8] 路祖科，薛金花 . 化肝煎加减联合“四联疗法”治疗 Hp</w:t>
      </w:r>
      <w:r>
        <w:rPr>
          <w:sz w:val="17"/>
          <w:szCs w:val="17"/>
          <w:color w:val="231F20"/>
          <w:spacing w:val="19"/>
        </w:rPr>
        <w:t xml:space="preserve"> </w:t>
      </w:r>
      <w:r>
        <w:rPr>
          <w:sz w:val="17"/>
          <w:szCs w:val="17"/>
          <w:color w:val="231F20"/>
          <w:spacing w:val="-1"/>
        </w:rPr>
        <w:t>阳性慢</w:t>
      </w:r>
      <w:r>
        <w:rPr>
          <w:sz w:val="17"/>
          <w:szCs w:val="17"/>
          <w:color w:val="231F20"/>
        </w:rPr>
        <w:t xml:space="preserve"> </w:t>
      </w:r>
      <w:r>
        <w:rPr>
          <w:sz w:val="17"/>
          <w:szCs w:val="17"/>
          <w:color w:val="231F20"/>
          <w:spacing w:val="1"/>
        </w:rPr>
        <w:t>性胃炎疗效及对患者胃蛋白酶原和胃泌素 17 的影响 [J].</w:t>
      </w:r>
      <w:r>
        <w:rPr>
          <w:sz w:val="17"/>
          <w:szCs w:val="17"/>
          <w:color w:val="231F20"/>
          <w:spacing w:val="29"/>
          <w:w w:val="101"/>
        </w:rPr>
        <w:t xml:space="preserve"> </w:t>
      </w:r>
      <w:r>
        <w:rPr>
          <w:sz w:val="17"/>
          <w:szCs w:val="17"/>
          <w:color w:val="231F20"/>
          <w:spacing w:val="1"/>
        </w:rPr>
        <w:t>中国中</w:t>
      </w:r>
      <w:r>
        <w:rPr>
          <w:sz w:val="17"/>
          <w:szCs w:val="17"/>
          <w:color w:val="231F20"/>
        </w:rPr>
        <w:t xml:space="preserve"> </w:t>
      </w:r>
      <w:r>
        <w:rPr>
          <w:sz w:val="17"/>
          <w:szCs w:val="17"/>
          <w:color w:val="231F20"/>
          <w:spacing w:val="-9"/>
        </w:rPr>
        <w:t>西医结合消化杂志，2019，27（3</w:t>
      </w:r>
      <w:r>
        <w:rPr>
          <w:sz w:val="17"/>
          <w:szCs w:val="17"/>
          <w:color w:val="231F20"/>
          <w:spacing w:val="-7"/>
        </w:rPr>
        <w:t>）：</w:t>
      </w:r>
      <w:r>
        <w:rPr>
          <w:sz w:val="17"/>
          <w:szCs w:val="17"/>
          <w:color w:val="231F20"/>
          <w:spacing w:val="-9"/>
        </w:rPr>
        <w:t>28-31，</w:t>
      </w:r>
      <w:r>
        <w:rPr>
          <w:sz w:val="17"/>
          <w:szCs w:val="17"/>
          <w:color w:val="231F20"/>
          <w:spacing w:val="-10"/>
        </w:rPr>
        <w:t>40.</w:t>
      </w:r>
    </w:p>
    <w:p>
      <w:pPr>
        <w:pStyle w:val="BodyText"/>
        <w:ind w:left="605" w:right="248" w:hanging="215"/>
        <w:spacing w:before="34" w:line="221" w:lineRule="auto"/>
        <w:rPr>
          <w:sz w:val="17"/>
          <w:szCs w:val="17"/>
        </w:rPr>
      </w:pPr>
      <w:r>
        <w:rPr>
          <w:sz w:val="17"/>
          <w:szCs w:val="17"/>
          <w:color w:val="231F20"/>
          <w:spacing w:val="5"/>
        </w:rPr>
        <w:t>[9] 李常娟，魏俊伟，张金华，等 . 含呋</w:t>
      </w:r>
      <w:r>
        <w:rPr>
          <w:sz w:val="17"/>
          <w:szCs w:val="17"/>
          <w:color w:val="231F20"/>
          <w:spacing w:val="4"/>
        </w:rPr>
        <w:t>喃唑酮与含克拉霉素四联</w:t>
      </w:r>
      <w:r>
        <w:rPr>
          <w:sz w:val="17"/>
          <w:szCs w:val="17"/>
          <w:color w:val="231F20"/>
        </w:rPr>
        <w:t xml:space="preserve"> </w:t>
      </w:r>
      <w:r>
        <w:rPr>
          <w:sz w:val="17"/>
          <w:szCs w:val="17"/>
          <w:color w:val="231F20"/>
          <w:spacing w:val="6"/>
        </w:rPr>
        <w:t>方案联合双歧杆菌三联活菌肠溶胶囊治疗幽门螺杆菌的应用价</w:t>
      </w:r>
      <w:r>
        <w:rPr>
          <w:sz w:val="17"/>
          <w:szCs w:val="17"/>
          <w:color w:val="231F20"/>
          <w:spacing w:val="11"/>
        </w:rPr>
        <w:t xml:space="preserve"> </w:t>
      </w:r>
      <w:r>
        <w:rPr>
          <w:sz w:val="17"/>
          <w:szCs w:val="17"/>
          <w:color w:val="231F20"/>
          <w:spacing w:val="-8"/>
        </w:rPr>
        <w:t>值 [J]. 临床和实验医学杂志，2019，18（10</w:t>
      </w:r>
      <w:r>
        <w:rPr>
          <w:sz w:val="17"/>
          <w:szCs w:val="17"/>
          <w:color w:val="231F20"/>
          <w:spacing w:val="-7"/>
        </w:rPr>
        <w:t>）：</w:t>
      </w:r>
      <w:r>
        <w:rPr>
          <w:sz w:val="17"/>
          <w:szCs w:val="17"/>
          <w:color w:val="231F20"/>
          <w:spacing w:val="-8"/>
        </w:rPr>
        <w:t>57-6</w:t>
      </w:r>
      <w:r>
        <w:rPr>
          <w:sz w:val="17"/>
          <w:szCs w:val="17"/>
          <w:color w:val="231F20"/>
          <w:spacing w:val="-9"/>
        </w:rPr>
        <w:t>0.</w:t>
      </w:r>
    </w:p>
    <w:p>
      <w:pPr>
        <w:pStyle w:val="BodyText"/>
        <w:ind w:left="590" w:right="249" w:hanging="200"/>
        <w:spacing w:before="34" w:line="221" w:lineRule="auto"/>
        <w:rPr>
          <w:sz w:val="17"/>
          <w:szCs w:val="17"/>
        </w:rPr>
      </w:pPr>
      <w:r>
        <w:rPr>
          <w:sz w:val="17"/>
          <w:szCs w:val="17"/>
          <w:color w:val="231F20"/>
          <w:spacing w:val="2"/>
        </w:rPr>
        <w:t>[10] 李常娟，张金华，魏俊伟，等 </w:t>
      </w:r>
      <w:r>
        <w:rPr>
          <w:sz w:val="17"/>
          <w:szCs w:val="17"/>
          <w:color w:val="231F20"/>
          <w:spacing w:val="1"/>
        </w:rPr>
        <w:t>. 铋剂四联疗法联合双歧三联活</w:t>
      </w:r>
      <w:r>
        <w:rPr>
          <w:sz w:val="17"/>
          <w:szCs w:val="17"/>
          <w:color w:val="231F20"/>
        </w:rPr>
        <w:t xml:space="preserve"> </w:t>
      </w:r>
      <w:r>
        <w:rPr>
          <w:sz w:val="17"/>
          <w:szCs w:val="17"/>
          <w:color w:val="231F20"/>
          <w:spacing w:val="-1"/>
        </w:rPr>
        <w:t>菌对 Hp 感染患者的疗效 [J]. 基因</w:t>
      </w:r>
      <w:r>
        <w:rPr>
          <w:sz w:val="17"/>
          <w:szCs w:val="17"/>
          <w:color w:val="231F20"/>
          <w:spacing w:val="-2"/>
        </w:rPr>
        <w:t>组学与应用生物学，2019，38</w:t>
      </w:r>
      <w:r>
        <w:rPr>
          <w:sz w:val="17"/>
          <w:szCs w:val="17"/>
          <w:color w:val="231F20"/>
        </w:rPr>
        <w:t xml:space="preserve"> </w:t>
      </w:r>
      <w:r>
        <w:rPr>
          <w:sz w:val="17"/>
          <w:szCs w:val="17"/>
          <w:color w:val="231F20"/>
          <w:spacing w:val="-14"/>
        </w:rPr>
        <w:t>（4</w:t>
      </w:r>
      <w:r>
        <w:rPr>
          <w:sz w:val="17"/>
          <w:szCs w:val="17"/>
          <w:color w:val="231F20"/>
          <w:spacing w:val="-10"/>
        </w:rPr>
        <w:t>）：</w:t>
      </w:r>
      <w:r>
        <w:rPr>
          <w:sz w:val="17"/>
          <w:szCs w:val="17"/>
          <w:color w:val="231F20"/>
          <w:spacing w:val="-14"/>
        </w:rPr>
        <w:t>1939-1943.</w:t>
      </w:r>
    </w:p>
    <w:p>
      <w:pPr>
        <w:pStyle w:val="BodyText"/>
        <w:ind w:left="684" w:right="249" w:hanging="294"/>
        <w:spacing w:before="34" w:line="221" w:lineRule="auto"/>
        <w:rPr>
          <w:sz w:val="17"/>
          <w:szCs w:val="17"/>
        </w:rPr>
      </w:pPr>
      <w:r>
        <w:rPr>
          <w:sz w:val="17"/>
          <w:szCs w:val="17"/>
          <w:color w:val="231F20"/>
          <w:spacing w:val="2"/>
        </w:rPr>
        <w:t>[11] 张曼，高炳霞，齐颖，等 . </w:t>
      </w:r>
      <w:r>
        <w:rPr>
          <w:sz w:val="17"/>
          <w:szCs w:val="17"/>
          <w:color w:val="231F20"/>
          <w:spacing w:val="1"/>
        </w:rPr>
        <w:t>依卡倍特钠联合常规四联疗法对幽</w:t>
      </w:r>
      <w:r>
        <w:rPr>
          <w:sz w:val="17"/>
          <w:szCs w:val="17"/>
          <w:color w:val="231F20"/>
        </w:rPr>
        <w:t xml:space="preserve"> </w:t>
      </w:r>
      <w:r>
        <w:rPr>
          <w:sz w:val="17"/>
          <w:szCs w:val="17"/>
          <w:color w:val="231F20"/>
          <w:spacing w:val="3"/>
        </w:rPr>
        <w:t>门螺杆菌阳性慢性萎缩性胃炎的疗效观察 [J]. 现代消化及介入</w:t>
      </w:r>
      <w:r>
        <w:rPr>
          <w:sz w:val="17"/>
          <w:szCs w:val="17"/>
          <w:color w:val="231F20"/>
          <w:spacing w:val="18"/>
          <w:w w:val="101"/>
        </w:rPr>
        <w:t xml:space="preserve"> </w:t>
      </w:r>
      <w:r>
        <w:rPr>
          <w:sz w:val="17"/>
          <w:szCs w:val="17"/>
          <w:color w:val="231F20"/>
          <w:spacing w:val="-12"/>
        </w:rPr>
        <w:t>诊疗，2020，25（1</w:t>
      </w:r>
      <w:r>
        <w:rPr>
          <w:sz w:val="17"/>
          <w:szCs w:val="17"/>
          <w:color w:val="231F20"/>
          <w:spacing w:val="-6"/>
        </w:rPr>
        <w:t>）：</w:t>
      </w:r>
      <w:r>
        <w:rPr>
          <w:sz w:val="17"/>
          <w:szCs w:val="17"/>
          <w:color w:val="231F20"/>
          <w:spacing w:val="-12"/>
        </w:rPr>
        <w:t>76-79.</w:t>
      </w:r>
    </w:p>
    <w:p>
      <w:pPr>
        <w:pStyle w:val="BodyText"/>
        <w:ind w:left="390"/>
        <w:spacing w:before="36" w:line="161" w:lineRule="auto"/>
        <w:rPr>
          <w:sz w:val="17"/>
          <w:szCs w:val="17"/>
        </w:rPr>
      </w:pPr>
      <w:r>
        <w:rPr>
          <w:sz w:val="17"/>
          <w:szCs w:val="17"/>
          <w:color w:val="231F20"/>
          <w:spacing w:val="2"/>
        </w:rPr>
        <w:t>[12] 王国庆，刘红军，梁素芳 . 益气活</w:t>
      </w:r>
      <w:r>
        <w:rPr>
          <w:sz w:val="17"/>
          <w:szCs w:val="17"/>
          <w:color w:val="231F20"/>
          <w:spacing w:val="1"/>
        </w:rPr>
        <w:t>血方联合三联疗法对气虚血</w:t>
      </w:r>
    </w:p>
    <w:p>
      <w:pPr>
        <w:spacing w:line="14" w:lineRule="auto"/>
        <w:rPr>
          <w:rFonts w:ascii="Arial"/>
          <w:sz w:val="2"/>
        </w:rPr>
      </w:pPr>
      <w:r>
        <w:rPr>
          <w:rFonts w:ascii="Arial" w:hAnsi="Arial" w:eastAsia="Arial" w:cs="Arial"/>
          <w:sz w:val="2"/>
          <w:szCs w:val="2"/>
        </w:rPr>
        <w:br w:type="column"/>
      </w:r>
    </w:p>
    <w:p>
      <w:pPr>
        <w:pStyle w:val="BodyText"/>
        <w:ind w:left="296" w:right="92" w:hanging="3"/>
        <w:spacing w:before="39" w:line="230" w:lineRule="auto"/>
        <w:rPr>
          <w:sz w:val="17"/>
          <w:szCs w:val="17"/>
        </w:rPr>
      </w:pPr>
      <w:r>
        <w:rPr>
          <w:sz w:val="17"/>
          <w:szCs w:val="17"/>
          <w:color w:val="231F20"/>
          <w:spacing w:val="4"/>
        </w:rPr>
        <w:t>瘀型慢性萎缩性胃炎患者炎性反应和血液流变</w:t>
      </w:r>
      <w:r>
        <w:rPr>
          <w:sz w:val="17"/>
          <w:szCs w:val="17"/>
          <w:color w:val="231F20"/>
          <w:spacing w:val="3"/>
        </w:rPr>
        <w:t>学的影响 [J]. 世</w:t>
      </w:r>
      <w:r>
        <w:rPr>
          <w:sz w:val="17"/>
          <w:szCs w:val="17"/>
          <w:color w:val="231F20"/>
        </w:rPr>
        <w:t xml:space="preserve"> </w:t>
      </w:r>
      <w:r>
        <w:rPr>
          <w:sz w:val="17"/>
          <w:szCs w:val="17"/>
          <w:color w:val="231F20"/>
          <w:spacing w:val="-12"/>
        </w:rPr>
        <w:t>界中医药，2019，14（1</w:t>
      </w:r>
      <w:r>
        <w:rPr>
          <w:sz w:val="17"/>
          <w:szCs w:val="17"/>
          <w:color w:val="231F20"/>
          <w:spacing w:val="1"/>
        </w:rPr>
        <w:t>）：</w:t>
      </w:r>
      <w:r>
        <w:rPr>
          <w:sz w:val="17"/>
          <w:szCs w:val="17"/>
          <w:color w:val="231F20"/>
          <w:spacing w:val="-12"/>
        </w:rPr>
        <w:t>182-186.</w:t>
      </w:r>
    </w:p>
    <w:p>
      <w:pPr>
        <w:pStyle w:val="BodyText"/>
        <w:ind w:left="297" w:right="37" w:hanging="297"/>
        <w:spacing w:before="3" w:line="227" w:lineRule="auto"/>
        <w:rPr>
          <w:sz w:val="17"/>
          <w:szCs w:val="17"/>
        </w:rPr>
      </w:pPr>
      <w:r>
        <w:rPr>
          <w:sz w:val="17"/>
          <w:szCs w:val="17"/>
          <w:color w:val="231F20"/>
          <w:spacing w:val="2"/>
        </w:rPr>
        <w:t>[13] 李彬龙，和水祥，李颜霞 . 两种方</w:t>
      </w:r>
      <w:r>
        <w:rPr>
          <w:sz w:val="17"/>
          <w:szCs w:val="17"/>
          <w:color w:val="231F20"/>
          <w:spacing w:val="1"/>
        </w:rPr>
        <w:t>案根除消化性溃疡和慢性胃</w:t>
      </w:r>
      <w:r>
        <w:rPr>
          <w:sz w:val="17"/>
          <w:szCs w:val="17"/>
          <w:color w:val="231F20"/>
        </w:rPr>
        <w:t xml:space="preserve">  </w:t>
      </w:r>
      <w:r>
        <w:rPr>
          <w:sz w:val="17"/>
          <w:szCs w:val="17"/>
          <w:color w:val="231F20"/>
          <w:spacing w:val="1"/>
        </w:rPr>
        <w:t>炎患者幽门螺杆菌的疗效对比 [J]. 西部医学，2019，31（7</w:t>
      </w:r>
      <w:r>
        <w:rPr>
          <w:sz w:val="17"/>
          <w:szCs w:val="17"/>
          <w:color w:val="231F20"/>
          <w:spacing w:val="-29"/>
        </w:rPr>
        <w:t>）：</w:t>
      </w:r>
      <w:r>
        <w:rPr>
          <w:sz w:val="17"/>
          <w:szCs w:val="17"/>
          <w:color w:val="231F20"/>
          <w:spacing w:val="1"/>
        </w:rPr>
        <w:t xml:space="preserve"> </w:t>
      </w:r>
      <w:r>
        <w:rPr>
          <w:sz w:val="17"/>
          <w:szCs w:val="17"/>
          <w:color w:val="231F20"/>
          <w:spacing w:val="-11"/>
        </w:rPr>
        <w:t>1053-1056.</w:t>
      </w:r>
    </w:p>
    <w:p>
      <w:pPr>
        <w:pStyle w:val="BodyText"/>
        <w:ind w:left="295" w:right="92" w:hanging="295"/>
        <w:spacing w:before="8" w:line="221" w:lineRule="auto"/>
        <w:rPr>
          <w:sz w:val="17"/>
          <w:szCs w:val="17"/>
        </w:rPr>
      </w:pPr>
      <w:r>
        <w:rPr>
          <w:sz w:val="17"/>
          <w:szCs w:val="17"/>
          <w:color w:val="231F20"/>
          <w:spacing w:val="-1"/>
        </w:rPr>
        <w:t>[14] 徐凡莉，熊倩，徐志军 .</w:t>
      </w:r>
      <w:r>
        <w:rPr>
          <w:sz w:val="17"/>
          <w:szCs w:val="17"/>
          <w:color w:val="231F20"/>
          <w:spacing w:val="14"/>
          <w:w w:val="101"/>
        </w:rPr>
        <w:t xml:space="preserve"> </w:t>
      </w:r>
      <w:r>
        <w:rPr>
          <w:sz w:val="17"/>
          <w:szCs w:val="17"/>
          <w:color w:val="231F20"/>
          <w:spacing w:val="-1"/>
        </w:rPr>
        <w:t>内镜下 RFA 结合基础疗</w:t>
      </w:r>
      <w:r>
        <w:rPr>
          <w:sz w:val="17"/>
          <w:szCs w:val="17"/>
          <w:color w:val="231F20"/>
          <w:spacing w:val="-2"/>
        </w:rPr>
        <w:t>法对慢性隆起</w:t>
      </w:r>
      <w:r>
        <w:rPr>
          <w:sz w:val="17"/>
          <w:szCs w:val="17"/>
          <w:color w:val="231F20"/>
        </w:rPr>
        <w:t xml:space="preserve"> </w:t>
      </w:r>
      <w:r>
        <w:rPr>
          <w:sz w:val="17"/>
          <w:szCs w:val="17"/>
          <w:color w:val="231F20"/>
          <w:spacing w:val="3"/>
        </w:rPr>
        <w:t>糜烂型胃炎患者的效果及胃肠激素水平的影响 [J]. 现代消化及</w:t>
      </w:r>
      <w:r>
        <w:rPr>
          <w:sz w:val="17"/>
          <w:szCs w:val="17"/>
          <w:color w:val="231F20"/>
          <w:spacing w:val="18"/>
        </w:rPr>
        <w:t xml:space="preserve"> </w:t>
      </w:r>
      <w:r>
        <w:rPr>
          <w:sz w:val="17"/>
          <w:szCs w:val="17"/>
          <w:color w:val="231F20"/>
          <w:spacing w:val="-11"/>
        </w:rPr>
        <w:t>介入诊疗，2019，11（9</w:t>
      </w:r>
      <w:r>
        <w:rPr>
          <w:sz w:val="17"/>
          <w:szCs w:val="17"/>
          <w:color w:val="231F20"/>
          <w:spacing w:val="-9"/>
        </w:rPr>
        <w:t>）：</w:t>
      </w:r>
      <w:r>
        <w:rPr>
          <w:sz w:val="17"/>
          <w:szCs w:val="17"/>
          <w:color w:val="231F20"/>
          <w:spacing w:val="-11"/>
        </w:rPr>
        <w:t>957-960.</w:t>
      </w:r>
    </w:p>
    <w:p>
      <w:pPr>
        <w:pStyle w:val="BodyText"/>
        <w:ind w:left="306" w:right="90" w:hanging="306"/>
        <w:spacing w:before="35" w:line="216" w:lineRule="auto"/>
        <w:rPr>
          <w:sz w:val="17"/>
          <w:szCs w:val="17"/>
        </w:rPr>
      </w:pPr>
      <w:r>
        <w:rPr>
          <w:sz w:val="17"/>
          <w:szCs w:val="17"/>
          <w:color w:val="231F20"/>
          <w:spacing w:val="-2"/>
        </w:rPr>
        <w:t>[15] 朱怀平 . 埃索美拉唑与奥美拉</w:t>
      </w:r>
      <w:r>
        <w:rPr>
          <w:sz w:val="17"/>
          <w:szCs w:val="17"/>
          <w:color w:val="231F20"/>
          <w:spacing w:val="-3"/>
        </w:rPr>
        <w:t>唑治疗胃溃疡的效果比较 [J]. 河北</w:t>
      </w:r>
      <w:r>
        <w:rPr>
          <w:sz w:val="17"/>
          <w:szCs w:val="17"/>
          <w:color w:val="231F20"/>
        </w:rPr>
        <w:t xml:space="preserve"> </w:t>
      </w:r>
      <w:r>
        <w:rPr>
          <w:sz w:val="17"/>
          <w:szCs w:val="17"/>
          <w:color w:val="231F20"/>
          <w:spacing w:val="-13"/>
        </w:rPr>
        <w:t>医药，2019，41（18</w:t>
      </w:r>
      <w:r>
        <w:rPr>
          <w:sz w:val="17"/>
          <w:szCs w:val="17"/>
          <w:color w:val="231F20"/>
          <w:spacing w:val="-9"/>
        </w:rPr>
        <w:t>）：</w:t>
      </w:r>
      <w:r>
        <w:rPr>
          <w:sz w:val="17"/>
          <w:szCs w:val="17"/>
          <w:color w:val="231F20"/>
          <w:spacing w:val="-13"/>
        </w:rPr>
        <w:t>2843-2845.</w:t>
      </w:r>
    </w:p>
    <w:p>
      <w:pPr>
        <w:pStyle w:val="BodyText"/>
        <w:ind w:left="295" w:right="92" w:hanging="295"/>
        <w:spacing w:before="34" w:line="221" w:lineRule="auto"/>
        <w:rPr>
          <w:sz w:val="17"/>
          <w:szCs w:val="17"/>
        </w:rPr>
      </w:pPr>
      <w:r>
        <w:rPr>
          <w:sz w:val="17"/>
          <w:szCs w:val="17"/>
          <w:color w:val="231F20"/>
          <w:spacing w:val="2"/>
        </w:rPr>
        <w:t>[16] 郭涛，王强，吴晰，等 . 阿</w:t>
      </w:r>
      <w:r>
        <w:rPr>
          <w:sz w:val="17"/>
          <w:szCs w:val="17"/>
          <w:color w:val="231F20"/>
          <w:spacing w:val="1"/>
        </w:rPr>
        <w:t>莫西林和克拉霉素的铋剂四联方案</w:t>
      </w:r>
      <w:r>
        <w:rPr>
          <w:sz w:val="17"/>
          <w:szCs w:val="17"/>
          <w:color w:val="231F20"/>
        </w:rPr>
        <w:t xml:space="preserve"> </w:t>
      </w:r>
      <w:r>
        <w:rPr>
          <w:sz w:val="17"/>
          <w:szCs w:val="17"/>
          <w:color w:val="231F20"/>
          <w:spacing w:val="2"/>
        </w:rPr>
        <w:t>作为初次根除幽门螺杆菌治疗的 1 年随访结果 [J].</w:t>
      </w:r>
      <w:r>
        <w:rPr>
          <w:sz w:val="17"/>
          <w:szCs w:val="17"/>
          <w:color w:val="231F20"/>
          <w:spacing w:val="17"/>
        </w:rPr>
        <w:t xml:space="preserve"> </w:t>
      </w:r>
      <w:r>
        <w:rPr>
          <w:sz w:val="17"/>
          <w:szCs w:val="17"/>
          <w:color w:val="231F20"/>
          <w:spacing w:val="2"/>
        </w:rPr>
        <w:t>中国医学科</w:t>
      </w:r>
      <w:r>
        <w:rPr>
          <w:sz w:val="17"/>
          <w:szCs w:val="17"/>
          <w:color w:val="231F20"/>
        </w:rPr>
        <w:t xml:space="preserve"> </w:t>
      </w:r>
      <w:r>
        <w:rPr>
          <w:sz w:val="17"/>
          <w:szCs w:val="17"/>
          <w:color w:val="231F20"/>
          <w:spacing w:val="-11"/>
        </w:rPr>
        <w:t>学院学报，2019，41（1</w:t>
      </w:r>
      <w:r>
        <w:rPr>
          <w:sz w:val="17"/>
          <w:szCs w:val="17"/>
          <w:color w:val="231F20"/>
          <w:spacing w:val="-5"/>
        </w:rPr>
        <w:t>）：</w:t>
      </w:r>
      <w:r>
        <w:rPr>
          <w:sz w:val="17"/>
          <w:szCs w:val="17"/>
          <w:color w:val="231F20"/>
          <w:spacing w:val="-11"/>
        </w:rPr>
        <w:t>75-79.</w:t>
      </w:r>
    </w:p>
    <w:p>
      <w:pPr>
        <w:pStyle w:val="BodyText"/>
        <w:spacing w:before="35" w:line="161" w:lineRule="auto"/>
        <w:jc w:val="right"/>
        <w:rPr>
          <w:sz w:val="17"/>
          <w:szCs w:val="17"/>
        </w:rPr>
      </w:pPr>
      <w:r>
        <w:rPr>
          <w:sz w:val="17"/>
          <w:szCs w:val="17"/>
          <w:color w:val="231F20"/>
          <w:spacing w:val="-4"/>
        </w:rPr>
        <w:t>（收稿日期：2021-03-09</w:t>
      </w:r>
      <w:r>
        <w:rPr>
          <w:sz w:val="17"/>
          <w:szCs w:val="17"/>
          <w:color w:val="231F20"/>
          <w:spacing w:val="-7"/>
        </w:rPr>
        <w:t>）（</w:t>
      </w:r>
      <w:r>
        <w:rPr>
          <w:sz w:val="17"/>
          <w:szCs w:val="17"/>
          <w:color w:val="231F20"/>
          <w:spacing w:val="-4"/>
        </w:rPr>
        <w:t>本文编辑：薛琦琪）</w:t>
      </w:r>
    </w:p>
    <w:sectPr>
      <w:type w:val="continuous"/>
      <w:pgSz w:w="11906" w:h="16838"/>
      <w:pgMar w:top="1471" w:right="705" w:bottom="1085" w:left="407" w:header="1038" w:footer="812" w:gutter="0"/>
      <w:cols w:equalWidth="0" w:num="2">
        <w:col w:w="5620" w:space="100"/>
        <w:col w:w="507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7"/>
      <w:spacing w:line="203" w:lineRule="auto"/>
      <w:rPr/>
    </w:pPr>
    <w:r>
      <w:rPr>
        <w:sz w:val="13"/>
        <w:szCs w:val="13"/>
        <w:color w:val="231F20"/>
        <w:spacing w:val="-4"/>
      </w:rPr>
      <w:t>Chinese and</w:t>
    </w:r>
    <w:r>
      <w:rPr>
        <w:sz w:val="13"/>
        <w:szCs w:val="13"/>
        <w:color w:val="231F20"/>
        <w:spacing w:val="13"/>
        <w:w w:val="101"/>
      </w:rPr>
      <w:t xml:space="preserve"> </w:t>
    </w:r>
    <w:r>
      <w:rPr>
        <w:sz w:val="13"/>
        <w:szCs w:val="13"/>
        <w:color w:val="231F20"/>
        <w:spacing w:val="-4"/>
      </w:rPr>
      <w:t>Foreign</w:t>
    </w:r>
    <w:r>
      <w:rPr>
        <w:sz w:val="13"/>
        <w:szCs w:val="13"/>
        <w:color w:val="231F20"/>
        <w:spacing w:val="6"/>
      </w:rPr>
      <w:t xml:space="preserve"> </w:t>
    </w:r>
    <w:r>
      <w:rPr>
        <w:sz w:val="13"/>
        <w:szCs w:val="13"/>
        <w:color w:val="231F20"/>
        <w:spacing w:val="-4"/>
      </w:rPr>
      <w:t>Medica</w:t>
    </w:r>
    <w:r>
      <w:rPr>
        <w:sz w:val="13"/>
        <w:szCs w:val="13"/>
        <w:color w:val="231F20"/>
        <w:spacing w:val="-5"/>
      </w:rPr>
      <w:t>l</w:t>
    </w:r>
    <w:r>
      <w:rPr>
        <w:sz w:val="13"/>
        <w:szCs w:val="13"/>
        <w:color w:val="231F20"/>
        <w:spacing w:val="9"/>
        <w:w w:val="101"/>
      </w:rPr>
      <w:t xml:space="preserve"> </w:t>
    </w:r>
    <w:r>
      <w:rPr>
        <w:sz w:val="13"/>
        <w:szCs w:val="13"/>
        <w:color w:val="231F20"/>
        <w:spacing w:val="-5"/>
      </w:rPr>
      <w:t>Research Vol.19,</w:t>
    </w:r>
    <w:r>
      <w:rPr>
        <w:sz w:val="13"/>
        <w:szCs w:val="13"/>
        <w:color w:val="231F20"/>
        <w:spacing w:val="7"/>
      </w:rPr>
      <w:t xml:space="preserve"> </w:t>
    </w:r>
    <w:r>
      <w:rPr>
        <w:sz w:val="13"/>
        <w:szCs w:val="13"/>
        <w:color w:val="231F20"/>
        <w:spacing w:val="-5"/>
      </w:rPr>
      <w:t>No.30 October, 2021</w:t>
    </w:r>
    <w:r>
      <w:rPr>
        <w:sz w:val="13"/>
        <w:szCs w:val="13"/>
        <w:color w:val="231F20"/>
      </w:rPr>
      <w:t xml:space="preserve">                                                                                                                                                        </w:t>
    </w:r>
    <w:r>
      <w:rPr>
        <w:color w:val="231F20"/>
        <w:spacing w:val="4"/>
        <w:position w:val="-2"/>
      </w:rPr>
      <w:t>- 39 -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1"/>
      <w:spacing w:line="203" w:lineRule="auto"/>
      <w:rPr>
        <w:sz w:val="13"/>
        <w:szCs w:val="13"/>
      </w:rPr>
    </w:pPr>
    <w:r>
      <w:rPr>
        <w:color w:val="231F20"/>
        <w:spacing w:val="-3"/>
        <w:position w:val="-2"/>
      </w:rPr>
      <w:t>- 40 -</w:t>
    </w:r>
    <w:r>
      <w:rPr>
        <w:color w:val="231F20"/>
        <w:position w:val="-2"/>
      </w:rPr>
      <w:t xml:space="preserve">                                                                                                              </w:t>
    </w:r>
    <w:r>
      <w:rPr>
        <w:sz w:val="13"/>
        <w:szCs w:val="13"/>
        <w:color w:val="231F20"/>
        <w:spacing w:val="-3"/>
      </w:rPr>
      <w:t>Chinese and</w:t>
    </w:r>
    <w:r>
      <w:rPr>
        <w:sz w:val="13"/>
        <w:szCs w:val="13"/>
        <w:color w:val="231F20"/>
        <w:spacing w:val="19"/>
      </w:rPr>
      <w:t xml:space="preserve"> </w:t>
    </w:r>
    <w:r>
      <w:rPr>
        <w:sz w:val="13"/>
        <w:szCs w:val="13"/>
        <w:color w:val="231F20"/>
        <w:spacing w:val="-3"/>
      </w:rPr>
      <w:t>Foreign Medical</w:t>
    </w:r>
    <w:r>
      <w:rPr>
        <w:sz w:val="13"/>
        <w:szCs w:val="13"/>
        <w:color w:val="231F20"/>
        <w:spacing w:val="8"/>
      </w:rPr>
      <w:t xml:space="preserve"> </w:t>
    </w:r>
    <w:r>
      <w:rPr>
        <w:sz w:val="13"/>
        <w:szCs w:val="13"/>
        <w:color w:val="231F20"/>
        <w:spacing w:val="-4"/>
      </w:rPr>
      <w:t>Research Vol.19,</w:t>
    </w:r>
    <w:r>
      <w:rPr>
        <w:sz w:val="13"/>
        <w:szCs w:val="13"/>
        <w:color w:val="231F20"/>
        <w:spacing w:val="8"/>
      </w:rPr>
      <w:t xml:space="preserve"> </w:t>
    </w:r>
    <w:r>
      <w:rPr>
        <w:sz w:val="13"/>
        <w:szCs w:val="13"/>
        <w:color w:val="231F20"/>
        <w:spacing w:val="-4"/>
      </w:rPr>
      <w:t>No.30 October, 2021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2"/>
      <w:spacing w:before="49" w:line="186" w:lineRule="auto"/>
      <w:rPr>
        <w:sz w:val="24"/>
        <w:szCs w:val="24"/>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ict>
        <v:shape id="_x0000_s4" style="position:absolute;margin-left:39.5748pt;margin-top:70.4016pt;mso-position-vertical-relative:page;mso-position-horizontal-relative:page;width:515.95pt;height:0.75pt;z-index:251659264;" o:allowincell="f" filled="false" strokecolor="#231F20" strokeweight="0.71pt" coordsize="10319,15" coordorigin="0,0" path="m0,7l10318,7e">
          <v:stroke joinstyle="miter" miterlimit="4"/>
        </v:shape>
      </w:pict>
    </w:r>
    <w:r>
      <w:rPr>
        <w:sz w:val="16"/>
        <w:szCs w:val="16"/>
        <w:color w:val="231F20"/>
        <w:spacing w:val="-7"/>
        <w:position w:val="1"/>
      </w:rPr>
      <w:t>《中外医学研究》第</w:t>
    </w:r>
    <w:r>
      <w:rPr>
        <w:sz w:val="16"/>
        <w:szCs w:val="16"/>
        <w:color w:val="231F20"/>
        <w:spacing w:val="20"/>
        <w:position w:val="1"/>
      </w:rPr>
      <w:t xml:space="preserve"> </w:t>
    </w:r>
    <w:r>
      <w:rPr>
        <w:sz w:val="16"/>
        <w:szCs w:val="16"/>
        <w:color w:val="231F20"/>
        <w:spacing w:val="-7"/>
        <w:position w:val="1"/>
      </w:rPr>
      <w:t>19 卷</w:t>
    </w:r>
    <w:r>
      <w:rPr>
        <w:sz w:val="16"/>
        <w:szCs w:val="16"/>
        <w:color w:val="231F20"/>
        <w:spacing w:val="33"/>
        <w:w w:val="101"/>
        <w:position w:val="1"/>
      </w:rPr>
      <w:t xml:space="preserve"> </w:t>
    </w:r>
    <w:r>
      <w:rPr>
        <w:sz w:val="16"/>
        <w:szCs w:val="16"/>
        <w:color w:val="231F20"/>
        <w:spacing w:val="-7"/>
        <w:position w:val="1"/>
      </w:rPr>
      <w:t>第 30 期（总第 506 期）2021 年</w:t>
    </w:r>
    <w:r>
      <w:rPr>
        <w:sz w:val="16"/>
        <w:szCs w:val="16"/>
        <w:color w:val="231F20"/>
        <w:spacing w:val="10"/>
        <w:position w:val="1"/>
      </w:rPr>
      <w:t xml:space="preserve"> </w:t>
    </w:r>
    <w:r>
      <w:rPr>
        <w:sz w:val="16"/>
        <w:szCs w:val="16"/>
        <w:color w:val="231F20"/>
        <w:spacing w:val="-7"/>
        <w:position w:val="1"/>
      </w:rPr>
      <w:t>10</w:t>
    </w:r>
    <w:r>
      <w:rPr>
        <w:sz w:val="16"/>
        <w:szCs w:val="16"/>
        <w:color w:val="231F20"/>
        <w:spacing w:val="-11"/>
        <w:position w:val="1"/>
      </w:rPr>
      <w:t xml:space="preserve"> </w:t>
    </w:r>
    <w:r>
      <w:rPr>
        <w:sz w:val="16"/>
        <w:szCs w:val="16"/>
        <w:color w:val="231F20"/>
        <w:spacing w:val="-7"/>
        <w:position w:val="1"/>
      </w:rPr>
      <w:t>月      </w:t>
    </w:r>
    <w:r>
      <w:rPr>
        <w:sz w:val="24"/>
        <w:szCs w:val="24"/>
        <w:color w:val="231F20"/>
        <w:spacing w:val="-7"/>
        <w:position w:val="-1"/>
      </w:rPr>
      <w:t>临床与实践  Linchuangyushijian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
      <w:spacing w:before="49" w:line="186" w:lineRule="auto"/>
      <w:rPr>
        <w:sz w:val="16"/>
        <w:szCs w:val="16"/>
      </w:rPr>
    </w:pPr>
    <w:r>
      <w:pict>
        <v:shape id="WordPictureWatermark6" style="position:absolute;margin-left:20.4pt;margin-top:814.49pt;mso-position-vertical-relative:page;mso-position-horizontal-relative:page;width:475.5pt;height:9.7pt;z-index:-251656192;" o:allowincell="f" filled="false" stroked="false" type="#_x0000_t75">
          <v:imagedata o:title="" r:id="rId1"/>
        </v:shape>
      </w:pict>
    </w:r>
    <w:r>
      <w:pict>
        <v:shape id="_x0000_s8" style="position:absolute;margin-left:39.3823pt;margin-top:70.4016pt;mso-position-vertical-relative:page;mso-position-horizontal-relative:page;width:515.95pt;height:0.75pt;z-index:251661312;" o:allowincell="f" filled="false" strokecolor="#231F20" strokeweight="0.71pt" coordsize="10319,15" coordorigin="0,0" path="m0,7l10318,7e">
          <v:stroke joinstyle="miter" miterlimit="4"/>
        </v:shape>
      </w:pict>
    </w:r>
    <w:r>
      <w:rPr>
        <w:sz w:val="24"/>
        <w:szCs w:val="24"/>
        <w:color w:val="231F20"/>
        <w:spacing w:val="-6"/>
        <w:position w:val="-1"/>
      </w:rPr>
      <w:t>临床与实践  Linchuangyushijia</w:t>
    </w:r>
    <w:r>
      <w:rPr>
        <w:sz w:val="24"/>
        <w:szCs w:val="24"/>
        <w:color w:val="231F20"/>
        <w:spacing w:val="-7"/>
        <w:position w:val="-1"/>
      </w:rPr>
      <w:t>n  </w:t>
    </w:r>
    <w:r>
      <w:rPr>
        <w:sz w:val="16"/>
        <w:szCs w:val="16"/>
        <w:color w:val="231F20"/>
        <w:spacing w:val="-7"/>
        <w:position w:val="1"/>
      </w:rPr>
      <w:t>《中外医学研究》第</w:t>
    </w:r>
    <w:r>
      <w:rPr>
        <w:sz w:val="16"/>
        <w:szCs w:val="16"/>
        <w:color w:val="231F20"/>
        <w:spacing w:val="20"/>
        <w:w w:val="101"/>
        <w:position w:val="1"/>
      </w:rPr>
      <w:t xml:space="preserve"> </w:t>
    </w:r>
    <w:r>
      <w:rPr>
        <w:sz w:val="16"/>
        <w:szCs w:val="16"/>
        <w:color w:val="231F20"/>
        <w:spacing w:val="-7"/>
        <w:position w:val="1"/>
      </w:rPr>
      <w:t>19 卷  第 30 期（总第 506 期）2021 年</w:t>
    </w:r>
    <w:r>
      <w:rPr>
        <w:sz w:val="16"/>
        <w:szCs w:val="16"/>
        <w:color w:val="231F20"/>
        <w:spacing w:val="10"/>
        <w:position w:val="1"/>
      </w:rPr>
      <w:t xml:space="preserve"> </w:t>
    </w:r>
    <w:r>
      <w:rPr>
        <w:sz w:val="16"/>
        <w:szCs w:val="16"/>
        <w:color w:val="231F20"/>
        <w:spacing w:val="-7"/>
        <w:position w:val="1"/>
      </w:rPr>
      <w:t>10</w:t>
    </w:r>
    <w:r>
      <w:rPr>
        <w:sz w:val="16"/>
        <w:szCs w:val="16"/>
        <w:color w:val="231F20"/>
        <w:spacing w:val="-11"/>
        <w:position w:val="1"/>
      </w:rPr>
      <w:t xml:space="preserve"> </w:t>
    </w:r>
    <w:r>
      <w:rPr>
        <w:sz w:val="16"/>
        <w:szCs w:val="16"/>
        <w:color w:val="231F20"/>
        <w:spacing w:val="-7"/>
        <w:position w:val="1"/>
      </w:rPr>
      <w:t>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2"/>
      <w:spacing w:before="49" w:line="186" w:lineRule="auto"/>
      <w:rPr>
        <w:sz w:val="24"/>
        <w:szCs w:val="24"/>
      </w:rPr>
    </w:pPr>
    <w:r>
      <w:pict>
        <v:shape id="WordPictureWatermark10" style="position:absolute;margin-left:20.4pt;margin-top:814.49pt;mso-position-vertical-relative:page;mso-position-horizontal-relative:page;width:475.5pt;height:9.7pt;z-index:-251654144;" o:allowincell="f" filled="false" stroked="false" type="#_x0000_t75">
          <v:imagedata o:title="" r:id="rId1"/>
        </v:shape>
      </w:pict>
    </w:r>
    <w:r>
      <w:pict>
        <v:shape id="_x0000_s12" style="position:absolute;margin-left:39.5748pt;margin-top:70.4016pt;mso-position-vertical-relative:page;mso-position-horizontal-relative:page;width:515.95pt;height:0.75pt;z-index:251663360;" o:allowincell="f" filled="false" strokecolor="#231F20" strokeweight="0.71pt" coordsize="10319,15" coordorigin="0,0" path="m0,7l10318,7e">
          <v:stroke joinstyle="miter" miterlimit="4"/>
        </v:shape>
      </w:pict>
    </w:r>
    <w:r>
      <w:rPr>
        <w:sz w:val="16"/>
        <w:szCs w:val="16"/>
        <w:color w:val="231F20"/>
        <w:spacing w:val="-7"/>
        <w:position w:val="1"/>
      </w:rPr>
      <w:t>《中外医学研究》第</w:t>
    </w:r>
    <w:r>
      <w:rPr>
        <w:sz w:val="16"/>
        <w:szCs w:val="16"/>
        <w:color w:val="231F20"/>
        <w:spacing w:val="20"/>
        <w:position w:val="1"/>
      </w:rPr>
      <w:t xml:space="preserve"> </w:t>
    </w:r>
    <w:r>
      <w:rPr>
        <w:sz w:val="16"/>
        <w:szCs w:val="16"/>
        <w:color w:val="231F20"/>
        <w:spacing w:val="-7"/>
        <w:position w:val="1"/>
      </w:rPr>
      <w:t>19 卷</w:t>
    </w:r>
    <w:r>
      <w:rPr>
        <w:sz w:val="16"/>
        <w:szCs w:val="16"/>
        <w:color w:val="231F20"/>
        <w:spacing w:val="33"/>
        <w:w w:val="101"/>
        <w:position w:val="1"/>
      </w:rPr>
      <w:t xml:space="preserve"> </w:t>
    </w:r>
    <w:r>
      <w:rPr>
        <w:sz w:val="16"/>
        <w:szCs w:val="16"/>
        <w:color w:val="231F20"/>
        <w:spacing w:val="-7"/>
        <w:position w:val="1"/>
      </w:rPr>
      <w:t>第 30 期（总第 506 期）2021 年</w:t>
    </w:r>
    <w:r>
      <w:rPr>
        <w:sz w:val="16"/>
        <w:szCs w:val="16"/>
        <w:color w:val="231F20"/>
        <w:spacing w:val="10"/>
        <w:position w:val="1"/>
      </w:rPr>
      <w:t xml:space="preserve"> </w:t>
    </w:r>
    <w:r>
      <w:rPr>
        <w:sz w:val="16"/>
        <w:szCs w:val="16"/>
        <w:color w:val="231F20"/>
        <w:spacing w:val="-7"/>
        <w:position w:val="1"/>
      </w:rPr>
      <w:t>10</w:t>
    </w:r>
    <w:r>
      <w:rPr>
        <w:sz w:val="16"/>
        <w:szCs w:val="16"/>
        <w:color w:val="231F20"/>
        <w:spacing w:val="-11"/>
        <w:position w:val="1"/>
      </w:rPr>
      <w:t xml:space="preserve"> </w:t>
    </w:r>
    <w:r>
      <w:rPr>
        <w:sz w:val="16"/>
        <w:szCs w:val="16"/>
        <w:color w:val="231F20"/>
        <w:spacing w:val="-7"/>
        <w:position w:val="1"/>
      </w:rPr>
      <w:t>月      </w:t>
    </w:r>
    <w:r>
      <w:rPr>
        <w:sz w:val="24"/>
        <w:szCs w:val="24"/>
        <w:color w:val="231F20"/>
        <w:spacing w:val="-7"/>
        <w:position w:val="-1"/>
      </w:rPr>
      <w:t>临床与实践  Linchuangyushijian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
      <w:spacing w:before="49" w:line="186" w:lineRule="auto"/>
      <w:rPr>
        <w:sz w:val="16"/>
        <w:szCs w:val="16"/>
      </w:rPr>
    </w:pPr>
    <w:r>
      <w:pict>
        <v:shape id="WordPictureWatermark14" style="position:absolute;margin-left:20.4pt;margin-top:814.49pt;mso-position-vertical-relative:page;mso-position-horizontal-relative:page;width:475.5pt;height:9.7pt;z-index:-251652096;" o:allowincell="f" filled="false" stroked="false" type="#_x0000_t75">
          <v:imagedata o:title="" r:id="rId1"/>
        </v:shape>
      </w:pict>
    </w:r>
    <w:r>
      <w:pict>
        <v:shape id="_x0000_s16" style="position:absolute;margin-left:39.3823pt;margin-top:70.4016pt;mso-position-vertical-relative:page;mso-position-horizontal-relative:page;width:515.95pt;height:0.75pt;z-index:251665408;" o:allowincell="f" filled="false" strokecolor="#231F20" strokeweight="0.71pt" coordsize="10319,15" coordorigin="0,0" path="m0,7l10318,7e">
          <v:stroke joinstyle="miter" miterlimit="4"/>
        </v:shape>
      </w:pict>
    </w:r>
    <w:r>
      <w:rPr>
        <w:sz w:val="24"/>
        <w:szCs w:val="24"/>
        <w:color w:val="231F20"/>
        <w:spacing w:val="-6"/>
        <w:position w:val="-1"/>
      </w:rPr>
      <w:t>临床与实践  Linchuangyushijia</w:t>
    </w:r>
    <w:r>
      <w:rPr>
        <w:sz w:val="24"/>
        <w:szCs w:val="24"/>
        <w:color w:val="231F20"/>
        <w:spacing w:val="-7"/>
        <w:position w:val="-1"/>
      </w:rPr>
      <w:t>n  </w:t>
    </w:r>
    <w:r>
      <w:rPr>
        <w:sz w:val="16"/>
        <w:szCs w:val="16"/>
        <w:color w:val="231F20"/>
        <w:spacing w:val="-7"/>
        <w:position w:val="1"/>
      </w:rPr>
      <w:t>《中外医学研究》第</w:t>
    </w:r>
    <w:r>
      <w:rPr>
        <w:sz w:val="16"/>
        <w:szCs w:val="16"/>
        <w:color w:val="231F20"/>
        <w:spacing w:val="20"/>
        <w:w w:val="101"/>
        <w:position w:val="1"/>
      </w:rPr>
      <w:t xml:space="preserve"> </w:t>
    </w:r>
    <w:r>
      <w:rPr>
        <w:sz w:val="16"/>
        <w:szCs w:val="16"/>
        <w:color w:val="231F20"/>
        <w:spacing w:val="-7"/>
        <w:position w:val="1"/>
      </w:rPr>
      <w:t>19 卷  第 30 期（总第 506 期）2021 年</w:t>
    </w:r>
    <w:r>
      <w:rPr>
        <w:sz w:val="16"/>
        <w:szCs w:val="16"/>
        <w:color w:val="231F20"/>
        <w:spacing w:val="10"/>
        <w:position w:val="1"/>
      </w:rPr>
      <w:t xml:space="preserve"> </w:t>
    </w:r>
    <w:r>
      <w:rPr>
        <w:sz w:val="16"/>
        <w:szCs w:val="16"/>
        <w:color w:val="231F20"/>
        <w:spacing w:val="-7"/>
        <w:position w:val="1"/>
      </w:rPr>
      <w:t>10</w:t>
    </w:r>
    <w:r>
      <w:rPr>
        <w:sz w:val="16"/>
        <w:szCs w:val="16"/>
        <w:color w:val="231F20"/>
        <w:spacing w:val="-11"/>
        <w:position w:val="1"/>
      </w:rPr>
      <w:t xml:space="preserve"> </w:t>
    </w:r>
    <w:r>
      <w:rPr>
        <w:sz w:val="16"/>
        <w:szCs w:val="16"/>
        <w:color w:val="231F20"/>
        <w:spacing w:val="-7"/>
        <w:position w:val="1"/>
      </w:rPr>
      <w:t>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2.xml"/><Relationship Id="rId5" Type="http://schemas.openxmlformats.org/officeDocument/2006/relationships/header" Target="header4.xml"/><Relationship Id="rId4" Type="http://schemas.openxmlformats.org/officeDocument/2006/relationships/footer" Target="footer1.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2023-12-07T12:59:36Z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2025-10-28T21:31:18</vt:filetime>
  </property>
</Properties>
</file>