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22"/>
        <w:spacing w:before="184" w:line="193" w:lineRule="auto"/>
        <w:rPr>
          <w:rFonts w:ascii="Arial" w:hAnsi="Arial" w:eastAsia="Arial" w:cs="Arial"/>
          <w:sz w:val="28"/>
          <w:szCs w:val="28"/>
        </w:rPr>
      </w:pP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2021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年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5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月 第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9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期 </w:t>
      </w:r>
      <w:r>
        <w:rPr>
          <w:rFonts w:ascii="SimSun" w:hAnsi="SimSun" w:eastAsia="SimSun" w:cs="SimSun"/>
          <w:sz w:val="20"/>
          <w:szCs w:val="20"/>
          <w:u w:val="single" w:color="auto"/>
          <w:color w:val="231F20"/>
          <w:spacing w:val="-3"/>
        </w:rPr>
        <w:t xml:space="preserve">                                                           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rFonts w:ascii="Arial" w:hAnsi="Arial" w:eastAsia="Arial" w:cs="Arial"/>
          <w:sz w:val="28"/>
          <w:szCs w:val="28"/>
          <w:color w:val="231F20"/>
          <w:spacing w:val="-3"/>
          <w:position w:val="7"/>
        </w:rPr>
        <w:t>.</w:t>
      </w:r>
      <w:r>
        <w:rPr>
          <w:rFonts w:ascii="Arial" w:hAnsi="Arial" w:eastAsia="Arial" w:cs="Arial"/>
          <w:sz w:val="28"/>
          <w:szCs w:val="28"/>
          <w:color w:val="231F20"/>
          <w:spacing w:val="-3"/>
          <w:position w:val="7"/>
        </w:rPr>
        <w:t xml:space="preserve">  </w:t>
      </w:r>
      <w:r>
        <w:rPr>
          <w:rFonts w:ascii="SimHei" w:hAnsi="SimHei" w:eastAsia="SimHei" w:cs="SimHei"/>
          <w:sz w:val="30"/>
          <w:szCs w:val="30"/>
          <w:color w:val="231F20"/>
          <w:spacing w:val="-3"/>
          <w:position w:val="-2"/>
        </w:rPr>
        <w:t>临床用药论坛</w:t>
      </w:r>
      <w:r>
        <w:rPr>
          <w:rFonts w:ascii="SimHei" w:hAnsi="SimHei" w:eastAsia="SimHei" w:cs="SimHei"/>
          <w:sz w:val="30"/>
          <w:szCs w:val="30"/>
          <w:color w:val="231F20"/>
          <w:spacing w:val="-33"/>
          <w:position w:val="-2"/>
        </w:rPr>
        <w:t xml:space="preserve"> </w:t>
      </w:r>
      <w:r>
        <w:rPr>
          <w:rFonts w:ascii="Arial" w:hAnsi="Arial" w:eastAsia="Arial" w:cs="Arial"/>
          <w:sz w:val="28"/>
          <w:szCs w:val="28"/>
          <w:color w:val="231F20"/>
          <w:spacing w:val="-3"/>
          <w:position w:val="7"/>
        </w:rPr>
        <w:t>.</w:t>
      </w:r>
    </w:p>
    <w:p>
      <w:pPr>
        <w:ind w:left="1819"/>
        <w:spacing w:before="306" w:line="208" w:lineRule="auto"/>
        <w:outlineLvl w:val="0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color w:val="231F20"/>
          <w:spacing w:val="-4"/>
        </w:rPr>
        <w:t>阿莫西林结合替硝唑在急性肠胃炎治疗中的临床</w:t>
      </w:r>
      <w:r>
        <w:rPr>
          <w:rFonts w:ascii="SimSun" w:hAnsi="SimSun" w:eastAsia="SimSun" w:cs="SimSun"/>
          <w:sz w:val="30"/>
          <w:szCs w:val="30"/>
          <w:b/>
          <w:bCs/>
          <w:color w:val="231F20"/>
          <w:spacing w:val="-5"/>
        </w:rPr>
        <w:t>疗效研究</w:t>
      </w:r>
    </w:p>
    <w:p>
      <w:pPr>
        <w:ind w:left="5290"/>
        <w:spacing w:before="194" w:line="220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color w:val="231F20"/>
          <w:spacing w:val="-4"/>
        </w:rPr>
        <w:t>张奉迎</w:t>
      </w:r>
    </w:p>
    <w:p>
      <w:pPr>
        <w:ind w:left="3751"/>
        <w:spacing w:before="186" w:line="213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1"/>
        </w:rPr>
        <w:t>招远市疾病预防控制中心，山东</w:t>
      </w:r>
      <w:r>
        <w:rPr>
          <w:rFonts w:ascii="SimHei" w:hAnsi="SimHei" w:eastAsia="SimHei" w:cs="SimHei"/>
          <w:sz w:val="18"/>
          <w:szCs w:val="18"/>
          <w:color w:val="231F20"/>
          <w:spacing w:val="-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1"/>
        </w:rPr>
        <w:t>烟台</w:t>
      </w:r>
      <w:r>
        <w:rPr>
          <w:rFonts w:ascii="SimHei" w:hAnsi="SimHei" w:eastAsia="SimHei" w:cs="SimHei"/>
          <w:sz w:val="18"/>
          <w:szCs w:val="18"/>
          <w:color w:val="231F20"/>
          <w:spacing w:val="-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1"/>
        </w:rPr>
        <w:t>265400</w:t>
      </w:r>
    </w:p>
    <w:p>
      <w:pPr>
        <w:pStyle w:val="BodyText"/>
        <w:ind w:left="619" w:right="75" w:hanging="93"/>
        <w:spacing w:before="182" w:line="198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【摘要】目的：</w:t>
      </w:r>
      <w:r>
        <w:rPr>
          <w:sz w:val="17"/>
          <w:szCs w:val="17"/>
          <w:color w:val="231F20"/>
          <w:spacing w:val="-2"/>
        </w:rPr>
        <w:t>分析和研究阿莫西林结合替硝唑在治疗急性肠胃炎中的临床疗效。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方法：</w:t>
      </w:r>
      <w:r>
        <w:rPr>
          <w:sz w:val="17"/>
          <w:szCs w:val="17"/>
          <w:color w:val="231F20"/>
          <w:spacing w:val="-2"/>
        </w:rPr>
        <w:t>筛</w:t>
      </w:r>
      <w:r>
        <w:rPr>
          <w:sz w:val="17"/>
          <w:szCs w:val="17"/>
          <w:color w:val="231F20"/>
          <w:spacing w:val="-3"/>
        </w:rPr>
        <w:t>选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-3"/>
        </w:rPr>
        <w:t>2015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3"/>
        </w:rPr>
        <w:t>年 1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-3"/>
        </w:rPr>
        <w:t>月至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-3"/>
        </w:rPr>
        <w:t>2019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3"/>
        </w:rPr>
        <w:t>年 12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-3"/>
        </w:rPr>
        <w:t>月期间我院消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化内科经临床检查后符合急性肠胃炎诊断标准的</w:t>
      </w:r>
      <w:r>
        <w:rPr>
          <w:sz w:val="17"/>
          <w:szCs w:val="17"/>
          <w:color w:val="231F20"/>
          <w:spacing w:val="-9"/>
        </w:rPr>
        <w:t xml:space="preserve"> </w:t>
      </w:r>
      <w:r>
        <w:rPr>
          <w:sz w:val="17"/>
          <w:szCs w:val="17"/>
          <w:color w:val="231F20"/>
        </w:rPr>
        <w:t>180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</w:rPr>
        <w:t>例</w:t>
      </w:r>
      <w:r>
        <w:rPr>
          <w:sz w:val="17"/>
          <w:szCs w:val="17"/>
          <w:color w:val="231F20"/>
          <w:spacing w:val="-1"/>
        </w:rPr>
        <w:t>患者，按照住院号奇偶数分为实验组和对照组。对照组采用阿莫西林治疗，实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验组采用阿莫西林结合替硝唑治疗，观察和对比两组急性肠胃炎患者的治疗效果。</w:t>
      </w:r>
      <w:r>
        <w:rPr>
          <w:rFonts w:ascii="SimHei" w:hAnsi="SimHei" w:eastAsia="SimHei" w:cs="SimHei"/>
          <w:sz w:val="17"/>
          <w:szCs w:val="17"/>
          <w:color w:val="231F20"/>
        </w:rPr>
        <w:t>结果：</w:t>
      </w:r>
      <w:r>
        <w:rPr>
          <w:sz w:val="17"/>
          <w:szCs w:val="17"/>
          <w:color w:val="231F20"/>
        </w:rPr>
        <w:t>实验组急性肠胃炎患者的治疗有效</w:t>
      </w:r>
      <w:r>
        <w:rPr>
          <w:sz w:val="17"/>
          <w:szCs w:val="17"/>
          <w:color w:val="231F20"/>
          <w:spacing w:val="-1"/>
        </w:rPr>
        <w:t>率明显高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于对照组，恶心呕吐、急性腹泻、脱水缓解时间和不良反应发生率均明显低于对照组，生活质量评分均明显高于对照组，具</w:t>
      </w:r>
      <w:r>
        <w:rPr>
          <w:sz w:val="17"/>
          <w:szCs w:val="17"/>
          <w:color w:val="231F20"/>
          <w:spacing w:val="-1"/>
        </w:rPr>
        <w:t>有统计学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意义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1"/>
        </w:rPr>
        <w:t>(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1"/>
        </w:rPr>
        <w:t>P</w:t>
      </w:r>
      <w:r>
        <w:rPr>
          <w:sz w:val="17"/>
          <w:szCs w:val="17"/>
          <w:color w:val="231F20"/>
          <w:spacing w:val="-1"/>
        </w:rPr>
        <w:t>&lt;0.05)。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结论：</w:t>
      </w:r>
      <w:r>
        <w:rPr>
          <w:sz w:val="17"/>
          <w:szCs w:val="17"/>
          <w:color w:val="231F20"/>
          <w:spacing w:val="-1"/>
        </w:rPr>
        <w:t>阿莫西林结合替硝唑在急性肠胃炎患者的治疗</w:t>
      </w:r>
      <w:r>
        <w:rPr>
          <w:sz w:val="17"/>
          <w:szCs w:val="17"/>
          <w:color w:val="231F20"/>
          <w:spacing w:val="-2"/>
        </w:rPr>
        <w:t>中能起到更好的应用效果，可在临床上广泛推广。</w:t>
      </w:r>
    </w:p>
    <w:p>
      <w:pPr>
        <w:pStyle w:val="BodyText"/>
        <w:ind w:left="526"/>
        <w:spacing w:before="1" w:line="202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</w:rPr>
        <w:t>【关键词】</w:t>
      </w:r>
      <w:r>
        <w:rPr>
          <w:sz w:val="17"/>
          <w:szCs w:val="17"/>
          <w:color w:val="231F20"/>
        </w:rPr>
        <w:t>阿莫西林；替硝唑；急性肠胃炎</w:t>
      </w:r>
    </w:p>
    <w:p>
      <w:pPr>
        <w:ind w:left="645"/>
        <w:spacing w:before="1" w:line="22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[</w:t>
      </w:r>
      <w:r>
        <w:rPr>
          <w:rFonts w:ascii="SimHei" w:hAnsi="SimHei" w:eastAsia="SimHei" w:cs="SimHei"/>
          <w:sz w:val="17"/>
          <w:szCs w:val="17"/>
          <w:color w:val="231F20"/>
          <w:spacing w:val="-2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中图分类号</w:t>
      </w:r>
      <w:r>
        <w:rPr>
          <w:rFonts w:ascii="SimHei" w:hAnsi="SimHei" w:eastAsia="SimHei" w:cs="SimHei"/>
          <w:sz w:val="17"/>
          <w:szCs w:val="17"/>
          <w:color w:val="231F20"/>
          <w:spacing w:val="-3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]R57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 xml:space="preserve">                      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[</w:t>
      </w:r>
      <w:r>
        <w:rPr>
          <w:rFonts w:ascii="SimHei" w:hAnsi="SimHei" w:eastAsia="SimHei" w:cs="SimHei"/>
          <w:sz w:val="17"/>
          <w:szCs w:val="17"/>
          <w:color w:val="231F20"/>
          <w:spacing w:val="-3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文献标识码</w:t>
      </w:r>
      <w:r>
        <w:rPr>
          <w:rFonts w:ascii="SimHei" w:hAnsi="SimHei" w:eastAsia="SimHei" w:cs="SimHei"/>
          <w:sz w:val="17"/>
          <w:szCs w:val="17"/>
          <w:color w:val="231F20"/>
          <w:spacing w:val="-3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]A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 xml:space="preserve">                   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[</w:t>
      </w:r>
      <w:r>
        <w:rPr>
          <w:rFonts w:ascii="SimHei" w:hAnsi="SimHei" w:eastAsia="SimHei" w:cs="SimHei"/>
          <w:sz w:val="17"/>
          <w:szCs w:val="17"/>
          <w:color w:val="231F20"/>
          <w:spacing w:val="-3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文章编号</w:t>
      </w:r>
      <w:r>
        <w:rPr>
          <w:rFonts w:ascii="SimHei" w:hAnsi="SimHei" w:eastAsia="SimHei" w:cs="SimHei"/>
          <w:sz w:val="17"/>
          <w:szCs w:val="17"/>
          <w:color w:val="231F20"/>
          <w:spacing w:val="-3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]2096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-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5249(2021)09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-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007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5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-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02</w:t>
      </w:r>
    </w:p>
    <w:p>
      <w:pPr>
        <w:spacing w:before="14"/>
        <w:rPr/>
      </w:pPr>
      <w:r/>
    </w:p>
    <w:p>
      <w:pPr>
        <w:sectPr>
          <w:headerReference w:type="default" r:id="rId1"/>
          <w:pgSz w:w="11906" w:h="16441"/>
          <w:pgMar w:top="400" w:right="944" w:bottom="0" w:left="407" w:header="0" w:footer="0" w:gutter="0"/>
          <w:cols w:equalWidth="0" w:num="1">
            <w:col w:w="10553" w:space="0"/>
          </w:cols>
        </w:sectPr>
        <w:rPr/>
      </w:pPr>
    </w:p>
    <w:p>
      <w:pPr>
        <w:pStyle w:val="BodyText"/>
        <w:ind w:left="614" w:right="224" w:firstLine="344"/>
        <w:spacing w:before="36" w:line="209" w:lineRule="auto"/>
        <w:jc w:val="both"/>
        <w:rPr/>
      </w:pPr>
      <w:r>
        <w:rPr>
          <w:color w:val="231F20"/>
        </w:rPr>
        <w:t>急性肠胃炎是临床中多见的一种消化系统疾病，其产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生原因复杂，食物中毒是其中的一项重要原因</w:t>
      </w:r>
      <w:r>
        <w:rPr>
          <w:color w:val="231F20"/>
          <w:spacing w:val="-9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[1]</w:t>
      </w:r>
      <w:r>
        <w:rPr>
          <w:color w:val="231F20"/>
          <w:spacing w:val="-1"/>
        </w:rPr>
        <w:t>。急性肠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胃炎患者的临床症状主要表现为胃部灼烧感、发热、浑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身乏力、反酸、腹痛、恶心呕吐等现象，严重的还将造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成电解质紊乱、脱水等症状，对患者的健康和正常生活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造成了严重的损害</w:t>
      </w:r>
      <w:r>
        <w:rPr>
          <w:color w:val="231F20"/>
        </w:rPr>
        <w:t xml:space="preserve"> </w:t>
      </w:r>
      <w:r>
        <w:rPr>
          <w:sz w:val="11"/>
          <w:szCs w:val="11"/>
          <w:color w:val="231F20"/>
          <w:spacing w:val="5"/>
          <w:position w:val="8"/>
        </w:rPr>
        <w:t>[2]</w:t>
      </w:r>
      <w:r>
        <w:rPr>
          <w:sz w:val="11"/>
          <w:szCs w:val="11"/>
          <w:color w:val="231F20"/>
          <w:spacing w:val="-6"/>
          <w:position w:val="8"/>
        </w:rPr>
        <w:t xml:space="preserve"> </w:t>
      </w:r>
      <w:r>
        <w:rPr>
          <w:color w:val="231F20"/>
          <w:spacing w:val="5"/>
        </w:rPr>
        <w:t>。近年来，由于生活环境和人们生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活、饮食方式的改变，急性肠胃炎患者的发病人数有了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明显的上升。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5"/>
        </w:rPr>
        <w:t>一旦发生急性肠胃炎，患者需要接受及时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有效的治疗，以降低该疾病对患者身体的损害。目前，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0"/>
        </w:rPr>
        <w:t>临床中对于急性肠胃炎主要采取抗炎药物的治疗方式。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7"/>
        </w:rPr>
        <w:t>阿莫西林是治疗急性肠胃炎的一类常用药物，但单一使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"/>
        </w:rPr>
        <w:t>用治疗效果不太理想，且容易引发多种不良反应的发生，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7"/>
        </w:rPr>
        <w:t>影响患者的恢复进度。有研究表明，阿莫西林联合替硝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唑对治疗急性肠胃炎具有较好的疗效，可显著改善患者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"/>
        </w:rPr>
        <w:t>的临床症状，是一种安全有效的治疗方式</w:t>
      </w:r>
      <w:r>
        <w:rPr>
          <w:color w:val="231F20"/>
          <w:spacing w:val="-25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</w:t>
      </w:r>
      <w:r>
        <w:rPr>
          <w:sz w:val="11"/>
          <w:szCs w:val="11"/>
          <w:color w:val="231F20"/>
          <w:spacing w:val="-2"/>
          <w:position w:val="8"/>
        </w:rPr>
        <w:t>3]</w:t>
      </w:r>
      <w:r>
        <w:rPr>
          <w:sz w:val="11"/>
          <w:szCs w:val="11"/>
          <w:color w:val="231F20"/>
          <w:spacing w:val="-10"/>
          <w:position w:val="8"/>
        </w:rPr>
        <w:t xml:space="preserve"> </w:t>
      </w:r>
      <w:r>
        <w:rPr>
          <w:color w:val="231F20"/>
          <w:spacing w:val="-2"/>
        </w:rPr>
        <w:t>。本次研究的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研究对象选取我院收治的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180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例急性肠胃炎患者，探究采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用阿莫西林结合替硝唑治疗方式的临床疗效，具体报道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见下文。</w:t>
      </w:r>
    </w:p>
    <w:p>
      <w:pPr>
        <w:ind w:left="968"/>
        <w:spacing w:before="1" w:line="220" w:lineRule="auto"/>
        <w:outlineLvl w:val="1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1</w:t>
      </w: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患者的临床资料和方法</w:t>
      </w:r>
    </w:p>
    <w:p>
      <w:pPr>
        <w:pStyle w:val="BodyText"/>
        <w:ind w:left="614" w:right="295" w:firstLine="354"/>
        <w:spacing w:before="65" w:line="209" w:lineRule="auto"/>
        <w:rPr/>
      </w:pPr>
      <w:r>
        <w:rPr>
          <w:rFonts w:ascii="SimSun" w:hAnsi="SimSun" w:eastAsia="SimSun" w:cs="SimSun"/>
          <w:color w:val="231F20"/>
          <w:spacing w:val="-4"/>
        </w:rPr>
        <w:t>1.1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患者的临床资料  </w:t>
      </w:r>
      <w:r>
        <w:rPr>
          <w:color w:val="231F20"/>
          <w:spacing w:val="-4"/>
        </w:rPr>
        <w:t>在我院消化内科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2015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年 1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月至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2019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年 12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月期间治疗的急性肠胃炎患者中，选取符合本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次研究要求且自愿参与研究的患者共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180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例，用住院号奇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偶数法分为实验组和对照组两组。所有患者经临床检查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7"/>
        </w:rPr>
        <w:t>均符合急性肠胃炎诊断标准，并已排除不合符研究条件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的患者。实验组急性肠胃炎患者的男女比例是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4</w:t>
      </w:r>
      <w:r>
        <w:rPr>
          <w:color w:val="231F20"/>
          <w:spacing w:val="-1"/>
        </w:rPr>
        <w:t>9/41，年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24～71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岁，平均年龄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(47.52±1.36)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岁；对照</w:t>
      </w:r>
      <w:r>
        <w:rPr>
          <w:color w:val="231F20"/>
          <w:spacing w:val="-2"/>
        </w:rPr>
        <w:t>组急性肠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胃炎患者的男女比例是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51/39，年龄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25～70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岁，平均年龄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(45.01±1.25)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岁。两组急性肠胃炎患者一般资料行统计学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分析后，差异不明显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(P&gt;0.05)，可进行对比性研究。纳入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标准：经临床检查符合急性肠胃炎的诊断标准；意识清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7"/>
        </w:rPr>
        <w:t>晰，具备交流能力；无严重精神障碍；对本次研究中的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7"/>
        </w:rPr>
        <w:t>药物无过敏症状者；患者和家属均知情，同意自愿参加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7"/>
        </w:rPr>
        <w:t>本次研究，且本次研究经过我院伦理委员会批准。排除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7"/>
        </w:rPr>
        <w:t>标准：恶性肿瘤患者；心、肝、肾功能低下者；哺乳期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与妊娠期患者；配合度不高者。</w:t>
      </w:r>
    </w:p>
    <w:p>
      <w:pPr>
        <w:pStyle w:val="BodyText"/>
        <w:ind w:left="614" w:right="236" w:firstLine="353"/>
        <w:spacing w:before="6" w:line="193" w:lineRule="auto"/>
        <w:rPr/>
      </w:pPr>
      <w:r>
        <w:rPr>
          <w:rFonts w:ascii="SimSun" w:hAnsi="SimSun" w:eastAsia="SimSun" w:cs="SimSun"/>
          <w:color w:val="231F20"/>
          <w:spacing w:val="4"/>
        </w:rPr>
        <w:t>1.2研究方法  </w:t>
      </w:r>
      <w:r>
        <w:rPr>
          <w:color w:val="231F20"/>
          <w:spacing w:val="4"/>
        </w:rPr>
        <w:t>对照组采用阿莫西林治疗，具体方式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"/>
        </w:rPr>
        <w:t>为：给予患者口服阿莫西林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"/>
        </w:rPr>
        <w:t>(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上海信谊万象药业股份有限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公司，国药准字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H31020363)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4"/>
        </w:rPr>
        <w:t>治疗，400 mg/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4"/>
        </w:rPr>
        <w:t>次，2～3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4"/>
        </w:rPr>
        <w:t>次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4"/>
        </w:rPr>
        <w:t>/d，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4" w:firstLine="3"/>
        <w:spacing w:before="38" w:line="208" w:lineRule="auto"/>
        <w:jc w:val="both"/>
        <w:rPr/>
      </w:pPr>
      <w:r>
        <w:rPr>
          <w:color w:val="231F20"/>
        </w:rPr>
        <w:t>一个疗程为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3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d，连续服用三个疗程。实验组采用阿莫西 </w:t>
      </w:r>
      <w:r>
        <w:rPr>
          <w:color w:val="231F20"/>
          <w:spacing w:val="7"/>
        </w:rPr>
        <w:t>林结合替硝唑治疗，具体方式为：阿莫西林的服用方式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"/>
        </w:rPr>
        <w:t>和对照组相同，在此基础上加服替硝唑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"/>
        </w:rPr>
        <w:t>(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石家庄华诺制药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股份有限公司，国药准字 H20093958)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治疗，2 g/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0"/>
        </w:rPr>
        <w:t>次，1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次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0"/>
        </w:rPr>
        <w:t>/</w:t>
      </w:r>
    </w:p>
    <w:p>
      <w:pPr>
        <w:pStyle w:val="BodyText"/>
        <w:ind w:left="1" w:right="74" w:firstLine="3"/>
        <w:spacing w:before="1" w:line="209" w:lineRule="auto"/>
        <w:jc w:val="both"/>
        <w:rPr/>
      </w:pPr>
      <w:r>
        <w:rPr>
          <w:color w:val="231F20"/>
          <w:spacing w:val="-3"/>
        </w:rPr>
        <w:t>d，一个疗程为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3 d，连续服用三个疗程。治疗</w:t>
      </w:r>
      <w:r>
        <w:rPr>
          <w:color w:val="231F20"/>
          <w:spacing w:val="-4"/>
        </w:rPr>
        <w:t>期间，给予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两组急性肠胃炎患者营养支持，通过静脉滴注营养液的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7"/>
        </w:rPr>
        <w:t>方式，保障患者的电解质平衡。指导患者保持充足的睡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7"/>
        </w:rPr>
        <w:t>眠时间，养成良好的饮食习惯，给予适宜的营养。用药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7"/>
        </w:rPr>
        <w:t>期间禁止患者使用其他药物治疗，以免影响治疗效果的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对比。</w:t>
      </w:r>
    </w:p>
    <w:p>
      <w:pPr>
        <w:pStyle w:val="BodyText"/>
        <w:ind w:firstLine="354"/>
        <w:spacing w:before="9" w:line="207" w:lineRule="auto"/>
        <w:rPr/>
      </w:pPr>
      <w:r>
        <w:rPr>
          <w:rFonts w:ascii="SimSun" w:hAnsi="SimSun" w:eastAsia="SimSun" w:cs="SimSun"/>
          <w:color w:val="231F20"/>
          <w:spacing w:val="4"/>
        </w:rPr>
        <w:t>1.3观察指标  </w:t>
      </w:r>
      <w:r>
        <w:rPr>
          <w:color w:val="231F20"/>
          <w:spacing w:val="4"/>
        </w:rPr>
        <w:t>①观察和对比两组急性肠胃炎患者的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"/>
        </w:rPr>
        <w:t>治疗有效率，治疗效果的临床评价标准为：治疗结束后，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8"/>
        </w:rPr>
        <w:t>若患者相关临床症状完全消失，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未出现相关不良反应，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为治愈；若患者相关临床症状明显改善，未出现相关不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良反应，为显效；若患者相关临床症状有所改善，出现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"/>
        </w:rPr>
        <w:t>较少的不良反应，为有效；若患者相关临床症状未改善，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出现较多的不良反应，为无效，计算总有效率。②观察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和对比两组急性肠胃炎患者的症状缓解时间，主要从恶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心呕吐缓解时间、急性腹泻缓解时间、脱水缓解时间三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个方面进行评价；③观察和对比两组急性肠胃炎患者的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不良反应情况。不良反应情况主要包括了头晕、恶心呕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吐、腹泻、皮疹等；④对比两组急性肠胃炎患者的生活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2"/>
        </w:rPr>
        <w:t>质量。采用简明健康测量量表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(SF</w:t>
      </w:r>
      <w:r>
        <w:rPr>
          <w:rFonts w:ascii="SimSun" w:hAnsi="SimSun" w:eastAsia="SimSun" w:cs="SimSun"/>
          <w:color w:val="231F20"/>
          <w:spacing w:val="-2"/>
        </w:rPr>
        <w:t>-</w:t>
      </w:r>
      <w:r>
        <w:rPr>
          <w:color w:val="231F20"/>
          <w:spacing w:val="-2"/>
        </w:rPr>
        <w:t>36)，主要从角</w:t>
      </w:r>
      <w:r>
        <w:rPr>
          <w:color w:val="231F20"/>
          <w:spacing w:val="-3"/>
        </w:rPr>
        <w:t>色功能、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社会功能、认知功能、躯体功能四个项目对患者进行生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2"/>
        </w:rPr>
        <w:t>活质量的评价。每个项目为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100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分，评分越高表示患者的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生活质量越好。</w:t>
      </w:r>
    </w:p>
    <w:p>
      <w:pPr>
        <w:pStyle w:val="BodyText"/>
        <w:ind w:left="3" w:right="74" w:firstLine="352"/>
        <w:spacing w:before="36" w:line="204" w:lineRule="auto"/>
        <w:rPr/>
      </w:pPr>
      <w:r>
        <w:pict>
          <v:shape id="_x0000_s2" style="position:absolute;margin-left:186.151pt;margin-top:31.0729pt;mso-position-vertical-relative:text;mso-position-horizontal-relative:text;width:4.8pt;height:0.5pt;z-index:-251658240;" filled="false" strokecolor="#231F20" strokeweight="0.46pt" coordsize="96,10" coordorigin="0,0" path="m0,4l95,4e">
            <v:stroke joinstyle="miter" miterlimit="10"/>
          </v:shape>
        </w:pict>
      </w:r>
      <w:r>
        <w:rPr>
          <w:rFonts w:ascii="SimSun" w:hAnsi="SimSun" w:eastAsia="SimSun" w:cs="SimSun"/>
          <w:color w:val="231F20"/>
          <w:spacing w:val="4"/>
        </w:rPr>
        <w:t>1.4</w:t>
      </w:r>
      <w:r>
        <w:rPr>
          <w:rFonts w:ascii="SimSun" w:hAnsi="SimSun" w:eastAsia="SimSun" w:cs="SimSun"/>
          <w:color w:val="231F20"/>
          <w:spacing w:val="-48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统计学分析  </w:t>
      </w:r>
      <w:r>
        <w:rPr>
          <w:color w:val="231F20"/>
          <w:spacing w:val="4"/>
        </w:rPr>
        <w:t>应用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SPSS</w:t>
      </w:r>
      <w:r>
        <w:rPr>
          <w:color w:val="231F20"/>
          <w:spacing w:val="4"/>
        </w:rPr>
        <w:t>22.0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软件对</w:t>
      </w:r>
      <w:r>
        <w:rPr>
          <w:color w:val="231F20"/>
          <w:spacing w:val="3"/>
        </w:rPr>
        <w:t>两组的治疗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有效率、症状缓解时间、不良反应情况、生活质量进行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0"/>
        </w:rPr>
        <w:t>分析处理。计量资料和计数资料，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0"/>
        </w:rPr>
        <w:t>分别以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10"/>
        </w:rPr>
        <w:t>x</w:t>
      </w:r>
      <w:r>
        <w:rPr>
          <w:rFonts w:ascii="Times New Roman" w:hAnsi="Times New Roman" w:eastAsia="Times New Roman" w:cs="Times New Roman"/>
          <w:i/>
          <w:iCs/>
          <w:color w:val="231F20"/>
          <w:spacing w:val="10"/>
        </w:rPr>
        <w:t xml:space="preserve"> </w:t>
      </w:r>
      <w:r>
        <w:rPr>
          <w:color w:val="231F20"/>
          <w:spacing w:val="10"/>
        </w:rPr>
        <w:t>±</w:t>
      </w:r>
      <w:r>
        <w:rPr>
          <w:rFonts w:ascii="Times New Roman" w:hAnsi="Times New Roman" w:eastAsia="Times New Roman" w:cs="Times New Roman"/>
          <w:i/>
          <w:iCs/>
          <w:color w:val="231F20"/>
          <w:spacing w:val="10"/>
        </w:rPr>
        <w:t>s </w:t>
      </w:r>
      <w:r>
        <w:rPr>
          <w:color w:val="231F20"/>
          <w:spacing w:val="10"/>
        </w:rPr>
        <w:t>和“例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(%)”表示。计量资料行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检验，计数资料行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χ</w:t>
      </w:r>
      <w:r>
        <w:rPr>
          <w:sz w:val="11"/>
          <w:szCs w:val="11"/>
          <w:color w:val="231F20"/>
          <w:spacing w:val="2"/>
          <w:position w:val="9"/>
        </w:rPr>
        <w:t>2 </w:t>
      </w:r>
      <w:r>
        <w:rPr>
          <w:color w:val="231F20"/>
          <w:spacing w:val="2"/>
        </w:rPr>
        <w:t>检验。若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P&lt;0.05，则代表两组结果具有统计学意义。</w:t>
      </w:r>
    </w:p>
    <w:p>
      <w:pPr>
        <w:ind w:left="344"/>
        <w:spacing w:before="35" w:line="226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3"/>
        </w:rPr>
        <w:t>2</w:t>
      </w:r>
      <w:r>
        <w:rPr>
          <w:rFonts w:ascii="SimHei" w:hAnsi="SimHei" w:eastAsia="SimHei" w:cs="SimHei"/>
          <w:sz w:val="18"/>
          <w:szCs w:val="18"/>
          <w:color w:val="231F20"/>
          <w:spacing w:val="3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231F20"/>
          <w:spacing w:val="-3"/>
        </w:rPr>
        <w:t>结果</w:t>
      </w:r>
    </w:p>
    <w:p>
      <w:pPr>
        <w:pStyle w:val="BodyText"/>
        <w:ind w:left="5" w:right="17" w:firstLine="339"/>
        <w:spacing w:before="65" w:line="206" w:lineRule="auto"/>
        <w:rPr/>
      </w:pPr>
      <w:r>
        <w:rPr>
          <w:rFonts w:ascii="SimSun" w:hAnsi="SimSun" w:eastAsia="SimSun" w:cs="SimSun"/>
          <w:color w:val="231F20"/>
          <w:spacing w:val="4"/>
        </w:rPr>
        <w:t>2.1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两组急性肠胃炎患者的治疗有效率对比  </w:t>
      </w:r>
      <w:r>
        <w:rPr>
          <w:color w:val="231F20"/>
          <w:spacing w:val="4"/>
        </w:rPr>
        <w:t>表明：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实验组治疗有效率明显高于对照组，具有统计学意义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1"/>
        </w:rPr>
        <w:t>(P&lt;0.05)，详见表 1。</w:t>
      </w:r>
    </w:p>
    <w:p>
      <w:pPr>
        <w:pStyle w:val="BodyText"/>
        <w:ind w:left="3" w:right="74" w:firstLine="342"/>
        <w:spacing w:before="11" w:line="193" w:lineRule="auto"/>
        <w:rPr/>
      </w:pPr>
      <w:r>
        <w:rPr>
          <w:rFonts w:ascii="SimSun" w:hAnsi="SimSun" w:eastAsia="SimSun" w:cs="SimSun"/>
          <w:color w:val="231F20"/>
          <w:spacing w:val="2"/>
        </w:rPr>
        <w:t>2.2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两组急性肠胃炎患者的症状缓解时间对比  </w:t>
      </w:r>
      <w:r>
        <w:rPr>
          <w:color w:val="231F20"/>
          <w:spacing w:val="2"/>
        </w:rPr>
        <w:t>实验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组的恶心呕吐缓解时间、急性腹泻缓解时间、脱水缓解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时间均明显低于对照组，具有统计学意义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(P&lt;0.05)，</w:t>
      </w:r>
      <w:r>
        <w:rPr>
          <w:color w:val="231F20"/>
          <w:spacing w:val="-3"/>
        </w:rPr>
        <w:t>详见</w:t>
      </w:r>
    </w:p>
    <w:p>
      <w:pPr>
        <w:spacing w:line="193" w:lineRule="auto"/>
        <w:sectPr>
          <w:type w:val="continuous"/>
          <w:pgSz w:w="11906" w:h="16441"/>
          <w:pgMar w:top="400" w:right="944" w:bottom="0" w:left="407" w:header="0" w:footer="0" w:gutter="0"/>
          <w:cols w:equalWidth="0" w:num="2">
            <w:col w:w="5644" w:space="100"/>
            <w:col w:w="4809" w:space="0"/>
          </w:cols>
        </w:sectPr>
        <w:rPr/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643"/>
        <w:spacing w:before="61" w:line="18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4" style="position:absolute;margin-left:-1pt;margin-top:6.38291pt;mso-position-vertical-relative:text;mso-position-horizontal-relative:text;width:477.5pt;height:11.7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6"/>
                    </w:rPr>
                    <w:t>(c)1994-2023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china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Academic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Journal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Electronic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pubolishing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House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-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6"/>
                    </w:rPr>
                    <w:t>·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5"/>
                    </w:rPr>
                    <w:t>A1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rights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reserved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5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http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5"/>
                    </w:rPr>
                    <w:t>://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www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5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-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cnki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5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net</w:t>
                  </w:r>
                </w:p>
              </w:txbxContent>
            </v:textbox>
          </v:shape>
        </w:pict>
      </w:r>
      <w:r>
        <w:rPr>
          <w:rFonts w:ascii="STXingkai" w:hAnsi="STXingkai" w:eastAsia="STXingkai" w:cs="STXingkai"/>
          <w:sz w:val="18"/>
          <w:szCs w:val="18"/>
          <w:color w:val="231F20"/>
          <w:spacing w:val="-4"/>
        </w:rPr>
        <w:t>医学食疗与健康</w:t>
      </w:r>
      <w:r>
        <w:rPr>
          <w:rFonts w:ascii="STXingkai" w:hAnsi="STXingkai" w:eastAsia="STXingkai" w:cs="STXingkai"/>
          <w:sz w:val="18"/>
          <w:szCs w:val="18"/>
          <w:color w:val="231F20"/>
          <w:spacing w:val="1"/>
        </w:rPr>
        <w:t xml:space="preserve">                    </w:t>
      </w:r>
      <w:r>
        <w:rPr>
          <w:rFonts w:ascii="STXingkai" w:hAnsi="STXingkai" w:eastAsia="STXingkai" w:cs="STXingkai"/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  <w:position w:val="-2"/>
        </w:rPr>
        <w:t>75</w:t>
      </w:r>
    </w:p>
    <w:p>
      <w:pPr>
        <w:spacing w:line="181" w:lineRule="auto"/>
        <w:sectPr>
          <w:type w:val="continuous"/>
          <w:pgSz w:w="11906" w:h="16441"/>
          <w:pgMar w:top="400" w:right="944" w:bottom="0" w:left="407" w:header="0" w:footer="0" w:gutter="0"/>
          <w:cols w:equalWidth="0" w:num="1">
            <w:col w:w="10553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ind w:left="612"/>
        <w:spacing w:before="183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Arial" w:hAnsi="Arial" w:eastAsia="Arial" w:cs="Arial"/>
          <w:sz w:val="23"/>
          <w:szCs w:val="23"/>
          <w:color w:val="231F20"/>
          <w:spacing w:val="-4"/>
          <w:position w:val="7"/>
        </w:rPr>
        <w:t>·</w:t>
      </w:r>
      <w:r>
        <w:rPr>
          <w:rFonts w:ascii="Arial" w:hAnsi="Arial" w:eastAsia="Arial" w:cs="Arial"/>
          <w:sz w:val="23"/>
          <w:szCs w:val="23"/>
          <w:color w:val="231F20"/>
          <w:spacing w:val="-4"/>
          <w:position w:val="7"/>
        </w:rPr>
        <w:t xml:space="preserve">  </w:t>
      </w:r>
      <w:r>
        <w:rPr>
          <w:rFonts w:ascii="SimHei" w:hAnsi="SimHei" w:eastAsia="SimHei" w:cs="SimHei"/>
          <w:sz w:val="30"/>
          <w:szCs w:val="30"/>
          <w:color w:val="231F20"/>
          <w:spacing w:val="-4"/>
          <w:position w:val="-2"/>
        </w:rPr>
        <w:t>临床用药论坛</w:t>
      </w:r>
      <w:r>
        <w:rPr>
          <w:rFonts w:ascii="SimHei" w:hAnsi="SimHei" w:eastAsia="SimHei" w:cs="SimHei"/>
          <w:sz w:val="30"/>
          <w:szCs w:val="30"/>
          <w:color w:val="231F20"/>
          <w:spacing w:val="-4"/>
          <w:position w:val="-2"/>
        </w:rPr>
        <w:t xml:space="preserve"> </w:t>
      </w:r>
      <w:r>
        <w:rPr>
          <w:rFonts w:ascii="Arial" w:hAnsi="Arial" w:eastAsia="Arial" w:cs="Arial"/>
          <w:sz w:val="23"/>
          <w:szCs w:val="23"/>
          <w:color w:val="231F20"/>
          <w:spacing w:val="-4"/>
          <w:position w:val="7"/>
        </w:rPr>
        <w:t>.</w:t>
      </w:r>
      <w:r>
        <w:rPr>
          <w:rFonts w:ascii="Arial" w:hAnsi="Arial" w:eastAsia="Arial" w:cs="Arial"/>
          <w:sz w:val="23"/>
          <w:szCs w:val="23"/>
          <w:color w:val="231F20"/>
          <w:spacing w:val="-9"/>
          <w:position w:val="7"/>
        </w:rPr>
        <w:t xml:space="preserve"> </w:t>
      </w:r>
      <w:r>
        <w:rPr>
          <w:rFonts w:ascii="Arial" w:hAnsi="Arial" w:eastAsia="Arial" w:cs="Arial"/>
          <w:sz w:val="23"/>
          <w:szCs w:val="23"/>
          <w:u w:val="single" w:color="auto"/>
          <w:color w:val="231F20"/>
          <w:spacing w:val="1"/>
          <w:position w:val="7"/>
        </w:rPr>
        <w:t xml:space="preserve">                         </w:t>
      </w:r>
      <w:r>
        <w:rPr>
          <w:rFonts w:ascii="Arial" w:hAnsi="Arial" w:eastAsia="Arial" w:cs="Arial"/>
          <w:sz w:val="23"/>
          <w:szCs w:val="23"/>
          <w:u w:val="single" w:color="auto"/>
          <w:color w:val="231F20"/>
          <w:position w:val="7"/>
        </w:rPr>
        <w:t xml:space="preserve">                                                                 </w:t>
      </w:r>
      <w:r>
        <w:rPr>
          <w:rFonts w:ascii="Arial" w:hAnsi="Arial" w:eastAsia="Arial" w:cs="Arial"/>
          <w:sz w:val="23"/>
          <w:szCs w:val="23"/>
          <w:color w:val="231F20"/>
          <w:spacing w:val="46"/>
          <w:w w:val="101"/>
          <w:position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2021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年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5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月 第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9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期</w:t>
      </w:r>
    </w:p>
    <w:p>
      <w:pPr>
        <w:spacing w:before="13"/>
        <w:rPr/>
      </w:pPr>
      <w:r/>
    </w:p>
    <w:p>
      <w:pPr>
        <w:sectPr>
          <w:headerReference w:type="default" r:id="rId2"/>
          <w:pgSz w:w="11906" w:h="16441"/>
          <w:pgMar w:top="400" w:right="945" w:bottom="0" w:left="407" w:header="0" w:footer="0" w:gutter="0"/>
          <w:cols w:equalWidth="0" w:num="1">
            <w:col w:w="10552" w:space="0"/>
          </w:cols>
        </w:sectPr>
        <w:rPr/>
      </w:pPr>
    </w:p>
    <w:p>
      <w:pPr>
        <w:pStyle w:val="BodyText"/>
        <w:ind w:left="617"/>
        <w:spacing w:before="43" w:line="206" w:lineRule="auto"/>
        <w:rPr/>
      </w:pPr>
      <w:r>
        <w:rPr>
          <w:color w:val="231F20"/>
          <w:spacing w:val="2"/>
        </w:rPr>
        <w:t>表2。</w:t>
      </w:r>
    </w:p>
    <w:p>
      <w:pPr>
        <w:ind w:left="958"/>
        <w:spacing w:before="4" w:line="23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2.3</w:t>
      </w:r>
      <w:r>
        <w:rPr>
          <w:rFonts w:ascii="SimSun" w:hAnsi="SimSun" w:eastAsia="SimSun" w:cs="SimSun"/>
          <w:sz w:val="19"/>
          <w:szCs w:val="19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两组急性肠胃炎患者的不良反应情况对比表明</w:t>
      </w:r>
    </w:p>
    <w:p>
      <w:pPr>
        <w:pStyle w:val="BodyText"/>
        <w:ind w:left="617" w:right="299" w:firstLine="1"/>
        <w:spacing w:before="46" w:line="219" w:lineRule="auto"/>
        <w:rPr/>
      </w:pPr>
      <w:r>
        <w:rPr>
          <w:color w:val="231F20"/>
          <w:spacing w:val="7"/>
        </w:rPr>
        <w:t>实验组不良反应发生率显著低于对照组，具有统计学意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义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1"/>
        </w:rPr>
        <w:t>(P&lt;0.05)，详见表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3。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3" w:firstLine="341"/>
        <w:spacing w:before="40" w:line="215" w:lineRule="auto"/>
        <w:jc w:val="both"/>
        <w:rPr/>
      </w:pPr>
      <w:r>
        <w:rPr>
          <w:rFonts w:ascii="SimSun" w:hAnsi="SimSun" w:eastAsia="SimSun" w:cs="SimSun"/>
          <w:color w:val="231F20"/>
          <w:spacing w:val="2"/>
        </w:rPr>
        <w:t>2.4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两组急性肠胃炎患者的生活质量对比表明  </w:t>
      </w:r>
      <w:r>
        <w:rPr>
          <w:color w:val="231F20"/>
          <w:spacing w:val="2"/>
        </w:rPr>
        <w:t>实验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组的角色功能、社会功能、认知功能、躯体功能四个项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目评分均明显高于对照组，具有统计学意义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(P&lt;0.05)</w:t>
      </w:r>
      <w:r>
        <w:rPr>
          <w:color w:val="231F20"/>
          <w:spacing w:val="-3"/>
        </w:rPr>
        <w:t>，详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见表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5"/>
        </w:rPr>
        <w:t>4。</w:t>
      </w:r>
    </w:p>
    <w:p>
      <w:pPr>
        <w:spacing w:line="215" w:lineRule="auto"/>
        <w:sectPr>
          <w:type w:val="continuous"/>
          <w:pgSz w:w="11906" w:h="16441"/>
          <w:pgMar w:top="400" w:right="945" w:bottom="0" w:left="407" w:header="0" w:footer="0" w:gutter="0"/>
          <w:cols w:equalWidth="0" w:num="2">
            <w:col w:w="5648" w:space="100"/>
            <w:col w:w="4805" w:space="0"/>
          </w:cols>
        </w:sectPr>
        <w:rPr/>
      </w:pPr>
    </w:p>
    <w:p>
      <w:pPr>
        <w:ind w:left="3322"/>
        <w:spacing w:before="232" w:line="22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3"/>
        </w:rPr>
        <w:t>表</w:t>
      </w:r>
      <w:r>
        <w:rPr>
          <w:rFonts w:ascii="SimHei" w:hAnsi="SimHei" w:eastAsia="SimHei" w:cs="SimHei"/>
          <w:sz w:val="19"/>
          <w:szCs w:val="19"/>
          <w:color w:val="231F20"/>
          <w:spacing w:val="-48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-3"/>
        </w:rPr>
        <w:t>1</w:t>
      </w:r>
      <w:r>
        <w:rPr>
          <w:rFonts w:ascii="SimHei" w:hAnsi="SimHei" w:eastAsia="SimHei" w:cs="SimHei"/>
          <w:sz w:val="19"/>
          <w:szCs w:val="19"/>
          <w:color w:val="231F20"/>
          <w:spacing w:val="-3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231F20"/>
          <w:spacing w:val="-3"/>
        </w:rPr>
        <w:t>两组急性肠胃炎患者的治疗有效率对比</w:t>
      </w:r>
      <w:r>
        <w:rPr>
          <w:rFonts w:ascii="SimHei" w:hAnsi="SimHei" w:eastAsia="SimHei" w:cs="SimHei"/>
          <w:sz w:val="19"/>
          <w:szCs w:val="19"/>
          <w:color w:val="231F20"/>
          <w:spacing w:val="-34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-3"/>
        </w:rPr>
        <w:t>[例</w:t>
      </w:r>
      <w:r>
        <w:rPr>
          <w:rFonts w:ascii="SimHei" w:hAnsi="SimHei" w:eastAsia="SimHei" w:cs="SimHei"/>
          <w:sz w:val="19"/>
          <w:szCs w:val="19"/>
          <w:color w:val="231F20"/>
          <w:spacing w:val="-28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-3"/>
        </w:rPr>
        <w:t>(%)]</w:t>
      </w:r>
    </w:p>
    <w:p>
      <w:pPr>
        <w:spacing w:line="20" w:lineRule="exact"/>
        <w:rPr/>
      </w:pPr>
      <w:r/>
    </w:p>
    <w:tbl>
      <w:tblPr>
        <w:tblStyle w:val="TableNormal"/>
        <w:tblW w:w="9864" w:type="dxa"/>
        <w:tblInd w:w="6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48"/>
        <w:gridCol w:w="1300"/>
        <w:gridCol w:w="1478"/>
        <w:gridCol w:w="1409"/>
        <w:gridCol w:w="1416"/>
        <w:gridCol w:w="1404"/>
        <w:gridCol w:w="1409"/>
      </w:tblGrid>
      <w:tr>
        <w:trPr>
          <w:trHeight w:val="236" w:hRule="atLeast"/>
        </w:trPr>
        <w:tc>
          <w:tcPr>
            <w:tcW w:w="1448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47"/>
              <w:spacing w:before="38" w:line="164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1300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10"/>
              <w:spacing w:before="37" w:line="165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1478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620"/>
              <w:spacing w:before="39" w:line="163" w:lineRule="auto"/>
              <w:rPr/>
            </w:pPr>
            <w:r>
              <w:rPr>
                <w:color w:val="231F20"/>
                <w:spacing w:val="-2"/>
              </w:rPr>
              <w:t>治愈</w:t>
            </w:r>
          </w:p>
        </w:tc>
        <w:tc>
          <w:tcPr>
            <w:tcW w:w="1409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49"/>
              <w:spacing w:before="38" w:line="164" w:lineRule="auto"/>
              <w:rPr/>
            </w:pPr>
            <w:r>
              <w:rPr>
                <w:color w:val="231F20"/>
                <w:spacing w:val="-1"/>
              </w:rPr>
              <w:t>显效</w:t>
            </w:r>
          </w:p>
        </w:tc>
        <w:tc>
          <w:tcPr>
            <w:tcW w:w="1416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49"/>
              <w:spacing w:before="38" w:line="164" w:lineRule="auto"/>
              <w:rPr/>
            </w:pPr>
            <w:r>
              <w:rPr>
                <w:color w:val="231F20"/>
                <w:spacing w:val="-1"/>
              </w:rPr>
              <w:t>有效</w:t>
            </w:r>
          </w:p>
        </w:tc>
        <w:tc>
          <w:tcPr>
            <w:tcW w:w="1404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41"/>
              <w:spacing w:before="38" w:line="164" w:lineRule="auto"/>
              <w:rPr/>
            </w:pPr>
            <w:r>
              <w:rPr>
                <w:color w:val="231F20"/>
                <w:spacing w:val="-1"/>
              </w:rPr>
              <w:t>无效</w:t>
            </w:r>
          </w:p>
        </w:tc>
        <w:tc>
          <w:tcPr>
            <w:tcW w:w="1409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474"/>
              <w:spacing w:before="38" w:line="164" w:lineRule="auto"/>
              <w:rPr/>
            </w:pPr>
            <w:r>
              <w:rPr>
                <w:color w:val="231F20"/>
                <w:spacing w:val="-2"/>
              </w:rPr>
              <w:t>总有效</w:t>
            </w:r>
          </w:p>
        </w:tc>
      </w:tr>
      <w:tr>
        <w:trPr>
          <w:trHeight w:val="223" w:hRule="atLeast"/>
        </w:trPr>
        <w:tc>
          <w:tcPr>
            <w:tcW w:w="144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70"/>
              <w:spacing w:before="33" w:line="157" w:lineRule="auto"/>
              <w:rPr/>
            </w:pPr>
            <w:r>
              <w:rPr>
                <w:color w:val="231F20"/>
                <w:spacing w:val="-2"/>
              </w:rPr>
              <w:t>实验组</w:t>
            </w:r>
          </w:p>
        </w:tc>
        <w:tc>
          <w:tcPr>
            <w:tcW w:w="130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91"/>
              <w:spacing w:before="27" w:line="162" w:lineRule="auto"/>
              <w:rPr/>
            </w:pPr>
            <w:r>
              <w:rPr>
                <w:color w:val="231F20"/>
                <w:spacing w:val="-9"/>
              </w:rPr>
              <w:t>90</w:t>
            </w:r>
          </w:p>
        </w:tc>
        <w:tc>
          <w:tcPr>
            <w:tcW w:w="147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80"/>
              <w:spacing w:before="27" w:line="162" w:lineRule="auto"/>
              <w:rPr/>
            </w:pPr>
            <w:r>
              <w:rPr>
                <w:color w:val="231F20"/>
                <w:spacing w:val="-12"/>
              </w:rPr>
              <w:t>31(34.44)</w:t>
            </w:r>
          </w:p>
        </w:tc>
        <w:tc>
          <w:tcPr>
            <w:tcW w:w="140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09"/>
              <w:spacing w:before="27" w:line="162" w:lineRule="auto"/>
              <w:rPr/>
            </w:pPr>
            <w:r>
              <w:rPr>
                <w:color w:val="231F20"/>
                <w:spacing w:val="-12"/>
              </w:rPr>
              <w:t>29(32.22)</w:t>
            </w:r>
          </w:p>
        </w:tc>
        <w:tc>
          <w:tcPr>
            <w:tcW w:w="141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09"/>
              <w:spacing w:before="27" w:line="162" w:lineRule="auto"/>
              <w:rPr/>
            </w:pPr>
            <w:r>
              <w:rPr>
                <w:color w:val="231F20"/>
                <w:spacing w:val="-12"/>
              </w:rPr>
              <w:t>27(30.00)</w:t>
            </w:r>
          </w:p>
        </w:tc>
        <w:tc>
          <w:tcPr>
            <w:tcW w:w="140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84"/>
              <w:spacing w:before="27" w:line="162" w:lineRule="auto"/>
              <w:rPr/>
            </w:pPr>
            <w:r>
              <w:rPr>
                <w:color w:val="231F20"/>
                <w:spacing w:val="-11"/>
              </w:rPr>
              <w:t>3(3.33)</w:t>
            </w:r>
          </w:p>
        </w:tc>
        <w:tc>
          <w:tcPr>
            <w:tcW w:w="140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10"/>
              <w:spacing w:before="27" w:line="162" w:lineRule="auto"/>
              <w:rPr/>
            </w:pPr>
            <w:r>
              <w:rPr>
                <w:color w:val="231F20"/>
                <w:spacing w:val="-12"/>
              </w:rPr>
              <w:t>87(96.67)</w:t>
            </w:r>
          </w:p>
        </w:tc>
      </w:tr>
      <w:tr>
        <w:trPr>
          <w:trHeight w:val="219" w:hRule="atLeast"/>
        </w:trPr>
        <w:tc>
          <w:tcPr>
            <w:tcW w:w="1448" w:type="dxa"/>
            <w:vAlign w:val="top"/>
          </w:tcPr>
          <w:p>
            <w:pPr>
              <w:pStyle w:val="TableText"/>
              <w:ind w:left="467"/>
              <w:spacing w:before="39" w:line="170" w:lineRule="exact"/>
              <w:rPr/>
            </w:pPr>
            <w:r>
              <w:rPr>
                <w:color w:val="231F20"/>
                <w:spacing w:val="-1"/>
              </w:rPr>
              <w:t>对照组</w:t>
            </w:r>
          </w:p>
        </w:tc>
        <w:tc>
          <w:tcPr>
            <w:tcW w:w="1300" w:type="dxa"/>
            <w:vAlign w:val="top"/>
          </w:tcPr>
          <w:p>
            <w:pPr>
              <w:pStyle w:val="TableText"/>
              <w:ind w:left="591"/>
              <w:spacing w:before="33" w:line="176" w:lineRule="exact"/>
              <w:rPr/>
            </w:pPr>
            <w:r>
              <w:rPr>
                <w:color w:val="231F20"/>
                <w:spacing w:val="-9"/>
                <w:position w:val="-1"/>
              </w:rPr>
              <w:t>90</w:t>
            </w:r>
          </w:p>
        </w:tc>
        <w:tc>
          <w:tcPr>
            <w:tcW w:w="1478" w:type="dxa"/>
            <w:vAlign w:val="top"/>
          </w:tcPr>
          <w:p>
            <w:pPr>
              <w:pStyle w:val="TableText"/>
              <w:ind w:left="478"/>
              <w:spacing w:before="33" w:line="176" w:lineRule="exact"/>
              <w:rPr/>
            </w:pPr>
            <w:r>
              <w:rPr>
                <w:color w:val="231F20"/>
                <w:spacing w:val="-12"/>
              </w:rPr>
              <w:t>29(32.22)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409"/>
              <w:spacing w:before="33" w:line="176" w:lineRule="exact"/>
              <w:rPr/>
            </w:pPr>
            <w:r>
              <w:rPr>
                <w:color w:val="231F20"/>
                <w:spacing w:val="-12"/>
              </w:rPr>
              <w:t>26(28.89)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410"/>
              <w:spacing w:before="33" w:line="176" w:lineRule="exact"/>
              <w:rPr/>
            </w:pPr>
            <w:r>
              <w:rPr>
                <w:color w:val="231F20"/>
                <w:spacing w:val="-12"/>
              </w:rPr>
              <w:t>25(27.78)</w:t>
            </w:r>
          </w:p>
        </w:tc>
        <w:tc>
          <w:tcPr>
            <w:tcW w:w="1404" w:type="dxa"/>
            <w:vAlign w:val="top"/>
          </w:tcPr>
          <w:p>
            <w:pPr>
              <w:pStyle w:val="TableText"/>
              <w:ind w:left="416"/>
              <w:spacing w:before="33" w:line="176" w:lineRule="exact"/>
              <w:rPr/>
            </w:pPr>
            <w:r>
              <w:rPr>
                <w:color w:val="231F20"/>
                <w:spacing w:val="-13"/>
              </w:rPr>
              <w:t>10(11.11)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410"/>
              <w:spacing w:before="33" w:line="176" w:lineRule="exact"/>
              <w:rPr/>
            </w:pPr>
            <w:r>
              <w:rPr>
                <w:color w:val="231F20"/>
                <w:spacing w:val="-12"/>
              </w:rPr>
              <w:t>80(88.89)</w:t>
            </w:r>
          </w:p>
        </w:tc>
      </w:tr>
      <w:tr>
        <w:trPr>
          <w:trHeight w:val="229" w:hRule="atLeast"/>
        </w:trPr>
        <w:tc>
          <w:tcPr>
            <w:tcW w:w="1448" w:type="dxa"/>
            <w:vAlign w:val="top"/>
          </w:tcPr>
          <w:p>
            <w:pPr>
              <w:pStyle w:val="TableText"/>
              <w:ind w:left="543"/>
              <w:spacing w:before="22" w:line="172" w:lineRule="auto"/>
              <w:rPr/>
            </w:pPr>
            <w:r>
              <w:rPr>
                <w:rFonts w:ascii="Arial" w:hAnsi="Arial" w:eastAsia="Arial" w:cs="Arial"/>
                <w:color w:val="231F20"/>
                <w:spacing w:val="-4"/>
                <w:position w:val="-2"/>
              </w:rPr>
              <w:t>χ</w:t>
            </w:r>
            <w:r>
              <w:rPr>
                <w:sz w:val="9"/>
                <w:szCs w:val="9"/>
                <w:color w:val="231F20"/>
                <w:spacing w:val="-4"/>
                <w:position w:val="5"/>
              </w:rPr>
              <w:t>2</w:t>
            </w:r>
            <w:r>
              <w:rPr>
                <w:sz w:val="9"/>
                <w:szCs w:val="9"/>
                <w:color w:val="231F20"/>
                <w:spacing w:val="17"/>
                <w:position w:val="5"/>
              </w:rPr>
              <w:t xml:space="preserve"> </w:t>
            </w:r>
            <w:r>
              <w:rPr>
                <w:color w:val="231F20"/>
                <w:spacing w:val="-4"/>
                <w:position w:val="-1"/>
              </w:rPr>
              <w:t>值</w:t>
            </w:r>
          </w:p>
        </w:tc>
        <w:tc>
          <w:tcPr>
            <w:tcW w:w="1300" w:type="dxa"/>
            <w:vAlign w:val="top"/>
          </w:tcPr>
          <w:p>
            <w:pPr>
              <w:spacing w:line="219" w:lineRule="exact"/>
              <w:rPr>
                <w:rFonts w:ascii="Arial"/>
                <w:sz w:val="19"/>
              </w:rPr>
            </w:pPr>
            <w:r/>
          </w:p>
        </w:tc>
        <w:tc>
          <w:tcPr>
            <w:tcW w:w="1478" w:type="dxa"/>
            <w:vAlign w:val="top"/>
          </w:tcPr>
          <w:p>
            <w:pPr>
              <w:spacing w:line="219" w:lineRule="exact"/>
              <w:rPr>
                <w:rFonts w:ascii="Arial"/>
                <w:sz w:val="19"/>
              </w:rPr>
            </w:pPr>
            <w:r/>
          </w:p>
        </w:tc>
        <w:tc>
          <w:tcPr>
            <w:tcW w:w="1409" w:type="dxa"/>
            <w:vAlign w:val="top"/>
          </w:tcPr>
          <w:p>
            <w:pPr>
              <w:spacing w:line="219" w:lineRule="exact"/>
              <w:rPr>
                <w:rFonts w:ascii="Arial"/>
                <w:sz w:val="19"/>
              </w:rPr>
            </w:pPr>
            <w:r/>
          </w:p>
        </w:tc>
        <w:tc>
          <w:tcPr>
            <w:tcW w:w="1416" w:type="dxa"/>
            <w:vAlign w:val="top"/>
          </w:tcPr>
          <w:p>
            <w:pPr>
              <w:spacing w:line="219" w:lineRule="exact"/>
              <w:rPr>
                <w:rFonts w:ascii="Arial"/>
                <w:sz w:val="19"/>
              </w:rPr>
            </w:pPr>
            <w:r/>
          </w:p>
        </w:tc>
        <w:tc>
          <w:tcPr>
            <w:tcW w:w="1404" w:type="dxa"/>
            <w:vAlign w:val="top"/>
          </w:tcPr>
          <w:p>
            <w:pPr>
              <w:spacing w:line="219" w:lineRule="exact"/>
              <w:rPr>
                <w:rFonts w:ascii="Arial"/>
                <w:sz w:val="19"/>
              </w:rPr>
            </w:pPr>
            <w:r/>
          </w:p>
        </w:tc>
        <w:tc>
          <w:tcPr>
            <w:tcW w:w="1409" w:type="dxa"/>
            <w:vAlign w:val="top"/>
          </w:tcPr>
          <w:p>
            <w:pPr>
              <w:pStyle w:val="TableText"/>
              <w:ind w:left="528"/>
              <w:spacing w:before="42" w:line="177" w:lineRule="exact"/>
              <w:rPr/>
            </w:pPr>
            <w:r>
              <w:rPr>
                <w:color w:val="231F20"/>
                <w:spacing w:val="-10"/>
                <w:position w:val="-1"/>
              </w:rPr>
              <w:t>4.063</w:t>
            </w:r>
          </w:p>
        </w:tc>
      </w:tr>
      <w:tr>
        <w:trPr>
          <w:trHeight w:val="237" w:hRule="atLeast"/>
        </w:trPr>
        <w:tc>
          <w:tcPr>
            <w:tcW w:w="1448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552"/>
              <w:spacing w:before="43" w:line="160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1"/>
              </w:rPr>
              <w:t>P </w:t>
            </w:r>
            <w:r>
              <w:rPr>
                <w:color w:val="231F20"/>
                <w:spacing w:val="1"/>
              </w:rPr>
              <w:t>值</w:t>
            </w:r>
          </w:p>
        </w:tc>
        <w:tc>
          <w:tcPr>
            <w:tcW w:w="1300" w:type="dxa"/>
            <w:vAlign w:val="top"/>
            <w:tcBorders>
              <w:bottom w:val="single" w:color="231F20" w:sz="8" w:space="0"/>
            </w:tcBorders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1478" w:type="dxa"/>
            <w:vAlign w:val="top"/>
            <w:tcBorders>
              <w:bottom w:val="single" w:color="231F20" w:sz="8" w:space="0"/>
            </w:tcBorders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1409" w:type="dxa"/>
            <w:vAlign w:val="top"/>
            <w:tcBorders>
              <w:bottom w:val="single" w:color="231F20" w:sz="8" w:space="0"/>
            </w:tcBorders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1416" w:type="dxa"/>
            <w:vAlign w:val="top"/>
            <w:tcBorders>
              <w:bottom w:val="single" w:color="231F20" w:sz="8" w:space="0"/>
            </w:tcBorders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1404" w:type="dxa"/>
            <w:vAlign w:val="top"/>
            <w:tcBorders>
              <w:bottom w:val="single" w:color="231F20" w:sz="8" w:space="0"/>
            </w:tcBorders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1409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530"/>
              <w:spacing w:before="41" w:line="162" w:lineRule="auto"/>
              <w:rPr/>
            </w:pPr>
            <w:r>
              <w:rPr>
                <w:color w:val="231F20"/>
                <w:spacing w:val="-10"/>
              </w:rPr>
              <w:t>0.044</w:t>
            </w:r>
          </w:p>
        </w:tc>
      </w:tr>
    </w:tbl>
    <w:p>
      <w:pPr>
        <w:pStyle w:val="BodyText"/>
        <w:ind w:left="3178"/>
        <w:spacing w:before="176" w:line="182" w:lineRule="auto"/>
        <w:rPr>
          <w:rFonts w:ascii="SimHei" w:hAnsi="SimHei" w:eastAsia="SimHei" w:cs="SimHei"/>
        </w:rPr>
      </w:pPr>
      <w:r>
        <w:pict>
          <v:shape id="_x0000_s6" style="position:absolute;margin-left:374.735pt;margin-top:9.69966pt;mso-position-vertical-relative:text;mso-position-horizontal-relative:text;width:4.05pt;height:0.5pt;z-index:-251656192;" filled="false" strokecolor="#231F20" strokeweight="0.46pt" coordsize="81,10" coordorigin="0,0" path="m0,4l80,4e">
            <v:stroke joinstyle="miter" miterlimit="10"/>
          </v:shape>
        </w:pict>
      </w:r>
      <w:r>
        <w:rPr>
          <w:rFonts w:ascii="SimHei" w:hAnsi="SimHei" w:eastAsia="SimHei" w:cs="SimHei"/>
          <w:color w:val="231F20"/>
          <w:spacing w:val="-1"/>
        </w:rPr>
        <w:t>表2</w:t>
      </w:r>
      <w:r>
        <w:rPr>
          <w:rFonts w:ascii="SimHei" w:hAnsi="SimHei" w:eastAsia="SimHei" w:cs="SimHei"/>
          <w:color w:val="231F20"/>
          <w:spacing w:val="-1"/>
        </w:rPr>
        <w:t xml:space="preserve">  </w:t>
      </w:r>
      <w:r>
        <w:rPr>
          <w:rFonts w:ascii="SimHei" w:hAnsi="SimHei" w:eastAsia="SimHei" w:cs="SimHei"/>
          <w:color w:val="231F20"/>
          <w:spacing w:val="-1"/>
        </w:rPr>
        <w:t>两组急性肠胃炎患者的症状缓解时间对比</w:t>
      </w:r>
      <w:r>
        <w:rPr>
          <w:rFonts w:ascii="SimHei" w:hAnsi="SimHei" w:eastAsia="SimHei" w:cs="SimHei"/>
          <w:color w:val="231F20"/>
          <w:spacing w:val="-28"/>
        </w:rPr>
        <w:t xml:space="preserve"> </w:t>
      </w:r>
      <w:r>
        <w:rPr>
          <w:rFonts w:ascii="SimHei" w:hAnsi="SimHei" w:eastAsia="SimHei" w:cs="SimHei"/>
          <w:color w:val="231F20"/>
          <w:spacing w:val="-1"/>
        </w:rPr>
        <w:t>(d,</w:t>
      </w:r>
      <w:r>
        <w:rPr>
          <w:rFonts w:ascii="SimHei" w:hAnsi="SimHei" w:eastAsia="SimHei" w:cs="SimHei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>x</w:t>
      </w: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 xml:space="preserve"> </w:t>
      </w:r>
      <w:r>
        <w:rPr>
          <w:color w:val="231F20"/>
          <w:spacing w:val="-2"/>
        </w:rPr>
        <w:t>±</w:t>
      </w: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>s</w:t>
      </w:r>
      <w:r>
        <w:rPr>
          <w:rFonts w:ascii="SimHei" w:hAnsi="SimHei" w:eastAsia="SimHei" w:cs="SimHei"/>
          <w:color w:val="231F20"/>
          <w:spacing w:val="-2"/>
        </w:rPr>
        <w:t>)</w:t>
      </w:r>
    </w:p>
    <w:tbl>
      <w:tblPr>
        <w:tblStyle w:val="TableNormal"/>
        <w:tblW w:w="9864" w:type="dxa"/>
        <w:tblInd w:w="6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11"/>
        <w:gridCol w:w="1695"/>
        <w:gridCol w:w="2208"/>
        <w:gridCol w:w="2051"/>
        <w:gridCol w:w="1899"/>
      </w:tblGrid>
      <w:tr>
        <w:trPr>
          <w:trHeight w:val="236" w:hRule="atLeast"/>
        </w:trPr>
        <w:tc>
          <w:tcPr>
            <w:tcW w:w="2011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829"/>
              <w:spacing w:before="38" w:line="164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1695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792"/>
              <w:spacing w:before="37" w:line="165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2208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91"/>
              <w:spacing w:before="40" w:line="162" w:lineRule="auto"/>
              <w:rPr/>
            </w:pPr>
            <w:r>
              <w:rPr>
                <w:color w:val="231F20"/>
                <w:spacing w:val="-1"/>
              </w:rPr>
              <w:t>恶心呕吐缓解时间</w:t>
            </w:r>
          </w:p>
        </w:tc>
        <w:tc>
          <w:tcPr>
            <w:tcW w:w="2051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356"/>
              <w:spacing w:before="40" w:line="162" w:lineRule="auto"/>
              <w:rPr/>
            </w:pPr>
            <w:r>
              <w:rPr>
                <w:color w:val="231F20"/>
                <w:spacing w:val="-1"/>
              </w:rPr>
              <w:t>急性腹泻缓解时间</w:t>
            </w:r>
          </w:p>
        </w:tc>
        <w:tc>
          <w:tcPr>
            <w:tcW w:w="1899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435"/>
              <w:spacing w:before="37" w:line="165" w:lineRule="auto"/>
              <w:rPr/>
            </w:pPr>
            <w:r>
              <w:rPr>
                <w:color w:val="231F20"/>
                <w:spacing w:val="-1"/>
              </w:rPr>
              <w:t>脱水缓解时间</w:t>
            </w:r>
          </w:p>
        </w:tc>
      </w:tr>
      <w:tr>
        <w:trPr>
          <w:trHeight w:val="215" w:hRule="atLeast"/>
        </w:trPr>
        <w:tc>
          <w:tcPr>
            <w:tcW w:w="201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752"/>
              <w:spacing w:before="33" w:line="172" w:lineRule="exact"/>
              <w:rPr/>
            </w:pPr>
            <w:r>
              <w:rPr>
                <w:color w:val="231F20"/>
                <w:spacing w:val="-2"/>
              </w:rPr>
              <w:t>实验组</w:t>
            </w:r>
          </w:p>
        </w:tc>
        <w:tc>
          <w:tcPr>
            <w:tcW w:w="169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873"/>
              <w:spacing w:before="28" w:line="177" w:lineRule="exact"/>
              <w:rPr/>
            </w:pPr>
            <w:r>
              <w:rPr>
                <w:color w:val="231F20"/>
                <w:spacing w:val="-9"/>
                <w:position w:val="-1"/>
              </w:rPr>
              <w:t>90</w:t>
            </w:r>
          </w:p>
        </w:tc>
        <w:tc>
          <w:tcPr>
            <w:tcW w:w="220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873"/>
              <w:spacing w:before="28" w:line="177" w:lineRule="exact"/>
              <w:rPr/>
            </w:pPr>
            <w:r>
              <w:rPr>
                <w:color w:val="231F20"/>
                <w:spacing w:val="-4"/>
                <w:position w:val="-1"/>
              </w:rPr>
              <w:t>2.52±1.25</w:t>
            </w:r>
          </w:p>
        </w:tc>
        <w:tc>
          <w:tcPr>
            <w:tcW w:w="205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651"/>
              <w:spacing w:before="28" w:line="177" w:lineRule="exact"/>
              <w:rPr/>
            </w:pPr>
            <w:r>
              <w:rPr>
                <w:color w:val="231F20"/>
                <w:spacing w:val="-6"/>
                <w:position w:val="-1"/>
              </w:rPr>
              <w:t>1.44±1.36</w:t>
            </w:r>
          </w:p>
        </w:tc>
        <w:tc>
          <w:tcPr>
            <w:tcW w:w="189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60"/>
              <w:spacing w:before="28" w:line="177" w:lineRule="exact"/>
              <w:rPr/>
            </w:pPr>
            <w:r>
              <w:rPr>
                <w:color w:val="231F20"/>
                <w:spacing w:val="-4"/>
                <w:position w:val="-1"/>
              </w:rPr>
              <w:t>2.63±1.14</w:t>
            </w:r>
          </w:p>
        </w:tc>
      </w:tr>
      <w:tr>
        <w:trPr>
          <w:trHeight w:val="221" w:hRule="atLeast"/>
        </w:trPr>
        <w:tc>
          <w:tcPr>
            <w:tcW w:w="2011" w:type="dxa"/>
            <w:vAlign w:val="top"/>
          </w:tcPr>
          <w:p>
            <w:pPr>
              <w:pStyle w:val="TableText"/>
              <w:ind w:left="749"/>
              <w:spacing w:before="47" w:line="163" w:lineRule="exact"/>
              <w:rPr/>
            </w:pPr>
            <w:r>
              <w:rPr>
                <w:color w:val="231F20"/>
                <w:spacing w:val="-1"/>
              </w:rPr>
              <w:t>对照组</w:t>
            </w:r>
          </w:p>
        </w:tc>
        <w:tc>
          <w:tcPr>
            <w:tcW w:w="1695" w:type="dxa"/>
            <w:vAlign w:val="top"/>
          </w:tcPr>
          <w:p>
            <w:pPr>
              <w:pStyle w:val="TableText"/>
              <w:ind w:left="873"/>
              <w:spacing w:before="41" w:line="169" w:lineRule="exact"/>
              <w:rPr/>
            </w:pPr>
            <w:r>
              <w:rPr>
                <w:color w:val="231F20"/>
                <w:spacing w:val="-9"/>
                <w:position w:val="-1"/>
              </w:rPr>
              <w:t>90</w:t>
            </w:r>
          </w:p>
        </w:tc>
        <w:tc>
          <w:tcPr>
            <w:tcW w:w="2208" w:type="dxa"/>
            <w:vAlign w:val="top"/>
          </w:tcPr>
          <w:p>
            <w:pPr>
              <w:pStyle w:val="TableText"/>
              <w:ind w:left="875"/>
              <w:spacing w:before="41" w:line="169" w:lineRule="exact"/>
              <w:rPr/>
            </w:pPr>
            <w:r>
              <w:rPr>
                <w:color w:val="231F20"/>
                <w:spacing w:val="-5"/>
                <w:position w:val="-1"/>
              </w:rPr>
              <w:t>3.11±1.16</w:t>
            </w:r>
          </w:p>
        </w:tc>
        <w:tc>
          <w:tcPr>
            <w:tcW w:w="2051" w:type="dxa"/>
            <w:vAlign w:val="top"/>
          </w:tcPr>
          <w:p>
            <w:pPr>
              <w:pStyle w:val="TableText"/>
              <w:ind w:left="638"/>
              <w:spacing w:before="41" w:line="169" w:lineRule="exact"/>
              <w:rPr/>
            </w:pPr>
            <w:r>
              <w:rPr>
                <w:color w:val="231F20"/>
                <w:spacing w:val="-4"/>
                <w:position w:val="-1"/>
              </w:rPr>
              <w:t>2.02±1.12</w:t>
            </w:r>
          </w:p>
        </w:tc>
        <w:tc>
          <w:tcPr>
            <w:tcW w:w="1899" w:type="dxa"/>
            <w:vAlign w:val="top"/>
          </w:tcPr>
          <w:p>
            <w:pPr>
              <w:pStyle w:val="TableText"/>
              <w:ind w:left="562"/>
              <w:spacing w:before="41" w:line="169" w:lineRule="exact"/>
              <w:rPr/>
            </w:pPr>
            <w:r>
              <w:rPr>
                <w:color w:val="231F20"/>
                <w:spacing w:val="-5"/>
                <w:position w:val="-1"/>
              </w:rPr>
              <w:t>3.15±1.15</w:t>
            </w:r>
          </w:p>
        </w:tc>
      </w:tr>
      <w:tr>
        <w:trPr>
          <w:trHeight w:val="227" w:hRule="atLeast"/>
        </w:trPr>
        <w:tc>
          <w:tcPr>
            <w:tcW w:w="2011" w:type="dxa"/>
            <w:vAlign w:val="top"/>
          </w:tcPr>
          <w:p>
            <w:pPr>
              <w:pStyle w:val="TableText"/>
              <w:ind w:left="871"/>
              <w:spacing w:before="51" w:line="165" w:lineRule="exact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2"/>
                <w:position w:val="-1"/>
              </w:rPr>
              <w:t>t </w:t>
            </w:r>
            <w:r>
              <w:rPr>
                <w:color w:val="231F20"/>
                <w:spacing w:val="-2"/>
                <w:position w:val="-1"/>
              </w:rPr>
              <w:t>值</w:t>
            </w:r>
          </w:p>
        </w:tc>
        <w:tc>
          <w:tcPr>
            <w:tcW w:w="1695" w:type="dxa"/>
            <w:vAlign w:val="top"/>
          </w:tcPr>
          <w:p>
            <w:pPr>
              <w:spacing w:line="216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08" w:type="dxa"/>
            <w:vAlign w:val="top"/>
          </w:tcPr>
          <w:p>
            <w:pPr>
              <w:pStyle w:val="TableText"/>
              <w:ind w:left="1055"/>
              <w:spacing w:before="48" w:line="168" w:lineRule="exact"/>
              <w:rPr/>
            </w:pPr>
            <w:r>
              <w:rPr>
                <w:color w:val="231F20"/>
                <w:spacing w:val="-10"/>
                <w:position w:val="-1"/>
              </w:rPr>
              <w:t>3.282</w:t>
            </w:r>
          </w:p>
        </w:tc>
        <w:tc>
          <w:tcPr>
            <w:tcW w:w="2051" w:type="dxa"/>
            <w:vAlign w:val="top"/>
          </w:tcPr>
          <w:p>
            <w:pPr>
              <w:pStyle w:val="TableText"/>
              <w:ind w:left="820"/>
              <w:spacing w:before="48" w:line="168" w:lineRule="exact"/>
              <w:rPr/>
            </w:pPr>
            <w:r>
              <w:rPr>
                <w:color w:val="231F20"/>
                <w:spacing w:val="-10"/>
                <w:position w:val="-1"/>
              </w:rPr>
              <w:t>3.123</w:t>
            </w:r>
          </w:p>
        </w:tc>
        <w:tc>
          <w:tcPr>
            <w:tcW w:w="1899" w:type="dxa"/>
            <w:vAlign w:val="top"/>
          </w:tcPr>
          <w:p>
            <w:pPr>
              <w:pStyle w:val="TableText"/>
              <w:ind w:left="742"/>
              <w:spacing w:before="48" w:line="168" w:lineRule="exact"/>
              <w:rPr/>
            </w:pPr>
            <w:r>
              <w:rPr>
                <w:color w:val="231F20"/>
                <w:spacing w:val="-10"/>
                <w:position w:val="-1"/>
              </w:rPr>
              <w:t>3.046</w:t>
            </w:r>
          </w:p>
        </w:tc>
      </w:tr>
      <w:tr>
        <w:trPr>
          <w:trHeight w:val="245" w:hRule="atLeast"/>
        </w:trPr>
        <w:tc>
          <w:tcPr>
            <w:tcW w:w="2011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834"/>
              <w:spacing w:before="51" w:line="160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1"/>
              </w:rPr>
              <w:t>P </w:t>
            </w:r>
            <w:r>
              <w:rPr>
                <w:color w:val="231F20"/>
                <w:spacing w:val="1"/>
              </w:rPr>
              <w:t>值</w:t>
            </w:r>
          </w:p>
        </w:tc>
        <w:tc>
          <w:tcPr>
            <w:tcW w:w="1695" w:type="dxa"/>
            <w:vAlign w:val="top"/>
            <w:tcBorders>
              <w:bottom w:val="single" w:color="231F20" w:sz="8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2208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1052"/>
              <w:spacing w:before="49" w:line="162" w:lineRule="auto"/>
              <w:rPr/>
            </w:pPr>
            <w:r>
              <w:rPr>
                <w:color w:val="231F20"/>
                <w:spacing w:val="-10"/>
              </w:rPr>
              <w:t>0.001</w:t>
            </w:r>
          </w:p>
        </w:tc>
        <w:tc>
          <w:tcPr>
            <w:tcW w:w="2051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817"/>
              <w:spacing w:before="49" w:line="162" w:lineRule="auto"/>
              <w:rPr/>
            </w:pPr>
            <w:r>
              <w:rPr>
                <w:color w:val="231F20"/>
                <w:spacing w:val="-10"/>
              </w:rPr>
              <w:t>0.002</w:t>
            </w:r>
          </w:p>
        </w:tc>
        <w:tc>
          <w:tcPr>
            <w:tcW w:w="1899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739"/>
              <w:spacing w:before="49" w:line="162" w:lineRule="auto"/>
              <w:rPr/>
            </w:pPr>
            <w:r>
              <w:rPr>
                <w:color w:val="231F20"/>
                <w:spacing w:val="-10"/>
              </w:rPr>
              <w:t>0.003</w:t>
            </w:r>
          </w:p>
        </w:tc>
      </w:tr>
    </w:tbl>
    <w:p>
      <w:pPr>
        <w:ind w:left="3227"/>
        <w:spacing w:before="176" w:line="22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1"/>
        </w:rPr>
        <w:t>表3</w:t>
      </w:r>
      <w:r>
        <w:rPr>
          <w:rFonts w:ascii="SimHei" w:hAnsi="SimHei" w:eastAsia="SimHei" w:cs="SimHei"/>
          <w:sz w:val="19"/>
          <w:szCs w:val="19"/>
          <w:color w:val="231F20"/>
          <w:spacing w:val="-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231F20"/>
          <w:spacing w:val="-1"/>
        </w:rPr>
        <w:t>两组急性肠胃炎患者的不良反应情况对比</w:t>
      </w:r>
      <w:r>
        <w:rPr>
          <w:rFonts w:ascii="SimHei" w:hAnsi="SimHei" w:eastAsia="SimHei" w:cs="SimHei"/>
          <w:sz w:val="19"/>
          <w:szCs w:val="19"/>
          <w:color w:val="231F20"/>
          <w:spacing w:val="-34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-2"/>
        </w:rPr>
        <w:t>[例</w:t>
      </w:r>
      <w:r>
        <w:rPr>
          <w:rFonts w:ascii="SimHei" w:hAnsi="SimHei" w:eastAsia="SimHei" w:cs="SimHei"/>
          <w:sz w:val="19"/>
          <w:szCs w:val="19"/>
          <w:color w:val="231F20"/>
          <w:spacing w:val="-28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-2"/>
        </w:rPr>
        <w:t>(%)]</w:t>
      </w:r>
    </w:p>
    <w:p>
      <w:pPr>
        <w:spacing w:line="20" w:lineRule="exact"/>
        <w:rPr/>
      </w:pPr>
      <w:r/>
    </w:p>
    <w:tbl>
      <w:tblPr>
        <w:tblStyle w:val="TableNormal"/>
        <w:tblW w:w="9864" w:type="dxa"/>
        <w:tblInd w:w="6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48"/>
        <w:gridCol w:w="1346"/>
        <w:gridCol w:w="1384"/>
        <w:gridCol w:w="1513"/>
        <w:gridCol w:w="1355"/>
        <w:gridCol w:w="1321"/>
        <w:gridCol w:w="1497"/>
      </w:tblGrid>
      <w:tr>
        <w:trPr>
          <w:trHeight w:val="236" w:hRule="atLeast"/>
        </w:trPr>
        <w:tc>
          <w:tcPr>
            <w:tcW w:w="1448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47"/>
              <w:spacing w:before="38" w:line="164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1346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10"/>
              <w:spacing w:before="37" w:line="165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1384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74"/>
              <w:spacing w:before="40" w:line="162" w:lineRule="auto"/>
              <w:rPr/>
            </w:pPr>
            <w:r>
              <w:rPr>
                <w:color w:val="231F20"/>
                <w:spacing w:val="-2"/>
              </w:rPr>
              <w:t>头晕</w:t>
            </w:r>
          </w:p>
        </w:tc>
        <w:tc>
          <w:tcPr>
            <w:tcW w:w="1513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440"/>
              <w:spacing w:before="42" w:line="160" w:lineRule="auto"/>
              <w:rPr/>
            </w:pPr>
            <w:r>
              <w:rPr>
                <w:color w:val="231F20"/>
                <w:spacing w:val="-2"/>
              </w:rPr>
              <w:t>恶心呕吐</w:t>
            </w:r>
          </w:p>
        </w:tc>
        <w:tc>
          <w:tcPr>
            <w:tcW w:w="1355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493"/>
              <w:spacing w:before="40" w:line="162" w:lineRule="auto"/>
              <w:rPr/>
            </w:pPr>
            <w:r>
              <w:rPr>
                <w:color w:val="231F20"/>
                <w:spacing w:val="-1"/>
              </w:rPr>
              <w:t>腹泻</w:t>
            </w:r>
          </w:p>
        </w:tc>
        <w:tc>
          <w:tcPr>
            <w:tcW w:w="1321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48"/>
              <w:spacing w:before="38" w:line="164" w:lineRule="auto"/>
              <w:rPr/>
            </w:pPr>
            <w:r>
              <w:rPr>
                <w:color w:val="231F20"/>
                <w:spacing w:val="-1"/>
              </w:rPr>
              <w:t>皮疹</w:t>
            </w:r>
          </w:p>
        </w:tc>
        <w:tc>
          <w:tcPr>
            <w:tcW w:w="1497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402"/>
              <w:spacing w:before="39" w:line="163" w:lineRule="auto"/>
              <w:rPr/>
            </w:pPr>
            <w:r>
              <w:rPr>
                <w:color w:val="231F20"/>
                <w:spacing w:val="-2"/>
              </w:rPr>
              <w:t>总不良反应</w:t>
            </w:r>
          </w:p>
        </w:tc>
      </w:tr>
      <w:tr>
        <w:trPr>
          <w:trHeight w:val="223" w:hRule="atLeast"/>
        </w:trPr>
        <w:tc>
          <w:tcPr>
            <w:tcW w:w="144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70"/>
              <w:spacing w:before="33" w:line="157" w:lineRule="auto"/>
              <w:rPr/>
            </w:pPr>
            <w:r>
              <w:rPr>
                <w:color w:val="231F20"/>
                <w:spacing w:val="-2"/>
              </w:rPr>
              <w:t>实验组</w:t>
            </w:r>
          </w:p>
        </w:tc>
        <w:tc>
          <w:tcPr>
            <w:tcW w:w="134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91"/>
              <w:spacing w:before="27" w:line="162" w:lineRule="auto"/>
              <w:rPr/>
            </w:pPr>
            <w:r>
              <w:rPr>
                <w:color w:val="231F20"/>
                <w:spacing w:val="-9"/>
              </w:rPr>
              <w:t>90</w:t>
            </w:r>
          </w:p>
        </w:tc>
        <w:tc>
          <w:tcPr>
            <w:tcW w:w="138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693"/>
              <w:spacing w:before="27" w:line="162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151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49"/>
              <w:spacing w:before="27" w:line="162" w:lineRule="auto"/>
              <w:rPr/>
            </w:pPr>
            <w:r>
              <w:rPr>
                <w:color w:val="231F20"/>
                <w:spacing w:val="-13"/>
              </w:rPr>
              <w:t>1(1.11)</w:t>
            </w:r>
          </w:p>
        </w:tc>
        <w:tc>
          <w:tcPr>
            <w:tcW w:w="135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614"/>
              <w:spacing w:before="27" w:line="162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132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00"/>
              <w:spacing w:before="27" w:line="162" w:lineRule="auto"/>
              <w:rPr/>
            </w:pPr>
            <w:r>
              <w:rPr>
                <w:color w:val="231F20"/>
                <w:spacing w:val="-13"/>
              </w:rPr>
              <w:t>1(1.11)</w:t>
            </w:r>
          </w:p>
        </w:tc>
        <w:tc>
          <w:tcPr>
            <w:tcW w:w="149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75"/>
              <w:spacing w:before="27" w:line="162" w:lineRule="auto"/>
              <w:rPr/>
            </w:pPr>
            <w:r>
              <w:rPr>
                <w:color w:val="231F20"/>
                <w:spacing w:val="-11"/>
              </w:rPr>
              <w:t>2(2.22)</w:t>
            </w:r>
          </w:p>
        </w:tc>
      </w:tr>
      <w:tr>
        <w:trPr>
          <w:trHeight w:val="219" w:hRule="atLeast"/>
        </w:trPr>
        <w:tc>
          <w:tcPr>
            <w:tcW w:w="1448" w:type="dxa"/>
            <w:vAlign w:val="top"/>
          </w:tcPr>
          <w:p>
            <w:pPr>
              <w:pStyle w:val="TableText"/>
              <w:ind w:left="467"/>
              <w:spacing w:before="39" w:line="170" w:lineRule="exact"/>
              <w:rPr/>
            </w:pPr>
            <w:r>
              <w:rPr>
                <w:color w:val="231F20"/>
                <w:spacing w:val="-1"/>
              </w:rPr>
              <w:t>对照组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591"/>
              <w:spacing w:before="33" w:line="176" w:lineRule="exact"/>
              <w:rPr/>
            </w:pPr>
            <w:r>
              <w:rPr>
                <w:color w:val="231F20"/>
                <w:spacing w:val="-9"/>
                <w:position w:val="-1"/>
              </w:rPr>
              <w:t>90</w:t>
            </w:r>
          </w:p>
        </w:tc>
        <w:tc>
          <w:tcPr>
            <w:tcW w:w="1384" w:type="dxa"/>
            <w:vAlign w:val="top"/>
          </w:tcPr>
          <w:p>
            <w:pPr>
              <w:pStyle w:val="TableText"/>
              <w:ind w:left="524"/>
              <w:spacing w:before="33" w:line="176" w:lineRule="exact"/>
              <w:rPr/>
            </w:pPr>
            <w:r>
              <w:rPr>
                <w:color w:val="231F20"/>
                <w:spacing w:val="-13"/>
              </w:rPr>
              <w:t>1(1.11)</w:t>
            </w:r>
          </w:p>
        </w:tc>
        <w:tc>
          <w:tcPr>
            <w:tcW w:w="1513" w:type="dxa"/>
            <w:vAlign w:val="top"/>
          </w:tcPr>
          <w:p>
            <w:pPr>
              <w:pStyle w:val="TableText"/>
              <w:ind w:left="534"/>
              <w:spacing w:before="33" w:line="176" w:lineRule="exact"/>
              <w:rPr/>
            </w:pPr>
            <w:r>
              <w:rPr>
                <w:color w:val="231F20"/>
                <w:spacing w:val="-4"/>
                <w:w w:val="91"/>
                <w:position w:val="1"/>
              </w:rPr>
              <w:t>4(4.44)</w:t>
            </w:r>
          </w:p>
        </w:tc>
        <w:tc>
          <w:tcPr>
            <w:tcW w:w="1355" w:type="dxa"/>
            <w:vAlign w:val="top"/>
          </w:tcPr>
          <w:p>
            <w:pPr>
              <w:pStyle w:val="TableText"/>
              <w:ind w:left="446"/>
              <w:spacing w:before="33" w:line="176" w:lineRule="exact"/>
              <w:rPr/>
            </w:pPr>
            <w:r>
              <w:rPr>
                <w:color w:val="231F20"/>
                <w:spacing w:val="-13"/>
              </w:rPr>
              <w:t>1(1.11)</w:t>
            </w:r>
          </w:p>
        </w:tc>
        <w:tc>
          <w:tcPr>
            <w:tcW w:w="1321" w:type="dxa"/>
            <w:vAlign w:val="top"/>
          </w:tcPr>
          <w:p>
            <w:pPr>
              <w:pStyle w:val="TableText"/>
              <w:ind w:left="490"/>
              <w:spacing w:before="33" w:line="176" w:lineRule="exact"/>
              <w:rPr/>
            </w:pPr>
            <w:r>
              <w:rPr>
                <w:color w:val="231F20"/>
                <w:spacing w:val="-11"/>
              </w:rPr>
              <w:t>3(3.33)</w:t>
            </w:r>
          </w:p>
        </w:tc>
        <w:tc>
          <w:tcPr>
            <w:tcW w:w="1497" w:type="dxa"/>
            <w:vAlign w:val="top"/>
          </w:tcPr>
          <w:p>
            <w:pPr>
              <w:pStyle w:val="TableText"/>
              <w:ind w:left="536"/>
              <w:spacing w:before="33" w:line="176" w:lineRule="exact"/>
              <w:rPr/>
            </w:pPr>
            <w:r>
              <w:rPr>
                <w:color w:val="231F20"/>
                <w:spacing w:val="-11"/>
              </w:rPr>
              <w:t>9(10.00)</w:t>
            </w:r>
          </w:p>
        </w:tc>
      </w:tr>
      <w:tr>
        <w:trPr>
          <w:trHeight w:val="229" w:hRule="atLeast"/>
        </w:trPr>
        <w:tc>
          <w:tcPr>
            <w:tcW w:w="1448" w:type="dxa"/>
            <w:vAlign w:val="top"/>
          </w:tcPr>
          <w:p>
            <w:pPr>
              <w:pStyle w:val="TableText"/>
              <w:ind w:left="543"/>
              <w:spacing w:before="22" w:line="172" w:lineRule="auto"/>
              <w:rPr/>
            </w:pPr>
            <w:r>
              <w:rPr>
                <w:rFonts w:ascii="Arial" w:hAnsi="Arial" w:eastAsia="Arial" w:cs="Arial"/>
                <w:color w:val="231F20"/>
                <w:spacing w:val="-3"/>
                <w:position w:val="-2"/>
              </w:rPr>
              <w:t>χ</w:t>
            </w:r>
            <w:r>
              <w:rPr>
                <w:sz w:val="9"/>
                <w:szCs w:val="9"/>
                <w:color w:val="231F20"/>
                <w:spacing w:val="-3"/>
                <w:position w:val="5"/>
              </w:rPr>
              <w:t>2</w:t>
            </w:r>
            <w:r>
              <w:rPr>
                <w:sz w:val="9"/>
                <w:szCs w:val="9"/>
                <w:color w:val="231F20"/>
                <w:spacing w:val="15"/>
                <w:w w:val="101"/>
                <w:position w:val="5"/>
              </w:rPr>
              <w:t xml:space="preserve"> </w:t>
            </w:r>
            <w:r>
              <w:rPr>
                <w:color w:val="231F20"/>
                <w:spacing w:val="-3"/>
                <w:position w:val="-1"/>
              </w:rPr>
              <w:t>值</w:t>
            </w:r>
          </w:p>
        </w:tc>
        <w:tc>
          <w:tcPr>
            <w:tcW w:w="1346" w:type="dxa"/>
            <w:vAlign w:val="top"/>
          </w:tcPr>
          <w:p>
            <w:pPr>
              <w:spacing w:line="219" w:lineRule="exact"/>
              <w:rPr>
                <w:rFonts w:ascii="Arial"/>
                <w:sz w:val="19"/>
              </w:rPr>
            </w:pPr>
            <w:r/>
          </w:p>
        </w:tc>
        <w:tc>
          <w:tcPr>
            <w:tcW w:w="1384" w:type="dxa"/>
            <w:vAlign w:val="top"/>
          </w:tcPr>
          <w:p>
            <w:pPr>
              <w:spacing w:line="219" w:lineRule="exact"/>
              <w:rPr>
                <w:rFonts w:ascii="Arial"/>
                <w:sz w:val="19"/>
              </w:rPr>
            </w:pPr>
            <w:r/>
          </w:p>
        </w:tc>
        <w:tc>
          <w:tcPr>
            <w:tcW w:w="1513" w:type="dxa"/>
            <w:vAlign w:val="top"/>
          </w:tcPr>
          <w:p>
            <w:pPr>
              <w:spacing w:line="219" w:lineRule="exact"/>
              <w:rPr>
                <w:rFonts w:ascii="Arial"/>
                <w:sz w:val="19"/>
              </w:rPr>
            </w:pPr>
            <w:r/>
          </w:p>
        </w:tc>
        <w:tc>
          <w:tcPr>
            <w:tcW w:w="1355" w:type="dxa"/>
            <w:vAlign w:val="top"/>
          </w:tcPr>
          <w:p>
            <w:pPr>
              <w:spacing w:line="219" w:lineRule="exact"/>
              <w:rPr>
                <w:rFonts w:ascii="Arial"/>
                <w:sz w:val="19"/>
              </w:rPr>
            </w:pPr>
            <w:r/>
          </w:p>
        </w:tc>
        <w:tc>
          <w:tcPr>
            <w:tcW w:w="1321" w:type="dxa"/>
            <w:vAlign w:val="top"/>
          </w:tcPr>
          <w:p>
            <w:pPr>
              <w:spacing w:line="219" w:lineRule="exact"/>
              <w:rPr>
                <w:rFonts w:ascii="Arial"/>
                <w:sz w:val="19"/>
              </w:rPr>
            </w:pPr>
            <w:r/>
          </w:p>
        </w:tc>
        <w:tc>
          <w:tcPr>
            <w:tcW w:w="1497" w:type="dxa"/>
            <w:vAlign w:val="top"/>
          </w:tcPr>
          <w:p>
            <w:pPr>
              <w:pStyle w:val="TableText"/>
              <w:ind w:left="616"/>
              <w:spacing w:before="42" w:line="177" w:lineRule="exact"/>
              <w:rPr/>
            </w:pPr>
            <w:r>
              <w:rPr>
                <w:color w:val="231F20"/>
                <w:spacing w:val="-7"/>
                <w:w w:val="97"/>
                <w:position w:val="-1"/>
              </w:rPr>
              <w:t>4.744</w:t>
            </w:r>
          </w:p>
        </w:tc>
      </w:tr>
      <w:tr>
        <w:trPr>
          <w:trHeight w:val="237" w:hRule="atLeast"/>
        </w:trPr>
        <w:tc>
          <w:tcPr>
            <w:tcW w:w="1448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552"/>
              <w:spacing w:before="43" w:line="160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1"/>
              </w:rPr>
              <w:t>P </w:t>
            </w:r>
            <w:r>
              <w:rPr>
                <w:color w:val="231F20"/>
                <w:spacing w:val="1"/>
              </w:rPr>
              <w:t>值</w:t>
            </w:r>
          </w:p>
        </w:tc>
        <w:tc>
          <w:tcPr>
            <w:tcW w:w="1346" w:type="dxa"/>
            <w:vAlign w:val="top"/>
            <w:tcBorders>
              <w:bottom w:val="single" w:color="231F20" w:sz="8" w:space="0"/>
            </w:tcBorders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1384" w:type="dxa"/>
            <w:vAlign w:val="top"/>
            <w:tcBorders>
              <w:bottom w:val="single" w:color="231F20" w:sz="8" w:space="0"/>
            </w:tcBorders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1513" w:type="dxa"/>
            <w:vAlign w:val="top"/>
            <w:tcBorders>
              <w:bottom w:val="single" w:color="231F20" w:sz="8" w:space="0"/>
            </w:tcBorders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1355" w:type="dxa"/>
            <w:vAlign w:val="top"/>
            <w:tcBorders>
              <w:bottom w:val="single" w:color="231F20" w:sz="8" w:space="0"/>
            </w:tcBorders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1321" w:type="dxa"/>
            <w:vAlign w:val="top"/>
            <w:tcBorders>
              <w:bottom w:val="single" w:color="231F20" w:sz="8" w:space="0"/>
            </w:tcBorders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1497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618"/>
              <w:spacing w:before="41" w:line="162" w:lineRule="auto"/>
              <w:rPr/>
            </w:pPr>
            <w:r>
              <w:rPr>
                <w:color w:val="231F20"/>
                <w:spacing w:val="-10"/>
              </w:rPr>
              <w:t>0.029</w:t>
            </w:r>
          </w:p>
        </w:tc>
      </w:tr>
    </w:tbl>
    <w:p>
      <w:pPr>
        <w:pStyle w:val="BodyText"/>
        <w:ind w:left="2821"/>
        <w:spacing w:before="176" w:line="182" w:lineRule="auto"/>
        <w:rPr>
          <w:rFonts w:ascii="SimHei" w:hAnsi="SimHei" w:eastAsia="SimHei" w:cs="SimHei"/>
        </w:rPr>
      </w:pPr>
      <w:r>
        <w:pict>
          <v:shape id="_x0000_s8" style="position:absolute;margin-left:392.548pt;margin-top:9.69951pt;mso-position-vertical-relative:text;mso-position-horizontal-relative:text;width:4.05pt;height:0.5pt;z-index:-251655168;" filled="false" strokecolor="#231F20" strokeweight="0.46pt" coordsize="81,10" coordorigin="0,0" path="m0,4l80,4e">
            <v:stroke joinstyle="miter" miterlimit="10"/>
          </v:shape>
        </w:pict>
      </w:r>
      <w:r>
        <w:rPr>
          <w:rFonts w:ascii="SimHei" w:hAnsi="SimHei" w:eastAsia="SimHei" w:cs="SimHei"/>
          <w:color w:val="231F20"/>
          <w:spacing w:val="-1"/>
        </w:rPr>
        <w:t>表4</w:t>
      </w:r>
      <w:r>
        <w:rPr>
          <w:rFonts w:ascii="SimHei" w:hAnsi="SimHei" w:eastAsia="SimHei" w:cs="SimHei"/>
          <w:color w:val="231F20"/>
          <w:spacing w:val="-1"/>
        </w:rPr>
        <w:t xml:space="preserve">  </w:t>
      </w:r>
      <w:r>
        <w:rPr>
          <w:rFonts w:ascii="SimHei" w:hAnsi="SimHei" w:eastAsia="SimHei" w:cs="SimHei"/>
          <w:color w:val="231F20"/>
          <w:spacing w:val="-1"/>
        </w:rPr>
        <w:t>实验组和对照组急性肠胃炎患者的生活质量对比</w:t>
      </w:r>
      <w:r>
        <w:rPr>
          <w:rFonts w:ascii="SimHei" w:hAnsi="SimHei" w:eastAsia="SimHei" w:cs="SimHei"/>
          <w:color w:val="231F20"/>
          <w:spacing w:val="-23"/>
        </w:rPr>
        <w:t xml:space="preserve"> </w:t>
      </w:r>
      <w:r>
        <w:rPr>
          <w:rFonts w:ascii="SimHei" w:hAnsi="SimHei" w:eastAsia="SimHei" w:cs="SimHei"/>
          <w:color w:val="231F20"/>
          <w:spacing w:val="-1"/>
        </w:rPr>
        <w:t>(分</w:t>
      </w:r>
      <w:r>
        <w:rPr>
          <w:rFonts w:ascii="SimHei" w:hAnsi="SimHei" w:eastAsia="SimHei" w:cs="SimHei"/>
          <w:color w:val="231F20"/>
          <w:spacing w:val="-56"/>
        </w:rPr>
        <w:t xml:space="preserve"> </w:t>
      </w:r>
      <w:r>
        <w:rPr>
          <w:rFonts w:ascii="SimHei" w:hAnsi="SimHei" w:eastAsia="SimHei" w:cs="SimHei"/>
          <w:color w:val="231F20"/>
          <w:spacing w:val="-1"/>
        </w:rPr>
        <w:t>,</w:t>
      </w:r>
      <w:r>
        <w:rPr>
          <w:rFonts w:ascii="SimHei" w:hAnsi="SimHei" w:eastAsia="SimHei" w:cs="SimHei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x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 xml:space="preserve"> </w:t>
      </w:r>
      <w:r>
        <w:rPr>
          <w:color w:val="231F20"/>
          <w:spacing w:val="-1"/>
        </w:rPr>
        <w:t>±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s</w:t>
      </w:r>
      <w:r>
        <w:rPr>
          <w:rFonts w:ascii="SimHei" w:hAnsi="SimHei" w:eastAsia="SimHei" w:cs="SimHei"/>
          <w:color w:val="231F20"/>
          <w:spacing w:val="-1"/>
        </w:rPr>
        <w:t>)</w:t>
      </w:r>
    </w:p>
    <w:tbl>
      <w:tblPr>
        <w:tblStyle w:val="TableNormal"/>
        <w:tblW w:w="9864" w:type="dxa"/>
        <w:tblInd w:w="6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83"/>
        <w:gridCol w:w="1488"/>
        <w:gridCol w:w="1761"/>
        <w:gridCol w:w="1646"/>
        <w:gridCol w:w="1640"/>
        <w:gridCol w:w="1646"/>
      </w:tblGrid>
      <w:tr>
        <w:trPr>
          <w:trHeight w:val="236" w:hRule="atLeast"/>
        </w:trPr>
        <w:tc>
          <w:tcPr>
            <w:tcW w:w="1683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665"/>
              <w:spacing w:before="38" w:line="164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1488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627"/>
              <w:spacing w:before="37" w:line="165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1761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625"/>
              <w:spacing w:before="38" w:line="164" w:lineRule="auto"/>
              <w:rPr/>
            </w:pPr>
            <w:r>
              <w:rPr>
                <w:color w:val="231F20"/>
                <w:spacing w:val="-2"/>
              </w:rPr>
              <w:t>角色功能</w:t>
            </w:r>
          </w:p>
        </w:tc>
        <w:tc>
          <w:tcPr>
            <w:tcW w:w="1646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05"/>
              <w:spacing w:before="39" w:line="163" w:lineRule="auto"/>
              <w:rPr/>
            </w:pPr>
            <w:r>
              <w:rPr>
                <w:color w:val="231F20"/>
                <w:spacing w:val="-1"/>
              </w:rPr>
              <w:t>社会功能</w:t>
            </w:r>
          </w:p>
        </w:tc>
        <w:tc>
          <w:tcPr>
            <w:tcW w:w="1640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01"/>
              <w:spacing w:before="39" w:line="163" w:lineRule="auto"/>
              <w:rPr/>
            </w:pPr>
            <w:r>
              <w:rPr>
                <w:color w:val="231F20"/>
                <w:spacing w:val="-1"/>
              </w:rPr>
              <w:t>认知功能</w:t>
            </w:r>
          </w:p>
        </w:tc>
        <w:tc>
          <w:tcPr>
            <w:tcW w:w="1646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08"/>
              <w:spacing w:before="36" w:line="166" w:lineRule="auto"/>
              <w:rPr/>
            </w:pPr>
            <w:r>
              <w:rPr>
                <w:color w:val="231F20"/>
                <w:spacing w:val="-1"/>
              </w:rPr>
              <w:t>躯体功能</w:t>
            </w:r>
          </w:p>
        </w:tc>
      </w:tr>
      <w:tr>
        <w:trPr>
          <w:trHeight w:val="215" w:hRule="atLeast"/>
        </w:trPr>
        <w:tc>
          <w:tcPr>
            <w:tcW w:w="168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87"/>
              <w:spacing w:before="33" w:line="172" w:lineRule="exact"/>
              <w:rPr/>
            </w:pPr>
            <w:r>
              <w:rPr>
                <w:color w:val="231F20"/>
                <w:spacing w:val="-2"/>
              </w:rPr>
              <w:t>实验组</w:t>
            </w:r>
          </w:p>
        </w:tc>
        <w:tc>
          <w:tcPr>
            <w:tcW w:w="148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708"/>
              <w:spacing w:before="28" w:line="177" w:lineRule="exact"/>
              <w:rPr/>
            </w:pPr>
            <w:r>
              <w:rPr>
                <w:color w:val="231F20"/>
                <w:spacing w:val="-9"/>
                <w:position w:val="-1"/>
              </w:rPr>
              <w:t>90</w:t>
            </w:r>
          </w:p>
        </w:tc>
        <w:tc>
          <w:tcPr>
            <w:tcW w:w="176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48"/>
              <w:spacing w:before="28" w:line="177" w:lineRule="exact"/>
              <w:rPr/>
            </w:pPr>
            <w:r>
              <w:rPr>
                <w:color w:val="231F20"/>
                <w:spacing w:val="-6"/>
                <w:position w:val="-1"/>
              </w:rPr>
              <w:t>88.23±3.21</w:t>
            </w:r>
          </w:p>
        </w:tc>
        <w:tc>
          <w:tcPr>
            <w:tcW w:w="164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31"/>
              <w:spacing w:before="28" w:line="177" w:lineRule="exact"/>
              <w:rPr/>
            </w:pPr>
            <w:r>
              <w:rPr>
                <w:color w:val="231F20"/>
                <w:spacing w:val="-6"/>
                <w:position w:val="-1"/>
              </w:rPr>
              <w:t>87.35±3.22</w:t>
            </w:r>
          </w:p>
        </w:tc>
        <w:tc>
          <w:tcPr>
            <w:tcW w:w="164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29"/>
              <w:spacing w:before="28" w:line="177" w:lineRule="exact"/>
              <w:rPr/>
            </w:pPr>
            <w:r>
              <w:rPr>
                <w:color w:val="231F20"/>
                <w:spacing w:val="-6"/>
                <w:position w:val="-1"/>
              </w:rPr>
              <w:t>89.26±3.23</w:t>
            </w:r>
          </w:p>
        </w:tc>
        <w:tc>
          <w:tcPr>
            <w:tcW w:w="164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32"/>
              <w:spacing w:before="28" w:line="177" w:lineRule="exact"/>
              <w:rPr/>
            </w:pPr>
            <w:r>
              <w:rPr>
                <w:color w:val="231F20"/>
                <w:spacing w:val="-5"/>
                <w:position w:val="-1"/>
              </w:rPr>
              <w:t>90.06±3.24</w:t>
            </w:r>
          </w:p>
        </w:tc>
      </w:tr>
      <w:tr>
        <w:trPr>
          <w:trHeight w:val="221" w:hRule="atLeast"/>
        </w:trPr>
        <w:tc>
          <w:tcPr>
            <w:tcW w:w="1683" w:type="dxa"/>
            <w:vAlign w:val="top"/>
          </w:tcPr>
          <w:p>
            <w:pPr>
              <w:pStyle w:val="TableText"/>
              <w:ind w:left="585"/>
              <w:spacing w:before="47" w:line="163" w:lineRule="exact"/>
              <w:rPr/>
            </w:pPr>
            <w:r>
              <w:rPr>
                <w:color w:val="231F20"/>
                <w:spacing w:val="-1"/>
              </w:rPr>
              <w:t>对照组</w:t>
            </w:r>
          </w:p>
        </w:tc>
        <w:tc>
          <w:tcPr>
            <w:tcW w:w="1488" w:type="dxa"/>
            <w:vAlign w:val="top"/>
          </w:tcPr>
          <w:p>
            <w:pPr>
              <w:pStyle w:val="TableText"/>
              <w:ind w:left="708"/>
              <w:spacing w:before="41" w:line="169" w:lineRule="exact"/>
              <w:rPr/>
            </w:pPr>
            <w:r>
              <w:rPr>
                <w:color w:val="231F20"/>
                <w:spacing w:val="-9"/>
                <w:position w:val="-1"/>
              </w:rPr>
              <w:t>90</w:t>
            </w:r>
          </w:p>
        </w:tc>
        <w:tc>
          <w:tcPr>
            <w:tcW w:w="1761" w:type="dxa"/>
            <w:vAlign w:val="top"/>
          </w:tcPr>
          <w:p>
            <w:pPr>
              <w:pStyle w:val="TableText"/>
              <w:ind w:left="548"/>
              <w:spacing w:before="41" w:line="169" w:lineRule="exact"/>
              <w:rPr/>
            </w:pPr>
            <w:r>
              <w:rPr>
                <w:color w:val="231F20"/>
                <w:spacing w:val="-6"/>
                <w:position w:val="-1"/>
              </w:rPr>
              <w:t>86.68±3.27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431"/>
              <w:spacing w:before="41" w:line="169" w:lineRule="exact"/>
              <w:rPr/>
            </w:pPr>
            <w:r>
              <w:rPr>
                <w:color w:val="231F20"/>
                <w:spacing w:val="-6"/>
                <w:position w:val="-1"/>
              </w:rPr>
              <w:t>85.72±3.26</w:t>
            </w:r>
          </w:p>
        </w:tc>
        <w:tc>
          <w:tcPr>
            <w:tcW w:w="1640" w:type="dxa"/>
            <w:vAlign w:val="top"/>
          </w:tcPr>
          <w:p>
            <w:pPr>
              <w:pStyle w:val="TableText"/>
              <w:ind w:left="430"/>
              <w:spacing w:before="41" w:line="169" w:lineRule="exact"/>
              <w:rPr/>
            </w:pPr>
            <w:r>
              <w:rPr>
                <w:color w:val="231F20"/>
                <w:spacing w:val="-6"/>
                <w:position w:val="-1"/>
              </w:rPr>
              <w:t>87.84±3.25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434"/>
              <w:spacing w:before="41" w:line="169" w:lineRule="exact"/>
              <w:rPr/>
            </w:pPr>
            <w:r>
              <w:rPr>
                <w:color w:val="231F20"/>
                <w:spacing w:val="-6"/>
                <w:position w:val="-1"/>
              </w:rPr>
              <w:t>88.79±3.21</w:t>
            </w:r>
          </w:p>
        </w:tc>
      </w:tr>
      <w:tr>
        <w:trPr>
          <w:trHeight w:val="227" w:hRule="atLeast"/>
        </w:trPr>
        <w:tc>
          <w:tcPr>
            <w:tcW w:w="1683" w:type="dxa"/>
            <w:vAlign w:val="top"/>
          </w:tcPr>
          <w:p>
            <w:pPr>
              <w:pStyle w:val="TableText"/>
              <w:ind w:left="707"/>
              <w:spacing w:before="51" w:line="166" w:lineRule="exact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2"/>
                <w:position w:val="-1"/>
              </w:rPr>
              <w:t>t </w:t>
            </w:r>
            <w:r>
              <w:rPr>
                <w:color w:val="231F20"/>
                <w:spacing w:val="-2"/>
                <w:position w:val="-1"/>
              </w:rPr>
              <w:t>值</w:t>
            </w:r>
          </w:p>
        </w:tc>
        <w:tc>
          <w:tcPr>
            <w:tcW w:w="1488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1761" w:type="dxa"/>
            <w:vAlign w:val="top"/>
          </w:tcPr>
          <w:p>
            <w:pPr>
              <w:pStyle w:val="TableText"/>
              <w:ind w:left="768"/>
              <w:spacing w:before="48" w:line="169" w:lineRule="exact"/>
              <w:rPr/>
            </w:pPr>
            <w:r>
              <w:rPr>
                <w:color w:val="231F20"/>
                <w:spacing w:val="-10"/>
                <w:position w:val="-1"/>
              </w:rPr>
              <w:t>3.209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651"/>
              <w:spacing w:before="48" w:line="169" w:lineRule="exact"/>
              <w:rPr/>
            </w:pPr>
            <w:r>
              <w:rPr>
                <w:color w:val="231F20"/>
                <w:spacing w:val="-10"/>
                <w:position w:val="-1"/>
              </w:rPr>
              <w:t>3.375</w:t>
            </w:r>
          </w:p>
        </w:tc>
        <w:tc>
          <w:tcPr>
            <w:tcW w:w="1640" w:type="dxa"/>
            <w:vAlign w:val="top"/>
          </w:tcPr>
          <w:p>
            <w:pPr>
              <w:pStyle w:val="TableText"/>
              <w:ind w:left="647"/>
              <w:spacing w:before="48" w:line="169" w:lineRule="exact"/>
              <w:rPr/>
            </w:pPr>
            <w:r>
              <w:rPr>
                <w:color w:val="231F20"/>
                <w:spacing w:val="-10"/>
                <w:position w:val="-1"/>
              </w:rPr>
              <w:t>2.940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651"/>
              <w:spacing w:before="48" w:line="169" w:lineRule="exact"/>
              <w:rPr/>
            </w:pPr>
            <w:r>
              <w:rPr>
                <w:color w:val="231F20"/>
                <w:spacing w:val="-10"/>
                <w:position w:val="-1"/>
              </w:rPr>
              <w:t>2.642</w:t>
            </w:r>
          </w:p>
        </w:tc>
      </w:tr>
      <w:tr>
        <w:trPr>
          <w:trHeight w:val="245" w:hRule="atLeast"/>
        </w:trPr>
        <w:tc>
          <w:tcPr>
            <w:tcW w:w="1683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670"/>
              <w:spacing w:before="51" w:line="160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1"/>
              </w:rPr>
              <w:t>P </w:t>
            </w:r>
            <w:r>
              <w:rPr>
                <w:color w:val="231F20"/>
                <w:spacing w:val="1"/>
              </w:rPr>
              <w:t>值</w:t>
            </w:r>
          </w:p>
        </w:tc>
        <w:tc>
          <w:tcPr>
            <w:tcW w:w="1488" w:type="dxa"/>
            <w:vAlign w:val="top"/>
            <w:tcBorders>
              <w:bottom w:val="single" w:color="231F20" w:sz="8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61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765"/>
              <w:spacing w:before="49" w:line="162" w:lineRule="auto"/>
              <w:rPr/>
            </w:pPr>
            <w:r>
              <w:rPr>
                <w:color w:val="231F20"/>
                <w:spacing w:val="-10"/>
              </w:rPr>
              <w:t>0.002</w:t>
            </w:r>
          </w:p>
        </w:tc>
        <w:tc>
          <w:tcPr>
            <w:tcW w:w="1646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648"/>
              <w:spacing w:before="49" w:line="162" w:lineRule="auto"/>
              <w:rPr/>
            </w:pPr>
            <w:r>
              <w:rPr>
                <w:color w:val="231F20"/>
                <w:spacing w:val="-10"/>
              </w:rPr>
              <w:t>0.001</w:t>
            </w:r>
          </w:p>
        </w:tc>
        <w:tc>
          <w:tcPr>
            <w:tcW w:w="1640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646"/>
              <w:spacing w:before="49" w:line="162" w:lineRule="auto"/>
              <w:rPr/>
            </w:pPr>
            <w:r>
              <w:rPr>
                <w:color w:val="231F20"/>
                <w:spacing w:val="-10"/>
              </w:rPr>
              <w:t>0.004</w:t>
            </w:r>
          </w:p>
        </w:tc>
        <w:tc>
          <w:tcPr>
            <w:tcW w:w="1646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651"/>
              <w:spacing w:before="49" w:line="162" w:lineRule="auto"/>
              <w:rPr/>
            </w:pPr>
            <w:r>
              <w:rPr>
                <w:color w:val="231F20"/>
                <w:spacing w:val="-10"/>
              </w:rPr>
              <w:t>0.009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50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50" w:lineRule="auto"/>
        <w:sectPr>
          <w:type w:val="continuous"/>
          <w:pgSz w:w="11906" w:h="16441"/>
          <w:pgMar w:top="400" w:right="945" w:bottom="0" w:left="407" w:header="0" w:footer="0" w:gutter="0"/>
          <w:cols w:equalWidth="0" w:num="1">
            <w:col w:w="1055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959"/>
        <w:spacing w:before="36" w:line="224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4"/>
        </w:rPr>
        <w:t>3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231F20"/>
          <w:spacing w:val="-4"/>
        </w:rPr>
        <w:t>讨论</w:t>
      </w:r>
    </w:p>
    <w:p>
      <w:pPr>
        <w:pStyle w:val="BodyText"/>
        <w:ind w:left="614" w:right="228" w:firstLine="344"/>
        <w:spacing w:before="71" w:line="209" w:lineRule="auto"/>
        <w:rPr/>
      </w:pPr>
      <w:r>
        <w:rPr>
          <w:color w:val="231F20"/>
        </w:rPr>
        <w:t>急性肠胃炎的产生与患者的饮食习惯和病原菌感染有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关，临床通常采取药物治疗的方式。阿莫西林是常用的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一种抗菌药，以青霉素抗生素为主要成分，对幽门螺杆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菌和需氧革兰阳性菌具有较好的抗菌效果，可有效抑制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细菌细胞壁形成，使细菌迅速溶解，从而起到抗菌的作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"/>
        </w:rPr>
        <w:t>用，在人体胃肠道内被大部分吸收后，能快速发挥药效，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且不易受食物影响</w:t>
      </w:r>
      <w:r>
        <w:rPr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[4]</w:t>
      </w:r>
      <w:r>
        <w:rPr>
          <w:sz w:val="11"/>
          <w:szCs w:val="11"/>
          <w:color w:val="231F20"/>
          <w:spacing w:val="-11"/>
          <w:position w:val="8"/>
        </w:rPr>
        <w:t xml:space="preserve"> </w:t>
      </w:r>
      <w:r>
        <w:rPr>
          <w:color w:val="231F20"/>
          <w:spacing w:val="-1"/>
        </w:rPr>
        <w:t>。由于阿莫西林主要通过肝肾代谢排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出，因此对肝肾功能不全的患者，代谢速率会有所延长。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替硝唑是一种常见的硝基咪唑类药物，在进入人体胃肠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道后能被彻底吸收，在生殖器官、腹部肌肉和肠道等组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织中能保持较高的药物浓度，在肝脏和脂肪中的药物浓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度较低，且不良反应较少。替硝唑可有效对抗消化链球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菌、消化球菌、加德纳菌、韦容球菌以及大多数厌氧菌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等菌类，抑制病原体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DNA</w:t>
      </w:r>
      <w:r>
        <w:rPr>
          <w:color w:val="231F20"/>
          <w:spacing w:val="3"/>
        </w:rPr>
        <w:t xml:space="preserve"> 的形成，阻碍病菌生长速度，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减少病菌的繁殖数量，从而达到灭菌的作用</w:t>
      </w:r>
      <w:r>
        <w:rPr>
          <w:color w:val="231F20"/>
          <w:spacing w:val="-19"/>
        </w:rPr>
        <w:t xml:space="preserve"> </w:t>
      </w:r>
      <w:r>
        <w:rPr>
          <w:sz w:val="11"/>
          <w:szCs w:val="11"/>
          <w:color w:val="231F20"/>
          <w:spacing w:val="6"/>
          <w:position w:val="8"/>
        </w:rPr>
        <w:t>[5]</w:t>
      </w:r>
      <w:r>
        <w:rPr>
          <w:sz w:val="11"/>
          <w:szCs w:val="11"/>
          <w:color w:val="231F20"/>
          <w:spacing w:val="-6"/>
          <w:position w:val="8"/>
        </w:rPr>
        <w:t xml:space="preserve"> </w:t>
      </w:r>
      <w:r>
        <w:rPr>
          <w:color w:val="231F20"/>
          <w:spacing w:val="6"/>
        </w:rPr>
        <w:t>。采用阿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莫西林结合替硝唑治疗急性肠胃炎具有较好的临床疗效，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可有效缓解患者的临床症状和痛苦，促进患者预后改善。</w:t>
      </w:r>
    </w:p>
    <w:p>
      <w:pPr>
        <w:pStyle w:val="BodyText"/>
        <w:ind w:left="955"/>
        <w:spacing w:line="163" w:lineRule="auto"/>
        <w:rPr/>
      </w:pPr>
      <w:r>
        <w:rPr>
          <w:color w:val="231F20"/>
          <w:spacing w:val="9"/>
        </w:rPr>
        <w:t>本次研究结果显示，实验组的治疗有效率明显高于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6" w:line="212" w:lineRule="auto"/>
        <w:jc w:val="both"/>
        <w:rPr/>
      </w:pPr>
      <w:r>
        <w:rPr>
          <w:color w:val="231F20"/>
          <w:spacing w:val="7"/>
        </w:rPr>
        <w:t>对照组，恶心呕吐、急性腹泻、脱水缓解时间和不良反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应发生率均明显低于对照组，生活质量评分均明显高于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对照组。由此可见，在急性肠胃炎患者的治疗中采取阿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"/>
        </w:rPr>
        <w:t>莫西林结合替硝唑的方式，能够明显缩短患者恶心呕吐、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7"/>
        </w:rPr>
        <w:t>急性腹泻和脱水的缓解时间，减少患者相关不良反应的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发生概率，提升患者的生活质量，对促进急性肠胃炎患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者治疗效果的提升和健康具有较好的作用，具有广泛的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临床应用价值。</w:t>
      </w:r>
    </w:p>
    <w:p>
      <w:pPr>
        <w:ind w:left="4"/>
        <w:spacing w:before="81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2"/>
        </w:rPr>
        <w:t>参考文献</w:t>
      </w:r>
    </w:p>
    <w:p>
      <w:pPr>
        <w:pStyle w:val="BodyText"/>
        <w:ind w:left="293" w:right="74" w:hanging="283"/>
        <w:spacing w:before="58" w:line="19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[1]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sz w:val="16"/>
          <w:szCs w:val="16"/>
          <w:color w:val="231F20"/>
          <w:spacing w:val="-1"/>
        </w:rPr>
        <w:t>聂颖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阿莫西林结合替硝唑在急性肠胃炎治疗</w:t>
      </w:r>
      <w:r>
        <w:rPr>
          <w:sz w:val="16"/>
          <w:szCs w:val="16"/>
          <w:color w:val="231F20"/>
          <w:spacing w:val="-2"/>
        </w:rPr>
        <w:t>中的临床疗效分析</w:t>
      </w:r>
      <w:r>
        <w:rPr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[J]. </w:t>
      </w:r>
      <w:r>
        <w:rPr>
          <w:sz w:val="16"/>
          <w:szCs w:val="16"/>
          <w:color w:val="231F20"/>
          <w:spacing w:val="-1"/>
        </w:rPr>
        <w:t>世界最新医学信息文摘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 2019,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19(60):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190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192.</w:t>
      </w:r>
    </w:p>
    <w:p>
      <w:pPr>
        <w:pStyle w:val="BodyText"/>
        <w:ind w:left="10"/>
        <w:spacing w:before="32" w:line="18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[2]  </w:t>
      </w:r>
      <w:r>
        <w:rPr>
          <w:sz w:val="16"/>
          <w:szCs w:val="16"/>
          <w:color w:val="231F20"/>
          <w:spacing w:val="1"/>
        </w:rPr>
        <w:t>姜晓丽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  </w:t>
      </w:r>
      <w:r>
        <w:rPr>
          <w:sz w:val="16"/>
          <w:szCs w:val="16"/>
          <w:color w:val="231F20"/>
          <w:spacing w:val="1"/>
        </w:rPr>
        <w:t>阿莫西林与替硝唑联合治疗急性肠胃炎的疗效研究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[J].</w:t>
      </w:r>
    </w:p>
    <w:p>
      <w:pPr>
        <w:pStyle w:val="BodyText"/>
        <w:ind w:left="283"/>
        <w:spacing w:before="30" w:line="18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世界最新医学信息文摘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 2018,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18(48):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123.</w:t>
      </w:r>
    </w:p>
    <w:p>
      <w:pPr>
        <w:pStyle w:val="BodyText"/>
        <w:ind w:left="293" w:right="73" w:hanging="283"/>
        <w:spacing w:before="32" w:line="19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[3]  </w:t>
      </w:r>
      <w:r>
        <w:rPr>
          <w:sz w:val="16"/>
          <w:szCs w:val="16"/>
          <w:color w:val="231F20"/>
          <w:spacing w:val="3"/>
        </w:rPr>
        <w:t>仁增拉毛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替硝唑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+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3"/>
        </w:rPr>
        <w:t>阿莫西林治疗急性肠胃炎的临床疗效研究</w:t>
      </w:r>
      <w:r>
        <w:rPr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[J]. </w:t>
      </w:r>
      <w:r>
        <w:rPr>
          <w:sz w:val="16"/>
          <w:szCs w:val="16"/>
          <w:color w:val="231F20"/>
          <w:spacing w:val="-1"/>
        </w:rPr>
        <w:t>世界最新医学信息文摘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 2019,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19(47):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141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143.</w:t>
      </w:r>
    </w:p>
    <w:p>
      <w:pPr>
        <w:pStyle w:val="BodyText"/>
        <w:ind w:left="290" w:right="74" w:hanging="280"/>
        <w:spacing w:before="32" w:line="19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[4]  </w:t>
      </w:r>
      <w:r>
        <w:rPr>
          <w:sz w:val="16"/>
          <w:szCs w:val="16"/>
          <w:color w:val="231F20"/>
          <w:spacing w:val="-1"/>
        </w:rPr>
        <w:t>谭强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  </w:t>
      </w:r>
      <w:r>
        <w:rPr>
          <w:sz w:val="16"/>
          <w:szCs w:val="16"/>
          <w:color w:val="231F20"/>
          <w:spacing w:val="-1"/>
        </w:rPr>
        <w:t>阿莫西林联合替硝唑治疗急性肠胃炎临床疗效</w:t>
      </w:r>
      <w:r>
        <w:rPr>
          <w:sz w:val="16"/>
          <w:szCs w:val="16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[J].  </w:t>
      </w:r>
      <w:r>
        <w:rPr>
          <w:sz w:val="16"/>
          <w:szCs w:val="16"/>
          <w:color w:val="231F20"/>
          <w:spacing w:val="-2"/>
        </w:rPr>
        <w:t>中国城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乡企业卫生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 2019, 34(5):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163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164.</w:t>
      </w:r>
    </w:p>
    <w:p>
      <w:pPr>
        <w:pStyle w:val="BodyText"/>
        <w:ind w:left="284" w:right="74" w:hanging="274"/>
        <w:spacing w:before="31" w:line="19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[5]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 </w:t>
      </w:r>
      <w:r>
        <w:rPr>
          <w:sz w:val="16"/>
          <w:szCs w:val="16"/>
          <w:color w:val="231F20"/>
          <w:spacing w:val="-2"/>
        </w:rPr>
        <w:t>王佳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2"/>
        </w:rPr>
        <w:t>替硝唑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+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阿莫西林治疗急性肠胃炎的价值研究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临床医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药文献电子杂志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 2019, 6(4):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162.</w:t>
      </w:r>
    </w:p>
    <w:p>
      <w:pPr>
        <w:pStyle w:val="BodyText"/>
        <w:ind w:left="1128"/>
        <w:spacing w:before="29" w:line="19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2"/>
        </w:rPr>
        <w:t>(</w:t>
      </w:r>
      <w:r>
        <w:rPr>
          <w:rFonts w:ascii="SimHei" w:hAnsi="SimHei" w:eastAsia="SimHei" w:cs="SimHei"/>
          <w:sz w:val="16"/>
          <w:szCs w:val="16"/>
          <w:color w:val="231F20"/>
          <w:spacing w:val="-34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2"/>
        </w:rPr>
        <w:t>收稿日期：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2020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12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     </w:t>
      </w:r>
      <w:r>
        <w:rPr>
          <w:rFonts w:ascii="SimHei" w:hAnsi="SimHei" w:eastAsia="SimHei" w:cs="SimHei"/>
          <w:sz w:val="16"/>
          <w:szCs w:val="16"/>
          <w:color w:val="231F20"/>
          <w:spacing w:val="2"/>
        </w:rPr>
        <w:t>接受日期</w:t>
      </w:r>
      <w:r>
        <w:rPr>
          <w:sz w:val="16"/>
          <w:szCs w:val="16"/>
          <w:color w:val="231F20"/>
          <w:spacing w:val="2"/>
        </w:rPr>
        <w:t>：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2021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1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21)</w:t>
      </w:r>
    </w:p>
    <w:p>
      <w:pPr>
        <w:spacing w:line="195" w:lineRule="auto"/>
        <w:sectPr>
          <w:type w:val="continuous"/>
          <w:pgSz w:w="11906" w:h="16441"/>
          <w:pgMar w:top="400" w:right="945" w:bottom="0" w:left="407" w:header="0" w:footer="0" w:gutter="0"/>
          <w:cols w:equalWidth="0" w:num="2">
            <w:col w:w="5647" w:space="100"/>
            <w:col w:w="4806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ind w:left="656"/>
        <w:spacing w:before="63" w:line="181" w:lineRule="auto"/>
        <w:rPr>
          <w:rFonts w:ascii="STXingkai" w:hAnsi="STXingkai" w:eastAsia="STXingkai" w:cs="STXingkai"/>
          <w:sz w:val="18"/>
          <w:szCs w:val="18"/>
        </w:rPr>
      </w:pPr>
      <w:r>
        <w:pict>
          <v:shape id="_x0000_s10" style="position:absolute;margin-left:-1pt;margin-top:6.41302pt;mso-position-vertical-relative:text;mso-position-horizontal-relative:text;width:477.5pt;height:11.7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6"/>
                    </w:rPr>
                    <w:t>(c)1994-2023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china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Academic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Journal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Electronic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pubolishing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House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-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6"/>
                    </w:rPr>
                    <w:t>·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5"/>
                    </w:rPr>
                    <w:t>A1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rights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reserved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5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http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5"/>
                    </w:rPr>
                    <w:t>://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www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5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-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cnki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5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net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  <w:position w:val="-2"/>
        </w:rPr>
        <w:t>76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1"/>
          <w:position w:val="-2"/>
        </w:rPr>
        <w:t xml:space="preserve">                                       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-2"/>
        </w:rPr>
        <w:t xml:space="preserve">                                                                                                                       </w:t>
      </w:r>
      <w:r>
        <w:rPr>
          <w:rFonts w:ascii="STXingkai" w:hAnsi="STXingkai" w:eastAsia="STXingkai" w:cs="STXingkai"/>
          <w:sz w:val="18"/>
          <w:szCs w:val="18"/>
          <w:color w:val="231F20"/>
          <w:spacing w:val="-4"/>
        </w:rPr>
        <w:t>医学食疗与健康</w:t>
      </w:r>
    </w:p>
    <w:sectPr>
      <w:type w:val="continuous"/>
      <w:pgSz w:w="11906" w:h="16441"/>
      <w:pgMar w:top="400" w:right="945" w:bottom="0" w:left="407" w:header="0" w:footer="0" w:gutter="0"/>
      <w:cols w:equalWidth="0" w:num="1">
        <w:col w:w="1055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2023-09-26T10:49:06Z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2025-10-28T21:31:22</vt:filetime>
  </property>
</Properties>
</file>