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90" w:line="213" w:lineRule="auto"/>
        <w:jc w:val="right"/>
        <w:rPr>
          <w:sz w:val="21"/>
          <w:szCs w:val="21"/>
        </w:rPr>
      </w:pP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中国现代药物应用2021年2月第15卷第3期  Chin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J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Mod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Drug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Appl,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Feb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2021,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Vol.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15,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No.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 xml:space="preserve">      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 xml:space="preserve">                               </w:t>
      </w:r>
      <w:r>
        <w:rPr>
          <w:sz w:val="21"/>
          <w:szCs w:val="21"/>
          <w:color w:val="231F20"/>
          <w:spacing w:val="-4"/>
          <w:position w:val="-1"/>
        </w:rPr>
        <w:t>·161</w:t>
      </w:r>
      <w:r>
        <w:rPr>
          <w:sz w:val="21"/>
          <w:szCs w:val="21"/>
          <w:color w:val="231F20"/>
          <w:spacing w:val="26"/>
          <w:w w:val="101"/>
          <w:position w:val="-1"/>
        </w:rPr>
        <w:t xml:space="preserve"> </w:t>
      </w:r>
      <w:r>
        <w:rPr>
          <w:sz w:val="21"/>
          <w:szCs w:val="21"/>
          <w:color w:val="231F20"/>
          <w:spacing w:val="-4"/>
          <w:position w:val="-1"/>
        </w:rPr>
        <w:t>·</w: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1"/>
          <w:pgSz w:w="11906" w:h="16838"/>
          <w:pgMar w:top="400" w:right="937" w:bottom="0" w:left="407" w:header="0" w:footer="0" w:gutter="0"/>
          <w:cols w:equalWidth="0" w:num="1">
            <w:col w:w="10560" w:space="0"/>
          </w:cols>
        </w:sectPr>
        <w:rPr/>
      </w:pPr>
    </w:p>
    <w:p>
      <w:pPr>
        <w:pStyle w:val="BodyText"/>
        <w:ind w:left="729" w:right="157" w:firstLine="5"/>
        <w:spacing w:before="42" w:line="210" w:lineRule="auto"/>
        <w:jc w:val="both"/>
        <w:rPr/>
      </w:pPr>
      <w:r>
        <w:rPr>
          <w:color w:val="231F20"/>
          <w:spacing w:val="4"/>
        </w:rPr>
        <w:t>患者表示服用药物后 , 仍存在反酸、烧心等临床典型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表现 , 且不良反应时常发生 , 严重影响生活质</w:t>
      </w:r>
      <w:r>
        <w:rPr>
          <w:color w:val="231F20"/>
          <w:spacing w:val="-2"/>
        </w:rPr>
        <w:t>量。由此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可见 , 单一用药对治疗反流性食管炎具有一定局限性 ,</w:t>
      </w:r>
      <w:r>
        <w:rPr>
          <w:color w:val="231F20"/>
        </w:rPr>
        <w:t xml:space="preserve"> </w:t>
      </w:r>
      <w:r>
        <w:rPr>
          <w:color w:val="231F20"/>
        </w:rPr>
        <w:t>导致病情反复发作 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给患者造成巨大心理负担。因此 , </w:t>
      </w:r>
      <w:r>
        <w:rPr>
          <w:color w:val="231F20"/>
          <w:spacing w:val="8"/>
        </w:rPr>
        <w:t>临床通过联合使用埃索美拉唑和莫沙必利治疗方法 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充分发挥两种药物优势 , 提升治疗最大效用 , </w:t>
      </w:r>
      <w:r>
        <w:rPr>
          <w:color w:val="231F20"/>
          <w:spacing w:val="-2"/>
        </w:rPr>
        <w:t>帮助患者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尽快恢复健康。</w:t>
      </w:r>
    </w:p>
    <w:p>
      <w:pPr>
        <w:pStyle w:val="BodyText"/>
        <w:ind w:left="728" w:right="156" w:firstLine="419"/>
        <w:spacing w:before="19" w:line="209" w:lineRule="auto"/>
        <w:jc w:val="both"/>
        <w:rPr/>
      </w:pPr>
      <w:r>
        <w:rPr>
          <w:color w:val="231F20"/>
          <w:spacing w:val="4"/>
        </w:rPr>
        <w:t>研究结果显示 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观察组患者的总有效率高于对照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组 , 不良反应发生率低于对照组 , 生活功能评分</w:t>
      </w:r>
      <w:r>
        <w:rPr>
          <w:color w:val="231F20"/>
          <w:spacing w:val="-2"/>
        </w:rPr>
        <w:t>、心理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功能评分、社会功能评分均高于对照组 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差</w:t>
      </w:r>
      <w:r>
        <w:rPr>
          <w:color w:val="231F20"/>
          <w:spacing w:val="4"/>
        </w:rPr>
        <w:t>异均具有</w:t>
      </w:r>
      <w:r>
        <w:rPr>
          <w:color w:val="231F20"/>
        </w:rPr>
        <w:t xml:space="preserve"> </w:t>
      </w:r>
      <w:r>
        <w:rPr>
          <w:color w:val="231F20"/>
        </w:rPr>
        <w:t>统计学意义 (</w:t>
      </w:r>
      <w:r>
        <w:rPr>
          <w:rFonts w:ascii="Times New Roman" w:hAnsi="Times New Roman" w:eastAsia="Times New Roman" w:cs="Times New Roman"/>
          <w:color w:val="231F20"/>
        </w:rPr>
        <w:t>P&lt;</w:t>
      </w:r>
      <w:r>
        <w:rPr>
          <w:color w:val="231F20"/>
        </w:rPr>
        <w:t>0.05)。结果与韦华胜等</w:t>
      </w:r>
      <w:r>
        <w:rPr>
          <w:sz w:val="11"/>
          <w:szCs w:val="11"/>
          <w:color w:val="231F20"/>
          <w:position w:val="9"/>
        </w:rPr>
        <w:t>［5］</w:t>
      </w:r>
      <w:r>
        <w:rPr>
          <w:color w:val="231F20"/>
        </w:rPr>
        <w:t>研究完全一 </w:t>
      </w:r>
      <w:r>
        <w:rPr>
          <w:color w:val="231F20"/>
          <w:spacing w:val="5"/>
        </w:rPr>
        <w:t>致 , 说明两种药物联合使用相较于单一用药对纠正临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床症状效果更显著 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且不良反应事件发生率较低 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助于生活质量提升。其主要是因为埃索美拉唑具有提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升胃部 pH 值作用 , 再服用莫沙必利后 , 促进胃肠道消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化 , 可将所有反流内容物排出 , 从而减少对食管</w:t>
      </w:r>
      <w:r>
        <w:rPr>
          <w:color w:val="231F20"/>
          <w:spacing w:val="-2"/>
        </w:rPr>
        <w:t>黏膜的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损伤 , 提升治疗效果。两种药物联合服用后 , 病</w:t>
      </w:r>
      <w:r>
        <w:rPr>
          <w:color w:val="231F20"/>
          <w:spacing w:val="-2"/>
        </w:rPr>
        <w:t>情再次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发作风险明显降低 , 说明埃索美拉唑联合莫沙必利治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疗是一种安全性较高、作用显著的治疗方法 , 值得临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床推广。在此研究中 , 作者还发现 , 大部分患者</w:t>
      </w:r>
      <w:r>
        <w:rPr>
          <w:color w:val="231F20"/>
          <w:spacing w:val="-2"/>
        </w:rPr>
        <w:t>年龄较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大 , 缺乏对疾病的认知 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出现拒绝服药情况 , 导致病情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无法得到较好控制 , 存在反复发作情况 , 严重影</w:t>
      </w:r>
      <w:r>
        <w:rPr>
          <w:color w:val="231F20"/>
          <w:spacing w:val="-2"/>
        </w:rPr>
        <w:t>响治疗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效果。由此可见 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在治疗过程中实施有针对性的护理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干预 , 对提升治疗效果具有促进作用。在本次研究中 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 w:right="81" w:firstLine="1"/>
        <w:spacing w:before="41" w:line="210" w:lineRule="auto"/>
        <w:jc w:val="both"/>
        <w:rPr/>
      </w:pPr>
      <w:r>
        <w:rPr>
          <w:color w:val="231F20"/>
          <w:spacing w:val="-1"/>
        </w:rPr>
        <w:t>还出现遵医嘱服用药物后 , 病情恶化情况 ,</w:t>
      </w:r>
      <w:r>
        <w:rPr>
          <w:color w:val="231F20"/>
          <w:spacing w:val="-2"/>
        </w:rPr>
        <w:t xml:space="preserve"> 其主要与患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者身体素质存在较大关系 , 若在长时间治疗后病情没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得到明显好转 , 应检查身体状况 , 适当增加口</w:t>
      </w:r>
      <w:r>
        <w:rPr>
          <w:color w:val="231F20"/>
          <w:spacing w:val="-2"/>
        </w:rPr>
        <w:t>服药物剂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量。作者认为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虽然埃索美拉唑联合莫沙必利治疗反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流性食管炎效果显著 , 但是在此过程中仍会出现不良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反应 , 影响预后效果。因此在口服用药后 , 应</w:t>
      </w:r>
      <w:r>
        <w:rPr>
          <w:color w:val="231F20"/>
          <w:spacing w:val="-2"/>
        </w:rPr>
        <w:t>密切观察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用药效果 , 如发现异常 , 应立即向医生反馈 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采取有效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措施 , 快速纠正 , 避免意外事件发生。</w:t>
      </w:r>
    </w:p>
    <w:p>
      <w:pPr>
        <w:pStyle w:val="BodyText"/>
        <w:ind w:left="85" w:right="81" w:firstLine="418"/>
        <w:spacing w:before="3" w:line="214" w:lineRule="auto"/>
        <w:jc w:val="both"/>
        <w:rPr/>
      </w:pPr>
      <w:r>
        <w:rPr>
          <w:color w:val="231F20"/>
          <w:spacing w:val="5"/>
        </w:rPr>
        <w:t>综上所述 , 对反流性食管炎患者应用埃索美拉唑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联合莫沙必利治疗的临床症状改善情况显著</w:t>
      </w:r>
      <w:r>
        <w:rPr>
          <w:color w:val="231F20"/>
          <w:spacing w:val="4"/>
        </w:rPr>
        <w:t xml:space="preserve"> 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治疗效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果更好。同时还可预防不良事件发生 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对提</w:t>
      </w:r>
      <w:r>
        <w:rPr>
          <w:color w:val="231F20"/>
          <w:spacing w:val="4"/>
        </w:rPr>
        <w:t>升生活质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量具有积极意义 , 值得各大医院推广。</w:t>
      </w:r>
    </w:p>
    <w:p>
      <w:pPr>
        <w:pStyle w:val="BodyText"/>
        <w:ind w:left="1851"/>
        <w:spacing w:before="152" w:line="17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  <w:w w:val="98"/>
        </w:rPr>
        <w:t>参</w:t>
      </w:r>
      <w:r>
        <w:rPr>
          <w:sz w:val="17"/>
          <w:szCs w:val="17"/>
          <w:color w:val="231F20"/>
          <w:spacing w:val="8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考</w:t>
      </w:r>
      <w:r>
        <w:rPr>
          <w:sz w:val="17"/>
          <w:szCs w:val="17"/>
          <w:color w:val="231F20"/>
          <w:spacing w:val="10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文</w:t>
      </w:r>
      <w:r>
        <w:rPr>
          <w:sz w:val="17"/>
          <w:szCs w:val="17"/>
          <w:color w:val="231F20"/>
          <w:spacing w:val="10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献</w:t>
      </w:r>
    </w:p>
    <w:p>
      <w:pPr>
        <w:pStyle w:val="BodyText"/>
        <w:ind w:left="524" w:right="81" w:hanging="524"/>
        <w:spacing w:before="215" w:line="21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［1］  李世媛 , 胡定海 . 埃索美拉唑联合莫沙必利治疗反流性食管炎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的临床疗效 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中国继续医学教育 , 2018, 10(23</w:t>
      </w:r>
      <w:r>
        <w:rPr>
          <w:sz w:val="16"/>
          <w:szCs w:val="16"/>
          <w:color w:val="231F20"/>
          <w:spacing w:val="-7"/>
        </w:rPr>
        <w:t>):116-118.</w:t>
      </w:r>
    </w:p>
    <w:p>
      <w:pPr>
        <w:pStyle w:val="BodyText"/>
        <w:ind w:left="510" w:right="82" w:hanging="510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［2］  宋洁 . 埃索美拉唑联合莫沙</w:t>
      </w:r>
      <w:r>
        <w:rPr>
          <w:sz w:val="16"/>
          <w:szCs w:val="16"/>
          <w:color w:val="231F20"/>
          <w:spacing w:val="-1"/>
        </w:rPr>
        <w:t>必利治疗反流性食管炎临床疗效观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察 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内蒙古医学杂志 , 2018, 50(9):1031-1032.</w:t>
      </w:r>
    </w:p>
    <w:p>
      <w:pPr>
        <w:pStyle w:val="BodyText"/>
        <w:ind w:left="509" w:right="82" w:hanging="509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［3］  郭锐华 , 潘爱欢 , 罗先桃 . 埃索美拉唑联合莫沙必利</w:t>
      </w:r>
      <w:r>
        <w:rPr>
          <w:sz w:val="16"/>
          <w:szCs w:val="16"/>
          <w:color w:val="231F20"/>
          <w:spacing w:val="-4"/>
        </w:rPr>
        <w:t>治疗反流性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食管炎的效果观察 . 实用中西医结合临床 ,</w:t>
      </w:r>
      <w:r>
        <w:rPr>
          <w:sz w:val="16"/>
          <w:szCs w:val="16"/>
          <w:color w:val="231F20"/>
          <w:spacing w:val="-8"/>
        </w:rPr>
        <w:t xml:space="preserve"> 2019, 19(12):74-75.</w:t>
      </w:r>
    </w:p>
    <w:p>
      <w:pPr>
        <w:pStyle w:val="BodyText"/>
        <w:ind w:left="510" w:right="82" w:hanging="511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［4］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-1"/>
        </w:rPr>
        <w:t>田永刚 . 埃索美拉唑联合莫沙必利治疗反流性</w:t>
      </w:r>
      <w:r>
        <w:rPr>
          <w:sz w:val="16"/>
          <w:szCs w:val="16"/>
          <w:color w:val="231F20"/>
          <w:spacing w:val="-2"/>
        </w:rPr>
        <w:t>食管炎的疗效和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安全性 . 黑龙江医药科学 , 2018, 41(5)</w:t>
      </w:r>
      <w:r>
        <w:rPr>
          <w:sz w:val="16"/>
          <w:szCs w:val="16"/>
          <w:color w:val="231F20"/>
          <w:spacing w:val="-6"/>
        </w:rPr>
        <w:t>:74-75.</w:t>
      </w:r>
    </w:p>
    <w:p>
      <w:pPr>
        <w:pStyle w:val="BodyText"/>
        <w:ind w:left="510" w:right="82" w:hanging="510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［5］  韦华胜 , 许保 , 杨月才 . 莫沙必利及奥美拉唑联合治</w:t>
      </w:r>
      <w:r>
        <w:rPr>
          <w:sz w:val="16"/>
          <w:szCs w:val="16"/>
          <w:color w:val="231F20"/>
          <w:spacing w:val="-4"/>
        </w:rPr>
        <w:t>疗老年反流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性食管炎的临床效果 . 现代消化及介入诊疗 , 2018, 23(5)</w:t>
      </w:r>
      <w:r>
        <w:rPr>
          <w:sz w:val="16"/>
          <w:szCs w:val="16"/>
          <w:color w:val="231F20"/>
          <w:spacing w:val="-8"/>
        </w:rPr>
        <w:t>:43-46.</w:t>
      </w:r>
    </w:p>
    <w:p>
      <w:pPr>
        <w:pStyle w:val="BodyText"/>
        <w:spacing w:before="35" w:line="196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［收稿日期 ：2020-06-15］</w:t>
      </w:r>
    </w:p>
    <w:p>
      <w:pPr>
        <w:spacing w:line="196" w:lineRule="auto"/>
        <w:sectPr>
          <w:type w:val="continuous"/>
          <w:pgSz w:w="11906" w:h="16838"/>
          <w:pgMar w:top="400" w:right="937" w:bottom="0" w:left="407" w:header="0" w:footer="0" w:gutter="0"/>
          <w:cols w:equalWidth="0" w:num="2">
            <w:col w:w="5589" w:space="100"/>
            <w:col w:w="4871" w:space="0"/>
          </w:cols>
        </w:sectPr>
        <w:rPr>
          <w:sz w:val="16"/>
          <w:szCs w:val="16"/>
        </w:rPr>
      </w:pPr>
    </w:p>
    <w:p>
      <w:pPr>
        <w:ind w:left="757"/>
        <w:spacing w:before="262" w:line="241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5"/>
        </w:rPr>
        <w:t>阿莫西林联合替硝唑治疗急性肠胃炎的疗效</w:t>
      </w:r>
      <w:r>
        <w:rPr>
          <w:rFonts w:ascii="SimHei" w:hAnsi="SimHei" w:eastAsia="SimHei" w:cs="SimHei"/>
          <w:sz w:val="34"/>
          <w:szCs w:val="34"/>
          <w:color w:val="231F20"/>
          <w:spacing w:val="4"/>
        </w:rPr>
        <w:t>分析</w:t>
      </w:r>
    </w:p>
    <w:p>
      <w:pPr>
        <w:ind w:left="728"/>
        <w:spacing w:before="252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姜立峰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28" w:right="1782" w:firstLine="305"/>
        <w:spacing w:before="78" w:line="25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【摘要】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目的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实验研究对急性肠胃炎采用阿莫西林联合替硝唑治疗的效果。</w:t>
      </w:r>
      <w:r>
        <w:rPr>
          <w:sz w:val="18"/>
          <w:szCs w:val="18"/>
          <w:color w:val="231F20"/>
          <w:spacing w:val="1"/>
        </w:rPr>
        <w:t>方法 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140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急性肠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胃炎患者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, 随机分为对照组和观察组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每组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70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例。对照组患者采用阿莫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西林治疗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观察组患者采用阿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莫西林联合替硝唑治疗。对比两组患者临床疗效、不良反应发生情况、治疗满意度。</w:t>
      </w:r>
      <w:r>
        <w:rPr>
          <w:sz w:val="18"/>
          <w:szCs w:val="18"/>
          <w:color w:val="231F20"/>
          <w:spacing w:val="3"/>
        </w:rPr>
        <w:t>结果  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观察组患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者治疗总有效率为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95.7%,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显著高于对照组的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82.9%,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0.05)。观察组患者的不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良反应发生率为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5.7%(4/70),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包括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例头晕患者和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例恶心呕吐患者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；对照组患者的不良反应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发生率为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20.0%(14/70),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低于对照组的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20.0%(14/70),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0.05)。观察组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患者的治疗满意度为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94.3%(66/70),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显著高于对照组的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82.9%(58/70),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0.05)。</w:t>
      </w:r>
      <w:r>
        <w:rPr>
          <w:sz w:val="18"/>
          <w:szCs w:val="18"/>
          <w:color w:val="231F20"/>
          <w:spacing w:val="-7"/>
        </w:rPr>
        <w:t>结论  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采用阿莫西林联合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替硝唑治疗急性胃肠炎效果显著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有助于患者的临床症状缓解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并能够进一步控制不良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反应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患者满意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度高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具有临床推广价值。</w:t>
      </w:r>
    </w:p>
    <w:p>
      <w:pPr>
        <w:pStyle w:val="BodyText"/>
        <w:ind w:left="1033"/>
        <w:spacing w:before="23" w:line="206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【关键词】 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阿莫西林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；替硝唑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；急性肠胃炎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；不良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反应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；临床疗效</w:t>
      </w:r>
    </w:p>
    <w:p>
      <w:pPr>
        <w:ind w:left="1101"/>
        <w:spacing w:before="14" w:line="24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DOI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：10.14164/j.cnki.cn11-5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581/r.2021.03.071</w:t>
      </w:r>
    </w:p>
    <w:p>
      <w:pPr>
        <w:spacing w:before="22"/>
        <w:rPr/>
      </w:pPr>
      <w:r/>
    </w:p>
    <w:p>
      <w:pPr>
        <w:sectPr>
          <w:type w:val="continuous"/>
          <w:pgSz w:w="11906" w:h="16838"/>
          <w:pgMar w:top="400" w:right="937" w:bottom="0" w:left="407" w:header="0" w:footer="0" w:gutter="0"/>
          <w:cols w:equalWidth="0" w:num="1">
            <w:col w:w="10560" w:space="0"/>
          </w:cols>
        </w:sectPr>
        <w:rPr/>
      </w:pPr>
    </w:p>
    <w:p>
      <w:pPr>
        <w:pStyle w:val="BodyText"/>
        <w:ind w:left="728" w:right="243" w:firstLine="424"/>
        <w:spacing w:before="43" w:line="210" w:lineRule="auto"/>
        <w:jc w:val="both"/>
        <w:rPr/>
      </w:pPr>
      <w:r>
        <w:rPr>
          <w:color w:val="231F20"/>
          <w:spacing w:val="4"/>
        </w:rPr>
        <w:t>急性肠胃炎属于常见的消化系统疾病 , 其临床症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状多表现为呕吐、嗳气、腹泻等 , 且有上腹部的不</w:t>
      </w:r>
      <w:r>
        <w:rPr>
          <w:color w:val="231F20"/>
          <w:spacing w:val="-7"/>
        </w:rPr>
        <w:t>适感 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对患者的健康生活造成直接影响。该病常见于夏秋季 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其发生原因多由于饮食不当、暴饮暴食 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或食入生冷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腐馊、秽浊不洁的食品。此外 , 该疾病发生后需要及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1" w:firstLine="10"/>
        <w:spacing w:before="42" w:line="210" w:lineRule="auto"/>
        <w:jc w:val="both"/>
        <w:rPr/>
      </w:pPr>
      <w:r>
        <w:rPr>
          <w:color w:val="231F20"/>
          <w:spacing w:val="-2"/>
        </w:rPr>
        <w:t>时治疗 , 否则会引起脱水、电解质紊乱等 , 继而影响到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后续治疗</w:t>
      </w:r>
      <w:r>
        <w:rPr>
          <w:sz w:val="11"/>
          <w:szCs w:val="11"/>
          <w:color w:val="231F20"/>
          <w:spacing w:val="1"/>
          <w:position w:val="9"/>
        </w:rPr>
        <w:t>［1］</w:t>
      </w:r>
      <w:r>
        <w:rPr>
          <w:color w:val="231F20"/>
          <w:spacing w:val="1"/>
        </w:rPr>
        <w:t>。阿莫西林、替硝唑都是常见用药 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本文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对进一步进行联合用药结果分析 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对治疗疗效和</w:t>
      </w:r>
      <w:r>
        <w:rPr>
          <w:color w:val="231F20"/>
          <w:spacing w:val="4"/>
        </w:rPr>
        <w:t>安全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性进行重点研究。故而 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本实验选取 2019 年 1~12 月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本院收治的急性肠胃炎患者 140 例作为研究对象 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分</w:t>
      </w:r>
    </w:p>
    <w:p>
      <w:pPr>
        <w:spacing w:line="210" w:lineRule="auto"/>
        <w:sectPr>
          <w:type w:val="continuous"/>
          <w:pgSz w:w="11906" w:h="16838"/>
          <w:pgMar w:top="400" w:right="937" w:bottom="0" w:left="407" w:header="0" w:footer="0" w:gutter="0"/>
          <w:cols w:equalWidth="0" w:num="2">
            <w:col w:w="5675" w:space="100"/>
            <w:col w:w="4785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4" style="position:absolute;margin-left:36.5054pt;margin-top:2.86378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ind w:left="1011"/>
        <w:spacing w:before="52" w:line="17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作者单位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：112599  辽宁省铁岭市昌图县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中心医院</w:t>
      </w:r>
    </w:p>
    <w:p>
      <w:pPr>
        <w:spacing w:line="177" w:lineRule="auto"/>
        <w:sectPr>
          <w:type w:val="continuous"/>
          <w:pgSz w:w="11906" w:h="16838"/>
          <w:pgMar w:top="400" w:right="937" w:bottom="0" w:left="407" w:header="0" w:footer="0" w:gutter="0"/>
          <w:cols w:equalWidth="0" w:num="1">
            <w:col w:w="10560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2"/>
          <w:pgSz w:w="11906" w:h="16838"/>
          <w:pgMar w:top="1363" w:right="1053" w:bottom="0" w:left="407" w:header="1040" w:footer="0" w:gutter="0"/>
          <w:cols w:equalWidth="0" w:num="1">
            <w:col w:w="10445" w:space="0"/>
          </w:cols>
        </w:sectPr>
        <w:rPr/>
      </w:pPr>
    </w:p>
    <w:p>
      <w:pPr>
        <w:pStyle w:val="BodyText"/>
        <w:ind w:left="616"/>
        <w:spacing w:before="44" w:line="201" w:lineRule="auto"/>
        <w:rPr/>
      </w:pPr>
      <w:r>
        <w:rPr>
          <w:color w:val="231F20"/>
          <w:spacing w:val="-2"/>
        </w:rPr>
        <w:t>组治疗 , 并进一步探究患者的临床治疗效果。</w:t>
      </w:r>
    </w:p>
    <w:p>
      <w:pPr>
        <w:pStyle w:val="BodyText"/>
        <w:ind w:left="632"/>
        <w:spacing w:before="1" w:line="210" w:lineRule="auto"/>
        <w:rPr/>
      </w:pPr>
      <w:r>
        <w:rPr>
          <w:color w:val="231F20"/>
          <w:spacing w:val="-6"/>
        </w:rPr>
        <w:t>1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6"/>
        </w:rPr>
        <w:t>资料与方法</w:t>
      </w:r>
    </w:p>
    <w:p>
      <w:pPr>
        <w:pStyle w:val="BodyText"/>
        <w:ind w:left="632"/>
        <w:spacing w:line="217" w:lineRule="auto"/>
        <w:rPr/>
      </w:pPr>
      <w:r>
        <w:rPr>
          <w:color w:val="231F20"/>
          <w:spacing w:val="-6"/>
        </w:rPr>
        <w:t>1.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1    </w:t>
      </w:r>
      <w:r>
        <w:rPr>
          <w:rFonts w:ascii="SimSun" w:hAnsi="SimSun" w:eastAsia="SimSun" w:cs="SimSun"/>
          <w:color w:val="231F20"/>
          <w:spacing w:val="-6"/>
        </w:rPr>
        <w:t>一般资料</w:t>
      </w:r>
      <w:r>
        <w:rPr>
          <w:rFonts w:ascii="SimSun" w:hAnsi="SimSun" w:eastAsia="SimSun" w:cs="SimSun"/>
          <w:color w:val="231F20"/>
          <w:spacing w:val="17"/>
        </w:rPr>
        <w:t xml:space="preserve">  </w:t>
      </w:r>
      <w:r>
        <w:rPr>
          <w:color w:val="231F20"/>
          <w:spacing w:val="-6"/>
        </w:rPr>
        <w:t>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取 2019 年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1~12 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本 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治 的</w:t>
      </w:r>
    </w:p>
    <w:p>
      <w:pPr>
        <w:pStyle w:val="BodyText"/>
        <w:ind w:left="615" w:right="241" w:firstLine="11"/>
        <w:spacing w:line="207" w:lineRule="auto"/>
        <w:rPr/>
      </w:pPr>
      <w:r>
        <w:rPr>
          <w:color w:val="231F20"/>
          <w:spacing w:val="3"/>
        </w:rPr>
        <w:t>140 例急性肠胃炎患者作为研究对象。大</w:t>
      </w:r>
      <w:r>
        <w:rPr>
          <w:color w:val="231F20"/>
          <w:spacing w:val="2"/>
        </w:rPr>
        <w:t>部分患者伴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有腹痛、上腹痛正中偏左或脐周压痛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呈阵发性加重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或持续性钝痛 , 伴腹部饱胀、不适 , 少数会出</w:t>
      </w:r>
      <w:r>
        <w:rPr>
          <w:color w:val="231F20"/>
          <w:spacing w:val="-2"/>
        </w:rPr>
        <w:t>现剧痛的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情况。随机分为对照组和观察组 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每组 70 例。对照组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中 , 男 36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例 , 女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34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例；年龄 17</w:t>
      </w:r>
      <w:r>
        <w:rPr>
          <w:color w:val="231F20"/>
          <w:spacing w:val="-12"/>
        </w:rPr>
        <w:t>~56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岁 , 平均年龄 (35.6±</w:t>
      </w:r>
    </w:p>
    <w:p>
      <w:pPr>
        <w:pStyle w:val="BodyText"/>
        <w:ind w:left="615" w:right="241" w:firstLine="4"/>
        <w:spacing w:before="20" w:line="208" w:lineRule="auto"/>
        <w:rPr/>
      </w:pPr>
      <w:r>
        <w:rPr>
          <w:color w:val="231F20"/>
          <w:spacing w:val="-10"/>
        </w:rPr>
        <w:t>6.8) 岁。观察组中 , 男 31 例 , 女 39 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；年龄 19~60 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平均年龄 (36.7±7.8) 岁。两组患者的一般资料比较 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差异无统计学意义 (</w:t>
      </w:r>
      <w:r>
        <w:rPr>
          <w:rFonts w:ascii="Times New Roman" w:hAnsi="Times New Roman" w:eastAsia="Times New Roman" w:cs="Times New Roman"/>
          <w:color w:val="231F20"/>
          <w:spacing w:val="-1"/>
        </w:rPr>
        <w:t>P&gt;</w:t>
      </w:r>
      <w:r>
        <w:rPr>
          <w:color w:val="231F20"/>
          <w:spacing w:val="-1"/>
        </w:rPr>
        <w:t>0.05), 具有</w:t>
      </w:r>
      <w:r>
        <w:rPr>
          <w:color w:val="231F20"/>
          <w:spacing w:val="-2"/>
        </w:rPr>
        <w:t>可比性。本实验得到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了伦理委员会的批准 , 患者及其家属均知情同意 </w:t>
      </w:r>
      <w:r>
        <w:rPr>
          <w:color w:val="231F20"/>
          <w:spacing w:val="-2"/>
        </w:rPr>
        <w:t>, 所有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患者对治疗药物无过敏等反应。</w:t>
      </w:r>
    </w:p>
    <w:p>
      <w:pPr>
        <w:pStyle w:val="BodyText"/>
        <w:ind w:left="615" w:right="174" w:firstLine="16"/>
        <w:spacing w:before="8" w:line="209" w:lineRule="auto"/>
        <w:rPr/>
      </w:pPr>
      <w:r>
        <w:rPr>
          <w:color w:val="231F20"/>
          <w:spacing w:val="12"/>
        </w:rPr>
        <w:t>1. 2</w:t>
      </w:r>
      <w:r>
        <w:rPr>
          <w:color w:val="231F20"/>
          <w:spacing w:val="22"/>
        </w:rPr>
        <w:t xml:space="preserve">   </w:t>
      </w:r>
      <w:r>
        <w:rPr>
          <w:rFonts w:ascii="SimSun" w:hAnsi="SimSun" w:eastAsia="SimSun" w:cs="SimSun"/>
          <w:color w:val="231F20"/>
          <w:spacing w:val="12"/>
        </w:rPr>
        <w:t>方法  </w:t>
      </w:r>
      <w:r>
        <w:rPr>
          <w:color w:val="231F20"/>
          <w:spacing w:val="12"/>
        </w:rPr>
        <w:t>对照组患者采用阿莫西林 ( 华北制药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限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司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,  国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字 H20043535) 治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3 次 /d,</w:t>
      </w:r>
      <w:r>
        <w:rPr>
          <w:color w:val="231F20"/>
        </w:rPr>
        <w:t xml:space="preserve">  </w:t>
      </w:r>
      <w:r>
        <w:rPr>
          <w:color w:val="231F20"/>
        </w:rPr>
        <w:t>500 mg/ 次 ,  口服用药。观察组患者采用</w:t>
      </w:r>
      <w:r>
        <w:rPr>
          <w:color w:val="231F20"/>
          <w:spacing w:val="-1"/>
        </w:rPr>
        <w:t>阿莫西林联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合替硝唑 ( 广州白云山制药股份有限公司 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国药准字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H44021435)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治疗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, 替硝唑 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/d, 200 mg/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5"/>
        </w:rPr>
        <w:t>口服用药；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阿莫西林用药与对照组一致。随后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可根据患者的病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情变化和差异性进行剂量调整 , 遵循医嘱 , 治</w:t>
      </w:r>
      <w:r>
        <w:rPr>
          <w:color w:val="231F20"/>
          <w:spacing w:val="-3"/>
        </w:rPr>
        <w:t>疗 2 周后</w:t>
      </w:r>
    </w:p>
    <w:p>
      <w:pPr>
        <w:spacing w:line="1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2" w:line="201" w:lineRule="auto"/>
        <w:rPr/>
      </w:pPr>
      <w:r>
        <w:rPr>
          <w:color w:val="231F20"/>
          <w:spacing w:val="-4"/>
        </w:rPr>
        <w:t>进行疗效评估。</w:t>
      </w:r>
    </w:p>
    <w:p>
      <w:pPr>
        <w:pStyle w:val="BodyText"/>
        <w:ind w:firstLine="18"/>
        <w:spacing w:before="11" w:line="209" w:lineRule="auto"/>
        <w:rPr/>
      </w:pPr>
      <w:r>
        <w:rPr>
          <w:color w:val="231F20"/>
        </w:rPr>
        <w:t>1. 3</w:t>
      </w:r>
      <w:r>
        <w:rPr>
          <w:color w:val="231F20"/>
          <w:spacing w:val="15"/>
        </w:rPr>
        <w:t xml:space="preserve">   </w:t>
      </w:r>
      <w:r>
        <w:rPr>
          <w:rFonts w:ascii="SimSun" w:hAnsi="SimSun" w:eastAsia="SimSun" w:cs="SimSun"/>
          <w:color w:val="231F20"/>
        </w:rPr>
        <w:t>观察指标及判定标准  </w:t>
      </w:r>
      <w:r>
        <w:rPr>
          <w:color w:val="231F20"/>
        </w:rPr>
        <w:t>对比两组患者临床疗效、 </w:t>
      </w:r>
      <w:r>
        <w:rPr>
          <w:color w:val="231F20"/>
          <w:spacing w:val="-10"/>
        </w:rPr>
        <w:t>不良反应发生情况、治疗满意度。疗效判定标准：显效：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患者的临床症状基本消失 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且没有发生不良反应 ；有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效 ：患者的临床症状所有改善 , 且有轻微的不良反应 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无效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：患者的临床症状改善幅度小 , 其不良反应影响到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后续治疗。总有效率 =( 显效 + 有效 )/ </w:t>
      </w:r>
      <w:r>
        <w:rPr>
          <w:color w:val="231F20"/>
          <w:spacing w:val="-9"/>
        </w:rPr>
        <w:t>总例数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9"/>
        </w:rPr>
        <w:t>×100%。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统计患者治疗期间的不良反应 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包括恶心、头晕</w:t>
      </w:r>
      <w:r>
        <w:rPr>
          <w:color w:val="231F20"/>
          <w:spacing w:val="7"/>
        </w:rPr>
        <w:t>等。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通过问卷调查方式了解患者的治疗满意度 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其主要包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括治疗疗效满意度、疾病治疗讲解分析满意度以及饮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食指导、生活指导满意度。</w:t>
      </w:r>
    </w:p>
    <w:p>
      <w:pPr>
        <w:pStyle w:val="BodyText"/>
        <w:ind w:left="1" w:right="80" w:firstLine="16"/>
        <w:spacing w:before="5" w:line="195" w:lineRule="auto"/>
        <w:rPr/>
      </w:pPr>
      <w:r>
        <w:rPr>
          <w:color w:val="231F20"/>
          <w:spacing w:val="-5"/>
        </w:rPr>
        <w:t>1. 4   </w:t>
      </w:r>
      <w:r>
        <w:rPr>
          <w:rFonts w:ascii="SimSun" w:hAnsi="SimSun" w:eastAsia="SimSun" w:cs="SimSun"/>
          <w:color w:val="231F20"/>
          <w:spacing w:val="-5"/>
        </w:rPr>
        <w:t>统计学方法  </w:t>
      </w:r>
      <w:r>
        <w:rPr>
          <w:color w:val="231F20"/>
          <w:spacing w:val="-5"/>
        </w:rPr>
        <w:t>采用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SPSS19.0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统计学软件对数据进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行处理。计量资料以均数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5"/>
        </w:rPr>
        <w:t>± 标准差 ( </w:t>
      </w:r>
      <w:r>
        <w:rPr>
          <w:rFonts w:ascii="Times New Roman" w:hAnsi="Times New Roman" w:eastAsia="Times New Roman" w:cs="Times New Roman"/>
          <w:color w:val="231F20"/>
          <w:spacing w:val="-5"/>
        </w:rPr>
        <w:t>x</w:t>
      </w:r>
      <w:r>
        <w:rPr>
          <w:color w:val="231F20"/>
          <w:spacing w:val="-5"/>
          <w:position w:val="8"/>
        </w:rPr>
        <w:t>- </w:t>
      </w:r>
      <w:r>
        <w:rPr>
          <w:color w:val="231F20"/>
          <w:spacing w:val="-5"/>
        </w:rPr>
        <w:t>±</w:t>
      </w:r>
      <w:r>
        <w:rPr>
          <w:rFonts w:ascii="Times New Roman" w:hAnsi="Times New Roman" w:eastAsia="Times New Roman" w:cs="Times New Roman"/>
          <w:color w:val="231F20"/>
          <w:spacing w:val="-5"/>
        </w:rPr>
        <w:t>s</w:t>
      </w:r>
      <w:r>
        <w:rPr>
          <w:color w:val="231F20"/>
          <w:spacing w:val="-5"/>
        </w:rPr>
        <w:t>) 表示 , 采用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t </w:t>
      </w:r>
      <w:r>
        <w:rPr>
          <w:color w:val="231F20"/>
          <w:spacing w:val="-5"/>
        </w:rPr>
        <w:t>检验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；计数资料以率 (%) 表示 , 采用</w:t>
      </w:r>
      <w:r>
        <w:rPr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χ</w:t>
      </w:r>
      <w:r>
        <w:rPr>
          <w:sz w:val="11"/>
          <w:szCs w:val="11"/>
          <w:color w:val="231F20"/>
          <w:spacing w:val="-5"/>
          <w:position w:val="9"/>
        </w:rPr>
        <w:t>2  </w:t>
      </w:r>
      <w:r>
        <w:rPr>
          <w:color w:val="231F20"/>
          <w:spacing w:val="-5"/>
        </w:rPr>
        <w:t>检验。</w:t>
      </w:r>
      <w:r>
        <w:rPr>
          <w:rFonts w:ascii="Times New Roman" w:hAnsi="Times New Roman" w:eastAsia="Times New Roman" w:cs="Times New Roman"/>
          <w:color w:val="231F20"/>
          <w:spacing w:val="-5"/>
        </w:rPr>
        <w:t>P&lt;</w:t>
      </w:r>
      <w:r>
        <w:rPr>
          <w:color w:val="231F20"/>
          <w:spacing w:val="-5"/>
        </w:rPr>
        <w:t>0.05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表示差异有统计学意义。</w:t>
      </w:r>
    </w:p>
    <w:p>
      <w:pPr>
        <w:pStyle w:val="BodyText"/>
        <w:ind w:left="7"/>
        <w:spacing w:before="1" w:line="210" w:lineRule="auto"/>
        <w:outlineLvl w:val="0"/>
        <w:rPr/>
      </w:pPr>
      <w:r>
        <w:rPr>
          <w:color w:val="231F20"/>
          <w:spacing w:val="-8"/>
        </w:rPr>
        <w:t>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8"/>
        </w:rPr>
        <w:t>结果</w:t>
      </w:r>
    </w:p>
    <w:p>
      <w:pPr>
        <w:pStyle w:val="BodyText"/>
        <w:ind w:left="3" w:right="79" w:firstLine="3"/>
        <w:spacing w:line="216" w:lineRule="auto"/>
        <w:jc w:val="both"/>
        <w:rPr/>
      </w:pPr>
      <w:r>
        <w:rPr>
          <w:color w:val="231F20"/>
          <w:spacing w:val="13"/>
        </w:rPr>
        <w:t>2. 1</w:t>
      </w:r>
      <w:r>
        <w:rPr>
          <w:color w:val="231F20"/>
          <w:spacing w:val="17"/>
        </w:rPr>
        <w:t xml:space="preserve">   </w:t>
      </w:r>
      <w:r>
        <w:rPr>
          <w:rFonts w:ascii="SimSun" w:hAnsi="SimSun" w:eastAsia="SimSun" w:cs="SimSun"/>
          <w:color w:val="231F20"/>
          <w:spacing w:val="13"/>
        </w:rPr>
        <w:t>两组患者临床疗效对比  </w:t>
      </w:r>
      <w:r>
        <w:rPr>
          <w:color w:val="231F20"/>
          <w:spacing w:val="13"/>
        </w:rPr>
        <w:t>治疗后</w:t>
      </w:r>
      <w:r>
        <w:rPr>
          <w:color w:val="231F20"/>
          <w:spacing w:val="12"/>
        </w:rPr>
        <w:t xml:space="preserve"> 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2"/>
        </w:rPr>
        <w:t>观察组患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者治疗总有效率高于对照组 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3"/>
        </w:rPr>
        <w:t>差异具有统计学意义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color w:val="231F20"/>
          <w:spacing w:val="-7"/>
        </w:rPr>
        <w:t>P&lt;</w:t>
      </w:r>
      <w:r>
        <w:rPr>
          <w:color w:val="231F20"/>
          <w:spacing w:val="-7"/>
        </w:rPr>
        <w:t>0.05)。见表 1。</w:t>
      </w:r>
    </w:p>
    <w:p>
      <w:pPr>
        <w:spacing w:line="216" w:lineRule="auto"/>
        <w:sectPr>
          <w:type w:val="continuous"/>
          <w:pgSz w:w="11906" w:h="16838"/>
          <w:pgMar w:top="1363" w:right="1053" w:bottom="0" w:left="407" w:header="1040" w:footer="0" w:gutter="0"/>
          <w:cols w:equalWidth="0" w:num="2">
            <w:col w:w="5560" w:space="100"/>
            <w:col w:w="4785" w:space="0"/>
          </w:cols>
        </w:sectPr>
        <w:rPr/>
      </w:pPr>
    </w:p>
    <w:p>
      <w:pPr>
        <w:pStyle w:val="BodyText"/>
        <w:ind w:left="4107"/>
        <w:spacing w:before="96" w:line="185" w:lineRule="auto"/>
        <w:outlineLvl w:val="0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表 1</w:t>
      </w:r>
      <w:r>
        <w:rPr>
          <w:sz w:val="18"/>
          <w:szCs w:val="18"/>
          <w:color w:val="231F20"/>
          <w:spacing w:val="13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两组患者临床疗效对比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(n,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%)</w:t>
      </w:r>
    </w:p>
    <w:tbl>
      <w:tblPr>
        <w:tblStyle w:val="TableNormal"/>
        <w:tblW w:w="9751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4"/>
        <w:gridCol w:w="1586"/>
        <w:gridCol w:w="1624"/>
        <w:gridCol w:w="1625"/>
        <w:gridCol w:w="1589"/>
        <w:gridCol w:w="1663"/>
      </w:tblGrid>
      <w:tr>
        <w:trPr>
          <w:trHeight w:val="295" w:hRule="atLeast"/>
        </w:trPr>
        <w:tc>
          <w:tcPr>
            <w:tcW w:w="16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5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6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6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tcW w:w="16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7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15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6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16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0"/>
              <w:spacing w:before="70" w:line="211" w:lineRule="auto"/>
              <w:rPr/>
            </w:pPr>
            <w:r>
              <w:rPr>
                <w:color w:val="231F20"/>
                <w:spacing w:val="-3"/>
              </w:rPr>
              <w:t>总有效</w:t>
            </w:r>
          </w:p>
        </w:tc>
      </w:tr>
      <w:tr>
        <w:trPr>
          <w:trHeight w:val="294" w:hRule="atLeast"/>
        </w:trPr>
        <w:tc>
          <w:tcPr>
            <w:tcW w:w="16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8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5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7"/>
              <w:spacing w:before="66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70</w:t>
            </w:r>
          </w:p>
        </w:tc>
        <w:tc>
          <w:tcPr>
            <w:tcW w:w="16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5"/>
              <w:spacing w:before="66" w:line="218" w:lineRule="exact"/>
              <w:rPr/>
            </w:pPr>
            <w:r>
              <w:rPr>
                <w:color w:val="231F20"/>
                <w:spacing w:val="-1"/>
                <w:position w:val="1"/>
              </w:rPr>
              <w:t>40</w:t>
            </w:r>
          </w:p>
        </w:tc>
        <w:tc>
          <w:tcPr>
            <w:tcW w:w="1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9"/>
              <w:spacing w:before="66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27</w:t>
            </w:r>
          </w:p>
        </w:tc>
        <w:tc>
          <w:tcPr>
            <w:tcW w:w="15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1"/>
              <w:spacing w:before="66" w:line="218" w:lineRule="exact"/>
              <w:rPr/>
            </w:pPr>
            <w:r>
              <w:rPr>
                <w:color w:val="231F20"/>
                <w:position w:val="1"/>
              </w:rPr>
              <w:t>3</w:t>
            </w:r>
          </w:p>
        </w:tc>
        <w:tc>
          <w:tcPr>
            <w:tcW w:w="16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5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2"/>
              </w:rPr>
              <w:t>95.7</w:t>
            </w:r>
            <w:r>
              <w:rPr>
                <w:sz w:val="9"/>
                <w:szCs w:val="9"/>
                <w:color w:val="231F20"/>
                <w:position w:val="9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575"/>
              <w:spacing w:before="79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97"/>
              <w:spacing w:before="72" w:line="242" w:lineRule="auto"/>
              <w:rPr/>
            </w:pPr>
            <w:r>
              <w:rPr>
                <w:color w:val="231F20"/>
                <w:spacing w:val="-2"/>
              </w:rPr>
              <w:t>70</w:t>
            </w:r>
          </w:p>
        </w:tc>
        <w:tc>
          <w:tcPr>
            <w:tcW w:w="1624" w:type="dxa"/>
            <w:vAlign w:val="top"/>
          </w:tcPr>
          <w:p>
            <w:pPr>
              <w:pStyle w:val="TableText"/>
              <w:ind w:left="737"/>
              <w:spacing w:before="72" w:line="242" w:lineRule="auto"/>
              <w:rPr/>
            </w:pPr>
            <w:r>
              <w:rPr>
                <w:color w:val="231F20"/>
                <w:spacing w:val="-2"/>
              </w:rPr>
              <w:t>22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741"/>
              <w:spacing w:before="72" w:line="242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1589" w:type="dxa"/>
            <w:vAlign w:val="top"/>
          </w:tcPr>
          <w:p>
            <w:pPr>
              <w:pStyle w:val="TableText"/>
              <w:ind w:left="752"/>
              <w:spacing w:before="72" w:line="242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718"/>
              <w:spacing w:before="72" w:line="242" w:lineRule="auto"/>
              <w:rPr/>
            </w:pPr>
            <w:r>
              <w:rPr>
                <w:color w:val="231F20"/>
                <w:spacing w:val="-10"/>
              </w:rPr>
              <w:t>82.9</w:t>
            </w:r>
          </w:p>
        </w:tc>
      </w:tr>
      <w:tr>
        <w:trPr>
          <w:trHeight w:val="323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748"/>
              <w:spacing w:before="61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5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3" w:type="dxa"/>
            <w:vAlign w:val="top"/>
          </w:tcPr>
          <w:p>
            <w:pPr>
              <w:pStyle w:val="TableText"/>
              <w:ind w:left="677"/>
              <w:spacing w:before="80" w:line="231" w:lineRule="exact"/>
              <w:rPr/>
            </w:pPr>
            <w:r>
              <w:rPr>
                <w:color w:val="231F20"/>
                <w:spacing w:val="-8"/>
                <w:position w:val="1"/>
              </w:rPr>
              <w:t>6.048</w:t>
            </w:r>
          </w:p>
        </w:tc>
      </w:tr>
      <w:tr>
        <w:trPr>
          <w:trHeight w:val="286" w:hRule="atLeast"/>
        </w:trPr>
        <w:tc>
          <w:tcPr>
            <w:tcW w:w="1664" w:type="dxa"/>
            <w:vAlign w:val="top"/>
            <w:tcBorders>
              <w:bottom w:val="single" w:color="231F20" w:sz="4" w:space="0"/>
            </w:tcBorders>
          </w:tcPr>
          <w:p>
            <w:pPr>
              <w:ind w:left="763"/>
              <w:spacing w:before="88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58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75"/>
              <w:spacing w:before="58" w:line="217" w:lineRule="exact"/>
              <w:rPr/>
            </w:pPr>
            <w:r>
              <w:rPr>
                <w:color w:val="231F20"/>
                <w:spacing w:val="-8"/>
                <w:position w:val="1"/>
              </w:rPr>
              <w:t>0.014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363" w:right="1053" w:bottom="0" w:left="407" w:header="1040" w:footer="0" w:gutter="0"/>
          <w:cols w:equalWidth="0" w:num="1">
            <w:col w:w="1044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03"/>
        <w:spacing w:before="33" w:line="260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注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：与对照组对比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2"/>
        </w:rPr>
        <w:t xml:space="preserve"> </w:t>
      </w:r>
      <w:r>
        <w:rPr>
          <w:rFonts w:ascii="SimSun" w:hAnsi="SimSun" w:eastAsia="SimSun" w:cs="SimSun"/>
          <w:sz w:val="10"/>
          <w:szCs w:val="10"/>
          <w:color w:val="231F20"/>
          <w:spacing w:val="-10"/>
          <w:position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position w:val="2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0.05</w:t>
      </w:r>
    </w:p>
    <w:p>
      <w:pPr>
        <w:pStyle w:val="BodyText"/>
        <w:ind w:left="632" w:right="242" w:hanging="11"/>
        <w:spacing w:before="104" w:line="214" w:lineRule="auto"/>
        <w:rPr/>
      </w:pPr>
      <w:r>
        <w:rPr>
          <w:color w:val="231F20"/>
          <w:spacing w:val="5"/>
        </w:rPr>
        <w:t>2. 2</w:t>
      </w:r>
      <w:r>
        <w:rPr>
          <w:color w:val="231F20"/>
          <w:spacing w:val="16"/>
          <w:w w:val="101"/>
        </w:rPr>
        <w:t xml:space="preserve">   </w:t>
      </w:r>
      <w:r>
        <w:rPr>
          <w:rFonts w:ascii="SimSun" w:hAnsi="SimSun" w:eastAsia="SimSun" w:cs="SimSun"/>
          <w:color w:val="231F20"/>
          <w:spacing w:val="5"/>
        </w:rPr>
        <w:t>两组患者不良反应发生情况对比  </w:t>
      </w:r>
      <w:r>
        <w:rPr>
          <w:color w:val="231F20"/>
          <w:spacing w:val="5"/>
        </w:rPr>
        <w:t>观察组患者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的不良反应发生率为 5.7%(4/70),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包括 2 例头</w:t>
      </w:r>
      <w:r>
        <w:rPr>
          <w:color w:val="231F20"/>
          <w:spacing w:val="-6"/>
        </w:rPr>
        <w:t>晕患者和</w:t>
      </w:r>
    </w:p>
    <w:p>
      <w:pPr>
        <w:pStyle w:val="BodyText"/>
        <w:ind w:left="615" w:right="175" w:firstLine="3"/>
        <w:spacing w:before="2" w:line="206" w:lineRule="auto"/>
        <w:rPr/>
      </w:pPr>
      <w:r>
        <w:rPr>
          <w:color w:val="231F20"/>
          <w:spacing w:val="2"/>
        </w:rPr>
        <w:t>2 例恶心呕吐患者 ；对照组患者的不良反应发生率为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20.0%(14/70), 包括 5 例</w:t>
      </w:r>
      <w:r>
        <w:rPr>
          <w:color w:val="231F20"/>
          <w:spacing w:val="-9"/>
        </w:rPr>
        <w:t>头晕患者和 9 例恶心呕吐患者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观察组患者的不良反应发生率明显低于对照组 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差异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具有统计学意义 (</w:t>
      </w:r>
      <w:r>
        <w:rPr>
          <w:rFonts w:ascii="Times New Roman" w:hAnsi="Times New Roman" w:eastAsia="Times New Roman" w:cs="Times New Roman"/>
          <w:color w:val="231F20"/>
          <w:spacing w:val="-5"/>
        </w:rPr>
        <w:t>P&lt;</w:t>
      </w:r>
      <w:r>
        <w:rPr>
          <w:color w:val="231F20"/>
          <w:spacing w:val="-5"/>
        </w:rPr>
        <w:t>0.05)。</w:t>
      </w:r>
    </w:p>
    <w:p>
      <w:pPr>
        <w:pStyle w:val="BodyText"/>
        <w:ind w:left="616" w:right="242" w:firstLine="5"/>
        <w:spacing w:before="8" w:line="208" w:lineRule="auto"/>
        <w:rPr/>
      </w:pPr>
      <w:r>
        <w:rPr>
          <w:color w:val="231F20"/>
          <w:spacing w:val="-1"/>
        </w:rPr>
        <w:t>2. 3   </w:t>
      </w:r>
      <w:r>
        <w:rPr>
          <w:rFonts w:ascii="SimSun" w:hAnsi="SimSun" w:eastAsia="SimSun" w:cs="SimSun"/>
          <w:color w:val="231F20"/>
          <w:spacing w:val="-1"/>
        </w:rPr>
        <w:t>两组患者治疗满意度对比  </w:t>
      </w:r>
      <w:r>
        <w:rPr>
          <w:color w:val="231F20"/>
          <w:spacing w:val="-1"/>
        </w:rPr>
        <w:t>观察组患者的治疗满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意度为 94.3%(66/70),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显著高于对照组的 </w:t>
      </w:r>
      <w:r>
        <w:rPr>
          <w:color w:val="231F20"/>
          <w:spacing w:val="-9"/>
        </w:rPr>
        <w:t>82.9%(58/70),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差异具有统计学意义 (</w:t>
      </w:r>
      <w:r>
        <w:rPr>
          <w:rFonts w:ascii="Times New Roman" w:hAnsi="Times New Roman" w:eastAsia="Times New Roman" w:cs="Times New Roman"/>
          <w:color w:val="231F20"/>
          <w:spacing w:val="-4"/>
        </w:rPr>
        <w:t>P&lt;</w:t>
      </w:r>
      <w:r>
        <w:rPr>
          <w:color w:val="231F20"/>
          <w:spacing w:val="-4"/>
        </w:rPr>
        <w:t>0.05)。</w:t>
      </w:r>
    </w:p>
    <w:p>
      <w:pPr>
        <w:pStyle w:val="BodyText"/>
        <w:ind w:left="620"/>
        <w:spacing w:before="8" w:line="210" w:lineRule="auto"/>
        <w:rPr/>
      </w:pPr>
      <w:r>
        <w:rPr>
          <w:color w:val="231F20"/>
          <w:spacing w:val="-6"/>
        </w:rPr>
        <w:t>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讨论</w:t>
      </w:r>
    </w:p>
    <w:p>
      <w:pPr>
        <w:pStyle w:val="BodyText"/>
        <w:ind w:left="614" w:right="160" w:firstLine="6"/>
        <w:spacing w:before="3" w:line="205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1   </w:t>
      </w:r>
      <w:r>
        <w:rPr>
          <w:rFonts w:ascii="SimSun" w:hAnsi="SimSun" w:eastAsia="SimSun" w:cs="SimSun"/>
          <w:color w:val="231F20"/>
          <w:spacing w:val="5"/>
        </w:rPr>
        <w:t>疾病分析与讨论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color w:val="231F20"/>
          <w:spacing w:val="5"/>
        </w:rPr>
        <w:t>急性胃肠炎属于消化系统疾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, 且患者例数呈增长趋势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, 究其原因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, 多由暴饮暴食、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饮食规划不合理、食物变质以及食用刺激性食物等引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1"/>
        </w:rPr>
        <w:t>起。此外 , 该疾病还具有一定的季节性 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多发于夏季、</w:t>
      </w:r>
      <w:r>
        <w:rPr>
          <w:color w:val="231F20"/>
        </w:rPr>
        <w:t xml:space="preserve"> </w:t>
      </w:r>
      <w:r>
        <w:rPr>
          <w:color w:val="231F20"/>
        </w:rPr>
        <w:t>秋季 , 且病程长 , 在发病的初期病症</w:t>
      </w:r>
      <w:r>
        <w:rPr>
          <w:color w:val="231F20"/>
          <w:spacing w:val="-1"/>
        </w:rPr>
        <w:t>并不明显 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但是在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后期可能有水电解质失衡、肠穿孔等更为严重的情况。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此外 , 临床多表现为反复呕吐和腹泻 , 失水过多</w:t>
      </w:r>
      <w:r>
        <w:rPr>
          <w:color w:val="231F20"/>
          <w:spacing w:val="-2"/>
        </w:rPr>
        <w:t>引起脱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水 , 皮肤弹性差 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眼球下陷 ,  口渴、尿少等症状 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严重</w:t>
      </w:r>
      <w:r>
        <w:rPr>
          <w:color w:val="231F20"/>
        </w:rPr>
        <w:t xml:space="preserve">  </w:t>
      </w:r>
      <w:r>
        <w:rPr>
          <w:color w:val="231F20"/>
          <w:spacing w:val="-9"/>
          <w:w w:val="99"/>
        </w:rPr>
        <w:t>者甚至血压下降、四肢发冷</w:t>
      </w:r>
      <w:r>
        <w:rPr>
          <w:sz w:val="11"/>
          <w:szCs w:val="11"/>
          <w:color w:val="231F20"/>
          <w:spacing w:val="-9"/>
          <w:w w:val="99"/>
          <w:position w:val="9"/>
        </w:rPr>
        <w:t>［2］</w:t>
      </w:r>
      <w:r>
        <w:rPr>
          <w:color w:val="231F20"/>
          <w:spacing w:val="-9"/>
          <w:w w:val="99"/>
        </w:rPr>
        <w:t>。患者在发现身体不适后 </w:t>
      </w:r>
      <w:r>
        <w:rPr>
          <w:color w:val="231F20"/>
          <w:spacing w:val="3"/>
        </w:rPr>
        <w:t>,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应该及时到当地医院的消化内科就诊 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进行抗感染、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80" w:firstLine="5"/>
        <w:spacing w:before="86" w:line="209" w:lineRule="auto"/>
        <w:jc w:val="both"/>
        <w:rPr/>
      </w:pPr>
      <w:r>
        <w:rPr>
          <w:color w:val="231F20"/>
          <w:spacing w:val="4"/>
        </w:rPr>
        <w:t>大便常规及培养、肠镜、胃镜等方面的辅助检查 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一步明确病因 , 在明确具体的致病原因后 , 在</w:t>
      </w:r>
      <w:r>
        <w:rPr>
          <w:color w:val="231F20"/>
          <w:spacing w:val="-2"/>
        </w:rPr>
        <w:t>专业医生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的指导下进行药物治疗与服用。在明确具体致病原因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后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口服保护胃黏膜药物或者调解肠道菌群药物。此外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往往患者病因不同 , 症状具体表现也会不同 , </w:t>
      </w:r>
      <w:r>
        <w:rPr>
          <w:color w:val="231F20"/>
          <w:spacing w:val="-2"/>
        </w:rPr>
        <w:t>以至于后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期的治疗方案存在差异性。故而 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需要先清</w:t>
      </w:r>
      <w:r>
        <w:rPr>
          <w:color w:val="231F20"/>
          <w:spacing w:val="4"/>
        </w:rPr>
        <w:t>楚具体致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病原因 , 面对疾病的严重影响 , 及时防治病源</w:t>
      </w:r>
      <w:r>
        <w:rPr>
          <w:color w:val="231F20"/>
          <w:spacing w:val="-2"/>
        </w:rPr>
        <w:t>、遏制病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情发展 , 防止发生更为严重的危害。</w:t>
      </w:r>
    </w:p>
    <w:p>
      <w:pPr>
        <w:pStyle w:val="BodyText"/>
        <w:ind w:right="80" w:firstLine="6"/>
        <w:spacing w:before="1" w:line="211" w:lineRule="auto"/>
        <w:jc w:val="both"/>
        <w:rPr/>
      </w:pPr>
      <w:r>
        <w:rPr>
          <w:color w:val="231F20"/>
          <w:spacing w:val="-1"/>
        </w:rPr>
        <w:t>3. 2</w:t>
      </w:r>
      <w:r>
        <w:rPr>
          <w:color w:val="231F20"/>
          <w:spacing w:val="12"/>
        </w:rPr>
        <w:t xml:space="preserve">   </w:t>
      </w:r>
      <w:r>
        <w:rPr>
          <w:rFonts w:ascii="SimSun" w:hAnsi="SimSun" w:eastAsia="SimSun" w:cs="SimSun"/>
          <w:color w:val="231F20"/>
          <w:spacing w:val="-1"/>
        </w:rPr>
        <w:t>治疗方案分析与讨论  </w:t>
      </w:r>
      <w:r>
        <w:rPr>
          <w:color w:val="231F20"/>
          <w:spacing w:val="-1"/>
        </w:rPr>
        <w:t>在临床治疗中 , 药物种类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多 , 效果差异大 , 且不良反应问题也得到了更多</w:t>
      </w:r>
      <w:r>
        <w:rPr>
          <w:color w:val="231F20"/>
          <w:spacing w:val="-2"/>
        </w:rPr>
        <w:t>学者的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关注。从细菌和毒素感染上看 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细菌感染以沙门菌为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主 , 毒素感染则以金黄色葡萄球菌为主 , 患者患</w:t>
      </w:r>
      <w:r>
        <w:rPr>
          <w:color w:val="231F20"/>
          <w:spacing w:val="-2"/>
        </w:rPr>
        <w:t>病可集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体性发作 , 且用药治疗不当也会导致不良反应 , </w:t>
      </w:r>
      <w:r>
        <w:rPr>
          <w:color w:val="231F20"/>
          <w:spacing w:val="-2"/>
        </w:rPr>
        <w:t>对患者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造成二次创伤 , 降低预后效果。</w:t>
      </w:r>
    </w:p>
    <w:p>
      <w:pPr>
        <w:pStyle w:val="BodyText"/>
        <w:ind w:right="79" w:firstLine="433"/>
        <w:spacing w:before="7" w:line="200" w:lineRule="auto"/>
        <w:jc w:val="both"/>
        <w:rPr/>
      </w:pPr>
      <w:r>
        <w:rPr>
          <w:color w:val="231F20"/>
          <w:spacing w:val="7"/>
        </w:rPr>
        <w:t>阿莫西林属于常用药 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其属于青霉素类广谱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β-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内酰胺类抗生素 , 该药物的胃肠道吸收率高 , </w:t>
      </w:r>
      <w:r>
        <w:rPr>
          <w:color w:val="231F20"/>
          <w:spacing w:val="-4"/>
        </w:rPr>
        <w:t>且 &gt;90%,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对于细菌引起的疾病具有不错成效 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特别是</w:t>
      </w:r>
      <w:r>
        <w:rPr>
          <w:color w:val="231F20"/>
          <w:spacing w:val="4"/>
        </w:rPr>
        <w:t>大肠埃希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菌、白喉杆菌等 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其自身的抗菌效果好</w:t>
      </w:r>
      <w:r>
        <w:rPr>
          <w:sz w:val="11"/>
          <w:szCs w:val="11"/>
          <w:color w:val="231F20"/>
          <w:spacing w:val="1"/>
          <w:position w:val="9"/>
        </w:rPr>
        <w:t>［3］</w:t>
      </w:r>
      <w:r>
        <w:rPr>
          <w:color w:val="231F20"/>
          <w:spacing w:val="1"/>
        </w:rPr>
        <w:t>。阿莫西林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在酸性条件下比较稳定 ,</w:t>
      </w:r>
      <w:r>
        <w:rPr>
          <w:color w:val="231F20"/>
          <w:spacing w:val="64"/>
          <w:w w:val="101"/>
        </w:rPr>
        <w:t xml:space="preserve"> </w:t>
      </w:r>
      <w:r>
        <w:rPr>
          <w:color w:val="231F20"/>
          <w:spacing w:val="3"/>
        </w:rPr>
        <w:t>胃肠道吸收率可以达到很高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值 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吸收速度快。阿莫西林是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1"/>
        </w:rPr>
        <w:t>β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内酰胺抗</w:t>
      </w:r>
      <w:r>
        <w:rPr>
          <w:color w:val="231F20"/>
        </w:rPr>
        <w:t>生素 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在合</w:t>
      </w:r>
    </w:p>
    <w:p>
      <w:pPr>
        <w:spacing w:line="200" w:lineRule="auto"/>
        <w:sectPr>
          <w:type w:val="continuous"/>
          <w:pgSz w:w="11906" w:h="16838"/>
          <w:pgMar w:top="1363" w:right="1053" w:bottom="0" w:left="407" w:header="1040" w:footer="0" w:gutter="0"/>
          <w:cols w:equalWidth="0" w:num="2">
            <w:col w:w="5561" w:space="100"/>
            <w:col w:w="4784" w:space="0"/>
          </w:cols>
        </w:sectPr>
        <w:rPr/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3"/>
          <w:pgSz w:w="11906" w:h="16838"/>
          <w:pgMar w:top="1363" w:right="937" w:bottom="0" w:left="407" w:header="1040" w:footer="0" w:gutter="0"/>
          <w:cols w:equalWidth="0" w:num="1">
            <w:col w:w="10560" w:space="0"/>
          </w:cols>
        </w:sectPr>
        <w:rPr/>
      </w:pPr>
    </w:p>
    <w:p>
      <w:pPr>
        <w:pStyle w:val="BodyText"/>
        <w:ind w:left="728" w:right="156"/>
        <w:spacing w:before="41" w:line="210" w:lineRule="auto"/>
        <w:jc w:val="both"/>
        <w:rPr/>
      </w:pPr>
      <w:r>
        <w:rPr>
          <w:color w:val="231F20"/>
          <w:spacing w:val="5"/>
        </w:rPr>
        <w:t>适的环境下通过细菌中的青霉素结合蛋白相结</w:t>
      </w:r>
      <w:r>
        <w:rPr>
          <w:color w:val="231F20"/>
          <w:spacing w:val="4"/>
        </w:rPr>
        <w:t>合 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细菌胞质膜上会有产生很多的青霉素结合蛋白 , 抗生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素可与青霉素结合蛋白结合 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结合后会减少转肽</w:t>
      </w:r>
      <w:r>
        <w:rPr>
          <w:color w:val="231F20"/>
          <w:spacing w:val="4"/>
        </w:rPr>
        <w:t>酶的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活性 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有效控制细菌细胞壁的合成 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可达到灭菌的效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果。阿莫西林的半衰期在 1 h 左右 , 但是在用药期间还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应当注意不要使用胡萝卜、燕麦等高纤维食物。将阿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莫西林用于急性胃肠炎的治疗能够消灭幽门螺杆菌等 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并能够达到较好的治疗效果。值得注意的一点是 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莫西林在使用前需要进行皮试试验 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如有阳</w:t>
      </w:r>
      <w:r>
        <w:rPr>
          <w:color w:val="231F20"/>
          <w:spacing w:val="4"/>
        </w:rPr>
        <w:t>性反应则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需及时阻止继续使用。针对不方便做皮试试验的人员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可先服用少剂量的药物 , 1 h 后观察有无不良反应。</w:t>
      </w:r>
    </w:p>
    <w:p>
      <w:pPr>
        <w:pStyle w:val="BodyText"/>
        <w:ind w:left="728" w:right="157" w:firstLine="421"/>
        <w:spacing w:before="11" w:line="209" w:lineRule="auto"/>
        <w:jc w:val="both"/>
        <w:rPr/>
      </w:pPr>
      <w:r>
        <w:rPr>
          <w:color w:val="231F20"/>
          <w:spacing w:val="5"/>
        </w:rPr>
        <w:t>替硝唑则属于硝基咪唑类药物 , 其也具有杀</w:t>
      </w:r>
      <w:r>
        <w:rPr>
          <w:color w:val="231F20"/>
          <w:spacing w:val="4"/>
        </w:rPr>
        <w:t>菌作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用 , 更多的是针对厌氧菌和原虫 , 且患者的耐受性好 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抗菌效果理想 , 故而也得到了普及应用。此外 , </w:t>
      </w:r>
      <w:r>
        <w:rPr>
          <w:color w:val="231F20"/>
          <w:spacing w:val="-2"/>
        </w:rPr>
        <w:t>替硝唑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对于革兰阳性厌氧菌的消除作用好 , 血药浓度高 ,</w:t>
      </w:r>
      <w:r>
        <w:rPr>
          <w:color w:val="231F20"/>
          <w:spacing w:val="-2"/>
        </w:rPr>
        <w:t xml:space="preserve"> 半衰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期也比较长 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由此 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可以完成对病情的控制 , 从作用机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制上看 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其能够抑制病原体 DNA 的合成 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对细菌、病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毒的繁殖起到抑制效果 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达到治疗的目的</w:t>
      </w:r>
      <w:r>
        <w:rPr>
          <w:sz w:val="11"/>
          <w:szCs w:val="11"/>
          <w:color w:val="231F20"/>
          <w:spacing w:val="1"/>
          <w:position w:val="9"/>
        </w:rPr>
        <w:t>［4］</w:t>
      </w:r>
      <w:r>
        <w:rPr>
          <w:color w:val="231F20"/>
          <w:spacing w:val="1"/>
        </w:rPr>
        <w:t>。替硝唑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能够促使疾病细胞的死亡 , 从而具有较好的抗炎作用 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在单独使用的时候 , 其可能会受到限制 , 但是在</w:t>
      </w:r>
      <w:r>
        <w:rPr>
          <w:color w:val="231F20"/>
          <w:spacing w:val="-2"/>
        </w:rPr>
        <w:t>联合其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他抗生素实施治疗时 , 则能够发挥更好地效果。</w:t>
      </w:r>
    </w:p>
    <w:p>
      <w:pPr>
        <w:pStyle w:val="BodyText"/>
        <w:ind w:left="727" w:right="156" w:firstLine="421"/>
        <w:spacing w:before="9" w:line="209" w:lineRule="auto"/>
        <w:jc w:val="both"/>
        <w:rPr/>
      </w:pPr>
      <w:r>
        <w:rPr>
          <w:color w:val="231F20"/>
          <w:spacing w:val="4"/>
        </w:rPr>
        <w:t>故而 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将两种药物联合应用 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其能够发挥各自的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优势 , 不仅治疗疗效所有提升 , 在治疗安全性上</w:t>
      </w:r>
      <w:r>
        <w:rPr>
          <w:color w:val="231F20"/>
          <w:spacing w:val="-2"/>
        </w:rPr>
        <w:t>控制效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果也比较好。将其应用于急性胃肠炎患者中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能够改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善病症。与此同时 , 也需要提醒患者注重日常饮食 </w:t>
      </w:r>
      <w:r>
        <w:rPr>
          <w:color w:val="231F20"/>
          <w:spacing w:val="-2"/>
        </w:rPr>
        <w:t>, 做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到饭前洗手、区分熟食和生食 , 防止交叉感染 , </w:t>
      </w:r>
      <w:r>
        <w:rPr>
          <w:color w:val="231F20"/>
          <w:spacing w:val="-2"/>
        </w:rPr>
        <w:t>并且不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食用变质的食物 , 具有自我保护意识和健康管理意识 , </w:t>
      </w:r>
      <w:r>
        <w:rPr>
          <w:color w:val="231F20"/>
          <w:spacing w:val="-1"/>
        </w:rPr>
        <w:t>防止病情的复发。在联合治疗中发挥药剂的协同作用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实现治疗上的互补能够达成预期疗效 , 并为患者的病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/>
        <w:spacing w:before="43" w:line="201" w:lineRule="auto"/>
        <w:rPr/>
      </w:pPr>
      <w:r>
        <w:rPr>
          <w:color w:val="231F20"/>
          <w:spacing w:val="-2"/>
        </w:rPr>
        <w:t>情稳定和早日康复提供可行性方案。</w:t>
      </w:r>
    </w:p>
    <w:p>
      <w:pPr>
        <w:pStyle w:val="BodyText"/>
        <w:ind w:left="85" w:right="10" w:firstLine="422"/>
        <w:spacing w:before="10" w:line="210" w:lineRule="auto"/>
        <w:jc w:val="both"/>
        <w:rPr/>
      </w:pPr>
      <w:r>
        <w:rPr>
          <w:color w:val="231F20"/>
          <w:spacing w:val="-2"/>
        </w:rPr>
        <w:t>就本次调研上看 , 观察组患者的治疗疗效更好 </w:t>
      </w:r>
      <w:r>
        <w:rPr>
          <w:color w:val="231F20"/>
          <w:spacing w:val="-3"/>
        </w:rPr>
        <w:t>, 安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全性有保障 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且患者治疗满意度高。但是作为合格的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医生 , 也需要为患者提供疾病预防知识的讲解 ,</w:t>
      </w:r>
      <w:r>
        <w:rPr>
          <w:color w:val="231F20"/>
          <w:spacing w:val="-2"/>
        </w:rPr>
        <w:t xml:space="preserve"> 可加强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运动锻炼 , 提升机体免疫力 , 并在饮食上去改</w:t>
      </w:r>
      <w:r>
        <w:rPr>
          <w:color w:val="231F20"/>
          <w:spacing w:val="-2"/>
        </w:rPr>
        <w:t>善不良习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惯。此外 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作者也调查了其他学者的临床研究</w:t>
      </w:r>
      <w:r>
        <w:rPr>
          <w:sz w:val="11"/>
          <w:szCs w:val="11"/>
          <w:color w:val="231F20"/>
          <w:spacing w:val="4"/>
          <w:position w:val="9"/>
        </w:rPr>
        <w:t>［5］</w:t>
      </w:r>
      <w:r>
        <w:rPr>
          <w:color w:val="231F20"/>
          <w:spacing w:val="4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阿莫西林和替硝唑进行急性肠胃炎的临床讨论中 </w:t>
      </w:r>
      <w:r>
        <w:rPr>
          <w:color w:val="231F20"/>
          <w:spacing w:val="4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依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然以联合用药治疗效果更佳 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且提出了替硝唑能</w:t>
      </w:r>
      <w:r>
        <w:rPr>
          <w:color w:val="231F20"/>
          <w:spacing w:val="4"/>
        </w:rPr>
        <w:t>够适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用于厌氧菌引起的相关疾病 , 抑制病原体 DNA 而实现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灭菌目的。这一研究成果与本次调研结果具有一</w:t>
      </w:r>
      <w:r>
        <w:rPr>
          <w:color w:val="231F20"/>
          <w:spacing w:val="-2"/>
        </w:rPr>
        <w:t>致性。</w:t>
      </w:r>
    </w:p>
    <w:p>
      <w:pPr>
        <w:pStyle w:val="BodyText"/>
        <w:ind w:left="85" w:right="81" w:firstLine="418"/>
        <w:spacing w:before="8" w:line="212" w:lineRule="auto"/>
        <w:jc w:val="both"/>
        <w:rPr/>
      </w:pPr>
      <w:r>
        <w:rPr>
          <w:color w:val="231F20"/>
          <w:spacing w:val="4"/>
        </w:rPr>
        <w:t>综上所述 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采用阿莫西林联合替硝唑治疗急性胃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肠炎效果显著 , 有助于患者的临床症状缓解 , </w:t>
      </w:r>
      <w:r>
        <w:rPr>
          <w:color w:val="231F20"/>
          <w:spacing w:val="-2"/>
        </w:rPr>
        <w:t>并能够进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一步控制不良反应。急性肠胃炎的患者在身体恢复后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也需要格外注意日常饮食习惯和生活习惯 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告知</w:t>
      </w:r>
      <w:r>
        <w:rPr>
          <w:color w:val="231F20"/>
          <w:spacing w:val="4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健康生活饮食习惯具有重要意义 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且阿莫西林联</w:t>
      </w:r>
      <w:r>
        <w:rPr>
          <w:color w:val="231F20"/>
          <w:spacing w:val="4"/>
        </w:rPr>
        <w:t>合替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硝唑治疗具有临床推广价值。</w:t>
      </w:r>
    </w:p>
    <w:p>
      <w:pPr>
        <w:pStyle w:val="BodyText"/>
        <w:ind w:left="1851"/>
        <w:spacing w:before="152" w:line="17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  <w:w w:val="98"/>
        </w:rPr>
        <w:t>参</w:t>
      </w:r>
      <w:r>
        <w:rPr>
          <w:sz w:val="17"/>
          <w:szCs w:val="17"/>
          <w:color w:val="231F20"/>
          <w:spacing w:val="8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考</w:t>
      </w:r>
      <w:r>
        <w:rPr>
          <w:sz w:val="17"/>
          <w:szCs w:val="17"/>
          <w:color w:val="231F20"/>
          <w:spacing w:val="10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文</w:t>
      </w:r>
      <w:r>
        <w:rPr>
          <w:sz w:val="17"/>
          <w:szCs w:val="17"/>
          <w:color w:val="231F20"/>
          <w:spacing w:val="10"/>
        </w:rPr>
        <w:t xml:space="preserve">   </w:t>
      </w:r>
      <w:r>
        <w:rPr>
          <w:sz w:val="17"/>
          <w:szCs w:val="17"/>
          <w:color w:val="231F20"/>
          <w:spacing w:val="-4"/>
          <w:w w:val="98"/>
        </w:rPr>
        <w:t>献</w:t>
      </w:r>
    </w:p>
    <w:p>
      <w:pPr>
        <w:pStyle w:val="BodyText"/>
        <w:ind w:left="510" w:right="82" w:hanging="510"/>
        <w:spacing w:before="21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［1］  李燕 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研究阿莫西林与替硝唑联合治疗急性肠胃炎的临床效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果 . 现代医学与健康研究电子杂志 , 2017, 1(9):34, 36.</w:t>
      </w:r>
    </w:p>
    <w:p>
      <w:pPr>
        <w:pStyle w:val="BodyText"/>
        <w:ind w:left="512" w:right="81" w:hanging="512"/>
        <w:spacing w:before="35" w:line="217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［2］  焦合主 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赵井伟 , 单艳芳 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急性肠胃炎患者给予阿莫西林与替 </w:t>
      </w:r>
      <w:r>
        <w:rPr>
          <w:sz w:val="16"/>
          <w:szCs w:val="16"/>
          <w:color w:val="231F20"/>
          <w:spacing w:val="7"/>
        </w:rPr>
        <w:t>硝唑联合治疗的临床观察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现代医学与健康研究电子</w:t>
      </w:r>
      <w:r>
        <w:rPr>
          <w:sz w:val="16"/>
          <w:szCs w:val="16"/>
          <w:color w:val="231F20"/>
          <w:spacing w:val="6"/>
        </w:rPr>
        <w:t>杂志 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2018, 2(2):12-13.</w:t>
      </w:r>
    </w:p>
    <w:p>
      <w:pPr>
        <w:pStyle w:val="BodyText"/>
        <w:ind w:left="510" w:right="83" w:hanging="510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［3］  姜晓丽 .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阿莫西林与替硝唑联合治疗急性肠胃炎的疗效研究 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世界最新医学信息文摘 , 2018, 18(48):123.</w:t>
      </w:r>
    </w:p>
    <w:p>
      <w:pPr>
        <w:pStyle w:val="BodyText"/>
        <w:ind w:left="510" w:right="82" w:hanging="510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［4］  古丽娜尔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·哈吉肯 . 阿莫西林与替硝唑联合对急性胃肠炎的疗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效观察 . 临床医药文献电子杂志 , 2018, 5(41</w:t>
      </w:r>
      <w:r>
        <w:rPr>
          <w:sz w:val="16"/>
          <w:szCs w:val="16"/>
          <w:color w:val="231F20"/>
          <w:spacing w:val="-6"/>
        </w:rPr>
        <w:t>):147-148.</w:t>
      </w:r>
    </w:p>
    <w:p>
      <w:pPr>
        <w:pStyle w:val="BodyText"/>
        <w:ind w:left="509" w:right="82" w:hanging="509"/>
        <w:spacing w:before="35" w:line="21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［5］  王芳 . 阿莫西林、替硝唑联</w:t>
      </w:r>
      <w:r>
        <w:rPr>
          <w:sz w:val="16"/>
          <w:szCs w:val="16"/>
          <w:color w:val="231F20"/>
          <w:spacing w:val="-1"/>
        </w:rPr>
        <w:t>合使用在急性肠胃炎治疗中的临床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疗效研究 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中国医药指南 , 2018, 16</w:t>
      </w:r>
      <w:r>
        <w:rPr>
          <w:sz w:val="16"/>
          <w:szCs w:val="16"/>
          <w:color w:val="231F20"/>
          <w:spacing w:val="-7"/>
        </w:rPr>
        <w:t>(36):152-153.</w:t>
      </w:r>
    </w:p>
    <w:p>
      <w:pPr>
        <w:pStyle w:val="BodyText"/>
        <w:spacing w:before="35" w:line="196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［收稿日期 ：2020-06-01］</w:t>
      </w:r>
    </w:p>
    <w:p>
      <w:pPr>
        <w:spacing w:line="196" w:lineRule="auto"/>
        <w:sectPr>
          <w:type w:val="continuous"/>
          <w:pgSz w:w="11906" w:h="16838"/>
          <w:pgMar w:top="1363" w:right="937" w:bottom="0" w:left="407" w:header="1040" w:footer="0" w:gutter="0"/>
          <w:cols w:equalWidth="0" w:num="2">
            <w:col w:w="5589" w:space="100"/>
            <w:col w:w="4871" w:space="0"/>
          </w:cols>
        </w:sectPr>
        <w:rPr>
          <w:sz w:val="16"/>
          <w:szCs w:val="16"/>
        </w:rPr>
      </w:pPr>
    </w:p>
    <w:p>
      <w:pPr>
        <w:ind w:left="739" w:right="3598" w:firstLine="25"/>
        <w:spacing w:before="260" w:line="3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34"/>
          <w:szCs w:val="34"/>
          <w:color w:val="231F20"/>
          <w:spacing w:val="4"/>
        </w:rPr>
        <w:t>四联疗法治疗中老年胃溃疡临床效果观察</w:t>
      </w:r>
      <w:r>
        <w:rPr>
          <w:rFonts w:ascii="SimHei" w:hAnsi="SimHei" w:eastAsia="SimHei" w:cs="SimHei"/>
          <w:sz w:val="34"/>
          <w:szCs w:val="34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李越</w:t>
      </w:r>
    </w:p>
    <w:p>
      <w:pPr>
        <w:pStyle w:val="BodyText"/>
        <w:ind w:left="728" w:right="1782" w:firstLine="305"/>
        <w:spacing w:before="123" w:line="26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【摘要】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目的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分析四联疗法治疗中老年胃溃疡的临床效果。</w:t>
      </w:r>
      <w:r>
        <w:rPr>
          <w:sz w:val="18"/>
          <w:szCs w:val="18"/>
          <w:color w:val="231F20"/>
          <w:spacing w:val="-1"/>
        </w:rPr>
        <w:t>方法  </w:t>
      </w:r>
      <w:r>
        <w:rPr>
          <w:sz w:val="18"/>
          <w:szCs w:val="18"/>
          <w:color w:val="231F20"/>
          <w:spacing w:val="-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70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例中老年胃溃疡患者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采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用随机数字表法分为对照组和观察组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每组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35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例。对照组患者给予三联疗法治疗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观察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组患者在对照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组基础上增加胃黏膜保护剂进行四联疗法。比较两组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胃溃疡愈合时间、幽门螺杆菌感染转阴时间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治疗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前后降钙素原、C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反应蛋白以及肿瘤坏死因子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-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α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水平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 临床疗效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不良反应发生情况。</w:t>
      </w:r>
      <w:r>
        <w:rPr>
          <w:sz w:val="18"/>
          <w:szCs w:val="18"/>
          <w:color w:val="231F20"/>
          <w:spacing w:val="-3"/>
        </w:rPr>
        <w:t>结果  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观察组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胃溃疡愈合时间、幽门螺杆菌感染转阴时间均短于对照组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0.05)。治疗后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两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组降钙素原、C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反应蛋白以及肿瘤坏死因子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-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α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水平均低于治疗前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且观察组降钙素原、C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反应蛋白以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及肿瘤坏死因子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-α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水平均低于对照组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>&lt;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0.05)。观察组总有效率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94.29%(33/35)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高于对照组的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74.29%(26/35),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差异具有统计学意义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P&lt;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0.05)。两组治疗过程未发现不良反应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两组不良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反应发生率均为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0,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组间比较差异无统计学意义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P&gt;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0.05)。</w:t>
      </w:r>
      <w:r>
        <w:rPr>
          <w:sz w:val="18"/>
          <w:szCs w:val="18"/>
          <w:color w:val="231F20"/>
          <w:spacing w:val="-1"/>
        </w:rPr>
        <w:t>结论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三联疗法联合胃黏膜保护剂进行四联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疗法对于中老年胃溃疡的治疗效果确切。</w:t>
      </w:r>
    </w:p>
    <w:p>
      <w:pPr>
        <w:pStyle w:val="BodyText"/>
        <w:ind w:left="1033"/>
        <w:spacing w:before="26" w:line="206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【关键词】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四联疗法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；中老年胃溃疡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；临床效果</w:t>
      </w:r>
    </w:p>
    <w:p>
      <w:pPr>
        <w:ind w:left="1101"/>
        <w:spacing w:before="14" w:line="24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DOI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：10.14164/j.cnki.cn11-5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581/r.2021.03.072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10" style="position:absolute;margin-left:36.5054pt;margin-top:3.5663pt;mso-position-vertical-relative:text;mso-position-horizontal-relative:text;width:70.9pt;height:0.45pt;z-index:251660288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ind w:left="1011"/>
        <w:spacing w:before="53" w:line="17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作者单位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：112000  辽宁省铁岭市中心医院</w:t>
      </w:r>
    </w:p>
    <w:sectPr>
      <w:type w:val="continuous"/>
      <w:pgSz w:w="11906" w:h="16838"/>
      <w:pgMar w:top="1363" w:right="937" w:bottom="0" w:left="407" w:header="1040" w:footer="0" w:gutter="0"/>
      <w:cols w:equalWidth="0" w:num="1">
        <w:col w:w="105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3"/>
      <w:spacing w:before="44" w:line="179" w:lineRule="auto"/>
      <w:rPr>
        <w:rFonts w:ascii="SimSun" w:hAnsi="SimSun" w:eastAsia="SimSun" w:cs="SimSun"/>
        <w:sz w:val="16"/>
        <w:szCs w:val="16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21"/>
        <w:szCs w:val="21"/>
        <w:color w:val="231F20"/>
        <w:spacing w:val="-2"/>
        <w:position w:val="-1"/>
      </w:rPr>
      <w:t>·162</w:t>
    </w:r>
    <w:r>
      <w:rPr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sz w:val="21"/>
        <w:szCs w:val="21"/>
        <w:color w:val="231F20"/>
        <w:spacing w:val="-2"/>
        <w:position w:val="-1"/>
      </w:rPr>
      <w:t>·               </w:t>
    </w:r>
    <w:r>
      <w:rPr>
        <w:sz w:val="21"/>
        <w:szCs w:val="21"/>
        <w:color w:val="231F20"/>
        <w:spacing w:val="-3"/>
        <w:position w:val="-1"/>
      </w:rPr>
      <w:t xml:space="preserve">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6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中国现代药物应用2021年2月第15卷第3期  Chin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J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Mod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Drug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Appl,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Feb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2021,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Vol.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15,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No.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0"/>
      <w:spacing w:before="44" w:line="179" w:lineRule="auto"/>
      <w:jc w:val="right"/>
      <w:rPr>
        <w:sz w:val="21"/>
        <w:szCs w:val="21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中国现代药物应用2021年2月第15卷第3期  Chin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J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Mod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Drug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Appl,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Feb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2021,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Vol.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15,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No.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"/>
      </w:rPr>
      <w:t>3</w:t>
    </w:r>
    <w:r>
      <w:rPr>
        <w:rFonts w:ascii="SimSun" w:hAnsi="SimSun" w:eastAsia="SimSun" w:cs="SimSun"/>
        <w:sz w:val="16"/>
        <w:szCs w:val="16"/>
        <w:color w:val="231F20"/>
        <w:spacing w:val="-3"/>
      </w:rPr>
      <w:t xml:space="preserve">         </w:t>
    </w:r>
    <w:r>
      <w:rPr>
        <w:rFonts w:ascii="SimSun" w:hAnsi="SimSun" w:eastAsia="SimSun" w:cs="SimSun"/>
        <w:sz w:val="16"/>
        <w:szCs w:val="16"/>
        <w:color w:val="231F20"/>
        <w:spacing w:val="-4"/>
      </w:rPr>
      <w:t xml:space="preserve">                               </w:t>
    </w:r>
    <w:r>
      <w:rPr>
        <w:sz w:val="21"/>
        <w:szCs w:val="21"/>
        <w:color w:val="231F20"/>
        <w:spacing w:val="-4"/>
        <w:position w:val="-1"/>
      </w:rPr>
      <w:t>·163</w:t>
    </w:r>
    <w:r>
      <w:rPr>
        <w:sz w:val="21"/>
        <w:szCs w:val="21"/>
        <w:color w:val="231F20"/>
        <w:spacing w:val="26"/>
        <w:w w:val="101"/>
        <w:position w:val="-1"/>
      </w:rPr>
      <w:t xml:space="preserve"> </w:t>
    </w:r>
    <w:r>
      <w:rPr>
        <w:sz w:val="21"/>
        <w:szCs w:val="21"/>
        <w:color w:val="231F20"/>
        <w:spacing w:val="-4"/>
        <w:position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2024-01-13T18:35:34Z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2025-10-28T21:31:19</vt:filetime>
  </property>
</Properties>
</file>