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92" w:lineRule="auto"/>
        <w:rPr>
          <w:rFonts w:ascii="Arial"/>
          <w:sz w:val="21"/>
        </w:rPr>
      </w:pPr>
      <w:r/>
    </w:p>
    <w:p>
      <w:pPr>
        <w:ind w:left="2698"/>
        <w:spacing w:before="120" w:line="180" w:lineRule="auto"/>
        <w:outlineLvl w:val="0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1D2088"/>
          <w:spacing w:val="-1"/>
        </w:rPr>
        <w:t>青少年急性肠胃炎中应用优质护理的临床效果</w:t>
      </w:r>
    </w:p>
    <w:p>
      <w:pPr>
        <w:ind w:left="4693"/>
        <w:spacing w:before="39" w:line="253" w:lineRule="exact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8"/>
          <w:szCs w:val="18"/>
          <w:spacing w:val="-1"/>
          <w:position w:val="1"/>
        </w:rPr>
        <w:t>何晶</w:t>
      </w:r>
      <w:r>
        <w:rPr>
          <w:rFonts w:ascii="SimSun" w:hAnsi="SimSun" w:eastAsia="SimSun" w:cs="SimSun"/>
          <w:sz w:val="10"/>
          <w:szCs w:val="10"/>
          <w:spacing w:val="-1"/>
          <w:position w:val="9"/>
        </w:rPr>
        <w:t>1</w:t>
      </w:r>
      <w:r>
        <w:rPr>
          <w:rFonts w:ascii="SimSun" w:hAnsi="SimSun" w:eastAsia="SimSun" w:cs="SimSun"/>
          <w:sz w:val="10"/>
          <w:szCs w:val="10"/>
          <w:spacing w:val="46"/>
          <w:w w:val="101"/>
          <w:position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  <w:position w:val="1"/>
        </w:rPr>
        <w:t>袁媛媛</w:t>
      </w:r>
      <w:r>
        <w:rPr>
          <w:rFonts w:ascii="SimSun" w:hAnsi="SimSun" w:eastAsia="SimSun" w:cs="SimSun"/>
          <w:sz w:val="10"/>
          <w:szCs w:val="10"/>
          <w:spacing w:val="-1"/>
          <w:position w:val="9"/>
        </w:rPr>
        <w:t>2</w:t>
      </w:r>
      <w:r>
        <w:rPr>
          <w:rFonts w:ascii="SimSun" w:hAnsi="SimSun" w:eastAsia="SimSun" w:cs="SimSun"/>
          <w:sz w:val="10"/>
          <w:szCs w:val="10"/>
          <w:spacing w:val="43"/>
          <w:w w:val="101"/>
          <w:position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  <w:position w:val="1"/>
        </w:rPr>
        <w:t>尹蕾</w:t>
      </w:r>
      <w:r>
        <w:rPr>
          <w:rFonts w:ascii="SimSun" w:hAnsi="SimSun" w:eastAsia="SimSun" w:cs="SimSun"/>
          <w:sz w:val="10"/>
          <w:szCs w:val="10"/>
          <w:spacing w:val="-1"/>
          <w:position w:val="9"/>
        </w:rPr>
        <w:t>1</w:t>
      </w:r>
    </w:p>
    <w:p>
      <w:pPr>
        <w:ind w:left="734"/>
        <w:spacing w:before="85" w:line="197" w:lineRule="auto"/>
        <w:rPr>
          <w:rFonts w:ascii="STKaiti" w:hAnsi="STKaiti" w:eastAsia="STKaiti" w:cs="STKaiti"/>
          <w:sz w:val="19"/>
          <w:szCs w:val="19"/>
        </w:rPr>
      </w:pPr>
      <w:r>
        <w:rPr>
          <w:rFonts w:ascii="STKaiti" w:hAnsi="STKaiti" w:eastAsia="STKaiti" w:cs="STKaiti"/>
          <w:sz w:val="19"/>
          <w:szCs w:val="19"/>
        </w:rPr>
        <w:t>1.山东省城市服务技师学院卫生所，山东  烟台  264670；2.中国人民解放军联勤</w:t>
      </w:r>
      <w:r>
        <w:rPr>
          <w:rFonts w:ascii="STKaiti" w:hAnsi="STKaiti" w:eastAsia="STKaiti" w:cs="STKaiti"/>
          <w:sz w:val="19"/>
          <w:szCs w:val="19"/>
          <w:spacing w:val="-1"/>
        </w:rPr>
        <w:t>保障部队第九六零医院麻醉科，山东</w:t>
      </w:r>
    </w:p>
    <w:p>
      <w:pPr>
        <w:ind w:left="5010"/>
        <w:spacing w:before="49" w:line="200" w:lineRule="auto"/>
        <w:rPr>
          <w:rFonts w:ascii="STKaiti" w:hAnsi="STKaiti" w:eastAsia="STKaiti" w:cs="STKaiti"/>
          <w:sz w:val="19"/>
          <w:szCs w:val="19"/>
        </w:rPr>
      </w:pPr>
      <w:r>
        <w:rPr>
          <w:rFonts w:ascii="STKaiti" w:hAnsi="STKaiti" w:eastAsia="STKaiti" w:cs="STKaiti"/>
          <w:sz w:val="19"/>
          <w:szCs w:val="19"/>
          <w:spacing w:val="-3"/>
        </w:rPr>
        <w:t>济南  250012</w:t>
      </w:r>
    </w:p>
    <w:p>
      <w:pPr>
        <w:pStyle w:val="BodyText"/>
        <w:ind w:left="618" w:firstLine="408"/>
        <w:spacing w:before="184" w:line="247" w:lineRule="auto"/>
        <w:jc w:val="both"/>
        <w:rPr>
          <w:rFonts w:ascii="KaiTi" w:hAnsi="KaiTi" w:eastAsia="KaiTi" w:cs="KaiTi"/>
        </w:rPr>
      </w:pPr>
      <w:r>
        <w:rPr>
          <w:rFonts w:ascii="Microsoft YaHei" w:hAnsi="Microsoft YaHei" w:eastAsia="Microsoft YaHei" w:cs="Microsoft YaHei"/>
          <w:color w:val="1D2088"/>
          <w:spacing w:val="3"/>
        </w:rPr>
        <w:t>[ 摘要 ] 目的</w:t>
      </w:r>
      <w:r>
        <w:rPr>
          <w:rFonts w:ascii="Microsoft YaHei" w:hAnsi="Microsoft YaHei" w:eastAsia="Microsoft YaHei" w:cs="Microsoft YaHei"/>
          <w:color w:val="1D2088"/>
          <w:spacing w:val="29"/>
          <w:w w:val="101"/>
        </w:rPr>
        <w:t xml:space="preserve"> </w:t>
      </w:r>
      <w:r>
        <w:rPr>
          <w:rFonts w:ascii="KaiTi" w:hAnsi="KaiTi" w:eastAsia="KaiTi" w:cs="KaiTi"/>
          <w:spacing w:val="3"/>
        </w:rPr>
        <w:t>观察青少年急性肠胃炎护理过程中应用优质护理的临床效果。</w:t>
      </w:r>
      <w:r>
        <w:rPr>
          <w:rFonts w:ascii="KaiTi" w:hAnsi="KaiTi" w:eastAsia="KaiTi" w:cs="KaiTi"/>
          <w:spacing w:val="33"/>
        </w:rPr>
        <w:t xml:space="preserve"> </w:t>
      </w:r>
      <w:r>
        <w:rPr>
          <w:rFonts w:ascii="Microsoft YaHei" w:hAnsi="Microsoft YaHei" w:eastAsia="Microsoft YaHei" w:cs="Microsoft YaHei"/>
          <w:color w:val="1D2088"/>
          <w:spacing w:val="3"/>
        </w:rPr>
        <w:t>方法</w:t>
      </w:r>
      <w:r>
        <w:rPr>
          <w:rFonts w:ascii="Microsoft YaHei" w:hAnsi="Microsoft YaHei" w:eastAsia="Microsoft YaHei" w:cs="Microsoft YaHei"/>
          <w:color w:val="1D2088"/>
          <w:spacing w:val="30"/>
          <w:w w:val="101"/>
        </w:rPr>
        <w:t xml:space="preserve"> </w:t>
      </w:r>
      <w:r>
        <w:rPr>
          <w:rFonts w:ascii="KaiTi" w:hAnsi="KaiTi" w:eastAsia="KaiTi" w:cs="KaiTi"/>
          <w:spacing w:val="3"/>
        </w:rPr>
        <w:t>本研究于</w:t>
      </w:r>
      <w:r>
        <w:rPr>
          <w:spacing w:val="3"/>
        </w:rPr>
        <w:t>2018</w:t>
      </w:r>
      <w:r>
        <w:rPr>
          <w:rFonts w:ascii="KaiTi" w:hAnsi="KaiTi" w:eastAsia="KaiTi" w:cs="KaiTi"/>
          <w:spacing w:val="3"/>
        </w:rPr>
        <w:t>年</w:t>
      </w:r>
      <w:r>
        <w:rPr>
          <w:spacing w:val="3"/>
        </w:rPr>
        <w:t>1</w:t>
      </w:r>
      <w:r>
        <w:rPr>
          <w:spacing w:val="2"/>
        </w:rPr>
        <w:t>0</w:t>
      </w:r>
      <w:r>
        <w:rPr>
          <w:rFonts w:ascii="KaiTi" w:hAnsi="KaiTi" w:eastAsia="KaiTi" w:cs="KaiTi"/>
          <w:spacing w:val="2"/>
        </w:rPr>
        <w:t>月～</w:t>
      </w:r>
      <w:r>
        <w:rPr>
          <w:spacing w:val="2"/>
        </w:rPr>
        <w:t>2019</w:t>
      </w:r>
      <w:r>
        <w:rPr>
          <w:rFonts w:ascii="KaiTi" w:hAnsi="KaiTi" w:eastAsia="KaiTi" w:cs="KaiTi"/>
          <w:spacing w:val="2"/>
        </w:rPr>
        <w:t>年</w:t>
      </w:r>
      <w:r>
        <w:rPr>
          <w:spacing w:val="2"/>
        </w:rPr>
        <w:t>10</w:t>
      </w:r>
      <w:r>
        <w:rPr>
          <w:rFonts w:ascii="KaiTi" w:hAnsi="KaiTi" w:eastAsia="KaiTi" w:cs="KaiTi"/>
          <w:spacing w:val="2"/>
        </w:rPr>
        <w:t>月选取本校卫生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5"/>
        </w:rPr>
        <w:t>所收治的</w:t>
      </w:r>
      <w:r>
        <w:rPr>
          <w:spacing w:val="5"/>
        </w:rPr>
        <w:t>80</w:t>
      </w:r>
      <w:r>
        <w:rPr>
          <w:rFonts w:ascii="KaiTi" w:hAnsi="KaiTi" w:eastAsia="KaiTi" w:cs="KaiTi"/>
          <w:spacing w:val="5"/>
        </w:rPr>
        <w:t>例青少年急性肠胃炎患者作为研究对象，依据随机抽签方法，将其分为</w:t>
      </w:r>
      <w:r>
        <w:rPr>
          <w:spacing w:val="4"/>
        </w:rPr>
        <w:t>A</w:t>
      </w:r>
      <w:r>
        <w:rPr>
          <w:rFonts w:ascii="KaiTi" w:hAnsi="KaiTi" w:eastAsia="KaiTi" w:cs="KaiTi"/>
          <w:spacing w:val="4"/>
        </w:rPr>
        <w:t>组和</w:t>
      </w:r>
      <w:r>
        <w:rPr>
          <w:spacing w:val="4"/>
        </w:rPr>
        <w:t>B</w:t>
      </w:r>
      <w:r>
        <w:rPr>
          <w:rFonts w:ascii="KaiTi" w:hAnsi="KaiTi" w:eastAsia="KaiTi" w:cs="KaiTi"/>
          <w:spacing w:val="4"/>
        </w:rPr>
        <w:t>组，每组</w:t>
      </w:r>
      <w:r>
        <w:rPr>
          <w:spacing w:val="4"/>
        </w:rPr>
        <w:t>40</w:t>
      </w:r>
      <w:r>
        <w:rPr>
          <w:rFonts w:ascii="KaiTi" w:hAnsi="KaiTi" w:eastAsia="KaiTi" w:cs="KaiTi"/>
          <w:spacing w:val="4"/>
        </w:rPr>
        <w:t>例。</w:t>
      </w:r>
      <w:r>
        <w:rPr>
          <w:spacing w:val="4"/>
        </w:rPr>
        <w:t>A</w:t>
      </w:r>
      <w:r>
        <w:rPr>
          <w:rFonts w:ascii="KaiTi" w:hAnsi="KaiTi" w:eastAsia="KaiTi" w:cs="KaiTi"/>
          <w:spacing w:val="4"/>
        </w:rPr>
        <w:t>组在常规护理基础上对应采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4"/>
        </w:rPr>
        <w:t>用优质护理，</w:t>
      </w:r>
      <w:r>
        <w:rPr>
          <w:spacing w:val="4"/>
        </w:rPr>
        <w:t>B</w:t>
      </w:r>
      <w:r>
        <w:rPr>
          <w:rFonts w:ascii="KaiTi" w:hAnsi="KaiTi" w:eastAsia="KaiTi" w:cs="KaiTi"/>
          <w:spacing w:val="4"/>
        </w:rPr>
        <w:t>组予以常规护理。观察两组护理方式的护理满意度、焦虑自评量表（</w:t>
      </w:r>
      <w:r>
        <w:rPr/>
        <w:t>SAS</w:t>
      </w:r>
      <w:r>
        <w:rPr>
          <w:rFonts w:ascii="KaiTi" w:hAnsi="KaiTi" w:eastAsia="KaiTi" w:cs="KaiTi"/>
          <w:spacing w:val="4"/>
        </w:rPr>
        <w:t>）评分、抑郁自评量表（</w:t>
      </w:r>
      <w:r>
        <w:rPr/>
        <w:t>SDS</w:t>
      </w:r>
      <w:r>
        <w:rPr>
          <w:rFonts w:ascii="KaiTi" w:hAnsi="KaiTi" w:eastAsia="KaiTi" w:cs="KaiTi"/>
          <w:spacing w:val="4"/>
        </w:rPr>
        <w:t>）评分、护理依从</w:t>
      </w:r>
      <w:r>
        <w:rPr>
          <w:rFonts w:ascii="KaiTi" w:hAnsi="KaiTi" w:eastAsia="KaiTi" w:cs="KaiTi"/>
          <w:spacing w:val="18"/>
        </w:rPr>
        <w:t xml:space="preserve"> </w:t>
      </w:r>
      <w:r>
        <w:rPr>
          <w:rFonts w:ascii="KaiTi" w:hAnsi="KaiTi" w:eastAsia="KaiTi" w:cs="KaiTi"/>
          <w:spacing w:val="4"/>
        </w:rPr>
        <w:t>性以及急性症状控制时间。正态计量资料采用</w:t>
      </w:r>
      <w:r>
        <w:rPr>
          <w:rFonts w:ascii="KaiTi" w:hAnsi="KaiTi" w:eastAsia="KaiTi" w:cs="KaiTi"/>
          <w:spacing w:val="4"/>
        </w:rPr>
        <w:t xml:space="preserve"> </w:t>
      </w:r>
      <w:r>
        <w:rPr>
          <w:i/>
          <w:iCs/>
          <w:spacing w:val="4"/>
        </w:rPr>
        <w:t>t</w:t>
      </w:r>
      <w:r>
        <w:rPr>
          <w:i/>
          <w:iCs/>
          <w:spacing w:val="25"/>
          <w:w w:val="102"/>
        </w:rPr>
        <w:t xml:space="preserve"> </w:t>
      </w:r>
      <w:r>
        <w:rPr>
          <w:rFonts w:ascii="KaiTi" w:hAnsi="KaiTi" w:eastAsia="KaiTi" w:cs="KaiTi"/>
          <w:spacing w:val="4"/>
        </w:rPr>
        <w:t>检验，计数资料采用</w:t>
      </w:r>
      <w:r>
        <w:rPr>
          <w:rFonts w:ascii="KaiTi" w:hAnsi="KaiTi" w:eastAsia="KaiTi" w:cs="KaiTi"/>
          <w:spacing w:val="-23"/>
        </w:rPr>
        <w:t xml:space="preserve"> </w:t>
      </w:r>
      <w:r>
        <w:rPr>
          <w:i/>
          <w:iCs/>
          <w:spacing w:val="4"/>
        </w:rPr>
        <w:t>x</w:t>
      </w:r>
      <w:r>
        <w:rPr>
          <w:sz w:val="9"/>
          <w:szCs w:val="9"/>
          <w:spacing w:val="4"/>
          <w:position w:val="7"/>
        </w:rPr>
        <w:t>2</w:t>
      </w:r>
      <w:r>
        <w:rPr>
          <w:sz w:val="9"/>
          <w:szCs w:val="9"/>
          <w:spacing w:val="10"/>
          <w:w w:val="103"/>
          <w:position w:val="7"/>
        </w:rPr>
        <w:t xml:space="preserve">  </w:t>
      </w:r>
      <w:r>
        <w:rPr>
          <w:rFonts w:ascii="KaiTi" w:hAnsi="KaiTi" w:eastAsia="KaiTi" w:cs="KaiTi"/>
          <w:spacing w:val="4"/>
        </w:rPr>
        <w:t>检验。</w:t>
      </w:r>
      <w:r>
        <w:rPr>
          <w:rFonts w:ascii="Microsoft YaHei" w:hAnsi="Microsoft YaHei" w:eastAsia="Microsoft YaHei" w:cs="Microsoft YaHei"/>
          <w:color w:val="1D2088"/>
          <w:spacing w:val="4"/>
        </w:rPr>
        <w:t>结果</w:t>
      </w:r>
      <w:r>
        <w:rPr>
          <w:rFonts w:ascii="Microsoft YaHei" w:hAnsi="Microsoft YaHei" w:eastAsia="Microsoft YaHei" w:cs="Microsoft YaHei"/>
          <w:color w:val="1D2088"/>
          <w:spacing w:val="22"/>
          <w:w w:val="101"/>
        </w:rPr>
        <w:t xml:space="preserve"> </w:t>
      </w:r>
      <w:r>
        <w:rPr>
          <w:spacing w:val="4"/>
        </w:rPr>
        <w:t>A</w:t>
      </w:r>
      <w:r>
        <w:rPr>
          <w:rFonts w:ascii="KaiTi" w:hAnsi="KaiTi" w:eastAsia="KaiTi" w:cs="KaiTi"/>
          <w:spacing w:val="3"/>
        </w:rPr>
        <w:t>组护理满意度较</w:t>
      </w:r>
      <w:r>
        <w:rPr>
          <w:spacing w:val="3"/>
        </w:rPr>
        <w:t>B</w:t>
      </w:r>
      <w:r>
        <w:rPr>
          <w:rFonts w:ascii="KaiTi" w:hAnsi="KaiTi" w:eastAsia="KaiTi" w:cs="KaiTi"/>
          <w:spacing w:val="3"/>
        </w:rPr>
        <w:t>组显著更高，数据有统计学差异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1"/>
        </w:rPr>
        <w:t>（</w:t>
      </w:r>
      <w:r>
        <w:rPr>
          <w:i/>
          <w:iCs/>
          <w:spacing w:val="1"/>
        </w:rPr>
        <w:t>P</w:t>
      </w:r>
      <w:r>
        <w:rPr>
          <w:rFonts w:ascii="SimSun" w:hAnsi="SimSun" w:eastAsia="SimSun" w:cs="SimSun"/>
          <w:spacing w:val="1"/>
        </w:rPr>
        <w:t>＜</w:t>
      </w:r>
      <w:r>
        <w:rPr>
          <w:spacing w:val="1"/>
        </w:rPr>
        <w:t>0.05</w:t>
      </w:r>
      <w:r>
        <w:rPr>
          <w:rFonts w:ascii="KaiTi" w:hAnsi="KaiTi" w:eastAsia="KaiTi" w:cs="KaiTi"/>
          <w:spacing w:val="1"/>
        </w:rPr>
        <w:t>）。护理前两组的</w:t>
      </w:r>
      <w:r>
        <w:rPr/>
        <w:t>SAS</w:t>
      </w:r>
      <w:r>
        <w:rPr>
          <w:spacing w:val="-20"/>
        </w:rPr>
        <w:t xml:space="preserve"> </w:t>
      </w:r>
      <w:r>
        <w:rPr>
          <w:rFonts w:ascii="KaiTi" w:hAnsi="KaiTi" w:eastAsia="KaiTi" w:cs="KaiTi"/>
          <w:spacing w:val="1"/>
        </w:rPr>
        <w:t>、</w:t>
      </w:r>
      <w:r>
        <w:rPr/>
        <w:t>SDS</w:t>
      </w:r>
      <w:r>
        <w:rPr>
          <w:rFonts w:ascii="KaiTi" w:hAnsi="KaiTi" w:eastAsia="KaiTi" w:cs="KaiTi"/>
          <w:spacing w:val="1"/>
        </w:rPr>
        <w:t>评分差异不显著（</w:t>
      </w:r>
      <w:r>
        <w:rPr>
          <w:i/>
          <w:iCs/>
          <w:spacing w:val="1"/>
        </w:rPr>
        <w:t>P</w:t>
      </w:r>
      <w:r>
        <w:rPr>
          <w:rFonts w:ascii="SimSun" w:hAnsi="SimSun" w:eastAsia="SimSun" w:cs="SimSun"/>
          <w:spacing w:val="1"/>
        </w:rPr>
        <w:t>＞</w:t>
      </w:r>
      <w:r>
        <w:rPr>
          <w:spacing w:val="1"/>
        </w:rPr>
        <w:t>0.05</w:t>
      </w:r>
      <w:r>
        <w:rPr>
          <w:rFonts w:ascii="KaiTi" w:hAnsi="KaiTi" w:eastAsia="KaiTi" w:cs="KaiTi"/>
          <w:spacing w:val="-1"/>
        </w:rPr>
        <w:t>），</w:t>
      </w:r>
      <w:r>
        <w:rPr>
          <w:rFonts w:ascii="KaiTi" w:hAnsi="KaiTi" w:eastAsia="KaiTi" w:cs="KaiTi"/>
          <w:spacing w:val="1"/>
        </w:rPr>
        <w:t>护理后两组</w:t>
      </w:r>
      <w:r>
        <w:rPr>
          <w:rFonts w:ascii="KaiTi" w:hAnsi="KaiTi" w:eastAsia="KaiTi" w:cs="KaiTi"/>
        </w:rPr>
        <w:t>的</w:t>
      </w:r>
      <w:r>
        <w:rPr/>
        <w:t>SAS</w:t>
      </w:r>
      <w:r>
        <w:rPr>
          <w:spacing w:val="-21"/>
        </w:rPr>
        <w:t xml:space="preserve"> </w:t>
      </w:r>
      <w:r>
        <w:rPr>
          <w:rFonts w:ascii="KaiTi" w:hAnsi="KaiTi" w:eastAsia="KaiTi" w:cs="KaiTi"/>
        </w:rPr>
        <w:t>、</w:t>
      </w:r>
      <w:r>
        <w:rPr/>
        <w:t>SDS</w:t>
      </w:r>
      <w:r>
        <w:rPr>
          <w:rFonts w:ascii="KaiTi" w:hAnsi="KaiTi" w:eastAsia="KaiTi" w:cs="KaiTi"/>
        </w:rPr>
        <w:t>评分均较护理前显著降低，且</w:t>
      </w:r>
      <w:r>
        <w:rPr/>
        <w:t>A</w:t>
      </w:r>
      <w:r>
        <w:rPr>
          <w:rFonts w:ascii="KaiTi" w:hAnsi="KaiTi" w:eastAsia="KaiTi" w:cs="KaiTi"/>
        </w:rPr>
        <w:t>组较</w:t>
      </w:r>
      <w:r>
        <w:rPr/>
        <w:t>B</w:t>
      </w:r>
      <w:r>
        <w:rPr>
          <w:rFonts w:ascii="KaiTi" w:hAnsi="KaiTi" w:eastAsia="KaiTi" w:cs="KaiTi"/>
        </w:rPr>
        <w:t>组显著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2"/>
        </w:rPr>
        <w:t>更低（</w:t>
      </w:r>
      <w:r>
        <w:rPr>
          <w:i/>
          <w:iCs/>
          <w:spacing w:val="2"/>
        </w:rPr>
        <w:t>P</w:t>
      </w:r>
      <w:r>
        <w:rPr>
          <w:rFonts w:ascii="SimSun" w:hAnsi="SimSun" w:eastAsia="SimSun" w:cs="SimSun"/>
          <w:spacing w:val="2"/>
        </w:rPr>
        <w:t>＜</w:t>
      </w:r>
      <w:r>
        <w:rPr>
          <w:spacing w:val="2"/>
        </w:rPr>
        <w:t>0.05</w:t>
      </w:r>
      <w:r>
        <w:rPr>
          <w:rFonts w:ascii="KaiTi" w:hAnsi="KaiTi" w:eastAsia="KaiTi" w:cs="KaiTi"/>
          <w:spacing w:val="2"/>
        </w:rPr>
        <w:t>）。</w:t>
      </w:r>
      <w:r>
        <w:rPr>
          <w:spacing w:val="2"/>
        </w:rPr>
        <w:t>A</w:t>
      </w:r>
      <w:r>
        <w:rPr>
          <w:rFonts w:ascii="KaiTi" w:hAnsi="KaiTi" w:eastAsia="KaiTi" w:cs="KaiTi"/>
          <w:spacing w:val="2"/>
        </w:rPr>
        <w:t>组护理依从性较</w:t>
      </w:r>
      <w:r>
        <w:rPr>
          <w:spacing w:val="2"/>
        </w:rPr>
        <w:t>B</w:t>
      </w:r>
      <w:r>
        <w:rPr>
          <w:rFonts w:ascii="KaiTi" w:hAnsi="KaiTi" w:eastAsia="KaiTi" w:cs="KaiTi"/>
          <w:spacing w:val="2"/>
        </w:rPr>
        <w:t>组显著更高（</w:t>
      </w:r>
      <w:r>
        <w:rPr>
          <w:i/>
          <w:iCs/>
          <w:spacing w:val="2"/>
        </w:rPr>
        <w:t>P</w:t>
      </w:r>
      <w:r>
        <w:rPr>
          <w:rFonts w:ascii="SimSun" w:hAnsi="SimSun" w:eastAsia="SimSun" w:cs="SimSun"/>
          <w:spacing w:val="2"/>
        </w:rPr>
        <w:t>＜</w:t>
      </w:r>
      <w:r>
        <w:rPr>
          <w:spacing w:val="1"/>
        </w:rPr>
        <w:t>0.05</w:t>
      </w:r>
      <w:r>
        <w:rPr>
          <w:rFonts w:ascii="KaiTi" w:hAnsi="KaiTi" w:eastAsia="KaiTi" w:cs="KaiTi"/>
          <w:spacing w:val="1"/>
        </w:rPr>
        <w:t>）。</w:t>
      </w:r>
      <w:r>
        <w:rPr>
          <w:spacing w:val="1"/>
        </w:rPr>
        <w:t>A</w:t>
      </w:r>
      <w:r>
        <w:rPr>
          <w:rFonts w:ascii="KaiTi" w:hAnsi="KaiTi" w:eastAsia="KaiTi" w:cs="KaiTi"/>
          <w:spacing w:val="1"/>
        </w:rPr>
        <w:t>组急性症状控制时间显著短于</w:t>
      </w:r>
      <w:r>
        <w:rPr>
          <w:spacing w:val="1"/>
        </w:rPr>
        <w:t>B</w:t>
      </w:r>
      <w:r>
        <w:rPr>
          <w:rFonts w:ascii="KaiTi" w:hAnsi="KaiTi" w:eastAsia="KaiTi" w:cs="KaiTi"/>
          <w:spacing w:val="1"/>
        </w:rPr>
        <w:t>组（</w:t>
      </w:r>
      <w:r>
        <w:rPr>
          <w:i/>
          <w:iCs/>
          <w:spacing w:val="1"/>
        </w:rPr>
        <w:t>P</w:t>
      </w:r>
      <w:r>
        <w:rPr>
          <w:rFonts w:ascii="SimSun" w:hAnsi="SimSun" w:eastAsia="SimSun" w:cs="SimSun"/>
          <w:spacing w:val="1"/>
        </w:rPr>
        <w:t>＜</w:t>
      </w:r>
      <w:r>
        <w:rPr>
          <w:spacing w:val="1"/>
        </w:rPr>
        <w:t>0.05</w:t>
      </w:r>
      <w:r>
        <w:rPr>
          <w:rFonts w:ascii="KaiTi" w:hAnsi="KaiTi" w:eastAsia="KaiTi" w:cs="KaiTi"/>
          <w:spacing w:val="1"/>
        </w:rPr>
        <w:t>）。</w:t>
      </w:r>
      <w:r>
        <w:rPr>
          <w:rFonts w:ascii="Microsoft YaHei" w:hAnsi="Microsoft YaHei" w:eastAsia="Microsoft YaHei" w:cs="Microsoft YaHei"/>
          <w:color w:val="1D2088"/>
          <w:spacing w:val="1"/>
        </w:rPr>
        <w:t>结论</w:t>
      </w:r>
      <w:r>
        <w:rPr>
          <w:rFonts w:ascii="Microsoft YaHei" w:hAnsi="Microsoft YaHei" w:eastAsia="Microsoft YaHei" w:cs="Microsoft YaHei"/>
          <w:color w:val="1D2088"/>
          <w:spacing w:val="20"/>
          <w:w w:val="102"/>
        </w:rPr>
        <w:t xml:space="preserve"> </w:t>
      </w:r>
      <w:r>
        <w:rPr>
          <w:rFonts w:ascii="KaiTi" w:hAnsi="KaiTi" w:eastAsia="KaiTi" w:cs="KaiTi"/>
          <w:spacing w:val="1"/>
        </w:rPr>
        <w:t>对学校卫生所收治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3"/>
        </w:rPr>
        <w:t>的急性肠胃炎青少年，采用优质护理可提高患者护理</w:t>
      </w:r>
      <w:r>
        <w:rPr>
          <w:rFonts w:ascii="KaiTi" w:hAnsi="KaiTi" w:eastAsia="KaiTi" w:cs="KaiTi"/>
          <w:spacing w:val="2"/>
        </w:rPr>
        <w:t>满意度，而且在缓解青少年心理负面情绪方面有明显的作用，也有效提高青少年的护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-2"/>
        </w:rPr>
        <w:t>理依从性，缩减急性症状控制时间。</w:t>
      </w:r>
    </w:p>
    <w:p>
      <w:pPr>
        <w:ind w:left="1026"/>
        <w:spacing w:before="1" w:line="206" w:lineRule="auto"/>
        <w:rPr>
          <w:rFonts w:ascii="KaiTi" w:hAnsi="KaiTi" w:eastAsia="KaiTi" w:cs="KaiT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1D2088"/>
          <w:spacing w:val="-1"/>
        </w:rPr>
        <w:t>[ 关键词 ] </w:t>
      </w:r>
      <w:r>
        <w:rPr>
          <w:rFonts w:ascii="KaiTi" w:hAnsi="KaiTi" w:eastAsia="KaiTi" w:cs="KaiTi"/>
          <w:sz w:val="16"/>
          <w:szCs w:val="16"/>
          <w:spacing w:val="-1"/>
        </w:rPr>
        <w:t>青少年；急性肠胃炎；优</w:t>
      </w:r>
      <w:r>
        <w:rPr>
          <w:rFonts w:ascii="KaiTi" w:hAnsi="KaiTi" w:eastAsia="KaiTi" w:cs="KaiTi"/>
          <w:sz w:val="16"/>
          <w:szCs w:val="16"/>
          <w:spacing w:val="-2"/>
        </w:rPr>
        <w:t>质护理</w:t>
      </w:r>
    </w:p>
    <w:p>
      <w:pPr>
        <w:pStyle w:val="BodyText"/>
        <w:ind w:left="1026"/>
        <w:spacing w:before="4" w:line="200" w:lineRule="auto"/>
        <w:rPr/>
      </w:pPr>
      <w:r>
        <w:rPr>
          <w:rFonts w:ascii="Microsoft YaHei" w:hAnsi="Microsoft YaHei" w:eastAsia="Microsoft YaHei" w:cs="Microsoft YaHei"/>
          <w:color w:val="1D2088"/>
          <w:spacing w:val="2"/>
        </w:rPr>
        <w:t>[ 中图分类号 ] R473.6    [ 文献标识码 ] </w:t>
      </w:r>
      <w:r>
        <w:rPr>
          <w:rFonts w:ascii="Microsoft YaHei" w:hAnsi="Microsoft YaHei" w:eastAsia="Microsoft YaHei" w:cs="Microsoft YaHei"/>
          <w:color w:val="1D2088"/>
        </w:rPr>
        <w:t>A</w:t>
      </w:r>
      <w:r>
        <w:rPr>
          <w:rFonts w:ascii="Microsoft YaHei" w:hAnsi="Microsoft YaHei" w:eastAsia="Microsoft YaHei" w:cs="Microsoft YaHei"/>
          <w:color w:val="1D2088"/>
          <w:spacing w:val="2"/>
        </w:rPr>
        <w:t xml:space="preserve">   </w:t>
      </w:r>
      <w:r>
        <w:rPr/>
        <w:t>doi</w:t>
      </w:r>
      <w:r>
        <w:rPr>
          <w:spacing w:val="2"/>
        </w:rPr>
        <w:t>:10</w:t>
      </w:r>
      <w:r>
        <w:rPr>
          <w:spacing w:val="1"/>
        </w:rPr>
        <w:t>.</w:t>
      </w:r>
      <w:r>
        <w:rPr>
          <w:spacing w:val="-21"/>
        </w:rPr>
        <w:t xml:space="preserve"> </w:t>
      </w:r>
      <w:r>
        <w:rPr>
          <w:spacing w:val="1"/>
        </w:rPr>
        <w:t>19738/j.</w:t>
      </w:r>
      <w:r>
        <w:rPr/>
        <w:t>cnki</w:t>
      </w:r>
      <w:r>
        <w:rPr>
          <w:spacing w:val="1"/>
        </w:rPr>
        <w:t>.</w:t>
      </w:r>
      <w:r>
        <w:rPr/>
        <w:t>psy</w:t>
      </w:r>
      <w:r>
        <w:rPr>
          <w:spacing w:val="1"/>
        </w:rPr>
        <w:t>.2022.15.046</w:t>
      </w:r>
    </w:p>
    <w:p>
      <w:pPr>
        <w:pStyle w:val="BodyText"/>
        <w:ind w:left="858"/>
        <w:spacing w:before="284" w:line="189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Clinical eﬀect of high-quality nursing in adolescents with acut</w:t>
      </w:r>
      <w:r>
        <w:rPr>
          <w:sz w:val="28"/>
          <w:szCs w:val="28"/>
          <w:b/>
          <w:bCs/>
          <w:spacing w:val="-1"/>
        </w:rPr>
        <w:t>e gastroenteritis</w:t>
      </w:r>
    </w:p>
    <w:p>
      <w:pPr>
        <w:pStyle w:val="BodyText"/>
        <w:ind w:left="4185"/>
        <w:spacing w:before="115" w:line="219" w:lineRule="auto"/>
        <w:rPr>
          <w:sz w:val="9"/>
          <w:szCs w:val="9"/>
        </w:rPr>
      </w:pPr>
      <w:r>
        <w:rPr/>
        <w:t>HE</w:t>
      </w:r>
      <w:r>
        <w:rPr>
          <w:spacing w:val="9"/>
        </w:rPr>
        <w:t xml:space="preserve"> </w:t>
      </w:r>
      <w:r>
        <w:rPr/>
        <w:t>Jing</w:t>
      </w:r>
      <w:r>
        <w:rPr>
          <w:sz w:val="9"/>
          <w:szCs w:val="9"/>
          <w:spacing w:val="9"/>
          <w:position w:val="7"/>
        </w:rPr>
        <w:t>1</w:t>
      </w:r>
      <w:r>
        <w:rPr>
          <w:spacing w:val="9"/>
        </w:rPr>
        <w:t>, </w:t>
      </w:r>
      <w:r>
        <w:rPr/>
        <w:t>YUAN</w:t>
      </w:r>
      <w:r>
        <w:rPr>
          <w:spacing w:val="9"/>
        </w:rPr>
        <w:t xml:space="preserve"> </w:t>
      </w:r>
      <w:r>
        <w:rPr/>
        <w:t>Yuanyuan</w:t>
      </w:r>
      <w:r>
        <w:rPr>
          <w:sz w:val="9"/>
          <w:szCs w:val="9"/>
          <w:spacing w:val="9"/>
          <w:position w:val="7"/>
        </w:rPr>
        <w:t>2</w:t>
      </w:r>
      <w:r>
        <w:rPr>
          <w:spacing w:val="9"/>
        </w:rPr>
        <w:t>, </w:t>
      </w:r>
      <w:r>
        <w:rPr/>
        <w:t>YIN</w:t>
      </w:r>
      <w:r>
        <w:rPr>
          <w:spacing w:val="13"/>
        </w:rPr>
        <w:t xml:space="preserve"> </w:t>
      </w:r>
      <w:r>
        <w:rPr/>
        <w:t>Lei</w:t>
      </w:r>
      <w:r>
        <w:rPr>
          <w:sz w:val="9"/>
          <w:szCs w:val="9"/>
          <w:spacing w:val="9"/>
          <w:position w:val="7"/>
        </w:rPr>
        <w:t>1</w:t>
      </w:r>
    </w:p>
    <w:p>
      <w:pPr>
        <w:pStyle w:val="BodyText"/>
        <w:ind w:left="787"/>
        <w:spacing w:before="94" w:line="190" w:lineRule="auto"/>
        <w:outlineLvl w:val="1"/>
        <w:rPr/>
      </w:pPr>
      <w:r>
        <w:rPr>
          <w:spacing w:val="-1"/>
        </w:rPr>
        <w:t>1.</w:t>
      </w:r>
      <w:r>
        <w:rPr>
          <w:i/>
          <w:iCs/>
          <w:spacing w:val="-1"/>
        </w:rPr>
        <w:t>Shandong Province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Urban Service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Technician</w:t>
      </w:r>
      <w:r>
        <w:rPr>
          <w:i/>
          <w:iCs/>
          <w:spacing w:val="10"/>
          <w:w w:val="102"/>
        </w:rPr>
        <w:t xml:space="preserve"> </w:t>
      </w:r>
      <w:r>
        <w:rPr>
          <w:i/>
          <w:iCs/>
          <w:spacing w:val="-1"/>
        </w:rPr>
        <w:t>College Health</w:t>
      </w:r>
      <w:r>
        <w:rPr>
          <w:i/>
          <w:iCs/>
          <w:spacing w:val="10"/>
          <w:w w:val="102"/>
        </w:rPr>
        <w:t xml:space="preserve"> </w:t>
      </w:r>
      <w:r>
        <w:rPr>
          <w:i/>
          <w:iCs/>
          <w:spacing w:val="-1"/>
        </w:rPr>
        <w:t>Center</w:t>
      </w:r>
      <w:r>
        <w:rPr>
          <w:spacing w:val="-1"/>
        </w:rPr>
        <w:t>,</w:t>
      </w:r>
      <w:r>
        <w:rPr>
          <w:spacing w:val="14"/>
          <w:w w:val="101"/>
        </w:rPr>
        <w:t xml:space="preserve"> </w:t>
      </w:r>
      <w:r>
        <w:rPr>
          <w:i/>
          <w:iCs/>
          <w:spacing w:val="-1"/>
        </w:rPr>
        <w:t>Yantai  </w:t>
      </w:r>
      <w:r>
        <w:rPr>
          <w:spacing w:val="-1"/>
        </w:rPr>
        <w:t>264670,</w:t>
      </w:r>
      <w:r>
        <w:rPr>
          <w:spacing w:val="10"/>
          <w:w w:val="101"/>
        </w:rPr>
        <w:t xml:space="preserve"> </w:t>
      </w:r>
      <w:r>
        <w:rPr>
          <w:i/>
          <w:iCs/>
          <w:spacing w:val="-1"/>
        </w:rPr>
        <w:t>China</w:t>
      </w:r>
      <w:r>
        <w:rPr>
          <w:spacing w:val="-1"/>
        </w:rPr>
        <w:t>; 2.</w:t>
      </w:r>
      <w:r>
        <w:rPr>
          <w:i/>
          <w:iCs/>
          <w:spacing w:val="-1"/>
        </w:rPr>
        <w:t>Department of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-1"/>
        </w:rPr>
        <w:t>Anesthesiology</w:t>
      </w:r>
      <w:r>
        <w:rPr>
          <w:spacing w:val="-1"/>
        </w:rPr>
        <w:t>, </w:t>
      </w:r>
      <w:r>
        <w:rPr>
          <w:i/>
          <w:iCs/>
          <w:spacing w:val="-1"/>
        </w:rPr>
        <w:t>No</w:t>
      </w:r>
      <w:r>
        <w:rPr>
          <w:spacing w:val="-1"/>
        </w:rPr>
        <w:t>. 960 </w:t>
      </w:r>
      <w:r>
        <w:rPr>
          <w:i/>
          <w:iCs/>
          <w:spacing w:val="-1"/>
        </w:rPr>
        <w:t>Hospital</w:t>
      </w:r>
      <w:r>
        <w:rPr>
          <w:spacing w:val="-1"/>
        </w:rPr>
        <w:t>,</w:t>
      </w:r>
    </w:p>
    <w:p>
      <w:pPr>
        <w:pStyle w:val="BodyText"/>
        <w:ind w:left="2482"/>
        <w:spacing w:before="95" w:line="190" w:lineRule="auto"/>
        <w:outlineLvl w:val="1"/>
        <w:rPr/>
      </w:pPr>
      <w:r>
        <w:rPr>
          <w:i/>
          <w:iCs/>
        </w:rPr>
        <w:t>Joint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Logistics Support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Force of the</w:t>
      </w:r>
      <w:r>
        <w:rPr>
          <w:i/>
          <w:iCs/>
          <w:spacing w:val="11"/>
          <w:w w:val="101"/>
        </w:rPr>
        <w:t xml:space="preserve"> </w:t>
      </w:r>
      <w:r>
        <w:rPr>
          <w:i/>
          <w:iCs/>
        </w:rPr>
        <w:t>Chinese People</w:t>
      </w:r>
      <w:r>
        <w:rPr/>
        <w:t>'</w:t>
      </w:r>
      <w:r>
        <w:rPr>
          <w:i/>
          <w:iCs/>
        </w:rPr>
        <w:t>s Liberation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Army</w:t>
      </w:r>
      <w:r>
        <w:rPr/>
        <w:t>, </w:t>
      </w:r>
      <w:r>
        <w:rPr>
          <w:i/>
          <w:iCs/>
        </w:rPr>
        <w:t>Jinan  </w:t>
      </w:r>
      <w:r>
        <w:rPr/>
        <w:t>250012,</w:t>
      </w:r>
      <w:r>
        <w:rPr>
          <w:spacing w:val="11"/>
        </w:rPr>
        <w:t xml:space="preserve"> </w:t>
      </w:r>
      <w:r>
        <w:rPr>
          <w:i/>
          <w:iCs/>
        </w:rPr>
        <w:t>China</w:t>
      </w:r>
    </w:p>
    <w:p>
      <w:pPr>
        <w:pStyle w:val="BodyText"/>
        <w:spacing w:before="151" w:line="195" w:lineRule="auto"/>
        <w:jc w:val="right"/>
        <w:rPr/>
      </w:pPr>
      <w:r>
        <w:rPr>
          <w:color w:val="1D2088"/>
          <w:spacing w:val="2"/>
        </w:rPr>
        <w:t>[</w:t>
      </w:r>
      <w:r>
        <w:rPr>
          <w:color w:val="1D2088"/>
          <w:spacing w:val="-18"/>
        </w:rPr>
        <w:t xml:space="preserve"> </w:t>
      </w:r>
      <w:r>
        <w:rPr>
          <w:color w:val="1D2088"/>
          <w:spacing w:val="2"/>
        </w:rPr>
        <w:t>Abstract</w:t>
      </w:r>
      <w:r>
        <w:rPr>
          <w:color w:val="1D2088"/>
          <w:spacing w:val="-12"/>
        </w:rPr>
        <w:t xml:space="preserve"> </w:t>
      </w:r>
      <w:r>
        <w:rPr>
          <w:color w:val="1D2088"/>
          <w:spacing w:val="2"/>
        </w:rPr>
        <w:t>]</w:t>
      </w:r>
      <w:r>
        <w:rPr>
          <w:color w:val="1D2088"/>
          <w:spacing w:val="-15"/>
        </w:rPr>
        <w:t xml:space="preserve"> </w:t>
      </w:r>
      <w:r>
        <w:rPr>
          <w:color w:val="1D2088"/>
          <w:spacing w:val="2"/>
        </w:rPr>
        <w:t>Objective</w:t>
      </w:r>
      <w:r>
        <w:rPr>
          <w:color w:val="1D2088"/>
          <w:spacing w:val="23"/>
          <w:w w:val="101"/>
        </w:rPr>
        <w:t xml:space="preserve"> </w:t>
      </w:r>
      <w:r>
        <w:rPr>
          <w:spacing w:val="2"/>
        </w:rPr>
        <w:t>To</w:t>
      </w:r>
      <w:r>
        <w:rPr>
          <w:spacing w:val="23"/>
          <w:w w:val="102"/>
        </w:rPr>
        <w:t xml:space="preserve"> </w:t>
      </w:r>
      <w:r>
        <w:rPr>
          <w:spacing w:val="2"/>
        </w:rPr>
        <w:t>observe</w:t>
      </w:r>
      <w:r>
        <w:rPr>
          <w:spacing w:val="19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clinical</w:t>
      </w:r>
      <w:r>
        <w:rPr>
          <w:spacing w:val="24"/>
        </w:rPr>
        <w:t xml:space="preserve"> </w:t>
      </w:r>
      <w:r>
        <w:rPr>
          <w:spacing w:val="2"/>
        </w:rPr>
        <w:t>effect</w:t>
      </w:r>
      <w:r>
        <w:rPr>
          <w:spacing w:val="23"/>
          <w:w w:val="101"/>
        </w:rPr>
        <w:t xml:space="preserve"> </w:t>
      </w:r>
      <w:r>
        <w:rPr>
          <w:spacing w:val="2"/>
        </w:rPr>
        <w:t>of high-quality</w:t>
      </w:r>
      <w:r>
        <w:rPr>
          <w:spacing w:val="19"/>
        </w:rPr>
        <w:t xml:space="preserve"> </w:t>
      </w:r>
      <w:r>
        <w:rPr>
          <w:spacing w:val="2"/>
        </w:rPr>
        <w:t>nu</w:t>
      </w:r>
      <w:r>
        <w:rPr>
          <w:spacing w:val="1"/>
        </w:rPr>
        <w:t>rsing</w:t>
      </w:r>
      <w:r>
        <w:rPr>
          <w:spacing w:val="22"/>
          <w:w w:val="101"/>
        </w:rPr>
        <w:t xml:space="preserve"> </w:t>
      </w:r>
      <w:r>
        <w:rPr>
          <w:spacing w:val="1"/>
        </w:rPr>
        <w:t>in</w:t>
      </w:r>
      <w:r>
        <w:rPr>
          <w:spacing w:val="19"/>
          <w:w w:val="102"/>
        </w:rPr>
        <w:t xml:space="preserve"> </w:t>
      </w:r>
      <w:r>
        <w:rPr>
          <w:spacing w:val="1"/>
        </w:rPr>
        <w:t>the</w:t>
      </w:r>
      <w:r>
        <w:rPr>
          <w:spacing w:val="19"/>
        </w:rPr>
        <w:t xml:space="preserve"> </w:t>
      </w:r>
      <w:r>
        <w:rPr>
          <w:spacing w:val="1"/>
        </w:rPr>
        <w:t>nursing</w:t>
      </w:r>
      <w:r>
        <w:rPr>
          <w:spacing w:val="17"/>
          <w:w w:val="101"/>
        </w:rPr>
        <w:t xml:space="preserve"> </w:t>
      </w:r>
      <w:r>
        <w:rPr>
          <w:spacing w:val="1"/>
        </w:rPr>
        <w:t>process</w:t>
      </w:r>
      <w:r>
        <w:rPr>
          <w:spacing w:val="23"/>
          <w:w w:val="102"/>
        </w:rPr>
        <w:t xml:space="preserve"> </w:t>
      </w:r>
      <w:r>
        <w:rPr>
          <w:spacing w:val="1"/>
        </w:rPr>
        <w:t>of adolescents</w:t>
      </w:r>
      <w:r>
        <w:rPr>
          <w:spacing w:val="19"/>
        </w:rPr>
        <w:t xml:space="preserve"> </w:t>
      </w:r>
      <w:r>
        <w:rPr>
          <w:spacing w:val="1"/>
        </w:rPr>
        <w:t>with</w:t>
      </w:r>
      <w:r>
        <w:rPr>
          <w:spacing w:val="23"/>
          <w:w w:val="101"/>
        </w:rPr>
        <w:t xml:space="preserve"> </w:t>
      </w:r>
      <w:r>
        <w:rPr>
          <w:spacing w:val="1"/>
        </w:rPr>
        <w:t>acute</w:t>
      </w:r>
      <w:r>
        <w:rPr>
          <w:spacing w:val="23"/>
        </w:rPr>
        <w:t xml:space="preserve"> </w:t>
      </w:r>
      <w:r>
        <w:rPr>
          <w:spacing w:val="1"/>
        </w:rPr>
        <w:t>gastroenteritis.</w:t>
      </w:r>
    </w:p>
    <w:p>
      <w:pPr>
        <w:pStyle w:val="BodyText"/>
        <w:ind w:left="613" w:firstLine="1"/>
        <w:spacing w:before="71" w:line="269" w:lineRule="auto"/>
        <w:jc w:val="both"/>
        <w:rPr/>
      </w:pPr>
      <w:r>
        <w:rPr>
          <w:color w:val="1D2088"/>
        </w:rPr>
        <w:t>Methods </w:t>
      </w:r>
      <w:r>
        <w:rPr/>
        <w:t>From</w:t>
      </w:r>
      <w:r>
        <w:rPr>
          <w:spacing w:val="12"/>
          <w:w w:val="101"/>
        </w:rPr>
        <w:t xml:space="preserve"> </w:t>
      </w:r>
      <w:r>
        <w:rPr/>
        <w:t>October 2018 to</w:t>
      </w:r>
      <w:r>
        <w:rPr>
          <w:spacing w:val="12"/>
        </w:rPr>
        <w:t xml:space="preserve"> </w:t>
      </w:r>
      <w:r>
        <w:rPr/>
        <w:t>October 2019,</w:t>
      </w:r>
      <w:r>
        <w:rPr>
          <w:spacing w:val="16"/>
        </w:rPr>
        <w:t xml:space="preserve"> </w:t>
      </w:r>
      <w:r>
        <w:rPr/>
        <w:t>80</w:t>
      </w:r>
      <w:r>
        <w:rPr>
          <w:spacing w:val="12"/>
        </w:rPr>
        <w:t xml:space="preserve"> </w:t>
      </w:r>
      <w:r>
        <w:rPr/>
        <w:t>cases</w:t>
      </w:r>
      <w:r>
        <w:rPr>
          <w:spacing w:val="11"/>
          <w:w w:val="102"/>
        </w:rPr>
        <w:t xml:space="preserve"> </w:t>
      </w:r>
      <w:r>
        <w:rPr/>
        <w:t>of adolescent</w:t>
      </w:r>
      <w:r>
        <w:rPr>
          <w:spacing w:val="11"/>
          <w:w w:val="102"/>
        </w:rPr>
        <w:t xml:space="preserve"> </w:t>
      </w:r>
      <w:r>
        <w:rPr/>
        <w:t>acute</w:t>
      </w:r>
      <w:r>
        <w:rPr>
          <w:spacing w:val="11"/>
        </w:rPr>
        <w:t xml:space="preserve"> </w:t>
      </w:r>
      <w:r>
        <w:rPr/>
        <w:t>gastroenteritis patients</w:t>
      </w:r>
      <w:r>
        <w:rPr>
          <w:spacing w:val="12"/>
        </w:rPr>
        <w:t xml:space="preserve"> </w:t>
      </w:r>
      <w:r>
        <w:rPr/>
        <w:t>admitted</w:t>
      </w:r>
      <w:r>
        <w:rPr>
          <w:spacing w:val="7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health</w:t>
      </w:r>
      <w:r>
        <w:rPr>
          <w:spacing w:val="11"/>
          <w:w w:val="102"/>
        </w:rPr>
        <w:t xml:space="preserve"> </w:t>
      </w:r>
      <w:r>
        <w:rPr/>
        <w:t>center</w:t>
      </w:r>
      <w:r>
        <w:rPr>
          <w:spacing w:val="10"/>
          <w:w w:val="102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u</w:t>
      </w:r>
      <w:r>
        <w:rPr>
          <w:spacing w:val="-1"/>
        </w:rPr>
        <w:t>niversity</w:t>
      </w:r>
      <w:r>
        <w:rPr>
          <w:spacing w:val="7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/>
        <w:t>selected as the research objects, and</w:t>
      </w:r>
      <w:r>
        <w:rPr>
          <w:spacing w:val="9"/>
        </w:rPr>
        <w:t xml:space="preserve"> </w:t>
      </w:r>
      <w:r>
        <w:rPr/>
        <w:t>according</w:t>
      </w:r>
      <w:r>
        <w:rPr>
          <w:spacing w:val="5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random</w:t>
      </w:r>
      <w:r>
        <w:rPr>
          <w:spacing w:val="8"/>
        </w:rPr>
        <w:t xml:space="preserve"> </w:t>
      </w:r>
      <w:r>
        <w:rPr/>
        <w:t>lottery</w:t>
      </w:r>
      <w:r>
        <w:rPr>
          <w:spacing w:val="5"/>
        </w:rPr>
        <w:t xml:space="preserve"> </w:t>
      </w:r>
      <w:r>
        <w:rPr/>
        <w:t>method,</w:t>
      </w:r>
      <w:r>
        <w:rPr>
          <w:spacing w:val="4"/>
        </w:rPr>
        <w:t xml:space="preserve"> </w:t>
      </w:r>
      <w:r>
        <w:rPr/>
        <w:t>they</w:t>
      </w:r>
      <w:r>
        <w:rPr>
          <w:spacing w:val="5"/>
        </w:rPr>
        <w:t xml:space="preserve"> </w:t>
      </w:r>
      <w:r>
        <w:rPr>
          <w:spacing w:val="-1"/>
        </w:rPr>
        <w:t>were</w:t>
      </w:r>
      <w:r>
        <w:rPr>
          <w:spacing w:val="8"/>
        </w:rPr>
        <w:t xml:space="preserve"> </w:t>
      </w:r>
      <w:r>
        <w:rPr>
          <w:spacing w:val="-1"/>
        </w:rPr>
        <w:t>divided</w:t>
      </w:r>
      <w:r>
        <w:rPr>
          <w:spacing w:val="7"/>
        </w:rPr>
        <w:t xml:space="preserve"> </w:t>
      </w:r>
      <w:r>
        <w:rPr>
          <w:spacing w:val="-1"/>
        </w:rPr>
        <w:t>into</w:t>
      </w:r>
      <w:r>
        <w:rPr>
          <w:spacing w:val="8"/>
        </w:rPr>
        <w:t xml:space="preserve"> </w:t>
      </w:r>
      <w:r>
        <w:rPr>
          <w:spacing w:val="-1"/>
        </w:rPr>
        <w:t>group A and</w:t>
      </w:r>
      <w:r>
        <w:rPr>
          <w:spacing w:val="8"/>
        </w:rPr>
        <w:t xml:space="preserve"> </w:t>
      </w:r>
      <w:r>
        <w:rPr>
          <w:spacing w:val="-1"/>
        </w:rPr>
        <w:t>group</w:t>
      </w:r>
      <w:r>
        <w:rPr>
          <w:spacing w:val="6"/>
        </w:rPr>
        <w:t xml:space="preserve"> </w:t>
      </w:r>
      <w:r>
        <w:rPr>
          <w:spacing w:val="-1"/>
        </w:rPr>
        <w:t>B, with</w:t>
      </w:r>
      <w:r>
        <w:rPr>
          <w:spacing w:val="6"/>
        </w:rPr>
        <w:t xml:space="preserve"> </w:t>
      </w:r>
      <w:r>
        <w:rPr>
          <w:spacing w:val="-1"/>
        </w:rPr>
        <w:t>40</w:t>
      </w:r>
      <w:r>
        <w:rPr>
          <w:spacing w:val="8"/>
        </w:rPr>
        <w:t xml:space="preserve"> </w:t>
      </w:r>
      <w:r>
        <w:rPr>
          <w:spacing w:val="-1"/>
        </w:rPr>
        <w:t>cases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each</w:t>
      </w:r>
      <w:r>
        <w:rPr>
          <w:spacing w:val="8"/>
        </w:rPr>
        <w:t xml:space="preserve"> </w:t>
      </w:r>
      <w:r>
        <w:rPr>
          <w:spacing w:val="-1"/>
        </w:rPr>
        <w:t>group.</w:t>
      </w:r>
      <w:r>
        <w:rPr/>
        <w:t xml:space="preserve"> </w:t>
      </w:r>
      <w:r>
        <w:rPr/>
        <w:t>High-quality nursing was correspondingly adopted in</w:t>
      </w:r>
      <w:r>
        <w:rPr>
          <w:spacing w:val="8"/>
        </w:rPr>
        <w:t xml:space="preserve"> </w:t>
      </w:r>
      <w:r>
        <w:rPr/>
        <w:t>group A on the basis</w:t>
      </w:r>
      <w:r>
        <w:rPr>
          <w:spacing w:val="9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routine</w:t>
      </w:r>
      <w:r>
        <w:rPr>
          <w:spacing w:val="4"/>
        </w:rPr>
        <w:t xml:space="preserve"> </w:t>
      </w:r>
      <w:r>
        <w:rPr/>
        <w:t>nursing,</w:t>
      </w:r>
      <w:r>
        <w:rPr>
          <w:spacing w:val="5"/>
        </w:rPr>
        <w:t xml:space="preserve"> </w:t>
      </w:r>
      <w:r>
        <w:rPr/>
        <w:t>while</w:t>
      </w:r>
      <w:r>
        <w:rPr>
          <w:spacing w:val="4"/>
        </w:rPr>
        <w:t xml:space="preserve"> </w:t>
      </w:r>
      <w:r>
        <w:rPr/>
        <w:t>routine</w:t>
      </w:r>
      <w:r>
        <w:rPr>
          <w:spacing w:val="4"/>
        </w:rPr>
        <w:t xml:space="preserve"> </w:t>
      </w:r>
      <w:r>
        <w:rPr/>
        <w:t>nursing</w:t>
      </w:r>
      <w:r>
        <w:rPr>
          <w:spacing w:val="4"/>
        </w:rPr>
        <w:t xml:space="preserve"> </w:t>
      </w:r>
      <w:r>
        <w:rPr/>
        <w:t>was</w:t>
      </w:r>
      <w:r>
        <w:rPr>
          <w:spacing w:val="9"/>
        </w:rPr>
        <w:t xml:space="preserve"> </w:t>
      </w:r>
      <w:r>
        <w:rPr/>
        <w:t>given</w:t>
      </w:r>
      <w:r>
        <w:rPr>
          <w:spacing w:val="4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group</w:t>
      </w:r>
      <w:r>
        <w:rPr>
          <w:spacing w:val="6"/>
        </w:rPr>
        <w:t xml:space="preserve"> </w:t>
      </w:r>
      <w:r>
        <w:rPr/>
        <w:t>B</w:t>
      </w:r>
      <w:r>
        <w:rPr>
          <w:spacing w:val="-1"/>
        </w:rPr>
        <w:t>.</w:t>
      </w:r>
      <w:r>
        <w:rPr>
          <w:spacing w:val="6"/>
        </w:rPr>
        <w:t xml:space="preserve"> </w:t>
      </w:r>
      <w:r>
        <w:rPr>
          <w:spacing w:val="-1"/>
        </w:rPr>
        <w:t>Both</w:t>
      </w:r>
      <w:r>
        <w:rPr>
          <w:spacing w:val="8"/>
        </w:rPr>
        <w:t xml:space="preserve"> </w:t>
      </w:r>
      <w:r>
        <w:rPr>
          <w:spacing w:val="-1"/>
        </w:rPr>
        <w:t>groups</w:t>
      </w:r>
      <w:r>
        <w:rPr/>
        <w:t xml:space="preserve"> </w:t>
      </w:r>
      <w:r>
        <w:rPr>
          <w:spacing w:val="-1"/>
        </w:rPr>
        <w:t>o</w:t>
      </w:r>
      <w:r>
        <w:rPr/>
        <w:t>f care</w:t>
      </w:r>
      <w:r>
        <w:rPr>
          <w:spacing w:val="14"/>
        </w:rPr>
        <w:t xml:space="preserve"> </w:t>
      </w:r>
      <w:r>
        <w:rPr/>
        <w:t>models</w:t>
      </w:r>
      <w:r>
        <w:rPr>
          <w:spacing w:val="13"/>
        </w:rPr>
        <w:t xml:space="preserve"> </w:t>
      </w:r>
      <w:r>
        <w:rPr/>
        <w:t>were</w:t>
      </w:r>
      <w:r>
        <w:rPr>
          <w:spacing w:val="17"/>
          <w:w w:val="101"/>
        </w:rPr>
        <w:t xml:space="preserve"> </w:t>
      </w:r>
      <w:r>
        <w:rPr/>
        <w:t>observed</w:t>
      </w:r>
      <w:r>
        <w:rPr>
          <w:spacing w:val="18"/>
        </w:rPr>
        <w:t xml:space="preserve"> </w:t>
      </w:r>
      <w:r>
        <w:rPr/>
        <w:t>for</w:t>
      </w:r>
      <w:r>
        <w:rPr>
          <w:spacing w:val="12"/>
          <w:w w:val="101"/>
        </w:rPr>
        <w:t xml:space="preserve"> </w:t>
      </w:r>
      <w:r>
        <w:rPr/>
        <w:t>nursing</w:t>
      </w:r>
      <w:r>
        <w:rPr>
          <w:spacing w:val="19"/>
          <w:w w:val="102"/>
        </w:rPr>
        <w:t xml:space="preserve"> </w:t>
      </w:r>
      <w:r>
        <w:rPr/>
        <w:t>satisf</w:t>
      </w:r>
      <w:r>
        <w:rPr>
          <w:spacing w:val="-1"/>
        </w:rPr>
        <w:t>action,</w:t>
      </w:r>
      <w:r>
        <w:rPr>
          <w:spacing w:val="20"/>
        </w:rPr>
        <w:t xml:space="preserve"> </w:t>
      </w:r>
      <w:r>
        <w:rPr>
          <w:spacing w:val="-1"/>
        </w:rPr>
        <w:t>self-rating</w:t>
      </w:r>
      <w:r>
        <w:rPr>
          <w:spacing w:val="17"/>
          <w:w w:val="101"/>
        </w:rPr>
        <w:t xml:space="preserve"> </w:t>
      </w:r>
      <w:r>
        <w:rPr>
          <w:spacing w:val="-1"/>
        </w:rPr>
        <w:t>anxiety</w:t>
      </w:r>
      <w:r>
        <w:rPr>
          <w:spacing w:val="20"/>
        </w:rPr>
        <w:t xml:space="preserve"> </w:t>
      </w:r>
      <w:r>
        <w:rPr>
          <w:spacing w:val="-1"/>
        </w:rPr>
        <w:t>scale</w:t>
      </w:r>
      <w:r>
        <w:rPr>
          <w:spacing w:val="18"/>
          <w:w w:val="102"/>
        </w:rPr>
        <w:t xml:space="preserve"> </w:t>
      </w:r>
      <w:r>
        <w:rPr>
          <w:spacing w:val="-1"/>
        </w:rPr>
        <w:t>(SAS),</w:t>
      </w:r>
      <w:r>
        <w:rPr>
          <w:spacing w:val="20"/>
        </w:rPr>
        <w:t xml:space="preserve"> </w:t>
      </w:r>
      <w:r>
        <w:rPr>
          <w:spacing w:val="-1"/>
        </w:rPr>
        <w:t>self-rating</w:t>
      </w:r>
      <w:r>
        <w:rPr>
          <w:spacing w:val="17"/>
        </w:rPr>
        <w:t xml:space="preserve"> </w:t>
      </w:r>
      <w:r>
        <w:rPr>
          <w:spacing w:val="-1"/>
        </w:rPr>
        <w:t>depression</w:t>
      </w:r>
      <w:r>
        <w:rPr>
          <w:spacing w:val="20"/>
        </w:rPr>
        <w:t xml:space="preserve"> </w:t>
      </w:r>
      <w:r>
        <w:rPr>
          <w:spacing w:val="-1"/>
        </w:rPr>
        <w:t>scale</w:t>
      </w:r>
      <w:r>
        <w:rPr>
          <w:spacing w:val="18"/>
          <w:w w:val="102"/>
        </w:rPr>
        <w:t xml:space="preserve"> </w:t>
      </w:r>
      <w:r>
        <w:rPr>
          <w:spacing w:val="-1"/>
        </w:rPr>
        <w:t>(SDS)</w:t>
      </w:r>
      <w:r>
        <w:rPr>
          <w:spacing w:val="20"/>
        </w:rPr>
        <w:t xml:space="preserve"> </w:t>
      </w:r>
      <w:r>
        <w:rPr>
          <w:spacing w:val="-1"/>
        </w:rPr>
        <w:t>scores,</w:t>
      </w:r>
      <w:r>
        <w:rPr>
          <w:spacing w:val="17"/>
          <w:w w:val="101"/>
        </w:rPr>
        <w:t xml:space="preserve"> </w:t>
      </w:r>
      <w:r>
        <w:rPr>
          <w:spacing w:val="-1"/>
        </w:rPr>
        <w:t>care</w:t>
      </w:r>
      <w:r>
        <w:rPr>
          <w:spacing w:val="18"/>
        </w:rPr>
        <w:t xml:space="preserve"> </w:t>
      </w:r>
      <w:r>
        <w:rPr>
          <w:spacing w:val="-1"/>
        </w:rPr>
        <w:t>adherence,</w:t>
      </w:r>
      <w:r>
        <w:rPr>
          <w:spacing w:val="17"/>
          <w:w w:val="102"/>
        </w:rPr>
        <w:t xml:space="preserve"> </w:t>
      </w:r>
      <w:r>
        <w:rPr>
          <w:spacing w:val="-1"/>
        </w:rPr>
        <w:t>an</w:t>
      </w:r>
      <w:r>
        <w:rPr/>
        <w:t>d </w:t>
      </w:r>
      <w:r>
        <w:rPr/>
        <w:t>acute</w:t>
      </w:r>
      <w:r>
        <w:rPr>
          <w:spacing w:val="25"/>
          <w:w w:val="101"/>
        </w:rPr>
        <w:t xml:space="preserve"> </w:t>
      </w:r>
      <w:r>
        <w:rPr/>
        <w:t>symptom</w:t>
      </w:r>
      <w:r>
        <w:rPr>
          <w:spacing w:val="20"/>
        </w:rPr>
        <w:t xml:space="preserve"> </w:t>
      </w:r>
      <w:r>
        <w:rPr/>
        <w:t>control</w:t>
      </w:r>
      <w:r>
        <w:rPr>
          <w:spacing w:val="16"/>
        </w:rPr>
        <w:t xml:space="preserve"> </w:t>
      </w:r>
      <w:r>
        <w:rPr/>
        <w:t>time</w:t>
      </w:r>
      <w:r>
        <w:rPr>
          <w:spacing w:val="2"/>
        </w:rPr>
        <w:t>.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5"/>
          <w:w w:val="102"/>
        </w:rPr>
        <w:t xml:space="preserve"> </w:t>
      </w:r>
      <w:r>
        <w:rPr/>
        <w:t>normal</w:t>
      </w:r>
      <w:r>
        <w:rPr>
          <w:spacing w:val="15"/>
          <w:w w:val="102"/>
        </w:rPr>
        <w:t xml:space="preserve"> </w:t>
      </w:r>
      <w:r>
        <w:rPr/>
        <w:t>metrology</w:t>
      </w:r>
      <w:r>
        <w:rPr>
          <w:spacing w:val="19"/>
          <w:w w:val="101"/>
        </w:rPr>
        <w:t xml:space="preserve"> </w:t>
      </w:r>
      <w:r>
        <w:rPr/>
        <w:t>data</w:t>
      </w:r>
      <w:r>
        <w:rPr>
          <w:spacing w:val="15"/>
          <w:w w:val="102"/>
        </w:rPr>
        <w:t xml:space="preserve"> </w:t>
      </w:r>
      <w:r>
        <w:rPr/>
        <w:t>was</w:t>
      </w:r>
      <w:r>
        <w:rPr>
          <w:spacing w:val="21"/>
          <w:w w:val="101"/>
        </w:rPr>
        <w:t xml:space="preserve"> </w:t>
      </w:r>
      <w:r>
        <w:rPr>
          <w:i/>
          <w:iCs/>
        </w:rPr>
        <w:t>t</w:t>
      </w:r>
      <w:r>
        <w:rPr>
          <w:i/>
          <w:iCs/>
          <w:spacing w:val="13"/>
        </w:rPr>
        <w:t xml:space="preserve"> </w:t>
      </w:r>
      <w:r>
        <w:rPr/>
        <w:t>tested</w:t>
      </w:r>
      <w:r>
        <w:rPr>
          <w:spacing w:val="20"/>
        </w:rPr>
        <w:t xml:space="preserve"> </w:t>
      </w:r>
      <w:r>
        <w:rPr/>
        <w:t>and</w:t>
      </w:r>
      <w:r>
        <w:rPr>
          <w:spacing w:val="15"/>
          <w:w w:val="102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counting</w:t>
      </w:r>
      <w:r>
        <w:rPr>
          <w:spacing w:val="19"/>
          <w:w w:val="102"/>
        </w:rPr>
        <w:t xml:space="preserve"> </w:t>
      </w:r>
      <w:r>
        <w:rPr/>
        <w:t>data</w:t>
      </w:r>
      <w:r>
        <w:rPr>
          <w:spacing w:val="15"/>
          <w:w w:val="101"/>
        </w:rPr>
        <w:t xml:space="preserve"> </w:t>
      </w:r>
      <w:r>
        <w:rPr/>
        <w:t>was</w:t>
      </w:r>
      <w:r>
        <w:rPr>
          <w:spacing w:val="16"/>
        </w:rPr>
        <w:t xml:space="preserve"> </w:t>
      </w:r>
      <w:r>
        <w:rPr/>
        <w:t>tested</w:t>
      </w:r>
      <w:r>
        <w:rPr>
          <w:spacing w:val="14"/>
        </w:rPr>
        <w:t xml:space="preserve"> </w:t>
      </w:r>
      <w:r>
        <w:rPr/>
        <w:t>by</w:t>
      </w:r>
      <w:r>
        <w:rPr>
          <w:spacing w:val="2"/>
        </w:rPr>
        <w:t xml:space="preserve"> </w:t>
      </w:r>
      <w:r>
        <w:rPr>
          <w:i/>
          <w:iCs/>
        </w:rPr>
        <w:t>x</w:t>
      </w:r>
      <w:r>
        <w:rPr>
          <w:sz w:val="9"/>
          <w:szCs w:val="9"/>
          <w:spacing w:val="2"/>
          <w:position w:val="7"/>
        </w:rPr>
        <w:t>2</w:t>
      </w:r>
      <w:r>
        <w:rPr>
          <w:spacing w:val="2"/>
        </w:rPr>
        <w:t>.</w:t>
      </w:r>
      <w:r>
        <w:rPr>
          <w:spacing w:val="17"/>
          <w:w w:val="101"/>
        </w:rPr>
        <w:t xml:space="preserve"> </w:t>
      </w:r>
      <w:r>
        <w:rPr>
          <w:color w:val="1D2088"/>
        </w:rPr>
        <w:t>Results</w:t>
      </w:r>
      <w:r>
        <w:rPr>
          <w:color w:val="1D2088"/>
          <w:spacing w:val="19"/>
          <w:w w:val="101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satisfaction</w:t>
      </w:r>
      <w:r>
        <w:rPr>
          <w:spacing w:val="19"/>
          <w:w w:val="10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nursing</w:t>
      </w:r>
      <w:r>
        <w:rPr>
          <w:spacing w:val="19"/>
        </w:rPr>
        <w:t xml:space="preserve"> </w:t>
      </w:r>
      <w:r>
        <w:rPr/>
        <w:t>in </w:t>
      </w:r>
      <w:r>
        <w:rPr/>
        <w:t>group A was higher than that in group B,</w:t>
      </w:r>
      <w:r>
        <w:rPr>
          <w:spacing w:val="10"/>
          <w:w w:val="102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there</w:t>
      </w:r>
      <w:r>
        <w:rPr>
          <w:spacing w:val="5"/>
        </w:rPr>
        <w:t xml:space="preserve"> </w:t>
      </w:r>
      <w:r>
        <w:rPr/>
        <w:t>were</w:t>
      </w:r>
      <w:r>
        <w:rPr>
          <w:spacing w:val="12"/>
          <w:w w:val="101"/>
        </w:rPr>
        <w:t xml:space="preserve"> </w:t>
      </w:r>
      <w:r>
        <w:rPr/>
        <w:t>statistical</w:t>
      </w:r>
      <w:r>
        <w:rPr>
          <w:spacing w:val="9"/>
        </w:rPr>
        <w:t xml:space="preserve"> </w:t>
      </w:r>
      <w:r>
        <w:rPr/>
        <w:t>diﬀerences</w:t>
      </w:r>
      <w:r>
        <w:rPr>
          <w:spacing w:val="9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data</w:t>
      </w:r>
      <w:r>
        <w:rPr>
          <w:spacing w:val="11"/>
        </w:rPr>
        <w:t xml:space="preserve"> </w:t>
      </w:r>
      <w:r>
        <w:rPr/>
        <w:t>(</w:t>
      </w:r>
      <w:r>
        <w:rPr>
          <w:i/>
          <w:iCs/>
        </w:rPr>
        <w:t>P</w:t>
      </w:r>
      <w:r>
        <w:rPr>
          <w:rFonts w:ascii="SimSun" w:hAnsi="SimSun" w:eastAsia="SimSun" w:cs="SimSun"/>
        </w:rPr>
        <w:t>＜</w:t>
      </w:r>
      <w:r>
        <w:rPr/>
        <w:t>0.05).</w:t>
      </w:r>
      <w:r>
        <w:rPr>
          <w:spacing w:val="6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SAS</w:t>
      </w:r>
      <w:r>
        <w:rPr>
          <w:spacing w:val="10"/>
        </w:rPr>
        <w:t xml:space="preserve"> </w:t>
      </w:r>
      <w:r>
        <w:rPr/>
        <w:t>a</w:t>
      </w:r>
      <w:r>
        <w:rPr>
          <w:spacing w:val="-1"/>
        </w:rPr>
        <w:t>nd</w:t>
      </w:r>
      <w:r>
        <w:rPr>
          <w:spacing w:val="14"/>
        </w:rPr>
        <w:t xml:space="preserve"> </w:t>
      </w:r>
      <w:r>
        <w:rPr>
          <w:spacing w:val="-1"/>
        </w:rPr>
        <w:t>SDS</w:t>
      </w:r>
      <w:r>
        <w:rPr>
          <w:spacing w:val="12"/>
        </w:rPr>
        <w:t xml:space="preserve"> </w:t>
      </w:r>
      <w:r>
        <w:rPr>
          <w:spacing w:val="-1"/>
        </w:rPr>
        <w:t>scores</w:t>
      </w:r>
      <w:r>
        <w:rPr>
          <w:spacing w:val="9"/>
        </w:rPr>
        <w:t xml:space="preserve"> </w:t>
      </w:r>
      <w:r>
        <w:rPr>
          <w:spacing w:val="-1"/>
        </w:rPr>
        <w:t>ofthe</w:t>
      </w:r>
      <w:r>
        <w:rPr>
          <w:spacing w:val="6"/>
        </w:rPr>
        <w:t xml:space="preserve"> </w:t>
      </w:r>
      <w:r>
        <w:rPr>
          <w:spacing w:val="-1"/>
        </w:rPr>
        <w:t>ﬁrst</w:t>
      </w:r>
      <w:r>
        <w:rPr>
          <w:spacing w:val="6"/>
        </w:rPr>
        <w:t xml:space="preserve"> </w:t>
      </w:r>
      <w:r>
        <w:rPr>
          <w:spacing w:val="-1"/>
        </w:rPr>
        <w:t>two</w:t>
      </w:r>
      <w:r>
        <w:rPr>
          <w:spacing w:val="9"/>
        </w:rPr>
        <w:t xml:space="preserve"> </w:t>
      </w:r>
      <w:r>
        <w:rPr>
          <w:spacing w:val="-1"/>
        </w:rPr>
        <w:t>groups</w:t>
      </w:r>
      <w:r>
        <w:rPr>
          <w:spacing w:val="5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/>
        <w:t>not</w:t>
      </w:r>
      <w:r>
        <w:rPr>
          <w:spacing w:val="15"/>
          <w:w w:val="101"/>
        </w:rPr>
        <w:t xml:space="preserve"> </w:t>
      </w:r>
      <w:r>
        <w:rPr/>
        <w:t>signiﬁcant</w:t>
      </w:r>
      <w:r>
        <w:rPr>
          <w:spacing w:val="14"/>
          <w:w w:val="101"/>
        </w:rPr>
        <w:t xml:space="preserve"> </w:t>
      </w:r>
      <w:r>
        <w:rPr/>
        <w:t>(</w:t>
      </w:r>
      <w:r>
        <w:rPr>
          <w:i/>
          <w:iCs/>
        </w:rPr>
        <w:t>P</w:t>
      </w:r>
      <w:r>
        <w:rPr>
          <w:rFonts w:ascii="SimSun" w:hAnsi="SimSun" w:eastAsia="SimSun" w:cs="SimSun"/>
        </w:rPr>
        <w:t>＞</w:t>
      </w:r>
      <w:r>
        <w:rPr/>
        <w:t>0.05),</w:t>
      </w:r>
      <w:r>
        <w:rPr>
          <w:spacing w:val="14"/>
        </w:rPr>
        <w:t xml:space="preserve"> </w:t>
      </w:r>
      <w:r>
        <w:rPr/>
        <w:t>and the</w:t>
      </w:r>
      <w:r>
        <w:rPr>
          <w:spacing w:val="18"/>
        </w:rPr>
        <w:t xml:space="preserve"> </w:t>
      </w:r>
      <w:r>
        <w:rPr/>
        <w:t>SAS</w:t>
      </w:r>
      <w:r>
        <w:rPr>
          <w:spacing w:val="14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SDS</w:t>
      </w:r>
      <w:r>
        <w:rPr>
          <w:spacing w:val="16"/>
        </w:rPr>
        <w:t xml:space="preserve"> </w:t>
      </w:r>
      <w:r>
        <w:rPr/>
        <w:t>scores</w:t>
      </w:r>
      <w:r>
        <w:rPr>
          <w:spacing w:val="13"/>
          <w:w w:val="101"/>
        </w:rPr>
        <w:t xml:space="preserve"> </w:t>
      </w:r>
      <w:r>
        <w:rPr/>
        <w:t>of the</w:t>
      </w:r>
      <w:r>
        <w:rPr>
          <w:spacing w:val="9"/>
        </w:rPr>
        <w:t xml:space="preserve"> </w:t>
      </w:r>
      <w:r>
        <w:rPr/>
        <w:t>two</w:t>
      </w:r>
      <w:r>
        <w:rPr>
          <w:spacing w:val="13"/>
          <w:w w:val="102"/>
        </w:rPr>
        <w:t xml:space="preserve"> </w:t>
      </w:r>
      <w:r>
        <w:rPr/>
        <w:t>groups</w:t>
      </w:r>
      <w:r>
        <w:rPr>
          <w:spacing w:val="13"/>
          <w:w w:val="102"/>
        </w:rPr>
        <w:t xml:space="preserve"> </w:t>
      </w:r>
      <w:r>
        <w:rPr/>
        <w:t>after nursing were</w:t>
      </w:r>
      <w:r>
        <w:rPr>
          <w:spacing w:val="15"/>
          <w:w w:val="102"/>
        </w:rPr>
        <w:t xml:space="preserve"> </w:t>
      </w:r>
      <w:r>
        <w:rPr>
          <w:spacing w:val="-1"/>
        </w:rPr>
        <w:t>signiﬁcantly</w:t>
      </w:r>
      <w:r>
        <w:rPr>
          <w:spacing w:val="12"/>
          <w:w w:val="101"/>
        </w:rPr>
        <w:t xml:space="preserve"> </w:t>
      </w:r>
      <w:r>
        <w:rPr>
          <w:spacing w:val="-1"/>
        </w:rPr>
        <w:t>lower than before</w:t>
      </w:r>
      <w:r>
        <w:rPr>
          <w:spacing w:val="9"/>
        </w:rPr>
        <w:t xml:space="preserve"> </w:t>
      </w:r>
      <w:r>
        <w:rPr>
          <w:spacing w:val="-1"/>
        </w:rPr>
        <w:t>nursing,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2"/>
          <w:w w:val="101"/>
        </w:rPr>
        <w:t xml:space="preserve"> </w:t>
      </w:r>
      <w:r>
        <w:rPr>
          <w:spacing w:val="-1"/>
        </w:rPr>
        <w:t>group A</w:t>
      </w:r>
      <w:r>
        <w:rPr/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/>
        <w:t>signiﬁcantly</w:t>
      </w:r>
      <w:r>
        <w:rPr>
          <w:spacing w:val="14"/>
          <w:w w:val="102"/>
        </w:rPr>
        <w:t xml:space="preserve"> </w:t>
      </w:r>
      <w:r>
        <w:rPr/>
        <w:t>lower</w:t>
      </w:r>
      <w:r>
        <w:rPr>
          <w:spacing w:val="10"/>
          <w:w w:val="101"/>
        </w:rPr>
        <w:t xml:space="preserve"> </w:t>
      </w:r>
      <w:r>
        <w:rPr/>
        <w:t>than</w:t>
      </w:r>
      <w:r>
        <w:rPr>
          <w:spacing w:val="14"/>
          <w:w w:val="101"/>
        </w:rPr>
        <w:t xml:space="preserve"> </w:t>
      </w:r>
      <w:r>
        <w:rPr/>
        <w:t>group</w:t>
      </w:r>
      <w:r>
        <w:rPr>
          <w:spacing w:val="12"/>
          <w:w w:val="101"/>
        </w:rPr>
        <w:t xml:space="preserve"> </w:t>
      </w:r>
      <w:r>
        <w:rPr/>
        <w:t>B</w:t>
      </w:r>
      <w:r>
        <w:rPr>
          <w:spacing w:val="16"/>
        </w:rPr>
        <w:t xml:space="preserve"> </w:t>
      </w:r>
      <w:r>
        <w:rPr/>
        <w:t>(</w:t>
      </w:r>
      <w:r>
        <w:rPr>
          <w:i/>
          <w:iCs/>
        </w:rPr>
        <w:t>P</w:t>
      </w:r>
      <w:r>
        <w:rPr>
          <w:rFonts w:ascii="SimSun" w:hAnsi="SimSun" w:eastAsia="SimSun" w:cs="SimSun"/>
        </w:rPr>
        <w:t>＜</w:t>
      </w:r>
      <w:r>
        <w:rPr/>
        <w:t>0.05).</w:t>
      </w:r>
      <w:r>
        <w:rPr>
          <w:spacing w:val="15"/>
          <w:w w:val="102"/>
        </w:rPr>
        <w:t xml:space="preserve"> </w:t>
      </w:r>
      <w:r>
        <w:rPr/>
        <w:t>Care</w:t>
      </w:r>
      <w:r>
        <w:rPr>
          <w:spacing w:val="15"/>
          <w:w w:val="101"/>
        </w:rPr>
        <w:t xml:space="preserve"> </w:t>
      </w:r>
      <w:r>
        <w:rPr/>
        <w:t>adheren</w:t>
      </w:r>
      <w:r>
        <w:rPr>
          <w:spacing w:val="-1"/>
        </w:rPr>
        <w:t>ce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  <w:w w:val="101"/>
        </w:rPr>
        <w:t xml:space="preserve"> </w:t>
      </w:r>
      <w:r>
        <w:rPr>
          <w:spacing w:val="-1"/>
        </w:rPr>
        <w:t>group A was</w:t>
      </w:r>
      <w:r>
        <w:rPr>
          <w:spacing w:val="17"/>
          <w:w w:val="102"/>
        </w:rPr>
        <w:t xml:space="preserve"> </w:t>
      </w:r>
      <w:r>
        <w:rPr>
          <w:spacing w:val="-1"/>
        </w:rPr>
        <w:t>signiﬁcantly</w:t>
      </w:r>
      <w:r>
        <w:rPr>
          <w:spacing w:val="10"/>
          <w:w w:val="101"/>
        </w:rPr>
        <w:t xml:space="preserve"> </w:t>
      </w:r>
      <w:r>
        <w:rPr>
          <w:spacing w:val="-1"/>
        </w:rPr>
        <w:t>higher</w:t>
      </w:r>
      <w:r>
        <w:rPr>
          <w:spacing w:val="10"/>
          <w:w w:val="101"/>
        </w:rPr>
        <w:t xml:space="preserve"> </w:t>
      </w:r>
      <w:r>
        <w:rPr>
          <w:spacing w:val="-1"/>
        </w:rPr>
        <w:t>than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  <w:w w:val="102"/>
        </w:rPr>
        <w:t xml:space="preserve"> </w:t>
      </w:r>
      <w:r>
        <w:rPr>
          <w:spacing w:val="-1"/>
        </w:rPr>
        <w:t>group</w:t>
      </w:r>
      <w:r>
        <w:rPr>
          <w:spacing w:val="12"/>
          <w:w w:val="101"/>
        </w:rPr>
        <w:t xml:space="preserve"> </w:t>
      </w:r>
      <w:r>
        <w:rPr>
          <w:spacing w:val="-1"/>
        </w:rPr>
        <w:t>B</w:t>
      </w:r>
      <w:r>
        <w:rPr>
          <w:spacing w:val="16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P</w:t>
      </w:r>
      <w:r>
        <w:rPr>
          <w:rFonts w:ascii="SimSun" w:hAnsi="SimSun" w:eastAsia="SimSun" w:cs="SimSun"/>
          <w:spacing w:val="-1"/>
        </w:rPr>
        <w:t>＜</w:t>
      </w:r>
      <w:r>
        <w:rPr>
          <w:spacing w:val="-1"/>
        </w:rPr>
        <w:t>0.05).</w:t>
      </w:r>
      <w:r>
        <w:rPr>
          <w:spacing w:val="11"/>
          <w:w w:val="102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control</w:t>
      </w:r>
      <w:r>
        <w:rPr>
          <w:spacing w:val="11"/>
        </w:rPr>
        <w:t xml:space="preserve"> </w:t>
      </w:r>
      <w:r>
        <w:rPr>
          <w:spacing w:val="-1"/>
        </w:rPr>
        <w:t>time</w:t>
      </w:r>
      <w:r>
        <w:rPr>
          <w:spacing w:val="15"/>
          <w:w w:val="101"/>
        </w:rPr>
        <w:t xml:space="preserve"> </w:t>
      </w:r>
      <w:r>
        <w:rPr>
          <w:spacing w:val="-1"/>
        </w:rPr>
        <w:t>of acute</w:t>
      </w:r>
      <w:r>
        <w:rPr/>
        <w:t xml:space="preserve"> </w:t>
      </w:r>
      <w:r>
        <w:rPr/>
        <w:t>symptoms in group A was</w:t>
      </w:r>
      <w:r>
        <w:rPr>
          <w:spacing w:val="11"/>
        </w:rPr>
        <w:t xml:space="preserve"> </w:t>
      </w:r>
      <w:r>
        <w:rPr/>
        <w:t>signiﬁcantly</w:t>
      </w:r>
      <w:r>
        <w:rPr>
          <w:spacing w:val="10"/>
        </w:rPr>
        <w:t xml:space="preserve"> </w:t>
      </w:r>
      <w:r>
        <w:rPr/>
        <w:t>shorter than that in group B</w:t>
      </w:r>
      <w:r>
        <w:rPr>
          <w:spacing w:val="9"/>
        </w:rPr>
        <w:t xml:space="preserve"> </w:t>
      </w:r>
      <w:r>
        <w:rPr/>
        <w:t>(</w:t>
      </w:r>
      <w:r>
        <w:rPr>
          <w:i/>
          <w:iCs/>
        </w:rPr>
        <w:t>P</w:t>
      </w:r>
      <w:r>
        <w:rPr>
          <w:rFonts w:ascii="SimSun" w:hAnsi="SimSun" w:eastAsia="SimSun" w:cs="SimSun"/>
        </w:rPr>
        <w:t>＜</w:t>
      </w:r>
      <w:r>
        <w:rPr/>
        <w:t>0.05).</w:t>
      </w:r>
      <w:r>
        <w:rPr>
          <w:spacing w:val="8"/>
        </w:rPr>
        <w:t xml:space="preserve"> </w:t>
      </w:r>
      <w:r>
        <w:rPr>
          <w:color w:val="1D2088"/>
        </w:rPr>
        <w:t>Conclusion</w:t>
      </w:r>
      <w:r>
        <w:rPr>
          <w:color w:val="1D2088"/>
          <w:spacing w:val="-1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adolescents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acute</w:t>
      </w:r>
      <w:r>
        <w:rPr>
          <w:spacing w:val="7"/>
        </w:rPr>
        <w:t xml:space="preserve"> </w:t>
      </w:r>
      <w:r>
        <w:rPr>
          <w:spacing w:val="-1"/>
        </w:rPr>
        <w:t>gastroenteritis</w:t>
      </w:r>
      <w:r>
        <w:rPr>
          <w:spacing w:val="8"/>
        </w:rPr>
        <w:t xml:space="preserve"> </w:t>
      </w:r>
      <w:r>
        <w:rPr>
          <w:spacing w:val="-1"/>
        </w:rPr>
        <w:t>admitted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0"/>
          <w:w w:val="102"/>
        </w:rPr>
        <w:t xml:space="preserve"> </w:t>
      </w:r>
      <w:r>
        <w:rPr>
          <w:spacing w:val="-1"/>
        </w:rPr>
        <w:t>school</w:t>
      </w:r>
      <w:r>
        <w:rPr/>
        <w:t xml:space="preserve"> </w:t>
      </w:r>
      <w:r>
        <w:rPr/>
        <w:t>clinics, high-quality nursing had high patient</w:t>
      </w:r>
      <w:r>
        <w:rPr>
          <w:spacing w:val="13"/>
          <w:w w:val="101"/>
        </w:rPr>
        <w:t xml:space="preserve"> </w:t>
      </w:r>
      <w:r>
        <w:rPr/>
        <w:t>satisfaction,</w:t>
      </w:r>
      <w:r>
        <w:rPr>
          <w:spacing w:val="10"/>
          <w:w w:val="102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it</w:t>
      </w:r>
      <w:r>
        <w:rPr>
          <w:spacing w:val="11"/>
        </w:rPr>
        <w:t xml:space="preserve"> </w:t>
      </w:r>
      <w:r>
        <w:rPr/>
        <w:t>also had</w:t>
      </w:r>
      <w:r>
        <w:rPr>
          <w:spacing w:val="11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signiﬁcant</w:t>
      </w:r>
      <w:r>
        <w:rPr>
          <w:spacing w:val="10"/>
          <w:w w:val="102"/>
        </w:rPr>
        <w:t xml:space="preserve"> </w:t>
      </w:r>
      <w:r>
        <w:rPr/>
        <w:t>eﬀect</w:t>
      </w:r>
      <w:r>
        <w:rPr>
          <w:spacing w:val="10"/>
          <w:w w:val="101"/>
        </w:rPr>
        <w:t xml:space="preserve"> </w:t>
      </w:r>
      <w:r>
        <w:rPr/>
        <w:t>on</w:t>
      </w:r>
      <w:r>
        <w:rPr>
          <w:spacing w:val="6"/>
        </w:rPr>
        <w:t xml:space="preserve"> </w:t>
      </w:r>
      <w:r>
        <w:rPr/>
        <w:t>relieving</w:t>
      </w:r>
      <w:r>
        <w:rPr>
          <w:spacing w:val="11"/>
        </w:rPr>
        <w:t xml:space="preserve"> </w:t>
      </w:r>
      <w:r>
        <w:rPr/>
        <w:t>adolescents</w:t>
      </w:r>
      <w:r>
        <w:rPr>
          <w:spacing w:val="-1"/>
        </w:rPr>
        <w:t>'</w:t>
      </w:r>
      <w:r>
        <w:rPr>
          <w:spacing w:val="6"/>
        </w:rPr>
        <w:t xml:space="preserve"> </w:t>
      </w:r>
      <w:r>
        <w:rPr>
          <w:spacing w:val="-1"/>
        </w:rPr>
        <w:t>negative</w:t>
      </w:r>
      <w:r>
        <w:rPr>
          <w:spacing w:val="5"/>
        </w:rPr>
        <w:t xml:space="preserve"> </w:t>
      </w:r>
      <w:r>
        <w:rPr>
          <w:spacing w:val="-1"/>
        </w:rPr>
        <w:t>psychological</w:t>
      </w:r>
      <w:r>
        <w:rPr>
          <w:spacing w:val="11"/>
        </w:rPr>
        <w:t xml:space="preserve"> </w:t>
      </w:r>
      <w:r>
        <w:rPr>
          <w:spacing w:val="-1"/>
        </w:rPr>
        <w:t>emotions.</w:t>
      </w:r>
      <w:r>
        <w:rPr/>
        <w:t xml:space="preserve"> </w:t>
      </w:r>
      <w:r>
        <w:rPr/>
        <w:t>It could also eﬀectively improve adolescents' care</w:t>
      </w:r>
      <w:r>
        <w:rPr>
          <w:spacing w:val="6"/>
        </w:rPr>
        <w:t xml:space="preserve"> </w:t>
      </w:r>
      <w:r>
        <w:rPr/>
        <w:t>adherence</w:t>
      </w:r>
      <w:r>
        <w:rPr>
          <w:spacing w:val="6"/>
        </w:rPr>
        <w:t xml:space="preserve"> </w:t>
      </w:r>
      <w:r>
        <w:rPr/>
        <w:t>a</w:t>
      </w:r>
      <w:r>
        <w:rPr>
          <w:spacing w:val="-1"/>
        </w:rPr>
        <w:t>nd</w:t>
      </w:r>
      <w:r>
        <w:rPr>
          <w:spacing w:val="7"/>
        </w:rPr>
        <w:t xml:space="preserve"> </w:t>
      </w:r>
      <w:r>
        <w:rPr>
          <w:spacing w:val="-1"/>
        </w:rPr>
        <w:t>shorten the time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control</w:t>
      </w:r>
      <w:r>
        <w:rPr>
          <w:spacing w:val="6"/>
        </w:rPr>
        <w:t xml:space="preserve"> </w:t>
      </w:r>
      <w:r>
        <w:rPr>
          <w:spacing w:val="-1"/>
        </w:rPr>
        <w:t>acute</w:t>
      </w:r>
      <w:r>
        <w:rPr>
          <w:spacing w:val="8"/>
        </w:rPr>
        <w:t xml:space="preserve"> </w:t>
      </w:r>
      <w:r>
        <w:rPr>
          <w:spacing w:val="-1"/>
        </w:rPr>
        <w:t>symptoms.</w:t>
      </w:r>
    </w:p>
    <w:p>
      <w:pPr>
        <w:pStyle w:val="BodyText"/>
        <w:ind w:left="1005"/>
        <w:spacing w:before="38" w:line="195" w:lineRule="auto"/>
        <w:rPr/>
      </w:pPr>
      <w:r>
        <w:rPr>
          <w:color w:val="1D2088"/>
        </w:rPr>
        <w:t>[</w:t>
      </w:r>
      <w:r>
        <w:rPr>
          <w:color w:val="1D2088"/>
          <w:spacing w:val="-18"/>
        </w:rPr>
        <w:t xml:space="preserve"> </w:t>
      </w:r>
      <w:r>
        <w:rPr>
          <w:color w:val="1D2088"/>
        </w:rPr>
        <w:t>Key words</w:t>
      </w:r>
      <w:r>
        <w:rPr>
          <w:color w:val="1D2088"/>
          <w:spacing w:val="-14"/>
        </w:rPr>
        <w:t xml:space="preserve"> </w:t>
      </w:r>
      <w:r>
        <w:rPr>
          <w:color w:val="1D2088"/>
        </w:rPr>
        <w:t>]</w:t>
      </w:r>
      <w:r>
        <w:rPr>
          <w:color w:val="1D2088"/>
          <w:spacing w:val="-14"/>
        </w:rPr>
        <w:t xml:space="preserve"> </w:t>
      </w:r>
      <w:r>
        <w:rPr/>
        <w:t>adolescents; acute gastroent</w:t>
      </w:r>
      <w:r>
        <w:rPr>
          <w:spacing w:val="-1"/>
        </w:rPr>
        <w:t>eritis; high-quality nursing</w:t>
      </w:r>
    </w:p>
    <w:p>
      <w:pPr>
        <w:spacing w:line="200" w:lineRule="exact"/>
        <w:rPr/>
      </w:pPr>
      <w:r/>
    </w:p>
    <w:p>
      <w:pPr>
        <w:spacing w:line="200" w:lineRule="exact"/>
        <w:sectPr>
          <w:headerReference w:type="default" r:id="rId1"/>
          <w:pgSz w:w="11906" w:h="16158"/>
          <w:pgMar w:top="1236" w:right="1133" w:bottom="0" w:left="407" w:header="990" w:footer="0" w:gutter="0"/>
          <w:cols w:equalWidth="0" w:num="1">
            <w:col w:w="10365" w:space="0"/>
          </w:cols>
        </w:sectPr>
        <w:rPr/>
      </w:pPr>
    </w:p>
    <w:p>
      <w:pPr>
        <w:pStyle w:val="BodyText"/>
        <w:ind w:left="614" w:right="185" w:firstLine="364"/>
        <w:spacing w:before="47" w:line="17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急性肠胃炎作为一种较为常见的病症，其发病原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因是痢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疾、肠伤寒等产生细菌，进而引发胃肠道急性感染病的产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生，其特点表现为发病率较高、进展快，且常伴有反胃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、呕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吐等症状</w:t>
      </w:r>
      <w:r>
        <w:rPr>
          <w:sz w:val="10"/>
          <w:szCs w:val="10"/>
          <w:position w:val="8"/>
        </w:rPr>
        <w:t>[1-4] </w:t>
      </w:r>
      <w:r>
        <w:rPr>
          <w:rFonts w:ascii="Microsoft YaHei" w:hAnsi="Microsoft YaHei" w:eastAsia="Microsoft YaHei" w:cs="Microsoft YaHei"/>
          <w:sz w:val="18"/>
          <w:szCs w:val="18"/>
        </w:rPr>
        <w:t>。急性肠胃炎严重的情况下，其会导致患者出现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供氧不足乃至休克的现象，进而会对患者的生命安全产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生极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大的威胁</w:t>
      </w:r>
      <w:r>
        <w:rPr>
          <w:sz w:val="10"/>
          <w:szCs w:val="10"/>
          <w:spacing w:val="6"/>
          <w:position w:val="8"/>
        </w:rPr>
        <w:t>[5-7]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。据相关报道显示，对急性肠胃炎患者进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行必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要的护理，对于提高治疗效果有重要的价值和作用</w:t>
      </w:r>
      <w:r>
        <w:rPr>
          <w:sz w:val="10"/>
          <w:szCs w:val="10"/>
          <w:spacing w:val="4"/>
          <w:position w:val="8"/>
        </w:rPr>
        <w:t>[8-10]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。并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且在对急性肠胃炎患者展开优质护理的研究中，鲜有学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者以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学校卫生所收治的青少年为研究对象展开研究。本研究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是对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现有相关文献的一种丰富，亦是对优质护理应用效果研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究的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一种延伸。另外，既有文献在观察指标上，主要以护理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有效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率、护理满意度为观察指标，对于患者的心理状态的研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究较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少。近期本校卫生所正在逐步落实优质护理。因此，本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研究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选取本校卫生所收治的</w:t>
      </w:r>
      <w:r>
        <w:rPr>
          <w:sz w:val="18"/>
          <w:szCs w:val="18"/>
          <w:spacing w:val="1"/>
        </w:rPr>
        <w:t>80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例年龄在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1"/>
        </w:rPr>
        <w:t>14</w:t>
      </w:r>
      <w:r>
        <w:rPr>
          <w:rFonts w:ascii="SimSun" w:hAnsi="SimSun" w:eastAsia="SimSun" w:cs="SimSun"/>
          <w:sz w:val="18"/>
          <w:szCs w:val="18"/>
          <w:spacing w:val="1"/>
        </w:rPr>
        <w:t>～</w:t>
      </w:r>
      <w:r>
        <w:rPr>
          <w:sz w:val="18"/>
          <w:szCs w:val="18"/>
          <w:spacing w:val="1"/>
        </w:rPr>
        <w:t>17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岁的青少年急性肠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胃炎患者展开研究，观察青少年急性肠胃炎护理过程中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应用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优质护理的临床效果，现报道如下。</w:t>
      </w:r>
    </w:p>
    <w:p>
      <w:pPr>
        <w:ind w:left="618"/>
        <w:spacing w:before="20" w:line="19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D2088"/>
          <w:spacing w:val="-4"/>
        </w:rPr>
        <w:t>1  资料与方法</w:t>
      </w:r>
    </w:p>
    <w:p>
      <w:pPr>
        <w:ind w:left="617"/>
        <w:spacing w:before="1" w:line="192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1.1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一般资料</w:t>
      </w:r>
    </w:p>
    <w:p>
      <w:pPr>
        <w:pStyle w:val="BodyText"/>
        <w:ind w:left="630" w:right="185" w:firstLine="344"/>
        <w:spacing w:line="18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4" style="position:absolute;margin-left:30.8341pt;margin-top:31.0383pt;mso-position-vertical-relative:text;mso-position-horizontal-relative:text;width:141.75pt;height:0.45pt;z-index:251658240;" filled="false" strokecolor="#000000" strokeweight="0.43pt" coordsize="2835,8" coordorigin="0,0" path="m0,4l2834,4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本研究选取本校卫生所收治的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80</w:t>
      </w:r>
      <w:r>
        <w:rPr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例年龄在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3"/>
        </w:rPr>
        <w:t>14</w:t>
      </w:r>
      <w:r>
        <w:rPr>
          <w:rFonts w:ascii="SimSun" w:hAnsi="SimSun" w:eastAsia="SimSun" w:cs="SimSun"/>
          <w:sz w:val="18"/>
          <w:szCs w:val="18"/>
          <w:spacing w:val="12"/>
        </w:rPr>
        <w:t>～</w:t>
      </w:r>
      <w:r>
        <w:rPr>
          <w:sz w:val="18"/>
          <w:szCs w:val="18"/>
          <w:spacing w:val="12"/>
        </w:rPr>
        <w:t>17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的青少年急性肠胃炎患者进行观察（就诊时间：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8"/>
        </w:rPr>
        <w:t>2018</w:t>
      </w:r>
      <w:r>
        <w:rPr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8"/>
        <w:spacing w:before="44" w:line="17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10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月</w:t>
      </w:r>
      <w:r>
        <w:rPr>
          <w:rFonts w:ascii="SimSun" w:hAnsi="SimSun" w:eastAsia="SimSun" w:cs="SimSun"/>
          <w:sz w:val="18"/>
          <w:szCs w:val="18"/>
          <w:spacing w:val="8"/>
        </w:rPr>
        <w:t>～</w:t>
      </w:r>
      <w:r>
        <w:rPr>
          <w:sz w:val="18"/>
          <w:szCs w:val="18"/>
          <w:spacing w:val="8"/>
        </w:rPr>
        <w:t>2019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年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8"/>
        </w:rPr>
        <w:t>10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月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依据随机抽签方法，将其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分为</w:t>
      </w:r>
      <w:r>
        <w:rPr>
          <w:sz w:val="18"/>
          <w:szCs w:val="18"/>
          <w:spacing w:val="7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40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例和</w:t>
      </w:r>
      <w:r>
        <w:rPr>
          <w:sz w:val="18"/>
          <w:szCs w:val="18"/>
          <w:spacing w:val="4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组</w:t>
      </w:r>
      <w:r>
        <w:rPr>
          <w:sz w:val="18"/>
          <w:szCs w:val="18"/>
          <w:spacing w:val="4"/>
        </w:rPr>
        <w:t>40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例。纳入标准：①经临床诊断确诊为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急性肠胃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炎的患者；②年龄在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7"/>
        </w:rPr>
        <w:t>14</w:t>
      </w:r>
      <w:r>
        <w:rPr>
          <w:rFonts w:ascii="SimSun" w:hAnsi="SimSun" w:eastAsia="SimSun" w:cs="SimSun"/>
          <w:sz w:val="18"/>
          <w:szCs w:val="18"/>
          <w:spacing w:val="7"/>
        </w:rPr>
        <w:t>～</w:t>
      </w:r>
      <w:r>
        <w:rPr>
          <w:sz w:val="18"/>
          <w:szCs w:val="18"/>
          <w:spacing w:val="7"/>
        </w:rPr>
        <w:t>17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岁的青少年；③在本校卫生所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接受护理的青少年患者。排除标准：①同时患有其他严重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消化系统疾病者；②无法接受调查的患者。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组，</w:t>
      </w:r>
      <w:r>
        <w:rPr>
          <w:rFonts w:ascii="Microsoft YaHei" w:hAnsi="Microsoft YaHei" w:eastAsia="Microsoft YaHei" w:cs="Microsoft YaHei"/>
          <w:sz w:val="18"/>
          <w:szCs w:val="18"/>
        </w:rPr>
        <w:t>女性患者 </w:t>
      </w:r>
      <w:r>
        <w:rPr>
          <w:sz w:val="18"/>
          <w:szCs w:val="18"/>
          <w:spacing w:val="-1"/>
        </w:rPr>
        <w:t>22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例，男性患者</w:t>
      </w:r>
      <w:r>
        <w:rPr>
          <w:sz w:val="18"/>
          <w:szCs w:val="18"/>
          <w:spacing w:val="-1"/>
        </w:rPr>
        <w:t>18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例，年龄</w:t>
      </w:r>
      <w:r>
        <w:rPr>
          <w:sz w:val="18"/>
          <w:szCs w:val="18"/>
          <w:spacing w:val="-1"/>
        </w:rPr>
        <w:t>14</w:t>
      </w:r>
      <w:r>
        <w:rPr>
          <w:rFonts w:ascii="SimSun" w:hAnsi="SimSun" w:eastAsia="SimSun" w:cs="SimSun"/>
          <w:sz w:val="18"/>
          <w:szCs w:val="18"/>
          <w:spacing w:val="-1"/>
        </w:rPr>
        <w:t>～</w:t>
      </w:r>
      <w:r>
        <w:rPr>
          <w:sz w:val="18"/>
          <w:szCs w:val="18"/>
          <w:spacing w:val="-1"/>
        </w:rPr>
        <w:t>16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岁，平均年龄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15.78</w:t>
      </w:r>
      <w:r>
        <w:rPr>
          <w:rFonts w:ascii="SimSun" w:hAnsi="SimSun" w:eastAsia="SimSun" w:cs="SimSun"/>
          <w:sz w:val="18"/>
          <w:szCs w:val="18"/>
          <w:spacing w:val="-1"/>
        </w:rPr>
        <w:t>±</w:t>
      </w:r>
      <w:r>
        <w:rPr>
          <w:sz w:val="18"/>
          <w:szCs w:val="18"/>
          <w:spacing w:val="-1"/>
        </w:rPr>
        <w:t>0.22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岁。发病至就诊时间</w:t>
      </w:r>
      <w:r>
        <w:rPr>
          <w:sz w:val="18"/>
          <w:szCs w:val="18"/>
          <w:spacing w:val="-1"/>
        </w:rPr>
        <w:t>2.57</w:t>
      </w:r>
      <w:r>
        <w:rPr>
          <w:rFonts w:ascii="SimSun" w:hAnsi="SimSun" w:eastAsia="SimSun" w:cs="SimSun"/>
          <w:sz w:val="18"/>
          <w:szCs w:val="18"/>
          <w:spacing w:val="-1"/>
        </w:rPr>
        <w:t>～</w:t>
      </w:r>
      <w:r>
        <w:rPr>
          <w:sz w:val="18"/>
          <w:szCs w:val="18"/>
          <w:spacing w:val="-1"/>
        </w:rPr>
        <w:t>18.74 h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，平均时间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8.76</w:t>
      </w:r>
      <w:r>
        <w:rPr>
          <w:rFonts w:ascii="SimSun" w:hAnsi="SimSun" w:eastAsia="SimSun" w:cs="SimSun"/>
          <w:sz w:val="18"/>
          <w:szCs w:val="18"/>
          <w:spacing w:val="-1"/>
        </w:rPr>
        <w:t>±</w:t>
      </w:r>
      <w:r>
        <w:rPr>
          <w:sz w:val="18"/>
          <w:szCs w:val="18"/>
          <w:spacing w:val="-2"/>
        </w:rPr>
        <w:t>2.24 h</w:t>
      </w:r>
      <w:r>
        <w:rPr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组，女性患者</w:t>
      </w:r>
      <w:r>
        <w:rPr>
          <w:sz w:val="18"/>
          <w:szCs w:val="18"/>
          <w:spacing w:val="3"/>
        </w:rPr>
        <w:t>20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例，男性患者</w:t>
      </w:r>
      <w:r>
        <w:rPr>
          <w:sz w:val="18"/>
          <w:szCs w:val="18"/>
          <w:spacing w:val="3"/>
        </w:rPr>
        <w:t>20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例，年龄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3"/>
        </w:rPr>
        <w:t>15</w:t>
      </w:r>
      <w:r>
        <w:rPr>
          <w:rFonts w:ascii="SimSun" w:hAnsi="SimSun" w:eastAsia="SimSun" w:cs="SimSun"/>
          <w:sz w:val="18"/>
          <w:szCs w:val="18"/>
          <w:spacing w:val="3"/>
        </w:rPr>
        <w:t>～</w:t>
      </w:r>
      <w:r>
        <w:rPr>
          <w:sz w:val="18"/>
          <w:szCs w:val="18"/>
          <w:spacing w:val="3"/>
        </w:rPr>
        <w:t>1</w:t>
      </w:r>
      <w:r>
        <w:rPr>
          <w:sz w:val="18"/>
          <w:szCs w:val="18"/>
          <w:spacing w:val="2"/>
        </w:rPr>
        <w:t>7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岁，平均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年龄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1"/>
        </w:rPr>
        <w:t>16.11</w:t>
      </w:r>
      <w:r>
        <w:rPr>
          <w:sz w:val="18"/>
          <w:szCs w:val="18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±</w:t>
      </w:r>
      <w:r>
        <w:rPr>
          <w:sz w:val="18"/>
          <w:szCs w:val="18"/>
          <w:spacing w:val="1"/>
        </w:rPr>
        <w:t>0.18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岁。发病至就诊时间</w:t>
      </w:r>
      <w:r>
        <w:rPr>
          <w:sz w:val="18"/>
          <w:szCs w:val="18"/>
          <w:spacing w:val="1"/>
        </w:rPr>
        <w:t>2.61</w:t>
      </w:r>
      <w:r>
        <w:rPr>
          <w:rFonts w:ascii="SimSun" w:hAnsi="SimSun" w:eastAsia="SimSun" w:cs="SimSun"/>
          <w:sz w:val="18"/>
          <w:szCs w:val="18"/>
          <w:spacing w:val="1"/>
        </w:rPr>
        <w:t>～</w:t>
      </w:r>
      <w:r>
        <w:rPr>
          <w:sz w:val="18"/>
          <w:szCs w:val="18"/>
          <w:spacing w:val="1"/>
        </w:rPr>
        <w:t>18.58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1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，平均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时间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8.64</w:t>
      </w:r>
      <w:r>
        <w:rPr>
          <w:rFonts w:ascii="SimSun" w:hAnsi="SimSun" w:eastAsia="SimSun" w:cs="SimSun"/>
          <w:sz w:val="18"/>
          <w:szCs w:val="18"/>
        </w:rPr>
        <w:t>±</w:t>
      </w:r>
      <w:r>
        <w:rPr>
          <w:sz w:val="18"/>
          <w:szCs w:val="18"/>
        </w:rPr>
        <w:t>2.12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h</w:t>
      </w:r>
      <w:r>
        <w:rPr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。</w:t>
      </w:r>
      <w:r>
        <w:rPr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</w:rPr>
        <w:t>组和</w:t>
      </w:r>
      <w:r>
        <w:rPr>
          <w:sz w:val="18"/>
          <w:szCs w:val="18"/>
        </w:rPr>
        <w:t>B</w:t>
      </w:r>
      <w:r>
        <w:rPr>
          <w:rFonts w:ascii="Microsoft YaHei" w:hAnsi="Microsoft YaHei" w:eastAsia="Microsoft YaHei" w:cs="Microsoft YaHei"/>
          <w:sz w:val="18"/>
          <w:szCs w:val="18"/>
        </w:rPr>
        <w:t>组患者的以上资料比较差异无统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计学意义（ </w:t>
      </w:r>
      <w:r>
        <w:rPr>
          <w:sz w:val="18"/>
          <w:szCs w:val="18"/>
          <w:i/>
          <w:iCs/>
          <w:spacing w:val="1"/>
        </w:rPr>
        <w:t>P</w:t>
      </w:r>
      <w:r>
        <w:rPr>
          <w:rFonts w:ascii="SimSun" w:hAnsi="SimSun" w:eastAsia="SimSun" w:cs="SimSun"/>
          <w:sz w:val="18"/>
          <w:szCs w:val="18"/>
          <w:spacing w:val="1"/>
        </w:rPr>
        <w:t>＞</w:t>
      </w:r>
      <w:r>
        <w:rPr>
          <w:sz w:val="18"/>
          <w:szCs w:val="18"/>
          <w:spacing w:val="1"/>
        </w:rPr>
        <w:t>0.05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）。所有研究对象以及家属均对研究内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容表示知情，同意参加并且签订有效的协议书，本研究在开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展前已经上报给医院伦理委员会并且获得批准（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2022</w:t>
      </w:r>
      <w:r>
        <w:rPr>
          <w:rFonts w:ascii="Microsoft YaHei" w:hAnsi="Microsoft YaHei" w:eastAsia="Microsoft YaHei" w:cs="Microsoft YaHei"/>
          <w:sz w:val="18"/>
          <w:szCs w:val="18"/>
        </w:rPr>
        <w:t>伦审第 </w:t>
      </w:r>
      <w:r>
        <w:rPr>
          <w:sz w:val="18"/>
          <w:szCs w:val="18"/>
          <w:spacing w:val="-3"/>
        </w:rPr>
        <w:t>0001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号）。</w:t>
      </w:r>
    </w:p>
    <w:p>
      <w:pPr>
        <w:ind w:left="3"/>
        <w:spacing w:before="3" w:line="193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1.2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方法</w:t>
      </w:r>
    </w:p>
    <w:p>
      <w:pPr>
        <w:pStyle w:val="BodyText"/>
        <w:ind w:left="2" w:firstLine="358"/>
        <w:spacing w:before="2" w:line="17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3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组采用常规护理方式，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内容主要包括对一些注意事项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的口头叮嘱，如适度休息避免过度劳累等。同时给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予常规的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用药护理以及电解质和水的补充等。</w:t>
      </w:r>
    </w:p>
    <w:p>
      <w:pPr>
        <w:pStyle w:val="BodyText"/>
        <w:ind w:left="3" w:firstLine="359"/>
        <w:spacing w:before="3" w:line="18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在常规护理方式下，对</w:t>
      </w:r>
      <w:r>
        <w:rPr>
          <w:sz w:val="18"/>
          <w:szCs w:val="18"/>
          <w:spacing w:val="4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组患者应用优质护理，其内容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如下：①健康教育。鉴于青少年对急性肠胃炎疾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病的相关知</w:t>
      </w:r>
    </w:p>
    <w:p>
      <w:pPr>
        <w:spacing w:line="184" w:lineRule="auto"/>
        <w:sectPr>
          <w:type w:val="continuous"/>
          <w:pgSz w:w="11906" w:h="16158"/>
          <w:pgMar w:top="1236" w:right="1133" w:bottom="0" w:left="407" w:header="990" w:footer="0" w:gutter="0"/>
          <w:cols w:equalWidth="0" w:num="2">
            <w:col w:w="5532" w:space="100"/>
            <w:col w:w="4733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614"/>
        <w:spacing w:before="288" w:line="2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作者简介：何晶（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"/>
        </w:rPr>
        <w:t>1984.02-</w:t>
      </w:r>
      <w:r>
        <w:rPr>
          <w:rFonts w:ascii="SimSun" w:hAnsi="SimSun" w:eastAsia="SimSun" w:cs="SimSun"/>
          <w:sz w:val="15"/>
          <w:szCs w:val="15"/>
          <w:spacing w:val="-1"/>
        </w:rPr>
        <w:t>），女，本科，主管护师，研</w:t>
      </w:r>
      <w:r>
        <w:rPr>
          <w:rFonts w:ascii="SimSun" w:hAnsi="SimSun" w:eastAsia="SimSun" w:cs="SimSun"/>
          <w:sz w:val="15"/>
          <w:szCs w:val="15"/>
          <w:spacing w:val="-2"/>
        </w:rPr>
        <w:t>究方向：外科护理</w:t>
      </w:r>
    </w:p>
    <w:p>
      <w:pPr>
        <w:spacing w:line="203" w:lineRule="auto"/>
        <w:sectPr>
          <w:type w:val="continuous"/>
          <w:pgSz w:w="11906" w:h="16158"/>
          <w:pgMar w:top="1236" w:right="1133" w:bottom="0" w:left="407" w:header="990" w:footer="0" w:gutter="0"/>
          <w:cols w:equalWidth="0" w:num="1">
            <w:col w:w="10365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222"/>
        <w:rPr/>
      </w:pPr>
      <w:r/>
    </w:p>
    <w:p>
      <w:pPr>
        <w:sectPr>
          <w:headerReference w:type="default" r:id="rId2"/>
          <w:pgSz w:w="11906" w:h="16158"/>
          <w:pgMar w:top="1236" w:right="1006" w:bottom="0" w:left="407" w:header="990" w:footer="0" w:gutter="0"/>
          <w:cols w:equalWidth="0" w:num="1">
            <w:col w:w="10492" w:space="0"/>
          </w:cols>
        </w:sectPr>
        <w:rPr/>
      </w:pPr>
    </w:p>
    <w:p>
      <w:pPr>
        <w:pStyle w:val="BodyText"/>
        <w:ind w:left="727" w:right="175"/>
        <w:spacing w:before="28" w:line="17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识缺乏了解，因而在优质护理中需展开健康教育，可通过微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信等途径，向其宣传与疾病有关的知识，包括疾病产生的原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因、发生的危害、预防措施以及其他注意事项等。②心理护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理。在疾病的影响下，加之青少年缺乏关于疾病的知识，因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而极易发生紧张、焦虑乃至抑郁等心理负向情绪。护理人员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与青少年建立沟通渠道，积极与青少年进行沟通，并对其提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出的问题耐心解答，以了解并掌握青少年的心理状态，对存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在心理负向情绪的青少年进行及时的心理疏导。另外，还可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通过社交网站等，如微信，指导青少年掌握</w:t>
      </w:r>
      <w:r>
        <w:rPr>
          <w:rFonts w:ascii="Microsoft YaHei" w:hAnsi="Microsoft YaHei" w:eastAsia="Microsoft YaHei" w:cs="Microsoft YaHei"/>
          <w:sz w:val="18"/>
          <w:szCs w:val="18"/>
        </w:rPr>
        <w:t>心理疏导方法，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如注意力转移法的应用，通过听音乐或看书</w:t>
      </w:r>
      <w:r>
        <w:rPr>
          <w:rFonts w:ascii="Microsoft YaHei" w:hAnsi="Microsoft YaHei" w:eastAsia="Microsoft YaHei" w:cs="Microsoft YaHei"/>
          <w:sz w:val="18"/>
          <w:szCs w:val="18"/>
        </w:rPr>
        <w:t>等转移注意力，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进而鼓励青少年以积极的心态面临治疗与护理。③饮食护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理。在饮食护理中，优质护理的应用，其主要体现在为患者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制定饮食方案。通常情况下，发病后青少年的消化功能是比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较差的，因而在前期饮食中，应主要以米汤</w:t>
      </w:r>
      <w:r>
        <w:rPr>
          <w:rFonts w:ascii="Microsoft YaHei" w:hAnsi="Microsoft YaHei" w:eastAsia="Microsoft YaHei" w:cs="Microsoft YaHei"/>
          <w:sz w:val="18"/>
          <w:szCs w:val="18"/>
        </w:rPr>
        <w:t>或者白粥为主，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并且忌辛辣、生冷以及油腻等食物。在优质护理中，需要对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青少年的饮食情况进行密切的关注，以促使其保持健康的饮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食。在临床症状消失后，护理人员给予半流食，但严禁食用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高脂肪和蛋白质食物。同时，在饮食护理的过程中，还指导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患者少食多餐，当大便正常后可恢复正常饮食。④环境护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理。指导青少年应注意保持室内空气的清新，并指导其定时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消毒等。同时，也可让其在室内放置绿色植物以对室内的湿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度和环境的质量等进行改善。⑤用药指导。叮嘱青少年按时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用药，并要求青少年定期到学校卫生所测量体温，当体温在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39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℃左右时应给予降温药物。对于伴有腹部剧烈疼痛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症状的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青少年给予解痉剂，以帮助青少缓解症状。</w:t>
      </w:r>
    </w:p>
    <w:p>
      <w:pPr>
        <w:ind w:left="731"/>
        <w:spacing w:line="192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1.3</w:t>
      </w:r>
      <w:r>
        <w:rPr>
          <w:rFonts w:ascii="Microsoft YaHei" w:hAnsi="Microsoft YaHei" w:eastAsia="Microsoft YaHei" w:cs="Microsoft YaHei"/>
          <w:sz w:val="18"/>
          <w:szCs w:val="18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观察指标</w:t>
      </w:r>
    </w:p>
    <w:p>
      <w:pPr>
        <w:pStyle w:val="BodyText"/>
        <w:ind w:left="730" w:right="175" w:firstLine="362"/>
        <w:spacing w:before="1" w:line="18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观察指标为护理满意度、焦虑抑郁评分、依从性以及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两组护理后的急性症状控制时间。①护理满意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度调查中，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涉及的内容主要为护理态度、沟通技巧以及护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理效果等，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sz w:val="18"/>
          <w:szCs w:val="18"/>
          <w:spacing w:val="10"/>
        </w:rPr>
        <w:t>100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分为满分，非常满意：总分</w:t>
      </w:r>
      <w:r>
        <w:rPr>
          <w:rFonts w:ascii="SimSun" w:hAnsi="SimSun" w:eastAsia="SimSun" w:cs="SimSun"/>
          <w:sz w:val="18"/>
          <w:szCs w:val="18"/>
          <w:spacing w:val="10"/>
        </w:rPr>
        <w:t>≥</w:t>
      </w:r>
      <w:r>
        <w:rPr>
          <w:sz w:val="18"/>
          <w:szCs w:val="18"/>
          <w:spacing w:val="10"/>
        </w:rPr>
        <w:t>90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分；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一般满意：总分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在</w:t>
      </w:r>
      <w:r>
        <w:rPr>
          <w:sz w:val="18"/>
          <w:szCs w:val="18"/>
          <w:spacing w:val="8"/>
        </w:rPr>
        <w:t>80</w:t>
      </w:r>
      <w:r>
        <w:rPr>
          <w:rFonts w:ascii="SimSun" w:hAnsi="SimSun" w:eastAsia="SimSun" w:cs="SimSun"/>
          <w:sz w:val="18"/>
          <w:szCs w:val="18"/>
          <w:spacing w:val="8"/>
        </w:rPr>
        <w:t>～</w:t>
      </w:r>
      <w:r>
        <w:rPr>
          <w:sz w:val="18"/>
          <w:szCs w:val="18"/>
          <w:spacing w:val="8"/>
        </w:rPr>
        <w:t>89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分；不满意：总分在</w:t>
      </w:r>
      <w:r>
        <w:rPr>
          <w:sz w:val="18"/>
          <w:szCs w:val="18"/>
          <w:spacing w:val="8"/>
        </w:rPr>
        <w:t>70</w:t>
      </w:r>
      <w:r>
        <w:rPr>
          <w:rFonts w:ascii="SimSun" w:hAnsi="SimSun" w:eastAsia="SimSun" w:cs="SimSun"/>
          <w:sz w:val="18"/>
          <w:szCs w:val="18"/>
          <w:spacing w:val="8"/>
        </w:rPr>
        <w:t>～</w:t>
      </w:r>
      <w:r>
        <w:rPr>
          <w:sz w:val="18"/>
          <w:szCs w:val="18"/>
          <w:spacing w:val="8"/>
        </w:rPr>
        <w:t>79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分；非常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不满意：总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14" w:firstLine="2"/>
        <w:spacing w:before="38" w:line="17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分</w:t>
      </w:r>
      <w:r>
        <w:rPr>
          <w:rFonts w:ascii="SimSun" w:hAnsi="SimSun" w:eastAsia="SimSun" w:cs="SimSun"/>
          <w:sz w:val="18"/>
          <w:szCs w:val="18"/>
          <w:spacing w:val="5"/>
        </w:rPr>
        <w:t>＜</w:t>
      </w:r>
      <w:r>
        <w:rPr>
          <w:sz w:val="18"/>
          <w:szCs w:val="18"/>
          <w:spacing w:val="5"/>
        </w:rPr>
        <w:t>70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分。总护理满意度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＝（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非常满意＋一般满意）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5"/>
        </w:rPr>
        <w:t>/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例数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×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9"/>
        </w:rPr>
        <w:t>100%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。②采用焦虑自评量表（</w:t>
      </w:r>
      <w:r>
        <w:rPr>
          <w:sz w:val="18"/>
          <w:szCs w:val="18"/>
        </w:rPr>
        <w:t>self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</w:rPr>
        <w:t>rating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</w:rPr>
        <w:t>anxiety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scale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sz w:val="18"/>
          <w:szCs w:val="18"/>
        </w:rPr>
        <w:t>SAS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>）、抑郁自评量表（ </w:t>
      </w:r>
      <w:r>
        <w:rPr>
          <w:sz w:val="18"/>
          <w:szCs w:val="18"/>
        </w:rPr>
        <w:t>self</w:t>
      </w:r>
      <w:r>
        <w:rPr>
          <w:sz w:val="18"/>
          <w:szCs w:val="18"/>
          <w:spacing w:val="27"/>
        </w:rPr>
        <w:t>-</w:t>
      </w:r>
      <w:r>
        <w:rPr>
          <w:sz w:val="18"/>
          <w:szCs w:val="18"/>
        </w:rPr>
        <w:t>rating</w:t>
      </w:r>
      <w:r>
        <w:rPr>
          <w:sz w:val="18"/>
          <w:szCs w:val="18"/>
          <w:spacing w:val="27"/>
        </w:rPr>
        <w:t xml:space="preserve">  </w:t>
      </w:r>
      <w:r>
        <w:rPr>
          <w:sz w:val="18"/>
          <w:szCs w:val="18"/>
        </w:rPr>
        <w:t>depression</w:t>
      </w:r>
      <w:r>
        <w:rPr>
          <w:sz w:val="18"/>
          <w:szCs w:val="18"/>
          <w:spacing w:val="27"/>
        </w:rPr>
        <w:t xml:space="preserve">  </w:t>
      </w:r>
      <w:r>
        <w:rPr>
          <w:sz w:val="18"/>
          <w:szCs w:val="18"/>
        </w:rPr>
        <w:t>scale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>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sz w:val="18"/>
          <w:szCs w:val="18"/>
        </w:rPr>
        <w:t>SDS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）对护理前和护理后的焦虑、抑郁状态进行评价，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50</w:t>
      </w:r>
      <w:r>
        <w:rPr>
          <w:rFonts w:ascii="Microsoft YaHei" w:hAnsi="Microsoft YaHei" w:eastAsia="Microsoft YaHei" w:cs="Microsoft YaHei"/>
          <w:sz w:val="18"/>
          <w:szCs w:val="18"/>
        </w:rPr>
        <w:t>分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以上表示伴有不同程度的焦虑情绪，</w:t>
      </w:r>
      <w:r>
        <w:rPr>
          <w:sz w:val="18"/>
          <w:szCs w:val="18"/>
          <w:spacing w:val="2"/>
        </w:rPr>
        <w:t>53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分以上表示伴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有不同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程度的抑郁情绪，评分越低代表焦虑和抑郁等负向心理情绪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越低</w:t>
      </w:r>
      <w:r>
        <w:rPr>
          <w:sz w:val="10"/>
          <w:szCs w:val="10"/>
          <w:spacing w:val="3"/>
          <w:position w:val="8"/>
        </w:rPr>
        <w:t>[11-13]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。③对护理依从性情况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进行评价，评价等级为完全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依从、部分依从以及不依从，其中，完全依从的内容为饮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食、用药等完全遵医嘱，部分依从的内容为饮食和用药仅有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部分内容会遵医嘱，不依从为完全不遵医嘱。依从率是完全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依从和部分依从的总比例</w:t>
      </w:r>
    </w:p>
    <w:p>
      <w:pPr>
        <w:ind w:left="12"/>
        <w:spacing w:line="192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1.4</w:t>
      </w:r>
      <w:r>
        <w:rPr>
          <w:rFonts w:ascii="Microsoft YaHei" w:hAnsi="Microsoft YaHei" w:eastAsia="Microsoft YaHei" w:cs="Microsoft YaHei"/>
          <w:sz w:val="18"/>
          <w:szCs w:val="18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统计学方法</w:t>
      </w:r>
    </w:p>
    <w:p>
      <w:pPr>
        <w:pStyle w:val="BodyText"/>
        <w:ind w:left="10" w:right="14" w:firstLine="360"/>
        <w:spacing w:before="1" w:line="17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8" style="position:absolute;margin-left:144.172pt;margin-top:1.69014pt;mso-position-vertical-relative:text;mso-position-horizontal-relative:text;width:4.15pt;height:0.45pt;z-index:-251657216;" filled="false" strokecolor="#000000" strokeweight="0.43pt" coordsize="83,8" coordorigin="0,0" path="m0,4l82,4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采用</w:t>
      </w:r>
      <w:r>
        <w:rPr>
          <w:sz w:val="18"/>
          <w:szCs w:val="18"/>
        </w:rPr>
        <w:t>SPSS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1"/>
        </w:rPr>
        <w:t>19.0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软件，其中使用 </w:t>
      </w:r>
      <w:r>
        <w:rPr>
          <w:sz w:val="18"/>
          <w:szCs w:val="18"/>
          <w:i/>
          <w:iCs/>
          <w:spacing w:val="1"/>
        </w:rPr>
        <w:t>x</w:t>
      </w:r>
      <w:r>
        <w:rPr>
          <w:sz w:val="18"/>
          <w:szCs w:val="18"/>
          <w:i/>
          <w:iCs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±</w:t>
      </w:r>
      <w:r>
        <w:rPr>
          <w:sz w:val="18"/>
          <w:szCs w:val="18"/>
          <w:i/>
          <w:iCs/>
          <w:spacing w:val="1"/>
        </w:rPr>
        <w:t>s</w:t>
      </w:r>
      <w:r>
        <w:rPr>
          <w:sz w:val="18"/>
          <w:szCs w:val="18"/>
          <w:i/>
          <w:iCs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形式来代表正</w:t>
      </w:r>
      <w:r>
        <w:rPr>
          <w:rFonts w:ascii="Microsoft YaHei" w:hAnsi="Microsoft YaHei" w:eastAsia="Microsoft YaHei" w:cs="Microsoft YaHei"/>
          <w:sz w:val="18"/>
          <w:szCs w:val="18"/>
        </w:rPr>
        <w:t>态计 </w:t>
      </w:r>
      <w:r>
        <w:rPr>
          <w:rFonts w:ascii="Microsoft YaHei" w:hAnsi="Microsoft YaHei" w:eastAsia="Microsoft YaHei" w:cs="Microsoft YaHei"/>
          <w:sz w:val="18"/>
          <w:szCs w:val="18"/>
        </w:rPr>
        <w:t>量数据，比较行 </w:t>
      </w:r>
      <w:r>
        <w:rPr>
          <w:sz w:val="18"/>
          <w:szCs w:val="18"/>
          <w:i/>
          <w:iCs/>
        </w:rPr>
        <w:t>t </w:t>
      </w:r>
      <w:r>
        <w:rPr>
          <w:rFonts w:ascii="Microsoft YaHei" w:hAnsi="Microsoft YaHei" w:eastAsia="Microsoft YaHei" w:cs="Microsoft YaHei"/>
          <w:sz w:val="18"/>
          <w:szCs w:val="18"/>
        </w:rPr>
        <w:t>检验，使用 </w:t>
      </w:r>
      <w:r>
        <w:rPr>
          <w:sz w:val="18"/>
          <w:szCs w:val="18"/>
        </w:rPr>
        <w:t>% </w:t>
      </w:r>
      <w:r>
        <w:rPr>
          <w:rFonts w:ascii="Microsoft YaHei" w:hAnsi="Microsoft YaHei" w:eastAsia="Microsoft YaHei" w:cs="Microsoft YaHei"/>
          <w:sz w:val="18"/>
          <w:szCs w:val="18"/>
        </w:rPr>
        <w:t>形式来代表计数数据，比较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8"/>
          <w:szCs w:val="18"/>
          <w:i/>
          <w:iCs/>
          <w:spacing w:val="-1"/>
        </w:rPr>
        <w:t>x</w:t>
      </w:r>
      <w:r>
        <w:rPr>
          <w:sz w:val="10"/>
          <w:szCs w:val="10"/>
          <w:spacing w:val="-1"/>
          <w:position w:val="8"/>
        </w:rPr>
        <w:t>2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检验，</w:t>
      </w:r>
      <w:r>
        <w:rPr>
          <w:sz w:val="18"/>
          <w:szCs w:val="18"/>
          <w:i/>
          <w:iCs/>
          <w:spacing w:val="-1"/>
        </w:rPr>
        <w:t>P</w:t>
      </w:r>
      <w:r>
        <w:rPr>
          <w:rFonts w:ascii="SimSun" w:hAnsi="SimSun" w:eastAsia="SimSun" w:cs="SimSun"/>
          <w:sz w:val="18"/>
          <w:szCs w:val="18"/>
          <w:spacing w:val="-1"/>
        </w:rPr>
        <w:t>＜</w:t>
      </w:r>
      <w:r>
        <w:rPr>
          <w:sz w:val="18"/>
          <w:szCs w:val="18"/>
          <w:spacing w:val="-1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则具有统计学意义。</w:t>
      </w:r>
    </w:p>
    <w:p>
      <w:pPr>
        <w:ind w:left="14"/>
        <w:spacing w:before="1" w:line="19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D208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1D2088"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D2088"/>
        </w:rPr>
        <w:t>结果</w:t>
      </w:r>
    </w:p>
    <w:p>
      <w:pPr>
        <w:ind w:left="14"/>
        <w:spacing w:before="1" w:line="192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2.1  比较两组护理后的护理满意度</w:t>
      </w:r>
    </w:p>
    <w:p>
      <w:pPr>
        <w:pStyle w:val="BodyText"/>
        <w:ind w:right="14" w:firstLine="372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表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1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显 示 ，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A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组 护 理 满 意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度（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4"/>
        </w:rPr>
        <w:t>9 2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. 5 0 % 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）较 </w:t>
      </w:r>
      <w:r>
        <w:rPr>
          <w:sz w:val="18"/>
          <w:szCs w:val="18"/>
          <w:spacing w:val="-4"/>
        </w:rPr>
        <w:t>B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70.00%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）更高，组间差异显著（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sz w:val="18"/>
          <w:szCs w:val="18"/>
          <w:i/>
          <w:iCs/>
          <w:spacing w:val="-4"/>
        </w:rPr>
        <w:t>P</w:t>
      </w:r>
      <w:r>
        <w:rPr>
          <w:rFonts w:ascii="SimSun" w:hAnsi="SimSun" w:eastAsia="SimSun" w:cs="SimSun"/>
          <w:sz w:val="18"/>
          <w:szCs w:val="18"/>
          <w:spacing w:val="-4"/>
        </w:rPr>
        <w:t>＜</w:t>
      </w:r>
      <w:r>
        <w:rPr>
          <w:sz w:val="18"/>
          <w:szCs w:val="18"/>
          <w:spacing w:val="-4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）。</w:t>
      </w:r>
    </w:p>
    <w:p>
      <w:pPr>
        <w:ind w:left="14"/>
        <w:spacing w:before="3" w:line="193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2.2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比较两组护理前后的</w:t>
      </w:r>
      <w:r>
        <w:rPr>
          <w:rFonts w:ascii="Microsoft YaHei" w:hAnsi="Microsoft YaHei" w:eastAsia="Microsoft YaHei" w:cs="Microsoft YaHei"/>
          <w:sz w:val="18"/>
          <w:szCs w:val="18"/>
        </w:rPr>
        <w:t>SAS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>SDS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评分</w:t>
      </w:r>
    </w:p>
    <w:p>
      <w:pPr>
        <w:pStyle w:val="BodyText"/>
        <w:ind w:left="10" w:right="14" w:firstLine="361"/>
        <w:spacing w:before="3" w:line="18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表</w:t>
      </w:r>
      <w:r>
        <w:rPr>
          <w:sz w:val="18"/>
          <w:szCs w:val="18"/>
          <w:spacing w:val="4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显示，就</w:t>
      </w:r>
      <w:r>
        <w:rPr>
          <w:sz w:val="18"/>
          <w:szCs w:val="18"/>
        </w:rPr>
        <w:t>SAS</w:t>
      </w:r>
      <w:r>
        <w:rPr>
          <w:sz w:val="18"/>
          <w:szCs w:val="18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、</w:t>
      </w:r>
      <w:r>
        <w:rPr>
          <w:sz w:val="18"/>
          <w:szCs w:val="18"/>
        </w:rPr>
        <w:t>SDS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评分来看，</w:t>
      </w:r>
      <w:r>
        <w:rPr>
          <w:sz w:val="18"/>
          <w:szCs w:val="18"/>
          <w:spacing w:val="4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组和</w:t>
      </w:r>
      <w:r>
        <w:rPr>
          <w:sz w:val="18"/>
          <w:szCs w:val="18"/>
          <w:spacing w:val="4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组护理前的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两评分统计学差异不显著（ </w:t>
      </w:r>
      <w:r>
        <w:rPr>
          <w:sz w:val="18"/>
          <w:szCs w:val="18"/>
          <w:i/>
          <w:iCs/>
          <w:spacing w:val="2"/>
        </w:rPr>
        <w:t>P</w:t>
      </w:r>
      <w:r>
        <w:rPr>
          <w:rFonts w:ascii="SimSun" w:hAnsi="SimSun" w:eastAsia="SimSun" w:cs="SimSun"/>
          <w:sz w:val="18"/>
          <w:szCs w:val="18"/>
          <w:spacing w:val="2"/>
        </w:rPr>
        <w:t>＞</w:t>
      </w:r>
      <w:r>
        <w:rPr>
          <w:sz w:val="18"/>
          <w:szCs w:val="18"/>
          <w:spacing w:val="2"/>
        </w:rPr>
        <w:t>0.05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）。护理后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两组以上指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标评分均显著降低，且</w:t>
      </w:r>
      <w:r>
        <w:rPr>
          <w:sz w:val="18"/>
          <w:szCs w:val="18"/>
          <w:spacing w:val="6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组与</w:t>
      </w:r>
      <w:r>
        <w:rPr>
          <w:sz w:val="18"/>
          <w:szCs w:val="18"/>
          <w:spacing w:val="6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组相比更低，差别有统计学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意义（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i/>
          <w:iCs/>
          <w:spacing w:val="-6"/>
        </w:rPr>
        <w:t>P</w:t>
      </w:r>
      <w:r>
        <w:rPr>
          <w:rFonts w:ascii="SimSun" w:hAnsi="SimSun" w:eastAsia="SimSun" w:cs="SimSun"/>
          <w:sz w:val="18"/>
          <w:szCs w:val="18"/>
          <w:spacing w:val="-6"/>
        </w:rPr>
        <w:t>＜</w:t>
      </w:r>
      <w:r>
        <w:rPr>
          <w:sz w:val="18"/>
          <w:szCs w:val="18"/>
          <w:spacing w:val="-6"/>
        </w:rPr>
        <w:t>0.05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）。</w:t>
      </w:r>
    </w:p>
    <w:p>
      <w:pPr>
        <w:ind w:left="14"/>
        <w:spacing w:before="3" w:line="193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2.3  比较两组的护理依从性</w:t>
      </w:r>
    </w:p>
    <w:p>
      <w:pPr>
        <w:pStyle w:val="BodyText"/>
        <w:ind w:right="14" w:firstLine="372"/>
        <w:spacing w:before="1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表 </w:t>
      </w:r>
      <w:r>
        <w:rPr>
          <w:sz w:val="18"/>
          <w:szCs w:val="18"/>
          <w:spacing w:val="-2"/>
        </w:rPr>
        <w:t>3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显 示 ， </w:t>
      </w:r>
      <w:r>
        <w:rPr>
          <w:sz w:val="18"/>
          <w:szCs w:val="18"/>
          <w:spacing w:val="-2"/>
        </w:rPr>
        <w:t>A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组 护 理 依 从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性（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3"/>
        </w:rPr>
        <w:t>9 0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. 00 % 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）较 </w:t>
      </w:r>
      <w:r>
        <w:rPr>
          <w:sz w:val="18"/>
          <w:szCs w:val="18"/>
          <w:spacing w:val="-3"/>
        </w:rPr>
        <w:t>B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67.50%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）显著更高（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i/>
          <w:iCs/>
          <w:spacing w:val="-6"/>
        </w:rPr>
        <w:t>P</w:t>
      </w:r>
      <w:r>
        <w:rPr>
          <w:rFonts w:ascii="SimSun" w:hAnsi="SimSun" w:eastAsia="SimSun" w:cs="SimSun"/>
          <w:sz w:val="18"/>
          <w:szCs w:val="18"/>
          <w:spacing w:val="-6"/>
        </w:rPr>
        <w:t>＜</w:t>
      </w:r>
      <w:r>
        <w:rPr>
          <w:sz w:val="18"/>
          <w:szCs w:val="18"/>
          <w:spacing w:val="-6"/>
        </w:rPr>
        <w:t>0.05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）。</w:t>
      </w:r>
    </w:p>
    <w:p>
      <w:pPr>
        <w:ind w:left="14"/>
        <w:spacing w:before="4" w:line="193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2.4  比较两组护理后的急性症状控制时间</w:t>
      </w:r>
    </w:p>
    <w:p>
      <w:pPr>
        <w:pStyle w:val="BodyText"/>
        <w:ind w:left="13" w:right="14" w:firstLine="359"/>
        <w:spacing w:line="182" w:lineRule="auto"/>
        <w:outlineLvl w:val="3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表</w:t>
      </w:r>
      <w:r>
        <w:rPr>
          <w:sz w:val="18"/>
          <w:szCs w:val="18"/>
          <w:spacing w:val="2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显示，</w:t>
      </w:r>
      <w:r>
        <w:rPr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组急性症状控制时间短于</w:t>
      </w:r>
      <w:r>
        <w:rPr>
          <w:sz w:val="18"/>
          <w:szCs w:val="18"/>
          <w:spacing w:val="2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组，差异有统计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学意义（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i/>
          <w:iCs/>
          <w:spacing w:val="-6"/>
        </w:rPr>
        <w:t>P</w:t>
      </w:r>
      <w:r>
        <w:rPr>
          <w:rFonts w:ascii="SimSun" w:hAnsi="SimSun" w:eastAsia="SimSun" w:cs="SimSun"/>
          <w:sz w:val="18"/>
          <w:szCs w:val="18"/>
          <w:spacing w:val="-6"/>
        </w:rPr>
        <w:t>＜</w:t>
      </w:r>
      <w:r>
        <w:rPr>
          <w:sz w:val="18"/>
          <w:szCs w:val="18"/>
          <w:spacing w:val="-6"/>
        </w:rPr>
        <w:t>0.05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）。</w:t>
      </w:r>
    </w:p>
    <w:p>
      <w:pPr>
        <w:spacing w:line="182" w:lineRule="auto"/>
        <w:sectPr>
          <w:type w:val="continuous"/>
          <w:pgSz w:w="11906" w:h="16158"/>
          <w:pgMar w:top="1236" w:right="1006" w:bottom="0" w:left="407" w:header="990" w:footer="0" w:gutter="0"/>
          <w:cols w:equalWidth="0" w:num="2">
            <w:col w:w="5636" w:space="100"/>
            <w:col w:w="4757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3872"/>
        <w:spacing w:before="37" w:line="190" w:lineRule="auto"/>
        <w:outlineLvl w:val="0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-1"/>
        </w:rPr>
        <w:t>表1  比较两组护理后的护理满意度[</w:t>
      </w:r>
      <w:r>
        <w:rPr>
          <w:sz w:val="18"/>
          <w:szCs w:val="18"/>
          <w:i/>
          <w:iCs/>
          <w:color w:val="1D2088"/>
          <w:spacing w:val="-1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-1"/>
        </w:rPr>
        <w:t>（%）]</w:t>
      </w:r>
    </w:p>
    <w:tbl>
      <w:tblPr>
        <w:tblStyle w:val="TableNormal"/>
        <w:tblW w:w="9756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1"/>
        <w:gridCol w:w="941"/>
        <w:gridCol w:w="1507"/>
        <w:gridCol w:w="1684"/>
        <w:gridCol w:w="1609"/>
        <w:gridCol w:w="1743"/>
        <w:gridCol w:w="1661"/>
      </w:tblGrid>
      <w:tr>
        <w:trPr>
          <w:trHeight w:val="212" w:hRule="atLeast"/>
        </w:trPr>
        <w:tc>
          <w:tcPr>
            <w:tcW w:w="61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8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组别</w:t>
            </w:r>
          </w:p>
        </w:tc>
        <w:tc>
          <w:tcPr>
            <w:tcW w:w="94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297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例数</w:t>
            </w:r>
          </w:p>
        </w:tc>
        <w:tc>
          <w:tcPr>
            <w:tcW w:w="150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383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4"/>
              </w:rPr>
              <w:t>非常满意</w:t>
            </w:r>
          </w:p>
        </w:tc>
        <w:tc>
          <w:tcPr>
            <w:tcW w:w="168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544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一般满意</w:t>
            </w:r>
          </w:p>
        </w:tc>
        <w:tc>
          <w:tcPr>
            <w:tcW w:w="160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608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  <w:w w:val="99"/>
              </w:rPr>
              <w:t>不满意</w:t>
            </w:r>
          </w:p>
        </w:tc>
        <w:tc>
          <w:tcPr>
            <w:tcW w:w="174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520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6"/>
                <w:w w:val="99"/>
              </w:rPr>
              <w:t>非常不满意</w:t>
            </w:r>
          </w:p>
        </w:tc>
        <w:tc>
          <w:tcPr>
            <w:tcW w:w="166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526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  <w:w w:val="97"/>
              </w:rPr>
              <w:t>总满意度</w:t>
            </w:r>
          </w:p>
        </w:tc>
      </w:tr>
      <w:tr>
        <w:trPr>
          <w:trHeight w:val="209" w:hRule="atLeast"/>
        </w:trPr>
        <w:tc>
          <w:tcPr>
            <w:tcW w:w="6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A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组</w:t>
            </w:r>
          </w:p>
        </w:tc>
        <w:tc>
          <w:tcPr>
            <w:tcW w:w="9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73"/>
              <w:spacing w:before="53" w:line="186" w:lineRule="auto"/>
              <w:rPr/>
            </w:pPr>
            <w:r>
              <w:rPr>
                <w:spacing w:val="-1"/>
              </w:rPr>
              <w:t>40</w:t>
            </w:r>
          </w:p>
        </w:tc>
        <w:tc>
          <w:tcPr>
            <w:tcW w:w="15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8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2"/>
              </w:rPr>
              <w:t>21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（</w:t>
            </w:r>
            <w:r>
              <w:rPr>
                <w:spacing w:val="-12"/>
              </w:rPr>
              <w:t>52.50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）</w:t>
            </w:r>
          </w:p>
        </w:tc>
        <w:tc>
          <w:tcPr>
            <w:tcW w:w="168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1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2"/>
              </w:rPr>
              <w:t>16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（</w:t>
            </w:r>
            <w:r>
              <w:rPr>
                <w:spacing w:val="-12"/>
              </w:rPr>
              <w:t>40.00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）</w:t>
            </w:r>
          </w:p>
        </w:tc>
        <w:tc>
          <w:tcPr>
            <w:tcW w:w="16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5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4"/>
              </w:rPr>
              <w:t>3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（</w:t>
            </w:r>
            <w:r>
              <w:rPr>
                <w:spacing w:val="-14"/>
              </w:rPr>
              <w:t>7.50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）</w:t>
            </w:r>
          </w:p>
        </w:tc>
        <w:tc>
          <w:tcPr>
            <w:tcW w:w="17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5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1"/>
              </w:rPr>
              <w:t>0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（</w:t>
            </w:r>
            <w:r>
              <w:rPr>
                <w:spacing w:val="-11"/>
              </w:rPr>
              <w:t>0.00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）</w:t>
            </w:r>
          </w:p>
        </w:tc>
        <w:tc>
          <w:tcPr>
            <w:tcW w:w="16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8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0"/>
              </w:rPr>
              <w:t>37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（</w:t>
            </w:r>
            <w:r>
              <w:rPr>
                <w:spacing w:val="-10"/>
              </w:rPr>
              <w:t>92.50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）</w:t>
            </w:r>
          </w:p>
        </w:tc>
      </w:tr>
      <w:tr>
        <w:trPr>
          <w:trHeight w:val="211" w:hRule="atLeast"/>
        </w:trPr>
        <w:tc>
          <w:tcPr>
            <w:tcW w:w="611" w:type="dxa"/>
            <w:vAlign w:val="top"/>
          </w:tcPr>
          <w:p>
            <w:pPr>
              <w:pStyle w:val="TableText"/>
              <w:ind w:left="8"/>
              <w:spacing w:before="26" w:line="174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2"/>
                <w:position w:val="-1"/>
              </w:rPr>
              <w:t>B</w:t>
            </w:r>
            <w:r>
              <w:rPr>
                <w:rFonts w:ascii="Microsoft YaHei" w:hAnsi="Microsoft YaHei" w:eastAsia="Microsoft YaHei" w:cs="Microsoft YaHei"/>
                <w:spacing w:val="-2"/>
                <w:position w:val="-1"/>
              </w:rPr>
              <w:t>组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373"/>
              <w:spacing w:before="61" w:line="182" w:lineRule="auto"/>
              <w:rPr/>
            </w:pPr>
            <w:r>
              <w:rPr>
                <w:spacing w:val="-1"/>
              </w:rPr>
              <w:t>40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348"/>
              <w:spacing w:before="26" w:line="174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2"/>
                <w:position w:val="1"/>
              </w:rPr>
              <w:t>13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（</w:t>
            </w:r>
            <w:r>
              <w:rPr>
                <w:spacing w:val="-12"/>
                <w:position w:val="1"/>
              </w:rPr>
              <w:t>32.50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）</w:t>
            </w:r>
          </w:p>
        </w:tc>
        <w:tc>
          <w:tcPr>
            <w:tcW w:w="1684" w:type="dxa"/>
            <w:vAlign w:val="top"/>
          </w:tcPr>
          <w:p>
            <w:pPr>
              <w:pStyle w:val="TableText"/>
              <w:ind w:left="517"/>
              <w:spacing w:before="26" w:line="174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4"/>
                <w:position w:val="1"/>
              </w:rPr>
              <w:t>15</w:t>
            </w:r>
            <w:r>
              <w:rPr>
                <w:rFonts w:ascii="Microsoft YaHei" w:hAnsi="Microsoft YaHei" w:eastAsia="Microsoft YaHei" w:cs="Microsoft YaHei"/>
                <w:spacing w:val="-14"/>
                <w:position w:val="1"/>
              </w:rPr>
              <w:t>（</w:t>
            </w:r>
            <w:r>
              <w:rPr>
                <w:spacing w:val="-14"/>
                <w:position w:val="1"/>
              </w:rPr>
              <w:t>37.50</w:t>
            </w:r>
            <w:r>
              <w:rPr>
                <w:rFonts w:ascii="Microsoft YaHei" w:hAnsi="Microsoft YaHei" w:eastAsia="Microsoft YaHei" w:cs="Microsoft YaHei"/>
                <w:spacing w:val="-14"/>
                <w:position w:val="1"/>
              </w:rPr>
              <w:t>）</w:t>
            </w:r>
          </w:p>
        </w:tc>
        <w:tc>
          <w:tcPr>
            <w:tcW w:w="1609" w:type="dxa"/>
            <w:vAlign w:val="top"/>
          </w:tcPr>
          <w:p>
            <w:pPr>
              <w:pStyle w:val="TableText"/>
              <w:ind w:left="523"/>
              <w:spacing w:before="26" w:line="174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2"/>
                <w:position w:val="1"/>
              </w:rPr>
              <w:t>5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（</w:t>
            </w:r>
            <w:r>
              <w:rPr>
                <w:spacing w:val="-12"/>
                <w:position w:val="1"/>
              </w:rPr>
              <w:t>12.50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）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93"/>
              <w:spacing w:before="26" w:line="174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4"/>
                <w:position w:val="1"/>
              </w:rPr>
              <w:t>7</w:t>
            </w:r>
            <w:r>
              <w:rPr>
                <w:rFonts w:ascii="Microsoft YaHei" w:hAnsi="Microsoft YaHei" w:eastAsia="Microsoft YaHei" w:cs="Microsoft YaHei"/>
                <w:spacing w:val="-14"/>
                <w:position w:val="1"/>
              </w:rPr>
              <w:t>（</w:t>
            </w:r>
            <w:r>
              <w:rPr>
                <w:spacing w:val="-14"/>
                <w:position w:val="1"/>
              </w:rPr>
              <w:t>17.50</w:t>
            </w:r>
            <w:r>
              <w:rPr>
                <w:rFonts w:ascii="Microsoft YaHei" w:hAnsi="Microsoft YaHei" w:eastAsia="Microsoft YaHei" w:cs="Microsoft YaHei"/>
                <w:spacing w:val="-14"/>
                <w:position w:val="1"/>
              </w:rPr>
              <w:t>）</w:t>
            </w:r>
          </w:p>
        </w:tc>
        <w:tc>
          <w:tcPr>
            <w:tcW w:w="1661" w:type="dxa"/>
            <w:vAlign w:val="top"/>
          </w:tcPr>
          <w:p>
            <w:pPr>
              <w:pStyle w:val="TableText"/>
              <w:ind w:left="467"/>
              <w:spacing w:before="26" w:line="174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0"/>
                <w:position w:val="1"/>
              </w:rPr>
              <w:t>28</w:t>
            </w:r>
            <w:r>
              <w:rPr>
                <w:rFonts w:ascii="Microsoft YaHei" w:hAnsi="Microsoft YaHei" w:eastAsia="Microsoft YaHei" w:cs="Microsoft YaHei"/>
                <w:spacing w:val="-10"/>
                <w:position w:val="1"/>
              </w:rPr>
              <w:t>（</w:t>
            </w:r>
            <w:r>
              <w:rPr>
                <w:spacing w:val="-10"/>
                <w:position w:val="1"/>
              </w:rPr>
              <w:t>70.00</w:t>
            </w:r>
            <w:r>
              <w:rPr>
                <w:rFonts w:ascii="Microsoft YaHei" w:hAnsi="Microsoft YaHei" w:eastAsia="Microsoft YaHei" w:cs="Microsoft YaHei"/>
                <w:spacing w:val="-10"/>
                <w:position w:val="1"/>
              </w:rPr>
              <w:t>）</w:t>
            </w:r>
          </w:p>
        </w:tc>
      </w:tr>
      <w:tr>
        <w:trPr>
          <w:trHeight w:val="221" w:hRule="atLeast"/>
        </w:trPr>
        <w:tc>
          <w:tcPr>
            <w:tcW w:w="611" w:type="dxa"/>
            <w:vAlign w:val="top"/>
          </w:tcPr>
          <w:p>
            <w:pPr>
              <w:pStyle w:val="TableText"/>
              <w:ind w:right="489" w:firstLine="76"/>
              <w:spacing w:before="34" w:line="143" w:lineRule="auto"/>
              <w:rPr/>
            </w:pPr>
            <w:r>
              <w:rPr>
                <w:sz w:val="9"/>
                <w:szCs w:val="9"/>
                <w:spacing w:val="-1"/>
              </w:rPr>
              <w:t>2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i/>
                <w:iCs/>
                <w:spacing w:val="5"/>
              </w:rPr>
              <w:t>x</w:t>
            </w:r>
          </w:p>
        </w:tc>
        <w:tc>
          <w:tcPr>
            <w:tcW w:w="941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684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609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743" w:type="dxa"/>
            <w:vAlign w:val="top"/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1661" w:type="dxa"/>
            <w:vAlign w:val="top"/>
          </w:tcPr>
          <w:p>
            <w:pPr>
              <w:pStyle w:val="TableText"/>
              <w:ind w:left="662"/>
              <w:spacing w:before="67" w:line="186" w:lineRule="auto"/>
              <w:rPr/>
            </w:pPr>
            <w:r>
              <w:rPr>
                <w:spacing w:val="-5"/>
              </w:rPr>
              <w:t>6.626</w:t>
            </w:r>
          </w:p>
        </w:tc>
      </w:tr>
      <w:tr>
        <w:trPr>
          <w:trHeight w:val="219" w:hRule="atLeast"/>
        </w:trPr>
        <w:tc>
          <w:tcPr>
            <w:tcW w:w="6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"/>
              <w:spacing w:before="61" w:line="183" w:lineRule="auto"/>
              <w:rPr/>
            </w:pPr>
            <w:r>
              <w:rPr>
                <w:i/>
                <w:iCs/>
                <w:spacing w:val="5"/>
              </w:rPr>
              <w:t>P</w:t>
            </w:r>
          </w:p>
        </w:tc>
        <w:tc>
          <w:tcPr>
            <w:tcW w:w="941" w:type="dxa"/>
            <w:vAlign w:val="top"/>
            <w:tcBorders>
              <w:bottom w:val="single" w:color="000000" w:sz="4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1507" w:type="dxa"/>
            <w:vAlign w:val="top"/>
            <w:tcBorders>
              <w:bottom w:val="single" w:color="000000" w:sz="4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1684" w:type="dxa"/>
            <w:vAlign w:val="top"/>
            <w:tcBorders>
              <w:bottom w:val="single" w:color="000000" w:sz="4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1609" w:type="dxa"/>
            <w:vAlign w:val="top"/>
            <w:tcBorders>
              <w:bottom w:val="single" w:color="000000" w:sz="4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1743" w:type="dxa"/>
            <w:vAlign w:val="top"/>
            <w:tcBorders>
              <w:bottom w:val="single" w:color="000000" w:sz="4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166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68"/>
              <w:spacing w:before="62" w:line="186" w:lineRule="auto"/>
              <w:rPr/>
            </w:pPr>
            <w:r>
              <w:rPr>
                <w:spacing w:val="-6"/>
              </w:rPr>
              <w:t>0.010</w:t>
            </w:r>
          </w:p>
        </w:tc>
      </w:tr>
    </w:tbl>
    <w:p>
      <w:pPr>
        <w:pStyle w:val="BodyText"/>
        <w:ind w:left="3566"/>
        <w:spacing w:before="105" w:line="19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0" style="position:absolute;margin-left:356.715pt;margin-top:6.88325pt;mso-position-vertical-relative:text;mso-position-horizontal-relative:text;width:4pt;height:0.45pt;z-index:-251655168;" filled="false" strokecolor="#1D2088" strokeweight="0.43pt" coordsize="80,8" coordorigin="0,0" path="m0,4l79,4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5"/>
        </w:rPr>
        <w:t>表2  比较两组护理前后的</w:t>
      </w:r>
      <w:r>
        <w:rPr>
          <w:rFonts w:ascii="Microsoft YaHei" w:hAnsi="Microsoft YaHei" w:eastAsia="Microsoft YaHei" w:cs="Microsoft YaHei"/>
          <w:sz w:val="18"/>
          <w:szCs w:val="18"/>
          <w:color w:val="1D2088"/>
        </w:rPr>
        <w:t>SAS</w: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color w:val="1D2088"/>
        </w:rPr>
        <w:t>SDS</w: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5"/>
        </w:rPr>
        <w:t>评分（ </w:t>
      </w:r>
      <w:r>
        <w:rPr>
          <w:sz w:val="18"/>
          <w:szCs w:val="18"/>
          <w:i/>
          <w:iCs/>
          <w:color w:val="1D2088"/>
          <w:spacing w:val="5"/>
        </w:rPr>
        <w:t>x</w:t>
      </w:r>
      <w:r>
        <w:rPr>
          <w:sz w:val="18"/>
          <w:szCs w:val="18"/>
          <w:i/>
          <w:iCs/>
          <w:color w:val="1D208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4"/>
        </w:rPr>
        <w:t>±</w:t>
      </w:r>
      <w:r>
        <w:rPr>
          <w:sz w:val="18"/>
          <w:szCs w:val="18"/>
          <w:i/>
          <w:iCs/>
          <w:color w:val="1D2088"/>
          <w:spacing w:val="4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4"/>
        </w:rPr>
        <w:t>）</w:t>
      </w:r>
    </w:p>
    <w:tbl>
      <w:tblPr>
        <w:tblStyle w:val="TableNormal"/>
        <w:tblW w:w="9769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0"/>
        <w:gridCol w:w="801"/>
        <w:gridCol w:w="1249"/>
        <w:gridCol w:w="1211"/>
        <w:gridCol w:w="822"/>
        <w:gridCol w:w="897"/>
        <w:gridCol w:w="1313"/>
        <w:gridCol w:w="1228"/>
        <w:gridCol w:w="835"/>
        <w:gridCol w:w="793"/>
      </w:tblGrid>
      <w:tr>
        <w:trPr>
          <w:trHeight w:val="212" w:hRule="atLeast"/>
        </w:trPr>
        <w:tc>
          <w:tcPr>
            <w:tcW w:w="620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6"/>
              <w:spacing w:before="127" w:line="20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组别</w:t>
            </w:r>
          </w:p>
        </w:tc>
        <w:tc>
          <w:tcPr>
            <w:tcW w:w="801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307"/>
              <w:spacing w:before="127" w:line="20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例数</w:t>
            </w:r>
          </w:p>
        </w:tc>
        <w:tc>
          <w:tcPr>
            <w:tcW w:w="4179" w:type="dxa"/>
            <w:vAlign w:val="top"/>
            <w:gridSpan w:val="4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918"/>
              <w:spacing w:before="53" w:line="186" w:lineRule="auto"/>
              <w:rPr/>
            </w:pPr>
            <w:r>
              <w:rPr>
                <w:spacing w:val="-6"/>
              </w:rPr>
              <w:t>SAS</w:t>
            </w:r>
          </w:p>
        </w:tc>
        <w:tc>
          <w:tcPr>
            <w:tcW w:w="4169" w:type="dxa"/>
            <w:vAlign w:val="top"/>
            <w:gridSpan w:val="4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984"/>
              <w:spacing w:before="53" w:line="186" w:lineRule="auto"/>
              <w:rPr/>
            </w:pPr>
            <w:r>
              <w:rPr>
                <w:spacing w:val="-5"/>
              </w:rPr>
              <w:t>SDS</w:t>
            </w:r>
          </w:p>
        </w:tc>
      </w:tr>
      <w:tr>
        <w:trPr>
          <w:trHeight w:val="210" w:hRule="atLeast"/>
        </w:trPr>
        <w:tc>
          <w:tcPr>
            <w:tcW w:w="62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95"/>
              <w:spacing w:before="18" w:line="15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4"/>
                <w:w w:val="99"/>
              </w:rPr>
              <w:t>护理前</w:t>
            </w:r>
          </w:p>
        </w:tc>
        <w:tc>
          <w:tcPr>
            <w:tcW w:w="12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90"/>
              <w:spacing w:before="18" w:line="15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  <w:w w:val="98"/>
              </w:rPr>
              <w:t>护理后</w:t>
            </w:r>
          </w:p>
        </w:tc>
        <w:tc>
          <w:tcPr>
            <w:tcW w:w="8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0"/>
              <w:spacing w:before="67" w:line="163" w:lineRule="auto"/>
              <w:rPr/>
            </w:pPr>
            <w:r>
              <w:rPr>
                <w:i/>
                <w:iCs/>
              </w:rPr>
              <w:t>t</w:t>
            </w:r>
          </w:p>
        </w:tc>
        <w:tc>
          <w:tcPr>
            <w:tcW w:w="8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66"/>
              <w:spacing w:before="52" w:line="183" w:lineRule="auto"/>
              <w:rPr/>
            </w:pPr>
            <w:r>
              <w:rPr>
                <w:i/>
                <w:iCs/>
                <w:spacing w:val="5"/>
              </w:rPr>
              <w:t>P</w:t>
            </w:r>
          </w:p>
        </w:tc>
        <w:tc>
          <w:tcPr>
            <w:tcW w:w="13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61"/>
              <w:spacing w:before="18" w:line="15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4"/>
                <w:w w:val="99"/>
              </w:rPr>
              <w:t>护理前</w:t>
            </w:r>
          </w:p>
        </w:tc>
        <w:tc>
          <w:tcPr>
            <w:tcW w:w="122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92"/>
              <w:spacing w:before="18" w:line="15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  <w:w w:val="98"/>
              </w:rPr>
              <w:t>护理后</w:t>
            </w:r>
          </w:p>
        </w:tc>
        <w:tc>
          <w:tcPr>
            <w:tcW w:w="8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1"/>
              <w:spacing w:before="67" w:line="163" w:lineRule="auto"/>
              <w:rPr/>
            </w:pPr>
            <w:r>
              <w:rPr>
                <w:i/>
                <w:iCs/>
              </w:rPr>
              <w:t>t</w:t>
            </w:r>
          </w:p>
        </w:tc>
        <w:tc>
          <w:tcPr>
            <w:tcW w:w="7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63"/>
              <w:spacing w:before="52" w:line="183" w:lineRule="auto"/>
              <w:rPr/>
            </w:pPr>
            <w:r>
              <w:rPr>
                <w:i/>
                <w:iCs/>
                <w:spacing w:val="5"/>
              </w:rPr>
              <w:t>P</w:t>
            </w:r>
          </w:p>
        </w:tc>
      </w:tr>
      <w:tr>
        <w:trPr>
          <w:trHeight w:val="209" w:hRule="atLeast"/>
        </w:trPr>
        <w:tc>
          <w:tcPr>
            <w:tcW w:w="6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"/>
              <w:spacing w:before="20" w:line="17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  <w:position w:val="-1"/>
              </w:rPr>
              <w:t>A</w:t>
            </w:r>
            <w:r>
              <w:rPr>
                <w:rFonts w:ascii="Microsoft YaHei" w:hAnsi="Microsoft YaHei" w:eastAsia="Microsoft YaHei" w:cs="Microsoft YaHei"/>
                <w:spacing w:val="-1"/>
                <w:position w:val="-1"/>
              </w:rPr>
              <w:t>组</w:t>
            </w:r>
          </w:p>
        </w:tc>
        <w:tc>
          <w:tcPr>
            <w:tcW w:w="8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3"/>
              <w:spacing w:before="55" w:line="186" w:lineRule="auto"/>
              <w:rPr/>
            </w:pPr>
            <w:r>
              <w:rPr>
                <w:spacing w:val="-1"/>
              </w:rPr>
              <w:t>40</w:t>
            </w:r>
          </w:p>
        </w:tc>
        <w:tc>
          <w:tcPr>
            <w:tcW w:w="12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1"/>
              <w:spacing w:before="25" w:line="200" w:lineRule="auto"/>
              <w:rPr/>
            </w:pPr>
            <w:r>
              <w:rPr>
                <w:spacing w:val="-7"/>
              </w:rPr>
              <w:t>63.97</w:t>
            </w:r>
            <w:r>
              <w:rPr>
                <w:rFonts w:ascii="SimSun" w:hAnsi="SimSun" w:eastAsia="SimSun" w:cs="SimSun"/>
                <w:spacing w:val="-7"/>
              </w:rPr>
              <w:t>±</w:t>
            </w:r>
            <w:r>
              <w:rPr>
                <w:spacing w:val="-7"/>
              </w:rPr>
              <w:t>3.87</w:t>
            </w:r>
          </w:p>
        </w:tc>
        <w:tc>
          <w:tcPr>
            <w:tcW w:w="12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3"/>
              <w:spacing w:before="25" w:line="200" w:lineRule="auto"/>
              <w:rPr/>
            </w:pPr>
            <w:r>
              <w:rPr>
                <w:spacing w:val="-7"/>
              </w:rPr>
              <w:t>38.36</w:t>
            </w:r>
            <w:r>
              <w:rPr>
                <w:rFonts w:ascii="SimSun" w:hAnsi="SimSun" w:eastAsia="SimSun" w:cs="SimSun"/>
                <w:spacing w:val="-7"/>
              </w:rPr>
              <w:t>±</w:t>
            </w:r>
            <w:r>
              <w:rPr>
                <w:spacing w:val="-7"/>
              </w:rPr>
              <w:t>1.55</w:t>
            </w:r>
          </w:p>
        </w:tc>
        <w:tc>
          <w:tcPr>
            <w:tcW w:w="8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6"/>
              <w:spacing w:before="55" w:line="186" w:lineRule="auto"/>
              <w:rPr/>
            </w:pPr>
            <w:r>
              <w:rPr>
                <w:spacing w:val="-5"/>
              </w:rPr>
              <w:t>38.853</w:t>
            </w:r>
          </w:p>
        </w:tc>
        <w:tc>
          <w:tcPr>
            <w:tcW w:w="8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2"/>
              <w:spacing w:before="25" w:line="200" w:lineRule="auto"/>
              <w:rPr/>
            </w:pPr>
            <w:r>
              <w:rPr>
                <w:rFonts w:ascii="SimSun" w:hAnsi="SimSun" w:eastAsia="SimSun" w:cs="SimSun"/>
                <w:spacing w:val="6"/>
              </w:rPr>
              <w:t>&lt;</w:t>
            </w:r>
            <w:r>
              <w:rPr>
                <w:spacing w:val="6"/>
              </w:rPr>
              <w:t>0.001</w:t>
            </w:r>
          </w:p>
        </w:tc>
        <w:tc>
          <w:tcPr>
            <w:tcW w:w="13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1"/>
              <w:spacing w:before="25" w:line="200" w:lineRule="auto"/>
              <w:rPr/>
            </w:pPr>
            <w:r>
              <w:rPr>
                <w:spacing w:val="-8"/>
              </w:rPr>
              <w:t>61.64</w:t>
            </w:r>
            <w:r>
              <w:rPr>
                <w:rFonts w:ascii="SimSun" w:hAnsi="SimSun" w:eastAsia="SimSun" w:cs="SimSun"/>
                <w:spacing w:val="-8"/>
              </w:rPr>
              <w:t>±</w:t>
            </w:r>
            <w:r>
              <w:rPr>
                <w:spacing w:val="-8"/>
              </w:rPr>
              <w:t>3.98</w:t>
            </w:r>
          </w:p>
        </w:tc>
        <w:tc>
          <w:tcPr>
            <w:tcW w:w="12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1"/>
              <w:spacing w:before="25" w:line="200" w:lineRule="auto"/>
              <w:rPr/>
            </w:pPr>
            <w:r>
              <w:rPr>
                <w:spacing w:val="-7"/>
              </w:rPr>
              <w:t>45.92</w:t>
            </w:r>
            <w:r>
              <w:rPr>
                <w:rFonts w:ascii="SimSun" w:hAnsi="SimSun" w:eastAsia="SimSun" w:cs="SimSun"/>
                <w:spacing w:val="-7"/>
              </w:rPr>
              <w:t>±</w:t>
            </w:r>
            <w:r>
              <w:rPr>
                <w:spacing w:val="-7"/>
              </w:rPr>
              <w:t>1.27</w:t>
            </w:r>
          </w:p>
        </w:tc>
        <w:tc>
          <w:tcPr>
            <w:tcW w:w="8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6"/>
              <w:spacing w:before="55" w:line="186" w:lineRule="auto"/>
              <w:rPr/>
            </w:pPr>
            <w:r>
              <w:rPr>
                <w:spacing w:val="-6"/>
              </w:rPr>
              <w:t>23.798</w:t>
            </w:r>
          </w:p>
        </w:tc>
        <w:tc>
          <w:tcPr>
            <w:tcW w:w="7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25" w:line="200" w:lineRule="auto"/>
              <w:rPr/>
            </w:pPr>
            <w:r>
              <w:rPr>
                <w:rFonts w:ascii="SimSun" w:hAnsi="SimSun" w:eastAsia="SimSun" w:cs="SimSun"/>
                <w:spacing w:val="6"/>
              </w:rPr>
              <w:t>&lt;</w:t>
            </w:r>
            <w:r>
              <w:rPr>
                <w:spacing w:val="6"/>
              </w:rPr>
              <w:t>0.001</w:t>
            </w:r>
          </w:p>
        </w:tc>
      </w:tr>
      <w:tr>
        <w:trPr>
          <w:trHeight w:val="225" w:hRule="atLeast"/>
        </w:trPr>
        <w:tc>
          <w:tcPr>
            <w:tcW w:w="620" w:type="dxa"/>
            <w:vAlign w:val="top"/>
          </w:tcPr>
          <w:p>
            <w:pPr>
              <w:pStyle w:val="TableText"/>
              <w:ind w:left="5"/>
              <w:spacing w:before="27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2"/>
              </w:rPr>
              <w:t>B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组</w:t>
            </w:r>
          </w:p>
        </w:tc>
        <w:tc>
          <w:tcPr>
            <w:tcW w:w="801" w:type="dxa"/>
            <w:vAlign w:val="top"/>
          </w:tcPr>
          <w:p>
            <w:pPr>
              <w:pStyle w:val="TableText"/>
              <w:ind w:left="383"/>
              <w:spacing w:before="62" w:line="186" w:lineRule="auto"/>
              <w:rPr/>
            </w:pPr>
            <w:r>
              <w:rPr>
                <w:spacing w:val="-1"/>
              </w:rPr>
              <w:t>40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268"/>
              <w:spacing w:before="33" w:line="209" w:lineRule="auto"/>
              <w:rPr/>
            </w:pPr>
            <w:r>
              <w:rPr>
                <w:spacing w:val="-8"/>
              </w:rPr>
              <w:t>64.01</w:t>
            </w:r>
            <w:r>
              <w:rPr>
                <w:rFonts w:ascii="SimSun" w:hAnsi="SimSun" w:eastAsia="SimSun" w:cs="SimSun"/>
                <w:spacing w:val="-8"/>
              </w:rPr>
              <w:t>±</w:t>
            </w:r>
            <w:r>
              <w:rPr>
                <w:spacing w:val="-8"/>
              </w:rPr>
              <w:t>3.75</w:t>
            </w:r>
          </w:p>
        </w:tc>
        <w:tc>
          <w:tcPr>
            <w:tcW w:w="1211" w:type="dxa"/>
            <w:vAlign w:val="top"/>
          </w:tcPr>
          <w:p>
            <w:pPr>
              <w:pStyle w:val="TableText"/>
              <w:ind w:left="263"/>
              <w:spacing w:before="33" w:line="209" w:lineRule="auto"/>
              <w:rPr/>
            </w:pPr>
            <w:r>
              <w:rPr>
                <w:spacing w:val="-8"/>
              </w:rPr>
              <w:t>46.63</w:t>
            </w:r>
            <w:r>
              <w:rPr>
                <w:rFonts w:ascii="SimSun" w:hAnsi="SimSun" w:eastAsia="SimSun" w:cs="SimSun"/>
                <w:spacing w:val="-8"/>
              </w:rPr>
              <w:t>±</w:t>
            </w:r>
            <w:r>
              <w:rPr>
                <w:spacing w:val="-8"/>
              </w:rPr>
              <w:t>1.41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239"/>
              <w:spacing w:before="62" w:line="186" w:lineRule="auto"/>
              <w:rPr/>
            </w:pPr>
            <w:r>
              <w:rPr>
                <w:spacing w:val="-6"/>
              </w:rPr>
              <w:t>27.437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92"/>
              <w:spacing w:before="33" w:line="209" w:lineRule="auto"/>
              <w:rPr/>
            </w:pPr>
            <w:r>
              <w:rPr>
                <w:rFonts w:ascii="SimSun" w:hAnsi="SimSun" w:eastAsia="SimSun" w:cs="SimSun"/>
                <w:spacing w:val="6"/>
              </w:rPr>
              <w:t>&lt;</w:t>
            </w:r>
            <w:r>
              <w:rPr>
                <w:spacing w:val="6"/>
              </w:rPr>
              <w:t>0.001</w:t>
            </w:r>
          </w:p>
        </w:tc>
        <w:tc>
          <w:tcPr>
            <w:tcW w:w="1313" w:type="dxa"/>
            <w:vAlign w:val="top"/>
          </w:tcPr>
          <w:p>
            <w:pPr>
              <w:pStyle w:val="TableText"/>
              <w:ind w:left="328"/>
              <w:spacing w:before="33" w:line="209" w:lineRule="auto"/>
              <w:rPr/>
            </w:pPr>
            <w:r>
              <w:rPr>
                <w:spacing w:val="-7"/>
              </w:rPr>
              <w:t>60.79</w:t>
            </w:r>
            <w:r>
              <w:rPr>
                <w:rFonts w:ascii="SimSun" w:hAnsi="SimSun" w:eastAsia="SimSun" w:cs="SimSun"/>
                <w:spacing w:val="-7"/>
              </w:rPr>
              <w:t>±</w:t>
            </w:r>
            <w:r>
              <w:rPr>
                <w:spacing w:val="-7"/>
              </w:rPr>
              <w:t>3.69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262"/>
              <w:spacing w:before="33" w:line="209" w:lineRule="auto"/>
              <w:rPr/>
            </w:pPr>
            <w:r>
              <w:rPr>
                <w:spacing w:val="-8"/>
              </w:rPr>
              <w:t>49.59</w:t>
            </w:r>
            <w:r>
              <w:rPr>
                <w:rFonts w:ascii="SimSun" w:hAnsi="SimSun" w:eastAsia="SimSun" w:cs="SimSun"/>
                <w:spacing w:val="-8"/>
              </w:rPr>
              <w:t>±</w:t>
            </w:r>
            <w:r>
              <w:rPr>
                <w:spacing w:val="-8"/>
              </w:rPr>
              <w:t>1.06</w:t>
            </w:r>
          </w:p>
        </w:tc>
        <w:tc>
          <w:tcPr>
            <w:tcW w:w="835" w:type="dxa"/>
            <w:vAlign w:val="top"/>
          </w:tcPr>
          <w:p>
            <w:pPr>
              <w:pStyle w:val="TableText"/>
              <w:ind w:left="262"/>
              <w:spacing w:before="62" w:line="186" w:lineRule="auto"/>
              <w:rPr/>
            </w:pPr>
            <w:r>
              <w:rPr>
                <w:spacing w:val="-8"/>
              </w:rPr>
              <w:t>18.450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190"/>
              <w:spacing w:before="33" w:line="209" w:lineRule="auto"/>
              <w:rPr/>
            </w:pPr>
            <w:r>
              <w:rPr>
                <w:rFonts w:ascii="SimSun" w:hAnsi="SimSun" w:eastAsia="SimSun" w:cs="SimSun"/>
                <w:spacing w:val="6"/>
              </w:rPr>
              <w:t>&lt;</w:t>
            </w:r>
            <w:r>
              <w:rPr>
                <w:spacing w:val="6"/>
              </w:rPr>
              <w:t>0.001</w:t>
            </w:r>
          </w:p>
        </w:tc>
      </w:tr>
      <w:tr>
        <w:trPr>
          <w:trHeight w:val="209" w:hRule="atLeast"/>
        </w:trPr>
        <w:tc>
          <w:tcPr>
            <w:tcW w:w="620" w:type="dxa"/>
            <w:vAlign w:val="top"/>
          </w:tcPr>
          <w:p>
            <w:pPr>
              <w:pStyle w:val="TableText"/>
              <w:ind w:left="10"/>
              <w:spacing w:before="68" w:line="163" w:lineRule="auto"/>
              <w:rPr/>
            </w:pPr>
            <w:r>
              <w:rPr>
                <w:i/>
                <w:iCs/>
              </w:rPr>
              <w:t>t</w:t>
            </w:r>
          </w:p>
        </w:tc>
        <w:tc>
          <w:tcPr>
            <w:tcW w:w="80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1249" w:type="dxa"/>
            <w:vAlign w:val="top"/>
          </w:tcPr>
          <w:p>
            <w:pPr>
              <w:pStyle w:val="TableText"/>
              <w:ind w:left="458"/>
              <w:spacing w:before="54" w:line="186" w:lineRule="auto"/>
              <w:rPr/>
            </w:pPr>
            <w:r>
              <w:rPr>
                <w:spacing w:val="-4"/>
              </w:rPr>
              <w:t>0.047</w:t>
            </w:r>
          </w:p>
        </w:tc>
        <w:tc>
          <w:tcPr>
            <w:tcW w:w="1211" w:type="dxa"/>
            <w:vAlign w:val="top"/>
          </w:tcPr>
          <w:p>
            <w:pPr>
              <w:pStyle w:val="TableText"/>
              <w:ind w:left="416"/>
              <w:spacing w:before="54" w:line="186" w:lineRule="auto"/>
              <w:rPr/>
            </w:pPr>
            <w:r>
              <w:rPr>
                <w:spacing w:val="-4"/>
              </w:rPr>
              <w:t>24.962</w:t>
            </w:r>
          </w:p>
        </w:tc>
        <w:tc>
          <w:tcPr>
            <w:tcW w:w="822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897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1313" w:type="dxa"/>
            <w:vAlign w:val="top"/>
          </w:tcPr>
          <w:p>
            <w:pPr>
              <w:pStyle w:val="TableText"/>
              <w:ind w:left="527"/>
              <w:spacing w:before="54" w:line="186" w:lineRule="auto"/>
              <w:rPr/>
            </w:pPr>
            <w:r>
              <w:rPr>
                <w:spacing w:val="-5"/>
              </w:rPr>
              <w:t>0.991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442"/>
              <w:spacing w:before="54" w:line="186" w:lineRule="auto"/>
              <w:rPr/>
            </w:pPr>
            <w:r>
              <w:rPr>
                <w:spacing w:val="-8"/>
              </w:rPr>
              <w:t>14.031</w:t>
            </w:r>
          </w:p>
        </w:tc>
        <w:tc>
          <w:tcPr>
            <w:tcW w:w="835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793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9" w:hRule="atLeast"/>
        </w:trPr>
        <w:tc>
          <w:tcPr>
            <w:tcW w:w="62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61" w:line="183" w:lineRule="auto"/>
              <w:rPr/>
            </w:pPr>
            <w:r>
              <w:rPr>
                <w:i/>
                <w:iCs/>
                <w:spacing w:val="5"/>
              </w:rPr>
              <w:t>P</w:t>
            </w:r>
          </w:p>
        </w:tc>
        <w:tc>
          <w:tcPr>
            <w:tcW w:w="801" w:type="dxa"/>
            <w:vAlign w:val="top"/>
            <w:tcBorders>
              <w:bottom w:val="single" w:color="00000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2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58"/>
              <w:spacing w:before="62" w:line="186" w:lineRule="auto"/>
              <w:rPr/>
            </w:pPr>
            <w:r>
              <w:rPr>
                <w:spacing w:val="-5"/>
              </w:rPr>
              <w:t>0.963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95"/>
              <w:spacing w:before="33" w:line="203" w:lineRule="auto"/>
              <w:rPr/>
            </w:pPr>
            <w:r>
              <w:rPr>
                <w:rFonts w:ascii="SimSun" w:hAnsi="SimSun" w:eastAsia="SimSun" w:cs="SimSun"/>
                <w:spacing w:val="6"/>
              </w:rPr>
              <w:t>&lt;</w:t>
            </w:r>
            <w:r>
              <w:rPr>
                <w:spacing w:val="6"/>
              </w:rPr>
              <w:t>0.001</w:t>
            </w:r>
          </w:p>
        </w:tc>
        <w:tc>
          <w:tcPr>
            <w:tcW w:w="822" w:type="dxa"/>
            <w:vAlign w:val="top"/>
            <w:tcBorders>
              <w:bottom w:val="single" w:color="00000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897" w:type="dxa"/>
            <w:vAlign w:val="top"/>
            <w:tcBorders>
              <w:bottom w:val="single" w:color="00000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3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25"/>
              <w:spacing w:before="62" w:line="186" w:lineRule="auto"/>
              <w:rPr/>
            </w:pPr>
            <w:r>
              <w:rPr>
                <w:spacing w:val="-5"/>
              </w:rPr>
              <w:t>0.325</w:t>
            </w:r>
          </w:p>
        </w:tc>
        <w:tc>
          <w:tcPr>
            <w:tcW w:w="122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97"/>
              <w:spacing w:before="33" w:line="203" w:lineRule="auto"/>
              <w:rPr/>
            </w:pPr>
            <w:r>
              <w:rPr>
                <w:rFonts w:ascii="SimSun" w:hAnsi="SimSun" w:eastAsia="SimSun" w:cs="SimSun"/>
                <w:spacing w:val="6"/>
              </w:rPr>
              <w:t>&lt;</w:t>
            </w:r>
            <w:r>
              <w:rPr>
                <w:spacing w:val="6"/>
              </w:rPr>
              <w:t>0.001</w:t>
            </w:r>
          </w:p>
        </w:tc>
        <w:tc>
          <w:tcPr>
            <w:tcW w:w="835" w:type="dxa"/>
            <w:vAlign w:val="top"/>
            <w:tcBorders>
              <w:bottom w:val="single" w:color="00000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793" w:type="dxa"/>
            <w:vAlign w:val="top"/>
            <w:tcBorders>
              <w:bottom w:val="single" w:color="00000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</w:tbl>
    <w:p>
      <w:pPr>
        <w:pStyle w:val="BodyText"/>
        <w:ind w:left="733"/>
        <w:spacing w:before="51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注：</w:t>
      </w:r>
      <w:r>
        <w:rPr>
          <w:spacing w:val="-1"/>
        </w:rPr>
        <w:t>SAS</w:t>
      </w:r>
      <w:r>
        <w:rPr>
          <w:rFonts w:ascii="Microsoft YaHei" w:hAnsi="Microsoft YaHei" w:eastAsia="Microsoft YaHei" w:cs="Microsoft YaHei"/>
          <w:spacing w:val="-1"/>
        </w:rPr>
        <w:t>为焦虑自评量表；</w:t>
      </w:r>
      <w:r>
        <w:rPr>
          <w:spacing w:val="-1"/>
        </w:rPr>
        <w:t>SDS</w:t>
      </w:r>
      <w:r>
        <w:rPr>
          <w:rFonts w:ascii="Microsoft YaHei" w:hAnsi="Microsoft YaHei" w:eastAsia="Microsoft YaHei" w:cs="Microsoft YaHei"/>
          <w:spacing w:val="-1"/>
        </w:rPr>
        <w:t>为抑郁自评量表</w:t>
      </w:r>
    </w:p>
    <w:p>
      <w:pPr>
        <w:pStyle w:val="BodyText"/>
        <w:ind w:left="4130"/>
        <w:spacing w:before="81" w:line="190" w:lineRule="auto"/>
        <w:outlineLvl w:val="0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D2088"/>
        </w:rPr>
        <w:t>表3  比较两组的护理依从性[</w:t>
      </w:r>
      <w:r>
        <w:rPr>
          <w:sz w:val="18"/>
          <w:szCs w:val="18"/>
          <w:i/>
          <w:iCs/>
          <w:color w:val="1D2088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1D2088"/>
        </w:rPr>
        <w:t>（%）]</w:t>
      </w:r>
    </w:p>
    <w:tbl>
      <w:tblPr>
        <w:tblStyle w:val="TableNormal"/>
        <w:tblW w:w="9756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1"/>
        <w:gridCol w:w="1053"/>
        <w:gridCol w:w="1811"/>
        <w:gridCol w:w="2083"/>
        <w:gridCol w:w="2060"/>
        <w:gridCol w:w="2118"/>
      </w:tblGrid>
      <w:tr>
        <w:trPr>
          <w:trHeight w:val="212" w:hRule="atLeast"/>
        </w:trPr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8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组别</w:t>
            </w:r>
          </w:p>
        </w:tc>
        <w:tc>
          <w:tcPr>
            <w:tcW w:w="105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315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例数</w:t>
            </w:r>
          </w:p>
        </w:tc>
        <w:tc>
          <w:tcPr>
            <w:tcW w:w="181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474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完全依从</w:t>
            </w:r>
          </w:p>
        </w:tc>
        <w:tc>
          <w:tcPr>
            <w:tcW w:w="208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744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部分依从</w:t>
            </w:r>
          </w:p>
        </w:tc>
        <w:tc>
          <w:tcPr>
            <w:tcW w:w="206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824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  <w:w w:val="98"/>
              </w:rPr>
              <w:t>不依从</w:t>
            </w:r>
          </w:p>
        </w:tc>
        <w:tc>
          <w:tcPr>
            <w:tcW w:w="211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845"/>
              <w:spacing w:before="18" w:line="16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依从率</w:t>
            </w:r>
          </w:p>
        </w:tc>
      </w:tr>
      <w:tr>
        <w:trPr>
          <w:trHeight w:val="209" w:hRule="atLeast"/>
        </w:trPr>
        <w:tc>
          <w:tcPr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A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组</w:t>
            </w:r>
          </w:p>
        </w:tc>
        <w:tc>
          <w:tcPr>
            <w:tcW w:w="10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2"/>
              <w:spacing w:before="53" w:line="186" w:lineRule="auto"/>
              <w:rPr/>
            </w:pPr>
            <w:r>
              <w:rPr>
                <w:spacing w:val="-1"/>
              </w:rPr>
              <w:t>40</w:t>
            </w:r>
          </w:p>
        </w:tc>
        <w:tc>
          <w:tcPr>
            <w:tcW w:w="18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8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1"/>
              </w:rPr>
              <w:t>22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（</w:t>
            </w:r>
            <w:r>
              <w:rPr>
                <w:spacing w:val="-11"/>
              </w:rPr>
              <w:t>55.00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）</w:t>
            </w:r>
          </w:p>
        </w:tc>
        <w:tc>
          <w:tcPr>
            <w:tcW w:w="20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17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3"/>
              </w:rPr>
              <w:t>14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（</w:t>
            </w:r>
            <w:r>
              <w:rPr>
                <w:spacing w:val="-13"/>
              </w:rPr>
              <w:t>35.00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）</w:t>
            </w:r>
          </w:p>
        </w:tc>
        <w:tc>
          <w:tcPr>
            <w:tcW w:w="20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36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2"/>
              </w:rPr>
              <w:t>4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（</w:t>
            </w:r>
            <w:r>
              <w:rPr>
                <w:spacing w:val="-12"/>
              </w:rPr>
              <w:t>10.00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）</w:t>
            </w:r>
          </w:p>
        </w:tc>
        <w:tc>
          <w:tcPr>
            <w:tcW w:w="21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16"/>
              <w:spacing w:before="18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0"/>
              </w:rPr>
              <w:t>36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（</w:t>
            </w:r>
            <w:r>
              <w:rPr>
                <w:spacing w:val="-10"/>
              </w:rPr>
              <w:t>90.00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）</w:t>
            </w:r>
          </w:p>
        </w:tc>
      </w:tr>
      <w:tr>
        <w:trPr>
          <w:trHeight w:val="211" w:hRule="atLeast"/>
        </w:trPr>
        <w:tc>
          <w:tcPr>
            <w:tcW w:w="631" w:type="dxa"/>
            <w:vAlign w:val="top"/>
          </w:tcPr>
          <w:p>
            <w:pPr>
              <w:pStyle w:val="TableText"/>
              <w:ind w:left="8"/>
              <w:spacing w:before="26" w:line="17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2"/>
                <w:position w:val="-1"/>
              </w:rPr>
              <w:t>B</w:t>
            </w:r>
            <w:r>
              <w:rPr>
                <w:rFonts w:ascii="Microsoft YaHei" w:hAnsi="Microsoft YaHei" w:eastAsia="Microsoft YaHei" w:cs="Microsoft YaHei"/>
                <w:spacing w:val="-2"/>
                <w:position w:val="-1"/>
              </w:rPr>
              <w:t>组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392"/>
              <w:spacing w:before="61" w:line="182" w:lineRule="auto"/>
              <w:rPr/>
            </w:pPr>
            <w:r>
              <w:rPr>
                <w:spacing w:val="-1"/>
              </w:rPr>
              <w:t>40</w:t>
            </w:r>
          </w:p>
        </w:tc>
        <w:tc>
          <w:tcPr>
            <w:tcW w:w="1811" w:type="dxa"/>
            <w:vAlign w:val="top"/>
          </w:tcPr>
          <w:p>
            <w:pPr>
              <w:pStyle w:val="TableText"/>
              <w:ind w:left="448"/>
              <w:spacing w:before="26" w:line="17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3"/>
                <w:position w:val="1"/>
              </w:rPr>
              <w:t>17</w:t>
            </w:r>
            <w:r>
              <w:rPr>
                <w:rFonts w:ascii="Microsoft YaHei" w:hAnsi="Microsoft YaHei" w:eastAsia="Microsoft YaHei" w:cs="Microsoft YaHei"/>
                <w:spacing w:val="-13"/>
                <w:position w:val="1"/>
              </w:rPr>
              <w:t>（</w:t>
            </w:r>
            <w:r>
              <w:rPr>
                <w:spacing w:val="-13"/>
                <w:position w:val="1"/>
              </w:rPr>
              <w:t>42.50</w:t>
            </w:r>
            <w:r>
              <w:rPr>
                <w:rFonts w:ascii="Microsoft YaHei" w:hAnsi="Microsoft YaHei" w:eastAsia="Microsoft YaHei" w:cs="Microsoft YaHei"/>
                <w:spacing w:val="-13"/>
                <w:position w:val="1"/>
              </w:rPr>
              <w:t>）</w:t>
            </w:r>
          </w:p>
        </w:tc>
        <w:tc>
          <w:tcPr>
            <w:tcW w:w="2083" w:type="dxa"/>
            <w:vAlign w:val="top"/>
          </w:tcPr>
          <w:p>
            <w:pPr>
              <w:pStyle w:val="TableText"/>
              <w:ind w:left="712"/>
              <w:spacing w:before="26" w:line="17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2"/>
                <w:position w:val="1"/>
              </w:rPr>
              <w:t>10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（</w:t>
            </w:r>
            <w:r>
              <w:rPr>
                <w:spacing w:val="-12"/>
                <w:position w:val="1"/>
              </w:rPr>
              <w:t>25.00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）</w:t>
            </w:r>
          </w:p>
        </w:tc>
        <w:tc>
          <w:tcPr>
            <w:tcW w:w="2060" w:type="dxa"/>
            <w:vAlign w:val="top"/>
          </w:tcPr>
          <w:p>
            <w:pPr>
              <w:pStyle w:val="TableText"/>
              <w:ind w:left="713"/>
              <w:spacing w:before="26" w:line="17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2"/>
                <w:position w:val="1"/>
              </w:rPr>
              <w:t>13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（</w:t>
            </w:r>
            <w:r>
              <w:rPr>
                <w:spacing w:val="-12"/>
                <w:position w:val="1"/>
              </w:rPr>
              <w:t>32.50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）</w:t>
            </w:r>
          </w:p>
        </w:tc>
        <w:tc>
          <w:tcPr>
            <w:tcW w:w="2118" w:type="dxa"/>
            <w:vAlign w:val="top"/>
          </w:tcPr>
          <w:p>
            <w:pPr>
              <w:pStyle w:val="TableText"/>
              <w:ind w:left="725"/>
              <w:spacing w:before="26" w:line="17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2"/>
                <w:position w:val="1"/>
              </w:rPr>
              <w:t>27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（</w:t>
            </w:r>
            <w:r>
              <w:rPr>
                <w:spacing w:val="-12"/>
                <w:position w:val="1"/>
              </w:rPr>
              <w:t>67.50</w:t>
            </w:r>
            <w:r>
              <w:rPr>
                <w:rFonts w:ascii="Microsoft YaHei" w:hAnsi="Microsoft YaHei" w:eastAsia="Microsoft YaHei" w:cs="Microsoft YaHei"/>
                <w:spacing w:val="-12"/>
                <w:position w:val="1"/>
              </w:rPr>
              <w:t>）</w:t>
            </w:r>
          </w:p>
        </w:tc>
      </w:tr>
      <w:tr>
        <w:trPr>
          <w:trHeight w:val="221" w:hRule="atLeast"/>
        </w:trPr>
        <w:tc>
          <w:tcPr>
            <w:tcW w:w="631" w:type="dxa"/>
            <w:vAlign w:val="top"/>
          </w:tcPr>
          <w:p>
            <w:pPr>
              <w:pStyle w:val="TableText"/>
              <w:ind w:right="509" w:firstLine="76"/>
              <w:spacing w:before="34" w:line="143" w:lineRule="auto"/>
              <w:rPr/>
            </w:pPr>
            <w:r>
              <w:rPr>
                <w:sz w:val="9"/>
                <w:szCs w:val="9"/>
                <w:spacing w:val="-1"/>
              </w:rPr>
              <w:t>2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i/>
                <w:iCs/>
                <w:spacing w:val="5"/>
              </w:rPr>
              <w:t>x</w:t>
            </w:r>
          </w:p>
        </w:tc>
        <w:tc>
          <w:tcPr>
            <w:tcW w:w="1053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1811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2083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2060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8" w:type="dxa"/>
            <w:vAlign w:val="top"/>
          </w:tcPr>
          <w:p>
            <w:pPr>
              <w:pStyle w:val="TableText"/>
              <w:ind w:left="913"/>
              <w:spacing w:before="67" w:line="186" w:lineRule="auto"/>
              <w:rPr/>
            </w:pPr>
            <w:r>
              <w:rPr>
                <w:spacing w:val="-4"/>
              </w:rPr>
              <w:t>6.050</w:t>
            </w:r>
          </w:p>
        </w:tc>
      </w:tr>
      <w:tr>
        <w:trPr>
          <w:trHeight w:val="219" w:hRule="atLeast"/>
        </w:trPr>
        <w:tc>
          <w:tcPr>
            <w:tcW w:w="63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"/>
              <w:spacing w:before="61" w:line="183" w:lineRule="auto"/>
              <w:rPr/>
            </w:pPr>
            <w:r>
              <w:rPr>
                <w:i/>
                <w:iCs/>
                <w:spacing w:val="5"/>
              </w:rPr>
              <w:t>P</w:t>
            </w:r>
          </w:p>
        </w:tc>
        <w:tc>
          <w:tcPr>
            <w:tcW w:w="1053" w:type="dxa"/>
            <w:vAlign w:val="top"/>
            <w:tcBorders>
              <w:bottom w:val="single" w:color="00000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811" w:type="dxa"/>
            <w:vAlign w:val="top"/>
            <w:tcBorders>
              <w:bottom w:val="single" w:color="00000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083" w:type="dxa"/>
            <w:vAlign w:val="top"/>
            <w:tcBorders>
              <w:bottom w:val="single" w:color="00000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060" w:type="dxa"/>
            <w:vAlign w:val="top"/>
            <w:tcBorders>
              <w:bottom w:val="single" w:color="000000" w:sz="4" w:space="0"/>
            </w:tcBorders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1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20"/>
              <w:spacing w:before="62" w:line="186" w:lineRule="auto"/>
              <w:rPr/>
            </w:pPr>
            <w:r>
              <w:rPr>
                <w:spacing w:val="-6"/>
              </w:rPr>
              <w:t>0.014</w:t>
            </w:r>
          </w:p>
        </w:tc>
      </w:tr>
    </w:tbl>
    <w:p>
      <w:pPr>
        <w:pStyle w:val="BodyText"/>
        <w:ind w:left="3621"/>
        <w:spacing w:before="105" w:line="19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2" style="position:absolute;margin-left:353.997pt;margin-top:6.88311pt;mso-position-vertical-relative:text;mso-position-horizontal-relative:text;width:4pt;height:0.45pt;z-index:-251656192;" filled="false" strokecolor="#1D2088" strokeweight="0.43pt" coordsize="80,8" coordorigin="0,0" path="m0,4l79,4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-1"/>
        </w:rPr>
        <w:t>表4  比较两组护理后的急性症状控制时间（</w: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-11"/>
        </w:rPr>
        <w:t xml:space="preserve"> </w:t>
      </w:r>
      <w:r>
        <w:rPr>
          <w:sz w:val="18"/>
          <w:szCs w:val="18"/>
          <w:i/>
          <w:iCs/>
          <w:color w:val="1D2088"/>
          <w:spacing w:val="-1"/>
        </w:rPr>
        <w:t>x</w:t>
      </w:r>
      <w:r>
        <w:rPr>
          <w:sz w:val="18"/>
          <w:szCs w:val="18"/>
          <w:i/>
          <w:iCs/>
          <w:color w:val="1D2088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-1"/>
        </w:rPr>
        <w:t>±</w:t>
      </w:r>
      <w:r>
        <w:rPr>
          <w:sz w:val="18"/>
          <w:szCs w:val="18"/>
          <w:i/>
          <w:iCs/>
          <w:color w:val="1D2088"/>
          <w:spacing w:val="-1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-1"/>
        </w:rPr>
        <w:t>）</w:t>
      </w:r>
    </w:p>
    <w:tbl>
      <w:tblPr>
        <w:tblStyle w:val="TableNormal"/>
        <w:tblW w:w="9755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7"/>
        <w:gridCol w:w="3321"/>
        <w:gridCol w:w="4857"/>
      </w:tblGrid>
      <w:tr>
        <w:trPr>
          <w:trHeight w:val="211" w:hRule="atLeast"/>
        </w:trPr>
        <w:tc>
          <w:tcPr>
            <w:tcW w:w="157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7"/>
              <w:spacing w:before="19" w:line="15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组别</w:t>
            </w:r>
          </w:p>
        </w:tc>
        <w:tc>
          <w:tcPr>
            <w:tcW w:w="332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263"/>
              <w:spacing w:before="19" w:line="15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例数</w:t>
            </w:r>
          </w:p>
        </w:tc>
        <w:tc>
          <w:tcPr>
            <w:tcW w:w="485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1750"/>
              <w:spacing w:before="19" w:line="15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9"/>
              </w:rPr>
              <w:t>急性症状控制时间（</w:t>
            </w:r>
            <w:r>
              <w:rPr>
                <w:spacing w:val="-9"/>
              </w:rPr>
              <w:t>min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）</w:t>
            </w:r>
          </w:p>
        </w:tc>
      </w:tr>
      <w:tr>
        <w:trPr>
          <w:trHeight w:val="209" w:hRule="atLeast"/>
        </w:trPr>
        <w:tc>
          <w:tcPr>
            <w:tcW w:w="15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"/>
              <w:spacing w:before="19"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A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组</w:t>
            </w:r>
          </w:p>
        </w:tc>
        <w:tc>
          <w:tcPr>
            <w:tcW w:w="33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40"/>
              <w:spacing w:before="54" w:line="186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48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48"/>
              <w:spacing w:before="24" w:line="201" w:lineRule="auto"/>
              <w:rPr/>
            </w:pPr>
            <w:r>
              <w:rPr>
                <w:spacing w:val="-8"/>
              </w:rPr>
              <w:t>35.04</w:t>
            </w:r>
            <w:r>
              <w:rPr>
                <w:rFonts w:ascii="SimSun" w:hAnsi="SimSun" w:eastAsia="SimSun" w:cs="SimSun"/>
                <w:spacing w:val="-8"/>
              </w:rPr>
              <w:t>±</w:t>
            </w:r>
            <w:r>
              <w:rPr>
                <w:spacing w:val="-8"/>
              </w:rPr>
              <w:t>1.63</w:t>
            </w:r>
          </w:p>
        </w:tc>
      </w:tr>
      <w:tr>
        <w:trPr>
          <w:trHeight w:val="224" w:hRule="atLeast"/>
        </w:trPr>
        <w:tc>
          <w:tcPr>
            <w:tcW w:w="1577" w:type="dxa"/>
            <w:vAlign w:val="top"/>
          </w:tcPr>
          <w:p>
            <w:pPr>
              <w:pStyle w:val="TableText"/>
              <w:ind w:left="6"/>
              <w:spacing w:before="26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2"/>
              </w:rPr>
              <w:t>B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组</w:t>
            </w:r>
          </w:p>
        </w:tc>
        <w:tc>
          <w:tcPr>
            <w:tcW w:w="3321" w:type="dxa"/>
            <w:vAlign w:val="top"/>
          </w:tcPr>
          <w:p>
            <w:pPr>
              <w:pStyle w:val="TableText"/>
              <w:ind w:left="1340"/>
              <w:spacing w:before="61" w:line="186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239"/>
              <w:spacing w:before="31" w:line="210" w:lineRule="auto"/>
              <w:rPr/>
            </w:pPr>
            <w:r>
              <w:rPr>
                <w:spacing w:val="-7"/>
              </w:rPr>
              <w:t>49.51</w:t>
            </w:r>
            <w:r>
              <w:rPr>
                <w:rFonts w:ascii="SimSun" w:hAnsi="SimSun" w:eastAsia="SimSun" w:cs="SimSun"/>
                <w:spacing w:val="-7"/>
              </w:rPr>
              <w:t>±</w:t>
            </w:r>
            <w:r>
              <w:rPr>
                <w:spacing w:val="-7"/>
              </w:rPr>
              <w:t>2.68</w:t>
            </w:r>
          </w:p>
        </w:tc>
      </w:tr>
      <w:tr>
        <w:trPr>
          <w:trHeight w:val="208" w:hRule="atLeast"/>
        </w:trPr>
        <w:tc>
          <w:tcPr>
            <w:tcW w:w="1577" w:type="dxa"/>
            <w:vAlign w:val="top"/>
          </w:tcPr>
          <w:p>
            <w:pPr>
              <w:pStyle w:val="TableText"/>
              <w:ind w:left="10"/>
              <w:spacing w:before="68" w:line="162" w:lineRule="auto"/>
              <w:rPr/>
            </w:pPr>
            <w:r>
              <w:rPr>
                <w:i/>
                <w:iCs/>
              </w:rPr>
              <w:t>t</w:t>
            </w:r>
          </w:p>
        </w:tc>
        <w:tc>
          <w:tcPr>
            <w:tcW w:w="3321" w:type="dxa"/>
            <w:vAlign w:val="top"/>
          </w:tcPr>
          <w:p>
            <w:pPr>
              <w:spacing w:line="198" w:lineRule="exact"/>
              <w:rPr>
                <w:rFonts w:ascii="Arial"/>
                <w:sz w:val="17"/>
              </w:rPr>
            </w:pPr>
            <w:r/>
          </w:p>
        </w:tc>
        <w:tc>
          <w:tcPr>
            <w:tcW w:w="4857" w:type="dxa"/>
            <w:vAlign w:val="top"/>
          </w:tcPr>
          <w:p>
            <w:pPr>
              <w:pStyle w:val="TableText"/>
              <w:ind w:left="2412"/>
              <w:spacing w:before="53" w:line="186" w:lineRule="auto"/>
              <w:rPr/>
            </w:pPr>
            <w:r>
              <w:rPr>
                <w:spacing w:val="-8"/>
              </w:rPr>
              <w:t>29.175</w:t>
            </w:r>
          </w:p>
        </w:tc>
      </w:tr>
      <w:tr>
        <w:trPr>
          <w:trHeight w:val="219" w:hRule="atLeast"/>
        </w:trPr>
        <w:tc>
          <w:tcPr>
            <w:tcW w:w="157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61" w:line="183" w:lineRule="auto"/>
              <w:rPr/>
            </w:pPr>
            <w:r>
              <w:rPr>
                <w:i/>
                <w:iCs/>
                <w:spacing w:val="5"/>
              </w:rPr>
              <w:t>P</w:t>
            </w:r>
          </w:p>
        </w:tc>
        <w:tc>
          <w:tcPr>
            <w:tcW w:w="3321" w:type="dxa"/>
            <w:vAlign w:val="top"/>
            <w:tcBorders>
              <w:bottom w:val="single" w:color="000000" w:sz="4" w:space="0"/>
            </w:tcBorders>
          </w:tcPr>
          <w:p>
            <w:pPr>
              <w:spacing w:line="209" w:lineRule="exact"/>
              <w:rPr>
                <w:rFonts w:ascii="Arial"/>
                <w:sz w:val="18"/>
              </w:rPr>
            </w:pPr>
            <w:r/>
          </w:p>
        </w:tc>
        <w:tc>
          <w:tcPr>
            <w:tcW w:w="48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77"/>
              <w:spacing w:before="33" w:line="203" w:lineRule="auto"/>
              <w:rPr/>
            </w:pPr>
            <w:r>
              <w:rPr>
                <w:rFonts w:ascii="SimSun" w:hAnsi="SimSun" w:eastAsia="SimSun" w:cs="SimSun"/>
                <w:spacing w:val="6"/>
              </w:rPr>
              <w:t>&lt;</w:t>
            </w:r>
            <w:r>
              <w:rPr>
                <w:spacing w:val="6"/>
              </w:rPr>
              <w:t>0.001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1236" w:right="1006" w:bottom="0" w:left="407" w:header="990" w:footer="0" w:gutter="0"/>
          <w:cols w:equalWidth="0" w:num="1">
            <w:col w:w="1049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201"/>
        <w:rPr/>
      </w:pPr>
      <w:r/>
    </w:p>
    <w:p>
      <w:pPr>
        <w:sectPr>
          <w:headerReference w:type="default" r:id="rId3"/>
          <w:pgSz w:w="11906" w:h="16158"/>
          <w:pgMar w:top="1236" w:right="1125" w:bottom="0" w:left="407" w:header="990" w:footer="0" w:gutter="0"/>
          <w:cols w:equalWidth="0" w:num="1">
            <w:col w:w="10373" w:space="0"/>
          </w:cols>
        </w:sectPr>
        <w:rPr/>
      </w:pPr>
    </w:p>
    <w:p>
      <w:pPr>
        <w:ind w:left="620"/>
        <w:spacing w:before="47" w:line="16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D208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1D2088"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D2088"/>
        </w:rPr>
        <w:t>讨论</w:t>
      </w:r>
    </w:p>
    <w:p>
      <w:pPr>
        <w:pStyle w:val="BodyText"/>
        <w:ind w:left="616" w:right="175" w:firstLine="362"/>
        <w:spacing w:before="4" w:line="17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急性肠胃炎作为一种急性的胃肠黏膜炎症，其在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临床中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较为常见，多发季节是夏春秋三季。伴随人们生活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水平的提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高，急性肠胃炎的发作多可归因于生活中饮食不规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律。其临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床表现为食欲低下、恶心、呕吐、腹痛、腹泻等</w:t>
      </w:r>
      <w:r>
        <w:rPr>
          <w:sz w:val="10"/>
          <w:szCs w:val="10"/>
          <w:spacing w:val="2"/>
          <w:position w:val="8"/>
        </w:rPr>
        <w:t>[14-17]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。年龄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在</w:t>
      </w:r>
      <w:r>
        <w:rPr>
          <w:rFonts w:ascii="Microsoft YaHei" w:hAnsi="Microsoft YaHei" w:eastAsia="Microsoft YaHei" w:cs="Microsoft YaHei"/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1"/>
        </w:rPr>
        <w:t>14</w:t>
      </w:r>
      <w:r>
        <w:rPr>
          <w:rFonts w:ascii="SimSun" w:hAnsi="SimSun" w:eastAsia="SimSun" w:cs="SimSun"/>
          <w:sz w:val="18"/>
          <w:szCs w:val="18"/>
          <w:spacing w:val="1"/>
        </w:rPr>
        <w:t>～</w:t>
      </w:r>
      <w:r>
        <w:rPr>
          <w:sz w:val="18"/>
          <w:szCs w:val="18"/>
          <w:spacing w:val="1"/>
        </w:rPr>
        <w:t>17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岁的青少年对于急性肠胃炎缺乏正确的认识</w:t>
      </w:r>
      <w:r>
        <w:rPr>
          <w:rFonts w:ascii="Microsoft YaHei" w:hAnsi="Microsoft YaHei" w:eastAsia="Microsoft YaHei" w:cs="Microsoft YaHei"/>
          <w:sz w:val="18"/>
          <w:szCs w:val="18"/>
        </w:rPr>
        <w:t>，加之 </w:t>
      </w:r>
      <w:r>
        <w:rPr>
          <w:rFonts w:ascii="Microsoft YaHei" w:hAnsi="Microsoft YaHei" w:eastAsia="Microsoft YaHei" w:cs="Microsoft YaHei"/>
          <w:sz w:val="18"/>
          <w:szCs w:val="18"/>
        </w:rPr>
        <w:t>未能养成健康的饮食习惯，因而极易发生急性肠胃炎</w:t>
      </w:r>
      <w:r>
        <w:rPr>
          <w:sz w:val="10"/>
          <w:szCs w:val="10"/>
          <w:position w:val="8"/>
        </w:rPr>
        <w:t>[18-20]</w:t>
      </w:r>
      <w:r>
        <w:rPr>
          <w:rFonts w:ascii="Microsoft YaHei" w:hAnsi="Microsoft YaHei" w:eastAsia="Microsoft YaHei" w:cs="Microsoft YaHei"/>
          <w:sz w:val="18"/>
          <w:szCs w:val="18"/>
        </w:rPr>
        <w:t>。</w:t>
      </w:r>
    </w:p>
    <w:p>
      <w:pPr>
        <w:pStyle w:val="BodyText"/>
        <w:ind w:left="615" w:right="174" w:firstLine="359"/>
        <w:spacing w:before="3" w:line="17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关于优质护理在急性肠胃炎患者护理中的作用研究，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吴海静等</w:t>
      </w:r>
      <w:r>
        <w:rPr>
          <w:sz w:val="10"/>
          <w:szCs w:val="10"/>
          <w:spacing w:val="4"/>
          <w:position w:val="8"/>
        </w:rPr>
        <w:t>[21]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学者在研究的过程中，其选取医院收治的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4"/>
        </w:rPr>
        <w:t>120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急性肠胃炎患者为对象，分析了常规护理和优质护理的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应用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效果，显示优质护理应用后，其护理有效率和满意度分别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为</w:t>
      </w:r>
      <w:r>
        <w:rPr>
          <w:sz w:val="18"/>
          <w:szCs w:val="18"/>
          <w:spacing w:val="1"/>
        </w:rPr>
        <w:t>96.70%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</w:t>
      </w:r>
      <w:r>
        <w:rPr>
          <w:sz w:val="18"/>
          <w:szCs w:val="18"/>
          <w:spacing w:val="1"/>
        </w:rPr>
        <w:t>98.30%</w:t>
      </w:r>
      <w:r>
        <w:rPr>
          <w:sz w:val="18"/>
          <w:szCs w:val="18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，远高于常规护理</w:t>
      </w:r>
      <w:r>
        <w:rPr>
          <w:sz w:val="18"/>
          <w:szCs w:val="18"/>
          <w:spacing w:val="1"/>
        </w:rPr>
        <w:t>78.30%</w:t>
      </w:r>
      <w:r>
        <w:rPr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</w:t>
      </w:r>
      <w:r>
        <w:rPr>
          <w:sz w:val="18"/>
          <w:szCs w:val="18"/>
          <w:spacing w:val="1"/>
        </w:rPr>
        <w:t>66.70%</w:t>
      </w:r>
      <w:r>
        <w:rPr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。王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超等</w:t>
      </w:r>
      <w:r>
        <w:rPr>
          <w:sz w:val="10"/>
          <w:szCs w:val="10"/>
          <w:spacing w:val="2"/>
          <w:position w:val="8"/>
        </w:rPr>
        <w:t>[22]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在研究的过程中，其选取急诊科收治的急性肠胃炎患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者为观察对象，分析了常规与优质护理对护理满意度影响，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结果显示优质护理的满意度可达到</w:t>
      </w:r>
      <w:r>
        <w:rPr>
          <w:sz w:val="18"/>
          <w:szCs w:val="18"/>
          <w:spacing w:val="6"/>
        </w:rPr>
        <w:t>98.00%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，高于常规护理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的满意度。本研究选取本校卫生所收治的年龄在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7"/>
        </w:rPr>
        <w:t>14</w:t>
      </w:r>
      <w:r>
        <w:rPr>
          <w:rFonts w:ascii="SimSun" w:hAnsi="SimSun" w:eastAsia="SimSun" w:cs="SimSun"/>
          <w:sz w:val="18"/>
          <w:szCs w:val="18"/>
          <w:spacing w:val="7"/>
        </w:rPr>
        <w:t>～</w:t>
      </w:r>
      <w:r>
        <w:rPr>
          <w:sz w:val="18"/>
          <w:szCs w:val="18"/>
          <w:spacing w:val="7"/>
        </w:rPr>
        <w:t>17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的急性肠胃炎青少年为对象，分析了优质护理的作用，结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果显示，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组护理满意度（ </w:t>
      </w:r>
      <w:r>
        <w:rPr>
          <w:sz w:val="18"/>
          <w:szCs w:val="18"/>
          <w:spacing w:val="2"/>
        </w:rPr>
        <w:t>92.50%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）较</w:t>
      </w:r>
      <w:r>
        <w:rPr>
          <w:sz w:val="18"/>
          <w:szCs w:val="18"/>
          <w:spacing w:val="2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组（ </w:t>
      </w:r>
      <w:r>
        <w:rPr>
          <w:sz w:val="18"/>
          <w:szCs w:val="18"/>
          <w:spacing w:val="1"/>
        </w:rPr>
        <w:t>70.00%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）显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著更高（ </w:t>
      </w:r>
      <w:r>
        <w:rPr>
          <w:sz w:val="18"/>
          <w:szCs w:val="18"/>
          <w:i/>
          <w:iCs/>
          <w:spacing w:val="6"/>
        </w:rPr>
        <w:t>P</w:t>
      </w:r>
      <w:r>
        <w:rPr>
          <w:rFonts w:ascii="SimSun" w:hAnsi="SimSun" w:eastAsia="SimSun" w:cs="SimSun"/>
          <w:sz w:val="18"/>
          <w:szCs w:val="18"/>
          <w:spacing w:val="6"/>
        </w:rPr>
        <w:t>＜</w:t>
      </w:r>
      <w:r>
        <w:rPr>
          <w:sz w:val="18"/>
          <w:szCs w:val="18"/>
          <w:spacing w:val="6"/>
        </w:rPr>
        <w:t>0.05</w:t>
      </w:r>
      <w:r>
        <w:rPr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）。可揭示， 在对急性肠胃炎青少年患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" w:firstLine="12"/>
        <w:spacing w:before="37" w:line="175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者展开护理时，优质护理的应用可以提高青少年对学校卫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生所人员展开相应护理工作的护理满意度。此外，护理后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两组的</w:t>
      </w:r>
      <w:r>
        <w:rPr>
          <w:sz w:val="18"/>
          <w:szCs w:val="18"/>
        </w:rPr>
        <w:t>SAS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</w:t>
      </w:r>
      <w:r>
        <w:rPr>
          <w:sz w:val="18"/>
          <w:szCs w:val="18"/>
        </w:rPr>
        <w:t>SDS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评分均较护理前显著降低，且</w:t>
      </w:r>
      <w:r>
        <w:rPr>
          <w:sz w:val="18"/>
          <w:szCs w:val="18"/>
          <w:spacing w:val="9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组较</w:t>
      </w:r>
      <w:r>
        <w:rPr>
          <w:sz w:val="18"/>
          <w:szCs w:val="18"/>
          <w:spacing w:val="9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显著更低（ </w:t>
      </w:r>
      <w:r>
        <w:rPr>
          <w:sz w:val="18"/>
          <w:szCs w:val="18"/>
          <w:i/>
          <w:iCs/>
          <w:spacing w:val="2"/>
        </w:rPr>
        <w:t>P</w:t>
      </w:r>
      <w:r>
        <w:rPr>
          <w:rFonts w:ascii="SimSun" w:hAnsi="SimSun" w:eastAsia="SimSun" w:cs="SimSun"/>
          <w:sz w:val="18"/>
          <w:szCs w:val="18"/>
          <w:spacing w:val="2"/>
        </w:rPr>
        <w:t>＜</w:t>
      </w:r>
      <w:r>
        <w:rPr>
          <w:sz w:val="18"/>
          <w:szCs w:val="18"/>
          <w:spacing w:val="2"/>
        </w:rPr>
        <w:t>0.05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）。</w:t>
      </w:r>
      <w:r>
        <w:rPr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组护理依从性（ </w:t>
      </w:r>
      <w:r>
        <w:rPr>
          <w:sz w:val="18"/>
          <w:szCs w:val="18"/>
          <w:spacing w:val="2"/>
        </w:rPr>
        <w:t>90.00%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）较</w:t>
      </w:r>
      <w:r>
        <w:rPr>
          <w:sz w:val="18"/>
          <w:szCs w:val="18"/>
          <w:spacing w:val="2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组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67.50%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）显著更高（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i/>
          <w:iCs/>
          <w:spacing w:val="-2"/>
        </w:rPr>
        <w:t>P</w:t>
      </w:r>
      <w:r>
        <w:rPr>
          <w:rFonts w:ascii="SimSun" w:hAnsi="SimSun" w:eastAsia="SimSun" w:cs="SimSun"/>
          <w:sz w:val="18"/>
          <w:szCs w:val="18"/>
          <w:spacing w:val="-2"/>
        </w:rPr>
        <w:t>＜</w:t>
      </w:r>
      <w:r>
        <w:rPr>
          <w:sz w:val="18"/>
          <w:szCs w:val="18"/>
          <w:spacing w:val="-2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）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。</w:t>
      </w:r>
      <w:r>
        <w:rPr>
          <w:sz w:val="18"/>
          <w:szCs w:val="18"/>
          <w:spacing w:val="-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组急性症状控制时间显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著短于</w:t>
      </w:r>
      <w:r>
        <w:rPr>
          <w:sz w:val="18"/>
          <w:szCs w:val="18"/>
        </w:rPr>
        <w:t>B</w:t>
      </w:r>
      <w:r>
        <w:rPr>
          <w:rFonts w:ascii="Microsoft YaHei" w:hAnsi="Microsoft YaHei" w:eastAsia="Microsoft YaHei" w:cs="Microsoft YaHei"/>
          <w:sz w:val="18"/>
          <w:szCs w:val="18"/>
        </w:rPr>
        <w:t>组（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sz w:val="18"/>
          <w:szCs w:val="18"/>
          <w:i/>
          <w:iCs/>
        </w:rPr>
        <w:t>P</w:t>
      </w:r>
      <w:r>
        <w:rPr>
          <w:rFonts w:ascii="SimSun" w:hAnsi="SimSun" w:eastAsia="SimSun" w:cs="SimSun"/>
          <w:sz w:val="18"/>
          <w:szCs w:val="18"/>
        </w:rPr>
        <w:t>＜</w:t>
      </w:r>
      <w:r>
        <w:rPr>
          <w:sz w:val="18"/>
          <w:szCs w:val="18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</w:rPr>
        <w:t>）。这提示，相比于常规护理，在急性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肠胃炎青少年护理中应用优质护理可以缓解青少年的心理负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向情绪，同时还能够提高青少年的护理依从性，进而对于改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善其临床症状等有重要的作用。优质护理应用于急性肠胃炎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患者中，之所以能够起到较好的护理效果，其原因在于这一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护理方式在应用的过程中，其护理的内容较为全面，不仅涉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及健康教育，而且涉及心理护理、环境护理、饮食护理等，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因而不仅可以提高青少年对疾病的认识，而且可以指导青少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年如何采取正确的措施应对急性肠胃炎</w:t>
      </w:r>
      <w:r>
        <w:rPr>
          <w:sz w:val="10"/>
          <w:szCs w:val="10"/>
          <w:spacing w:val="1"/>
          <w:position w:val="8"/>
        </w:rPr>
        <w:t>[23-</w:t>
      </w:r>
      <w:r>
        <w:rPr>
          <w:sz w:val="10"/>
          <w:szCs w:val="10"/>
          <w:position w:val="8"/>
        </w:rPr>
        <w:t>28]</w:t>
      </w:r>
      <w:r>
        <w:rPr>
          <w:rFonts w:ascii="Microsoft YaHei" w:hAnsi="Microsoft YaHei" w:eastAsia="Microsoft YaHei" w:cs="Microsoft YaHei"/>
          <w:sz w:val="18"/>
          <w:szCs w:val="18"/>
        </w:rPr>
        <w:t>。</w:t>
      </w:r>
    </w:p>
    <w:p>
      <w:pPr>
        <w:ind w:left="10" w:right="8" w:firstLine="359"/>
        <w:spacing w:before="3" w:line="18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综上所述，对学校卫生所收治的急性肠胃炎青少年，采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用优质护理的患者护理满意度高，而且在缓解青少年心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理负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面情绪方面有明显的作用，也有效提高青少年的护理依从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性，缩减急性症状控制时间。</w:t>
      </w:r>
    </w:p>
    <w:p>
      <w:pPr>
        <w:pStyle w:val="BodyText"/>
        <w:ind w:left="168"/>
        <w:spacing w:before="21" w:line="19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（收稿日期：</w:t>
      </w:r>
      <w:r>
        <w:rPr>
          <w:sz w:val="15"/>
          <w:szCs w:val="15"/>
        </w:rPr>
        <w:t>2022-06-06</w:t>
      </w:r>
      <w:r>
        <w:rPr>
          <w:rFonts w:ascii="Microsoft YaHei" w:hAnsi="Microsoft YaHei" w:eastAsia="Microsoft YaHei" w:cs="Microsoft YaHei"/>
          <w:sz w:val="15"/>
          <w:szCs w:val="15"/>
        </w:rPr>
        <w:t>；修回日期：</w:t>
      </w:r>
      <w:r>
        <w:rPr>
          <w:sz w:val="15"/>
          <w:szCs w:val="15"/>
        </w:rPr>
        <w:t>2022-0</w:t>
      </w:r>
      <w:r>
        <w:rPr>
          <w:sz w:val="15"/>
          <w:szCs w:val="15"/>
          <w:spacing w:val="-1"/>
        </w:rPr>
        <w:t>7-12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；编辑：赵欣欣）</w:t>
      </w:r>
    </w:p>
    <w:p>
      <w:pPr>
        <w:spacing w:line="196" w:lineRule="auto"/>
        <w:sectPr>
          <w:type w:val="continuous"/>
          <w:pgSz w:w="11906" w:h="16158"/>
          <w:pgMar w:top="1236" w:right="1125" w:bottom="0" w:left="407" w:header="990" w:footer="0" w:gutter="0"/>
          <w:cols w:equalWidth="0" w:num="2">
            <w:col w:w="5523" w:space="100"/>
            <w:col w:w="4751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ind w:left="616"/>
        <w:spacing w:before="211" w:line="20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D2088"/>
          <w:spacing w:val="-1"/>
        </w:rPr>
        <w:t>参考文献</w:t>
      </w:r>
    </w:p>
    <w:p>
      <w:pPr>
        <w:pStyle w:val="BodyText"/>
        <w:ind w:left="625"/>
        <w:spacing w:before="18" w:line="216" w:lineRule="auto"/>
        <w:rPr/>
      </w:pPr>
      <w:r>
        <w:rPr/>
        <w:t>[1]     </w:t>
      </w:r>
      <w:r>
        <w:rPr>
          <w:rFonts w:ascii="KaiTi" w:hAnsi="KaiTi" w:eastAsia="KaiTi" w:cs="KaiTi"/>
        </w:rPr>
        <w:t>冷淑杰</w:t>
      </w:r>
      <w:r>
        <w:rPr/>
        <w:t>.</w:t>
      </w:r>
      <w:r>
        <w:rPr>
          <w:rFonts w:ascii="KaiTi" w:hAnsi="KaiTi" w:eastAsia="KaiTi" w:cs="KaiTi"/>
        </w:rPr>
        <w:t>优质护理对急性肠胃炎患者的临床效果分析</w:t>
      </w:r>
      <w:r>
        <w:rPr/>
        <w:t>[J].</w:t>
      </w:r>
      <w:r>
        <w:rPr>
          <w:rFonts w:ascii="KaiTi" w:hAnsi="KaiTi" w:eastAsia="KaiTi" w:cs="KaiTi"/>
        </w:rPr>
        <w:t>科学养生</w:t>
      </w:r>
      <w:r>
        <w:rPr/>
        <w:t>,2021,24(2):124.</w:t>
      </w:r>
    </w:p>
    <w:p>
      <w:pPr>
        <w:pStyle w:val="BodyText"/>
        <w:ind w:left="625"/>
        <w:spacing w:before="33" w:line="216" w:lineRule="auto"/>
        <w:rPr/>
      </w:pPr>
      <w:r>
        <w:rPr/>
        <w:t>[2]     </w:t>
      </w:r>
      <w:r>
        <w:rPr>
          <w:rFonts w:ascii="KaiTi" w:hAnsi="KaiTi" w:eastAsia="KaiTi" w:cs="KaiTi"/>
        </w:rPr>
        <w:t>王丹婷</w:t>
      </w:r>
      <w:r>
        <w:rPr/>
        <w:t>.</w:t>
      </w:r>
      <w:r>
        <w:rPr>
          <w:rFonts w:ascii="KaiTi" w:hAnsi="KaiTi" w:eastAsia="KaiTi" w:cs="KaiTi"/>
        </w:rPr>
        <w:t>精细护理路径在急性胃炎患者临床护理中的应用价值探讨</w:t>
      </w:r>
      <w:r>
        <w:rPr/>
        <w:t>[J].</w:t>
      </w:r>
      <w:r>
        <w:rPr>
          <w:rFonts w:ascii="KaiTi" w:hAnsi="KaiTi" w:eastAsia="KaiTi" w:cs="KaiTi"/>
        </w:rPr>
        <w:t>饮</w:t>
      </w:r>
      <w:r>
        <w:rPr>
          <w:rFonts w:ascii="KaiTi" w:hAnsi="KaiTi" w:eastAsia="KaiTi" w:cs="KaiTi"/>
          <w:spacing w:val="-1"/>
        </w:rPr>
        <w:t>食保健</w:t>
      </w:r>
      <w:r>
        <w:rPr>
          <w:spacing w:val="-1"/>
        </w:rPr>
        <w:t>,2019,6(21):192-</w:t>
      </w:r>
      <w:r>
        <w:rPr>
          <w:spacing w:val="-21"/>
        </w:rPr>
        <w:t xml:space="preserve"> </w:t>
      </w:r>
      <w:r>
        <w:rPr>
          <w:spacing w:val="-1"/>
        </w:rPr>
        <w:t>193.</w:t>
      </w:r>
    </w:p>
    <w:p>
      <w:pPr>
        <w:pStyle w:val="BodyText"/>
        <w:ind w:left="1009" w:hanging="384"/>
        <w:spacing w:before="57"/>
        <w:rPr/>
      </w:pPr>
      <w:r>
        <w:rPr/>
        <w:t>[3]     Ahmed</w:t>
      </w:r>
      <w:r>
        <w:rPr>
          <w:spacing w:val="16"/>
        </w:rPr>
        <w:t xml:space="preserve"> </w:t>
      </w:r>
      <w:r>
        <w:rPr/>
        <w:t>M</w:t>
      </w:r>
      <w:r>
        <w:rPr>
          <w:spacing w:val="18"/>
          <w:w w:val="102"/>
        </w:rPr>
        <w:t xml:space="preserve"> </w:t>
      </w:r>
      <w:r>
        <w:rPr/>
        <w:t>O A.</w:t>
      </w:r>
      <w:r>
        <w:rPr>
          <w:spacing w:val="15"/>
          <w:w w:val="102"/>
        </w:rPr>
        <w:t xml:space="preserve"> </w:t>
      </w:r>
      <w:r>
        <w:rPr/>
        <w:t>Role</w:t>
      </w:r>
      <w:r>
        <w:rPr>
          <w:spacing w:val="18"/>
          <w:w w:val="101"/>
        </w:rPr>
        <w:t xml:space="preserve"> </w:t>
      </w:r>
      <w:r>
        <w:rPr/>
        <w:t>of antimicrobials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4"/>
          <w:w w:val="102"/>
        </w:rPr>
        <w:t xml:space="preserve"> </w:t>
      </w:r>
      <w:r>
        <w:rPr/>
        <w:t>the</w:t>
      </w:r>
      <w:r>
        <w:rPr>
          <w:spacing w:val="14"/>
          <w:w w:val="102"/>
        </w:rPr>
        <w:t xml:space="preserve"> </w:t>
      </w:r>
      <w:r>
        <w:rPr/>
        <w:t>treatment</w:t>
      </w:r>
      <w:r>
        <w:rPr>
          <w:spacing w:val="18"/>
        </w:rPr>
        <w:t xml:space="preserve"> </w:t>
      </w:r>
      <w:r>
        <w:rPr/>
        <w:t>of adult</w:t>
      </w:r>
      <w:r>
        <w:rPr>
          <w:spacing w:val="12"/>
          <w:w w:val="102"/>
        </w:rPr>
        <w:t xml:space="preserve"> </w:t>
      </w:r>
      <w:r>
        <w:rPr/>
        <w:t>patients</w:t>
      </w:r>
      <w:r>
        <w:rPr>
          <w:spacing w:val="12"/>
          <w:w w:val="101"/>
        </w:rPr>
        <w:t xml:space="preserve"> </w:t>
      </w:r>
      <w:r>
        <w:rPr/>
        <w:t>presenting</w:t>
      </w:r>
      <w:r>
        <w:rPr>
          <w:spacing w:val="14"/>
          <w:w w:val="102"/>
        </w:rPr>
        <w:t xml:space="preserve"> </w:t>
      </w:r>
      <w:r>
        <w:rPr/>
        <w:t>to</w:t>
      </w:r>
      <w:r>
        <w:rPr>
          <w:spacing w:val="14"/>
          <w:w w:val="102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emergency</w:t>
      </w:r>
      <w:r>
        <w:rPr>
          <w:spacing w:val="18"/>
        </w:rPr>
        <w:t xml:space="preserve"> </w:t>
      </w:r>
      <w:r>
        <w:rPr/>
        <w:t>depar</w:t>
      </w:r>
      <w:r>
        <w:rPr>
          <w:spacing w:val="-1"/>
        </w:rPr>
        <w:t>tment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8"/>
          <w:w w:val="102"/>
        </w:rPr>
        <w:t xml:space="preserve"> </w:t>
      </w:r>
      <w:r>
        <w:rPr>
          <w:spacing w:val="-1"/>
        </w:rPr>
        <w:t>acute</w:t>
      </w:r>
      <w:r>
        <w:rPr>
          <w:spacing w:val="17"/>
          <w:w w:val="102"/>
        </w:rPr>
        <w:t xml:space="preserve"> </w:t>
      </w:r>
      <w:r>
        <w:rPr>
          <w:spacing w:val="-1"/>
        </w:rPr>
        <w:t>gastroenteritis</w:t>
      </w:r>
      <w:r>
        <w:rPr>
          <w:spacing w:val="19"/>
          <w:w w:val="101"/>
        </w:rPr>
        <w:t xml:space="preserve"> </w:t>
      </w:r>
      <w:r>
        <w:rPr>
          <w:spacing w:val="-1"/>
        </w:rPr>
        <w:t>- A</w:t>
      </w:r>
      <w:r>
        <w:rPr/>
        <w:t xml:space="preserve"> </w:t>
      </w:r>
      <w:r>
        <w:rPr/>
        <w:t>mini review[J]. Pakistan Journal of</w:t>
      </w:r>
      <w:r>
        <w:rPr>
          <w:spacing w:val="-14"/>
        </w:rPr>
        <w:t xml:space="preserve"> </w:t>
      </w:r>
      <w:r>
        <w:rPr/>
        <w:t>Medical</w:t>
      </w:r>
      <w:r>
        <w:rPr>
          <w:spacing w:val="11"/>
        </w:rPr>
        <w:t xml:space="preserve"> </w:t>
      </w:r>
      <w:r>
        <w:rPr/>
        <w:t>Sciences,2</w:t>
      </w:r>
      <w:r>
        <w:rPr>
          <w:spacing w:val="-1"/>
        </w:rPr>
        <w:t>017,33(2):126-</w:t>
      </w:r>
      <w:r>
        <w:rPr>
          <w:spacing w:val="-22"/>
        </w:rPr>
        <w:t xml:space="preserve"> </w:t>
      </w:r>
      <w:r>
        <w:rPr>
          <w:spacing w:val="-1"/>
        </w:rPr>
        <w:t>128.</w:t>
      </w:r>
    </w:p>
    <w:p>
      <w:pPr>
        <w:pStyle w:val="BodyText"/>
        <w:ind w:left="625"/>
        <w:spacing w:before="48" w:line="216" w:lineRule="auto"/>
        <w:rPr/>
      </w:pPr>
      <w:r>
        <w:rPr/>
        <w:t>[4]     </w:t>
      </w:r>
      <w:r>
        <w:rPr>
          <w:rFonts w:ascii="KaiTi" w:hAnsi="KaiTi" w:eastAsia="KaiTi" w:cs="KaiTi"/>
        </w:rPr>
        <w:t>孙伟</w:t>
      </w:r>
      <w:r>
        <w:rPr/>
        <w:t>,</w:t>
      </w:r>
      <w:r>
        <w:rPr>
          <w:rFonts w:ascii="KaiTi" w:hAnsi="KaiTi" w:eastAsia="KaiTi" w:cs="KaiTi"/>
        </w:rPr>
        <w:t>郝佳</w:t>
      </w:r>
      <w:r>
        <w:rPr/>
        <w:t>.</w:t>
      </w:r>
      <w:r>
        <w:rPr>
          <w:rFonts w:ascii="KaiTi" w:hAnsi="KaiTi" w:eastAsia="KaiTi" w:cs="KaiTi"/>
        </w:rPr>
        <w:t>袋鼠式护理方法在小儿急性肠炎中的应用效果观察及随访评价</w:t>
      </w:r>
      <w:r>
        <w:rPr/>
        <w:t>[J].</w:t>
      </w:r>
      <w:r>
        <w:rPr>
          <w:rFonts w:ascii="KaiTi" w:hAnsi="KaiTi" w:eastAsia="KaiTi" w:cs="KaiTi"/>
        </w:rPr>
        <w:t>现代消化及</w:t>
      </w:r>
      <w:r>
        <w:rPr>
          <w:rFonts w:ascii="KaiTi" w:hAnsi="KaiTi" w:eastAsia="KaiTi" w:cs="KaiTi"/>
          <w:spacing w:val="-1"/>
        </w:rPr>
        <w:t>介入诊疗</w:t>
      </w:r>
      <w:r>
        <w:rPr>
          <w:spacing w:val="-1"/>
        </w:rPr>
        <w:t>,2017,2(2):126-</w:t>
      </w:r>
      <w:r>
        <w:rPr>
          <w:spacing w:val="-21"/>
        </w:rPr>
        <w:t xml:space="preserve"> </w:t>
      </w:r>
      <w:r>
        <w:rPr>
          <w:spacing w:val="-1"/>
        </w:rPr>
        <w:t>128.</w:t>
      </w:r>
    </w:p>
    <w:p>
      <w:pPr>
        <w:pStyle w:val="BodyText"/>
        <w:ind w:left="1016" w:right="6" w:hanging="391"/>
        <w:spacing w:before="59" w:line="239" w:lineRule="auto"/>
        <w:rPr/>
      </w:pPr>
      <w:r>
        <w:rPr>
          <w:spacing w:val="7"/>
        </w:rPr>
        <w:t>[5]     </w:t>
      </w:r>
      <w:r>
        <w:rPr/>
        <w:t>Hendrix</w:t>
      </w:r>
      <w:r>
        <w:rPr>
          <w:spacing w:val="23"/>
        </w:rPr>
        <w:t xml:space="preserve"> </w:t>
      </w:r>
      <w:r>
        <w:rPr/>
        <w:t>N</w:t>
      </w:r>
      <w:r>
        <w:rPr>
          <w:spacing w:val="7"/>
        </w:rPr>
        <w:t>,</w:t>
      </w:r>
      <w:r>
        <w:rPr>
          <w:spacing w:val="19"/>
          <w:w w:val="101"/>
        </w:rPr>
        <w:t xml:space="preserve"> </w:t>
      </w:r>
      <w:r>
        <w:rPr/>
        <w:t>Bar</w:t>
      </w:r>
      <w:r>
        <w:rPr>
          <w:spacing w:val="7"/>
        </w:rPr>
        <w:t>-</w:t>
      </w:r>
      <w:r>
        <w:rPr/>
        <w:t>Zeev</w:t>
      </w:r>
      <w:r>
        <w:rPr>
          <w:spacing w:val="14"/>
          <w:w w:val="102"/>
        </w:rPr>
        <w:t xml:space="preserve"> </w:t>
      </w:r>
      <w:r>
        <w:rPr/>
        <w:t>N</w:t>
      </w:r>
      <w:r>
        <w:rPr>
          <w:spacing w:val="7"/>
        </w:rPr>
        <w:t>, </w:t>
      </w:r>
      <w:r>
        <w:rPr/>
        <w:t>Atherly</w:t>
      </w:r>
      <w:r>
        <w:rPr>
          <w:spacing w:val="19"/>
          <w:w w:val="101"/>
        </w:rPr>
        <w:t xml:space="preserve"> </w:t>
      </w:r>
      <w:r>
        <w:rPr/>
        <w:t>D</w:t>
      </w:r>
      <w:r>
        <w:rPr>
          <w:spacing w:val="7"/>
        </w:rPr>
        <w:t>,</w:t>
      </w:r>
      <w:r>
        <w:rPr>
          <w:spacing w:val="22"/>
          <w:w w:val="101"/>
        </w:rPr>
        <w:t xml:space="preserve"> </w:t>
      </w:r>
      <w:r>
        <w:rPr/>
        <w:t>et</w:t>
      </w:r>
      <w:r>
        <w:rPr>
          <w:spacing w:val="22"/>
        </w:rPr>
        <w:t xml:space="preserve"> </w:t>
      </w:r>
      <w:r>
        <w:rPr/>
        <w:t>al</w:t>
      </w:r>
      <w:r>
        <w:rPr>
          <w:spacing w:val="7"/>
        </w:rPr>
        <w:t>.</w:t>
      </w:r>
      <w:r>
        <w:rPr>
          <w:spacing w:val="18"/>
          <w:w w:val="102"/>
        </w:rPr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economic</w:t>
      </w:r>
      <w:r>
        <w:rPr>
          <w:spacing w:val="21"/>
          <w:w w:val="101"/>
        </w:rPr>
        <w:t xml:space="preserve"> </w:t>
      </w:r>
      <w:r>
        <w:rPr/>
        <w:t>impact</w:t>
      </w:r>
      <w:r>
        <w:rPr>
          <w:spacing w:val="21"/>
          <w:w w:val="102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childhood</w:t>
      </w:r>
      <w:r>
        <w:rPr>
          <w:spacing w:val="22"/>
        </w:rPr>
        <w:t xml:space="preserve"> </w:t>
      </w:r>
      <w:r>
        <w:rPr/>
        <w:t>acute</w:t>
      </w:r>
      <w:r>
        <w:rPr>
          <w:spacing w:val="21"/>
          <w:w w:val="101"/>
        </w:rPr>
        <w:t xml:space="preserve"> </w:t>
      </w:r>
      <w:r>
        <w:rPr/>
        <w:t>gastroenteritis</w:t>
      </w:r>
      <w:r>
        <w:rPr>
          <w:spacing w:val="22"/>
        </w:rPr>
        <w:t xml:space="preserve"> </w:t>
      </w:r>
      <w:r>
        <w:rPr/>
        <w:t>on</w:t>
      </w:r>
      <w:r>
        <w:rPr>
          <w:spacing w:val="19"/>
          <w:w w:val="101"/>
        </w:rPr>
        <w:t xml:space="preserve"> </w:t>
      </w:r>
      <w:r>
        <w:rPr/>
        <w:t>Malawian</w:t>
      </w:r>
      <w:r>
        <w:rPr>
          <w:spacing w:val="23"/>
        </w:rPr>
        <w:t xml:space="preserve"> </w:t>
      </w:r>
      <w:r>
        <w:rPr/>
        <w:t>families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healthcare </w:t>
      </w:r>
      <w:r>
        <w:rPr>
          <w:spacing w:val="-1"/>
        </w:rPr>
        <w:t>system[J]. BMJ Open,2017,7(9):173-</w:t>
      </w:r>
      <w:r>
        <w:rPr>
          <w:spacing w:val="-11"/>
        </w:rPr>
        <w:t xml:space="preserve"> </w:t>
      </w:r>
      <w:r>
        <w:rPr>
          <w:spacing w:val="-1"/>
        </w:rPr>
        <w:t>175.</w:t>
      </w:r>
    </w:p>
    <w:p>
      <w:pPr>
        <w:pStyle w:val="BodyText"/>
        <w:ind w:left="625"/>
        <w:spacing w:before="47" w:line="216" w:lineRule="auto"/>
        <w:rPr/>
      </w:pPr>
      <w:r>
        <w:rPr/>
        <w:t>[6]     </w:t>
      </w:r>
      <w:r>
        <w:rPr>
          <w:rFonts w:ascii="KaiTi" w:hAnsi="KaiTi" w:eastAsia="KaiTi" w:cs="KaiTi"/>
        </w:rPr>
        <w:t>贺春霞</w:t>
      </w:r>
      <w:r>
        <w:rPr/>
        <w:t>,</w:t>
      </w:r>
      <w:r>
        <w:rPr>
          <w:rFonts w:ascii="KaiTi" w:hAnsi="KaiTi" w:eastAsia="KaiTi" w:cs="KaiTi"/>
        </w:rPr>
        <w:t>牛冬玲</w:t>
      </w:r>
      <w:r>
        <w:rPr/>
        <w:t>,</w:t>
      </w:r>
      <w:r>
        <w:rPr>
          <w:rFonts w:ascii="KaiTi" w:hAnsi="KaiTi" w:eastAsia="KaiTi" w:cs="KaiTi"/>
        </w:rPr>
        <w:t>戴瑞红</w:t>
      </w:r>
      <w:r>
        <w:rPr/>
        <w:t>.</w:t>
      </w:r>
      <w:r>
        <w:rPr>
          <w:rFonts w:ascii="KaiTi" w:hAnsi="KaiTi" w:eastAsia="KaiTi" w:cs="KaiTi"/>
        </w:rPr>
        <w:t>袋鼠式护理方法在小儿急性肠炎中的应用效果研究</w:t>
      </w:r>
      <w:r>
        <w:rPr/>
        <w:t>[J].</w:t>
      </w:r>
      <w:r>
        <w:rPr>
          <w:rFonts w:ascii="KaiTi" w:hAnsi="KaiTi" w:eastAsia="KaiTi" w:cs="KaiTi"/>
        </w:rPr>
        <w:t>结直肠肛门外科</w:t>
      </w:r>
      <w:r>
        <w:rPr/>
        <w:t>,2018,24(2):349-</w:t>
      </w:r>
      <w:r>
        <w:rPr>
          <w:spacing w:val="-1"/>
        </w:rPr>
        <w:t>350.</w:t>
      </w:r>
    </w:p>
    <w:p>
      <w:pPr>
        <w:pStyle w:val="BodyText"/>
        <w:ind w:left="625"/>
        <w:spacing w:before="33" w:line="216" w:lineRule="auto"/>
        <w:rPr/>
      </w:pPr>
      <w:r>
        <w:rPr/>
        <w:t>[7]     </w:t>
      </w:r>
      <w:r>
        <w:rPr>
          <w:rFonts w:ascii="KaiTi" w:hAnsi="KaiTi" w:eastAsia="KaiTi" w:cs="KaiTi"/>
        </w:rPr>
        <w:t>王华维</w:t>
      </w:r>
      <w:r>
        <w:rPr/>
        <w:t>,</w:t>
      </w:r>
      <w:r>
        <w:rPr>
          <w:rFonts w:ascii="KaiTi" w:hAnsi="KaiTi" w:eastAsia="KaiTi" w:cs="KaiTi"/>
        </w:rPr>
        <w:t>李清</w:t>
      </w:r>
      <w:r>
        <w:rPr/>
        <w:t>,</w:t>
      </w:r>
      <w:r>
        <w:rPr>
          <w:rFonts w:ascii="KaiTi" w:hAnsi="KaiTi" w:eastAsia="KaiTi" w:cs="KaiTi"/>
        </w:rPr>
        <w:t>刘建华</w:t>
      </w:r>
      <w:r>
        <w:rPr/>
        <w:t>,</w:t>
      </w:r>
      <w:r>
        <w:rPr>
          <w:rFonts w:ascii="KaiTi" w:hAnsi="KaiTi" w:eastAsia="KaiTi" w:cs="KaiTi"/>
        </w:rPr>
        <w:t>等</w:t>
      </w:r>
      <w:r>
        <w:rPr/>
        <w:t>.</w:t>
      </w:r>
      <w:r>
        <w:rPr>
          <w:rFonts w:ascii="KaiTi" w:hAnsi="KaiTi" w:eastAsia="KaiTi" w:cs="KaiTi"/>
        </w:rPr>
        <w:t>袋鼠式护理对提高肌内注射患儿舒适度的影响</w:t>
      </w:r>
      <w:r>
        <w:rPr/>
        <w:t>[J].</w:t>
      </w:r>
      <w:r>
        <w:rPr>
          <w:rFonts w:ascii="KaiTi" w:hAnsi="KaiTi" w:eastAsia="KaiTi" w:cs="KaiTi"/>
        </w:rPr>
        <w:t>现代临床护理</w:t>
      </w:r>
      <w:r>
        <w:rPr/>
        <w:t>,2015(5):67-68</w:t>
      </w:r>
      <w:r>
        <w:rPr>
          <w:spacing w:val="-1"/>
        </w:rPr>
        <w:t>,69.</w:t>
      </w:r>
    </w:p>
    <w:p>
      <w:pPr>
        <w:pStyle w:val="BodyText"/>
        <w:ind w:left="1014" w:right="4" w:hanging="389"/>
        <w:spacing w:before="57"/>
        <w:rPr/>
      </w:pPr>
      <w:r>
        <w:rPr/>
        <w:t>[8]     Tort L, Lizasoain</w:t>
      </w:r>
      <w:r>
        <w:rPr>
          <w:spacing w:val="-8"/>
        </w:rPr>
        <w:t xml:space="preserve"> </w:t>
      </w:r>
      <w:r>
        <w:rPr/>
        <w:t>A, Victoria M, et al.</w:t>
      </w:r>
      <w:r>
        <w:rPr>
          <w:spacing w:val="3"/>
        </w:rPr>
        <w:t xml:space="preserve"> </w:t>
      </w:r>
      <w:r>
        <w:rPr/>
        <w:t>Epidemiology</w:t>
      </w:r>
      <w:r>
        <w:rPr>
          <w:spacing w:val="6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Genetic</w:t>
      </w:r>
      <w:r>
        <w:rPr>
          <w:spacing w:val="3"/>
        </w:rPr>
        <w:t xml:space="preserve"> </w:t>
      </w:r>
      <w:r>
        <w:rPr/>
        <w:t>Dive</w:t>
      </w:r>
      <w:r>
        <w:rPr>
          <w:spacing w:val="-1"/>
        </w:rPr>
        <w:t>rsity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Classic</w:t>
      </w:r>
      <w:r>
        <w:rPr>
          <w:spacing w:val="3"/>
        </w:rPr>
        <w:t xml:space="preserve"> </w:t>
      </w:r>
      <w:r>
        <w:rPr>
          <w:spacing w:val="-1"/>
        </w:rPr>
        <w:t>Human</w:t>
      </w:r>
      <w:r>
        <w:rPr>
          <w:spacing w:val="-8"/>
        </w:rPr>
        <w:t xml:space="preserve"> </w:t>
      </w:r>
      <w:r>
        <w:rPr>
          <w:spacing w:val="-1"/>
        </w:rPr>
        <w:t>Astrovirus</w:t>
      </w:r>
      <w:r>
        <w:rPr>
          <w:spacing w:val="6"/>
        </w:rPr>
        <w:t xml:space="preserve"> </w:t>
      </w:r>
      <w:r>
        <w:rPr>
          <w:spacing w:val="-1"/>
        </w:rPr>
        <w:t>among</w:t>
      </w:r>
      <w:r>
        <w:rPr>
          <w:spacing w:val="3"/>
        </w:rPr>
        <w:t xml:space="preserve"> </w:t>
      </w:r>
      <w:r>
        <w:rPr>
          <w:spacing w:val="-1"/>
        </w:rPr>
        <w:t>Hospitalized</w:t>
      </w:r>
      <w:r>
        <w:rPr>
          <w:spacing w:val="5"/>
        </w:rPr>
        <w:t xml:space="preserve"> </w:t>
      </w:r>
      <w:r>
        <w:rPr>
          <w:spacing w:val="-1"/>
        </w:rPr>
        <w:t>Children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rPr>
          <w:spacing w:val="-1"/>
        </w:rPr>
        <w:t>Acute</w:t>
      </w:r>
      <w:r>
        <w:rPr/>
        <w:t xml:space="preserve"> </w:t>
      </w:r>
      <w:r>
        <w:rPr/>
        <w:t>Gastroenteritis in Uruguay[J]. Journal of</w:t>
      </w:r>
      <w:r>
        <w:rPr>
          <w:spacing w:val="-14"/>
        </w:rPr>
        <w:t xml:space="preserve"> </w:t>
      </w:r>
      <w:r>
        <w:rPr/>
        <w:t>Me</w:t>
      </w:r>
      <w:r>
        <w:rPr>
          <w:spacing w:val="-1"/>
        </w:rPr>
        <w:t>dical Virology, 2017,21(1):126-</w:t>
      </w:r>
      <w:r>
        <w:rPr>
          <w:spacing w:val="-21"/>
        </w:rPr>
        <w:t xml:space="preserve"> </w:t>
      </w:r>
      <w:r>
        <w:rPr>
          <w:spacing w:val="-1"/>
        </w:rPr>
        <w:t>128.</w:t>
      </w:r>
    </w:p>
    <w:p>
      <w:pPr>
        <w:pStyle w:val="BodyText"/>
        <w:ind w:left="625"/>
        <w:spacing w:before="48" w:line="216" w:lineRule="auto"/>
        <w:rPr/>
      </w:pPr>
      <w:r>
        <w:rPr/>
        <w:t>[9]     </w:t>
      </w:r>
      <w:r>
        <w:rPr>
          <w:rFonts w:ascii="KaiTi" w:hAnsi="KaiTi" w:eastAsia="KaiTi" w:cs="KaiTi"/>
        </w:rPr>
        <w:t>谭小菊</w:t>
      </w:r>
      <w:r>
        <w:rPr/>
        <w:t>.</w:t>
      </w:r>
      <w:r>
        <w:rPr>
          <w:rFonts w:ascii="KaiTi" w:hAnsi="KaiTi" w:eastAsia="KaiTi" w:cs="KaiTi"/>
        </w:rPr>
        <w:t>袋鼠式护理方法在小儿急性肠炎中的应用效果观察及随访评价</w:t>
      </w:r>
      <w:r>
        <w:rPr/>
        <w:t>[J].</w:t>
      </w:r>
      <w:r>
        <w:rPr>
          <w:rFonts w:ascii="KaiTi" w:hAnsi="KaiTi" w:eastAsia="KaiTi" w:cs="KaiTi"/>
        </w:rPr>
        <w:t>结直肠肛</w:t>
      </w:r>
      <w:r>
        <w:rPr>
          <w:rFonts w:ascii="KaiTi" w:hAnsi="KaiTi" w:eastAsia="KaiTi" w:cs="KaiTi"/>
          <w:spacing w:val="-1"/>
        </w:rPr>
        <w:t>门外科</w:t>
      </w:r>
      <w:r>
        <w:rPr>
          <w:spacing w:val="-1"/>
        </w:rPr>
        <w:t>,2018,24(1):178-</w:t>
      </w:r>
      <w:r>
        <w:rPr>
          <w:spacing w:val="-21"/>
        </w:rPr>
        <w:t xml:space="preserve"> </w:t>
      </w:r>
      <w:r>
        <w:rPr>
          <w:spacing w:val="-1"/>
        </w:rPr>
        <w:t>180.</w:t>
      </w:r>
    </w:p>
    <w:p>
      <w:pPr>
        <w:pStyle w:val="BodyText"/>
        <w:ind w:left="625"/>
        <w:spacing w:before="32" w:line="216" w:lineRule="auto"/>
        <w:rPr/>
      </w:pPr>
      <w:r>
        <w:rPr/>
        <w:t>[10]   </w:t>
      </w:r>
      <w:r>
        <w:rPr>
          <w:rFonts w:ascii="KaiTi" w:hAnsi="KaiTi" w:eastAsia="KaiTi" w:cs="KaiTi"/>
        </w:rPr>
        <w:t>万波</w:t>
      </w:r>
      <w:r>
        <w:rPr/>
        <w:t>.</w:t>
      </w:r>
      <w:r>
        <w:rPr>
          <w:rFonts w:ascii="KaiTi" w:hAnsi="KaiTi" w:eastAsia="KaiTi" w:cs="KaiTi"/>
        </w:rPr>
        <w:t>健康教育护理对急性小儿肠炎护理质量的影响分析</w:t>
      </w:r>
      <w:r>
        <w:rPr/>
        <w:t>[J].</w:t>
      </w:r>
      <w:r>
        <w:rPr>
          <w:rFonts w:ascii="KaiTi" w:hAnsi="KaiTi" w:eastAsia="KaiTi" w:cs="KaiTi"/>
        </w:rPr>
        <w:t>实用临床护理学电</w:t>
      </w:r>
      <w:r>
        <w:rPr>
          <w:rFonts w:ascii="KaiTi" w:hAnsi="KaiTi" w:eastAsia="KaiTi" w:cs="KaiTi"/>
          <w:spacing w:val="-1"/>
        </w:rPr>
        <w:t>子杂志</w:t>
      </w:r>
      <w:r>
        <w:rPr>
          <w:spacing w:val="-1"/>
        </w:rPr>
        <w:t>,2017,2(46):107,</w:t>
      </w:r>
      <w:r>
        <w:rPr>
          <w:spacing w:val="-21"/>
        </w:rPr>
        <w:t xml:space="preserve"> </w:t>
      </w:r>
      <w:r>
        <w:rPr>
          <w:spacing w:val="-1"/>
        </w:rPr>
        <w:t>165.</w:t>
      </w:r>
    </w:p>
    <w:p>
      <w:pPr>
        <w:pStyle w:val="BodyText"/>
        <w:ind w:left="1009" w:right="10" w:hanging="384"/>
        <w:spacing w:before="59" w:line="239" w:lineRule="auto"/>
        <w:rPr/>
      </w:pPr>
      <w:r>
        <w:rPr/>
        <w:t>[11]   Sendarrubias</w:t>
      </w:r>
      <w:r>
        <w:rPr>
          <w:spacing w:val="17"/>
          <w:w w:val="101"/>
        </w:rPr>
        <w:t xml:space="preserve"> </w:t>
      </w:r>
      <w:r>
        <w:rPr/>
        <w:t>M,</w:t>
      </w:r>
      <w:r>
        <w:rPr>
          <w:spacing w:val="20"/>
          <w:w w:val="102"/>
        </w:rPr>
        <w:t xml:space="preserve"> </w:t>
      </w:r>
      <w:r>
        <w:rPr/>
        <w:t>Carrón,</w:t>
      </w:r>
      <w:r>
        <w:rPr>
          <w:spacing w:val="17"/>
          <w:w w:val="101"/>
        </w:rPr>
        <w:t xml:space="preserve"> </w:t>
      </w:r>
      <w:r>
        <w:rPr/>
        <w:t>Marta,</w:t>
      </w:r>
      <w:r>
        <w:rPr>
          <w:spacing w:val="17"/>
          <w:w w:val="102"/>
        </w:rPr>
        <w:t xml:space="preserve"> </w:t>
      </w:r>
      <w:r>
        <w:rPr/>
        <w:t>Molina</w:t>
      </w:r>
      <w:r>
        <w:rPr>
          <w:spacing w:val="18"/>
        </w:rPr>
        <w:t xml:space="preserve"> </w:t>
      </w:r>
      <w:r>
        <w:rPr/>
        <w:t>J</w:t>
      </w:r>
      <w:r>
        <w:rPr>
          <w:spacing w:val="21"/>
        </w:rPr>
        <w:t xml:space="preserve"> </w:t>
      </w:r>
      <w:r>
        <w:rPr/>
        <w:t>C,</w:t>
      </w:r>
      <w:r>
        <w:rPr>
          <w:spacing w:val="20"/>
          <w:w w:val="102"/>
        </w:rPr>
        <w:t xml:space="preserve"> </w:t>
      </w:r>
      <w:r>
        <w:rPr/>
        <w:t>et</w:t>
      </w:r>
      <w:r>
        <w:rPr>
          <w:spacing w:val="20"/>
          <w:w w:val="101"/>
        </w:rPr>
        <w:t xml:space="preserve"> </w:t>
      </w:r>
      <w:r>
        <w:rPr/>
        <w:t>al.</w:t>
      </w:r>
      <w:r>
        <w:rPr>
          <w:spacing w:val="20"/>
          <w:w w:val="101"/>
        </w:rPr>
        <w:t xml:space="preserve"> </w:t>
      </w:r>
      <w:r>
        <w:rPr/>
        <w:t>Clinical</w:t>
      </w:r>
      <w:r>
        <w:rPr>
          <w:spacing w:val="19"/>
        </w:rPr>
        <w:t xml:space="preserve"> </w:t>
      </w:r>
      <w:r>
        <w:rPr/>
        <w:t>Impact</w:t>
      </w:r>
      <w:r>
        <w:rPr>
          <w:spacing w:val="20"/>
        </w:rPr>
        <w:t xml:space="preserve"> </w:t>
      </w:r>
      <w:r>
        <w:rPr/>
        <w:t>of Rapid</w:t>
      </w:r>
      <w:r>
        <w:rPr>
          <w:spacing w:val="18"/>
          <w:w w:val="102"/>
        </w:rPr>
        <w:t xml:space="preserve"> </w:t>
      </w:r>
      <w:r>
        <w:rPr/>
        <w:t>Intravenous</w:t>
      </w:r>
      <w:r>
        <w:rPr>
          <w:spacing w:val="17"/>
          <w:w w:val="101"/>
        </w:rPr>
        <w:t xml:space="preserve"> </w:t>
      </w:r>
      <w:r>
        <w:rPr/>
        <w:t>Rehydration</w:t>
      </w:r>
      <w:r>
        <w:rPr>
          <w:spacing w:val="14"/>
        </w:rPr>
        <w:t xml:space="preserve"> </w:t>
      </w:r>
      <w:r>
        <w:rPr/>
        <w:t>With</w:t>
      </w:r>
      <w:r>
        <w:rPr>
          <w:spacing w:val="17"/>
          <w:w w:val="102"/>
        </w:rPr>
        <w:t xml:space="preserve"> </w:t>
      </w:r>
      <w:r>
        <w:rPr/>
        <w:t>Dextrose</w:t>
      </w:r>
      <w:r>
        <w:rPr>
          <w:spacing w:val="25"/>
        </w:rPr>
        <w:t xml:space="preserve"> </w:t>
      </w:r>
      <w:r>
        <w:rPr/>
        <w:t>Serum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20"/>
          <w:w w:val="102"/>
        </w:rPr>
        <w:t xml:space="preserve"> </w:t>
      </w:r>
      <w:r>
        <w:rPr/>
        <w:t>Chi</w:t>
      </w:r>
      <w:r>
        <w:rPr>
          <w:spacing w:val="-1"/>
        </w:rPr>
        <w:t>ldren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Acute Gastroenteritis[J]. </w:t>
      </w:r>
      <w:r>
        <w:rPr>
          <w:spacing w:val="-1"/>
        </w:rPr>
        <w:t>Pediatric Emergency Care,2017,</w:t>
      </w:r>
      <w:r>
        <w:rPr>
          <w:spacing w:val="-21"/>
        </w:rPr>
        <w:t xml:space="preserve"> </w:t>
      </w:r>
      <w:r>
        <w:rPr>
          <w:spacing w:val="-1"/>
        </w:rPr>
        <w:t>1(4):101-</w:t>
      </w:r>
      <w:r>
        <w:rPr>
          <w:spacing w:val="-22"/>
        </w:rPr>
        <w:t xml:space="preserve"> </w:t>
      </w:r>
      <w:r>
        <w:rPr>
          <w:spacing w:val="-1"/>
        </w:rPr>
        <w:t>105.</w:t>
      </w:r>
    </w:p>
    <w:p>
      <w:pPr>
        <w:pStyle w:val="BodyText"/>
        <w:ind w:left="625"/>
        <w:spacing w:before="48" w:line="216" w:lineRule="auto"/>
        <w:rPr/>
      </w:pPr>
      <w:r>
        <w:rPr/>
        <w:t>[12]   </w:t>
      </w:r>
      <w:r>
        <w:rPr>
          <w:rFonts w:ascii="KaiTi" w:hAnsi="KaiTi" w:eastAsia="KaiTi" w:cs="KaiTi"/>
        </w:rPr>
        <w:t>周国营</w:t>
      </w:r>
      <w:r>
        <w:rPr/>
        <w:t>,</w:t>
      </w:r>
      <w:r>
        <w:rPr>
          <w:rFonts w:ascii="KaiTi" w:hAnsi="KaiTi" w:eastAsia="KaiTi" w:cs="KaiTi"/>
        </w:rPr>
        <w:t>杨兴华</w:t>
      </w:r>
      <w:r>
        <w:rPr/>
        <w:t>,</w:t>
      </w:r>
      <w:r>
        <w:rPr>
          <w:rFonts w:ascii="KaiTi" w:hAnsi="KaiTi" w:eastAsia="KaiTi" w:cs="KaiTi"/>
        </w:rPr>
        <w:t>郑德生</w:t>
      </w:r>
      <w:r>
        <w:rPr/>
        <w:t>,</w:t>
      </w:r>
      <w:r>
        <w:rPr>
          <w:rFonts w:ascii="KaiTi" w:hAnsi="KaiTi" w:eastAsia="KaiTi" w:cs="KaiTi"/>
        </w:rPr>
        <w:t>等</w:t>
      </w:r>
      <w:r>
        <w:rPr/>
        <w:t>.</w:t>
      </w:r>
      <w:r>
        <w:rPr>
          <w:rFonts w:ascii="KaiTi" w:hAnsi="KaiTi" w:eastAsia="KaiTi" w:cs="KaiTi"/>
        </w:rPr>
        <w:t>急性胃肠炎调查国内外研究进展</w:t>
      </w:r>
      <w:r>
        <w:rPr/>
        <w:t>[J].</w:t>
      </w:r>
      <w:r>
        <w:rPr>
          <w:rFonts w:ascii="KaiTi" w:hAnsi="KaiTi" w:eastAsia="KaiTi" w:cs="KaiTi"/>
        </w:rPr>
        <w:t>医学动物防制</w:t>
      </w:r>
      <w:r>
        <w:rPr/>
        <w:t>,2018,34(10):33</w:t>
      </w:r>
      <w:r>
        <w:rPr>
          <w:spacing w:val="-1"/>
        </w:rPr>
        <w:t>-36.</w:t>
      </w:r>
    </w:p>
    <w:p>
      <w:pPr>
        <w:pStyle w:val="BodyText"/>
        <w:ind w:left="625"/>
        <w:spacing w:before="33" w:line="216" w:lineRule="auto"/>
        <w:rPr/>
      </w:pPr>
      <w:r>
        <w:rPr/>
        <w:t>[13]   </w:t>
      </w:r>
      <w:r>
        <w:rPr>
          <w:rFonts w:ascii="KaiTi" w:hAnsi="KaiTi" w:eastAsia="KaiTi" w:cs="KaiTi"/>
        </w:rPr>
        <w:t>燕秀坤</w:t>
      </w:r>
      <w:r>
        <w:rPr/>
        <w:t>.</w:t>
      </w:r>
      <w:r>
        <w:rPr>
          <w:rFonts w:ascii="KaiTi" w:hAnsi="KaiTi" w:eastAsia="KaiTi" w:cs="KaiTi"/>
        </w:rPr>
        <w:t>分析优质护理在急性肠胃炎患者中的效果</w:t>
      </w:r>
      <w:r>
        <w:rPr/>
        <w:t>[J].</w:t>
      </w:r>
      <w:r>
        <w:rPr>
          <w:rFonts w:ascii="KaiTi" w:hAnsi="KaiTi" w:eastAsia="KaiTi" w:cs="KaiTi"/>
        </w:rPr>
        <w:t>实用临床护理学电子杂志</w:t>
      </w:r>
      <w:r>
        <w:rPr/>
        <w:t>,2020,5(20):27.</w:t>
      </w:r>
    </w:p>
    <w:p>
      <w:pPr>
        <w:pStyle w:val="BodyText"/>
        <w:ind w:left="625"/>
        <w:spacing w:before="32" w:line="216" w:lineRule="auto"/>
        <w:rPr/>
      </w:pPr>
      <w:r>
        <w:rPr/>
        <w:t>[14]   </w:t>
      </w:r>
      <w:r>
        <w:rPr>
          <w:rFonts w:ascii="KaiTi" w:hAnsi="KaiTi" w:eastAsia="KaiTi" w:cs="KaiTi"/>
        </w:rPr>
        <w:t>龚丹清</w:t>
      </w:r>
      <w:r>
        <w:rPr/>
        <w:t>.</w:t>
      </w:r>
      <w:r>
        <w:rPr>
          <w:rFonts w:ascii="KaiTi" w:hAnsi="KaiTi" w:eastAsia="KaiTi" w:cs="KaiTi"/>
        </w:rPr>
        <w:t>优质护理用于急性肠胃炎门诊护理中的临床体会</w:t>
      </w:r>
      <w:r>
        <w:rPr/>
        <w:t>[J].</w:t>
      </w:r>
      <w:r>
        <w:rPr>
          <w:rFonts w:ascii="KaiTi" w:hAnsi="KaiTi" w:eastAsia="KaiTi" w:cs="KaiTi"/>
        </w:rPr>
        <w:t>实用临床护理学电子杂志</w:t>
      </w:r>
      <w:r>
        <w:rPr/>
        <w:t>,2019,4(11):68.</w:t>
      </w:r>
    </w:p>
    <w:p>
      <w:pPr>
        <w:pStyle w:val="BodyText"/>
        <w:ind w:left="1010" w:right="7" w:hanging="385"/>
        <w:spacing w:before="58"/>
        <w:rPr/>
      </w:pPr>
      <w:r>
        <w:rPr/>
        <w:t>[15]   Lindsay L, Dupont H L, Moe C L,</w:t>
      </w:r>
      <w:r>
        <w:rPr>
          <w:spacing w:val="5"/>
        </w:rPr>
        <w:t xml:space="preserve"> </w:t>
      </w:r>
      <w:r>
        <w:rPr/>
        <w:t>et</w:t>
      </w:r>
      <w:r>
        <w:rPr>
          <w:spacing w:val="5"/>
        </w:rPr>
        <w:t xml:space="preserve"> </w:t>
      </w:r>
      <w:r>
        <w:rPr/>
        <w:t>al.</w:t>
      </w:r>
      <w:r>
        <w:rPr>
          <w:spacing w:val="2"/>
        </w:rPr>
        <w:t xml:space="preserve"> </w:t>
      </w:r>
      <w:r>
        <w:rPr/>
        <w:t>Estim</w:t>
      </w:r>
      <w:r>
        <w:rPr>
          <w:spacing w:val="-1"/>
        </w:rPr>
        <w:t>ating the</w:t>
      </w:r>
      <w:r>
        <w:rPr>
          <w:spacing w:val="4"/>
        </w:rPr>
        <w:t xml:space="preserve"> </w:t>
      </w:r>
      <w:r>
        <w:rPr>
          <w:spacing w:val="-1"/>
        </w:rPr>
        <w:t>incidence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norovirus</w:t>
      </w:r>
      <w:r>
        <w:rPr>
          <w:spacing w:val="5"/>
        </w:rPr>
        <w:t xml:space="preserve"> </w:t>
      </w:r>
      <w:r>
        <w:rPr>
          <w:spacing w:val="-1"/>
        </w:rPr>
        <w:t>acute</w:t>
      </w:r>
      <w:r>
        <w:rPr>
          <w:spacing w:val="4"/>
        </w:rPr>
        <w:t xml:space="preserve"> </w:t>
      </w:r>
      <w:r>
        <w:rPr>
          <w:spacing w:val="-1"/>
        </w:rPr>
        <w:t>gastroenteritis</w:t>
      </w:r>
      <w:r>
        <w:rPr>
          <w:spacing w:val="5"/>
        </w:rPr>
        <w:t xml:space="preserve"> </w:t>
      </w:r>
      <w:r>
        <w:rPr>
          <w:spacing w:val="-1"/>
        </w:rPr>
        <w:t>among US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European</w:t>
      </w:r>
      <w:r>
        <w:rPr>
          <w:spacing w:val="4"/>
        </w:rPr>
        <w:t xml:space="preserve"> </w:t>
      </w:r>
      <w:r>
        <w:rPr>
          <w:spacing w:val="-1"/>
        </w:rPr>
        <w:t>international</w:t>
      </w:r>
      <w:r>
        <w:rPr>
          <w:spacing w:val="1"/>
        </w:rPr>
        <w:t xml:space="preserve"> </w:t>
      </w:r>
      <w:r>
        <w:rPr>
          <w:spacing w:val="-1"/>
        </w:rPr>
        <w:t>travelers</w:t>
      </w:r>
      <w:r>
        <w:rPr/>
        <w:t xml:space="preserve"> </w:t>
      </w:r>
      <w:r>
        <w:rPr/>
        <w:t>to areas of</w:t>
      </w:r>
      <w:r>
        <w:rPr>
          <w:spacing w:val="-15"/>
        </w:rPr>
        <w:t xml:space="preserve"> </w:t>
      </w:r>
      <w:r>
        <w:rPr/>
        <w:t>moderate to high risk of</w:t>
      </w:r>
      <w:r>
        <w:rPr>
          <w:spacing w:val="-15"/>
        </w:rPr>
        <w:t xml:space="preserve"> </w:t>
      </w:r>
      <w:r>
        <w:rPr/>
        <w:t>traveler's diarrhea: a prospective cohort</w:t>
      </w:r>
      <w:r>
        <w:rPr>
          <w:spacing w:val="8"/>
        </w:rPr>
        <w:t xml:space="preserve"> </w:t>
      </w:r>
      <w:r>
        <w:rPr/>
        <w:t>study protocol[J].</w:t>
      </w:r>
      <w:r>
        <w:rPr>
          <w:spacing w:val="3"/>
        </w:rPr>
        <w:t xml:space="preserve"> </w:t>
      </w:r>
      <w:r>
        <w:rPr/>
        <w:t>BMC</w:t>
      </w:r>
      <w:r>
        <w:rPr>
          <w:spacing w:val="4"/>
        </w:rPr>
        <w:t xml:space="preserve"> </w:t>
      </w:r>
      <w:r>
        <w:rPr/>
        <w:t>Infectious</w:t>
      </w:r>
      <w:r>
        <w:rPr>
          <w:spacing w:val="2"/>
        </w:rPr>
        <w:t xml:space="preserve"> </w:t>
      </w:r>
      <w:r>
        <w:rPr/>
        <w:t>Diseases,2018,</w:t>
      </w:r>
      <w:r>
        <w:rPr>
          <w:spacing w:val="-21"/>
        </w:rPr>
        <w:t xml:space="preserve"> </w:t>
      </w:r>
      <w:r>
        <w:rPr/>
        <w:t>18(1)</w:t>
      </w:r>
      <w:r>
        <w:rPr>
          <w:spacing w:val="-1"/>
        </w:rPr>
        <w:t>:456-458.</w:t>
      </w:r>
    </w:p>
    <w:p>
      <w:pPr>
        <w:pStyle w:val="BodyText"/>
        <w:ind w:left="625"/>
        <w:spacing w:before="47" w:line="216" w:lineRule="auto"/>
        <w:rPr/>
      </w:pPr>
      <w:r>
        <w:rPr/>
        <w:t>[16]   </w:t>
      </w:r>
      <w:r>
        <w:rPr>
          <w:rFonts w:ascii="KaiTi" w:hAnsi="KaiTi" w:eastAsia="KaiTi" w:cs="KaiTi"/>
        </w:rPr>
        <w:t>马晓晨</w:t>
      </w:r>
      <w:r>
        <w:rPr/>
        <w:t>,</w:t>
      </w:r>
      <w:r>
        <w:rPr>
          <w:rFonts w:ascii="KaiTi" w:hAnsi="KaiTi" w:eastAsia="KaiTi" w:cs="KaiTi"/>
        </w:rPr>
        <w:t>王超</w:t>
      </w:r>
      <w:r>
        <w:rPr/>
        <w:t>,</w:t>
      </w:r>
      <w:r>
        <w:rPr>
          <w:rFonts w:ascii="KaiTi" w:hAnsi="KaiTi" w:eastAsia="KaiTi" w:cs="KaiTi"/>
        </w:rPr>
        <w:t>王同瑜</w:t>
      </w:r>
      <w:r>
        <w:rPr/>
        <w:t>,</w:t>
      </w:r>
      <w:r>
        <w:rPr>
          <w:rFonts w:ascii="KaiTi" w:hAnsi="KaiTi" w:eastAsia="KaiTi" w:cs="KaiTi"/>
        </w:rPr>
        <w:t>等</w:t>
      </w:r>
      <w:r>
        <w:rPr/>
        <w:t>.</w:t>
      </w:r>
      <w:r>
        <w:rPr>
          <w:rFonts w:ascii="KaiTi" w:hAnsi="KaiTi" w:eastAsia="KaiTi" w:cs="KaiTi"/>
        </w:rPr>
        <w:t>北京市社区人群急性胃肠炎患病状况流行病学调查</w:t>
      </w:r>
      <w:r>
        <w:rPr/>
        <w:t>[J].</w:t>
      </w:r>
      <w:r>
        <w:rPr>
          <w:rFonts w:ascii="KaiTi" w:hAnsi="KaiTi" w:eastAsia="KaiTi" w:cs="KaiTi"/>
        </w:rPr>
        <w:t>中国公</w:t>
      </w:r>
      <w:r>
        <w:rPr>
          <w:rFonts w:ascii="KaiTi" w:hAnsi="KaiTi" w:eastAsia="KaiTi" w:cs="KaiTi"/>
          <w:spacing w:val="-1"/>
        </w:rPr>
        <w:t>共卫生</w:t>
      </w:r>
      <w:r>
        <w:rPr>
          <w:spacing w:val="-1"/>
        </w:rPr>
        <w:t>,2019,35(3):126-</w:t>
      </w:r>
      <w:r>
        <w:rPr>
          <w:spacing w:val="-21"/>
        </w:rPr>
        <w:t xml:space="preserve"> </w:t>
      </w:r>
      <w:r>
        <w:rPr>
          <w:spacing w:val="-1"/>
        </w:rPr>
        <w:t>128.</w:t>
      </w:r>
    </w:p>
    <w:p>
      <w:pPr>
        <w:pStyle w:val="BodyText"/>
        <w:ind w:left="625"/>
        <w:spacing w:before="33" w:line="216" w:lineRule="auto"/>
        <w:rPr/>
      </w:pPr>
      <w:r>
        <w:rPr/>
        <w:t>[17]   </w:t>
      </w:r>
      <w:r>
        <w:rPr>
          <w:rFonts w:ascii="KaiTi" w:hAnsi="KaiTi" w:eastAsia="KaiTi" w:cs="KaiTi"/>
        </w:rPr>
        <w:t>刘鑫晔</w:t>
      </w:r>
      <w:r>
        <w:rPr/>
        <w:t>,</w:t>
      </w:r>
      <w:r>
        <w:rPr>
          <w:rFonts w:ascii="KaiTi" w:hAnsi="KaiTi" w:eastAsia="KaiTi" w:cs="KaiTi"/>
        </w:rPr>
        <w:t>赵雅娟</w:t>
      </w:r>
      <w:r>
        <w:rPr/>
        <w:t>,</w:t>
      </w:r>
      <w:r>
        <w:rPr>
          <w:rFonts w:ascii="KaiTi" w:hAnsi="KaiTi" w:eastAsia="KaiTi" w:cs="KaiTi"/>
        </w:rPr>
        <w:t>姚晓凤</w:t>
      </w:r>
      <w:r>
        <w:rPr/>
        <w:t>,</w:t>
      </w:r>
      <w:r>
        <w:rPr>
          <w:rFonts w:ascii="KaiTi" w:hAnsi="KaiTi" w:eastAsia="KaiTi" w:cs="KaiTi"/>
        </w:rPr>
        <w:t>等</w:t>
      </w:r>
      <w:r>
        <w:rPr/>
        <w:t>.</w:t>
      </w:r>
      <w:r>
        <w:rPr>
          <w:rFonts w:ascii="KaiTi" w:hAnsi="KaiTi" w:eastAsia="KaiTi" w:cs="KaiTi"/>
        </w:rPr>
        <w:t>优质护理干预对急性肠胃炎患者心理状态的影响</w:t>
      </w:r>
      <w:r>
        <w:rPr/>
        <w:t>[J].</w:t>
      </w:r>
      <w:r>
        <w:rPr>
          <w:rFonts w:ascii="KaiTi" w:hAnsi="KaiTi" w:eastAsia="KaiTi" w:cs="KaiTi"/>
        </w:rPr>
        <w:t>包头医学院学报</w:t>
      </w:r>
      <w:r>
        <w:rPr/>
        <w:t>,2021,37(10):41-42</w:t>
      </w:r>
      <w:r>
        <w:rPr>
          <w:spacing w:val="-1"/>
        </w:rPr>
        <w:t>,57.</w:t>
      </w:r>
    </w:p>
    <w:p>
      <w:pPr>
        <w:pStyle w:val="BodyText"/>
        <w:ind w:left="625"/>
        <w:spacing w:before="33" w:line="216" w:lineRule="auto"/>
        <w:rPr/>
      </w:pPr>
      <w:r>
        <w:rPr/>
        <w:t>[18]   </w:t>
      </w:r>
      <w:r>
        <w:rPr>
          <w:rFonts w:ascii="KaiTi" w:hAnsi="KaiTi" w:eastAsia="KaiTi" w:cs="KaiTi"/>
        </w:rPr>
        <w:t>郑娜</w:t>
      </w:r>
      <w:r>
        <w:rPr/>
        <w:t>,</w:t>
      </w:r>
      <w:r>
        <w:rPr>
          <w:rFonts w:ascii="KaiTi" w:hAnsi="KaiTi" w:eastAsia="KaiTi" w:cs="KaiTi"/>
        </w:rPr>
        <w:t>孙明慧</w:t>
      </w:r>
      <w:r>
        <w:rPr/>
        <w:t>,</w:t>
      </w:r>
      <w:r>
        <w:rPr>
          <w:rFonts w:ascii="KaiTi" w:hAnsi="KaiTi" w:eastAsia="KaiTi" w:cs="KaiTi"/>
        </w:rPr>
        <w:t>李亮</w:t>
      </w:r>
      <w:r>
        <w:rPr/>
        <w:t>.</w:t>
      </w:r>
      <w:r>
        <w:rPr>
          <w:rFonts w:ascii="KaiTi" w:hAnsi="KaiTi" w:eastAsia="KaiTi" w:cs="KaiTi"/>
        </w:rPr>
        <w:t>优质护理对急性肠胃炎患者</w:t>
      </w:r>
      <w:r>
        <w:rPr>
          <w:rFonts w:ascii="KaiTi" w:hAnsi="KaiTi" w:eastAsia="KaiTi" w:cs="KaiTi"/>
          <w:spacing w:val="-1"/>
        </w:rPr>
        <w:t>心理状态及护理满意度的影响</w:t>
      </w:r>
      <w:r>
        <w:rPr>
          <w:spacing w:val="-1"/>
        </w:rPr>
        <w:t>[J].</w:t>
      </w:r>
      <w:r>
        <w:rPr>
          <w:rFonts w:ascii="KaiTi" w:hAnsi="KaiTi" w:eastAsia="KaiTi" w:cs="KaiTi"/>
          <w:spacing w:val="-1"/>
        </w:rPr>
        <w:t>心理月刊</w:t>
      </w:r>
      <w:r>
        <w:rPr>
          <w:spacing w:val="-1"/>
        </w:rPr>
        <w:t>,2021,</w:t>
      </w:r>
      <w:r>
        <w:rPr>
          <w:spacing w:val="-21"/>
        </w:rPr>
        <w:t xml:space="preserve"> </w:t>
      </w:r>
      <w:r>
        <w:rPr>
          <w:spacing w:val="-1"/>
        </w:rPr>
        <w:t>16(18):186-</w:t>
      </w:r>
      <w:r>
        <w:rPr>
          <w:spacing w:val="-21"/>
        </w:rPr>
        <w:t xml:space="preserve"> </w:t>
      </w:r>
      <w:r>
        <w:rPr>
          <w:spacing w:val="-1"/>
        </w:rPr>
        <w:t>188.</w:t>
      </w:r>
    </w:p>
    <w:p>
      <w:pPr>
        <w:pStyle w:val="BodyText"/>
        <w:ind w:left="625"/>
        <w:spacing w:before="33" w:line="216" w:lineRule="auto"/>
        <w:rPr/>
      </w:pPr>
      <w:r>
        <w:rPr/>
        <w:t>[19]   </w:t>
      </w:r>
      <w:r>
        <w:rPr>
          <w:rFonts w:ascii="KaiTi" w:hAnsi="KaiTi" w:eastAsia="KaiTi" w:cs="KaiTi"/>
        </w:rPr>
        <w:t>刘艳</w:t>
      </w:r>
      <w:r>
        <w:rPr/>
        <w:t>.</w:t>
      </w:r>
      <w:r>
        <w:rPr>
          <w:rFonts w:ascii="KaiTi" w:hAnsi="KaiTi" w:eastAsia="KaiTi" w:cs="KaiTi"/>
        </w:rPr>
        <w:t>优质护理在急性肠胃炎患者中的护理干预效果研究</w:t>
      </w:r>
      <w:r>
        <w:rPr/>
        <w:t>[J].</w:t>
      </w:r>
      <w:r>
        <w:rPr>
          <w:rFonts w:ascii="KaiTi" w:hAnsi="KaiTi" w:eastAsia="KaiTi" w:cs="KaiTi"/>
        </w:rPr>
        <w:t>黑龙江中医药</w:t>
      </w:r>
      <w:r>
        <w:rPr/>
        <w:t>,2021,50(2):272-</w:t>
      </w:r>
      <w:r>
        <w:rPr>
          <w:spacing w:val="-1"/>
        </w:rPr>
        <w:t>273.</w:t>
      </w:r>
    </w:p>
    <w:p>
      <w:pPr>
        <w:pStyle w:val="BodyText"/>
        <w:ind w:left="625"/>
        <w:spacing w:before="32" w:line="216" w:lineRule="auto"/>
        <w:rPr/>
      </w:pPr>
      <w:r>
        <w:rPr/>
        <w:t>[20]   </w:t>
      </w:r>
      <w:r>
        <w:rPr>
          <w:rFonts w:ascii="KaiTi" w:hAnsi="KaiTi" w:eastAsia="KaiTi" w:cs="KaiTi"/>
        </w:rPr>
        <w:t>黄慧</w:t>
      </w:r>
      <w:r>
        <w:rPr/>
        <w:t>.</w:t>
      </w:r>
      <w:r>
        <w:rPr>
          <w:rFonts w:ascii="KaiTi" w:hAnsi="KaiTi" w:eastAsia="KaiTi" w:cs="KaiTi"/>
        </w:rPr>
        <w:t>急性肠胃炎患者中实施优质护理干预对提高护理满意度的价值探讨</w:t>
      </w:r>
      <w:r>
        <w:rPr/>
        <w:t>[J].</w:t>
      </w:r>
      <w:r>
        <w:rPr>
          <w:rFonts w:ascii="KaiTi" w:hAnsi="KaiTi" w:eastAsia="KaiTi" w:cs="KaiTi"/>
        </w:rPr>
        <w:t>基层医学论坛</w:t>
      </w:r>
      <w:r>
        <w:rPr/>
        <w:t>,2020,24(32):4715-4</w:t>
      </w:r>
      <w:r>
        <w:rPr>
          <w:spacing w:val="-1"/>
        </w:rPr>
        <w:t>716.</w:t>
      </w:r>
    </w:p>
    <w:p>
      <w:pPr>
        <w:pStyle w:val="BodyText"/>
        <w:ind w:left="625"/>
        <w:spacing w:before="33" w:line="216" w:lineRule="auto"/>
        <w:rPr/>
      </w:pPr>
      <w:r>
        <w:rPr/>
        <w:t>[21]   </w:t>
      </w:r>
      <w:r>
        <w:rPr>
          <w:rFonts w:ascii="KaiTi" w:hAnsi="KaiTi" w:eastAsia="KaiTi" w:cs="KaiTi"/>
        </w:rPr>
        <w:t>吴海静</w:t>
      </w:r>
      <w:r>
        <w:rPr/>
        <w:t>,</w:t>
      </w:r>
      <w:r>
        <w:rPr>
          <w:rFonts w:ascii="KaiTi" w:hAnsi="KaiTi" w:eastAsia="KaiTi" w:cs="KaiTi"/>
        </w:rPr>
        <w:t>符鸿香</w:t>
      </w:r>
      <w:r>
        <w:rPr/>
        <w:t>,</w:t>
      </w:r>
      <w:r>
        <w:rPr>
          <w:rFonts w:ascii="KaiTi" w:hAnsi="KaiTi" w:eastAsia="KaiTi" w:cs="KaiTi"/>
        </w:rPr>
        <w:t>王绥燕</w:t>
      </w:r>
      <w:r>
        <w:rPr/>
        <w:t>.</w:t>
      </w:r>
      <w:r>
        <w:rPr>
          <w:rFonts w:ascii="KaiTi" w:hAnsi="KaiTi" w:eastAsia="KaiTi" w:cs="KaiTi"/>
        </w:rPr>
        <w:t>急性肠胃炎患者优质护理的临床应用效果探析</w:t>
      </w:r>
      <w:r>
        <w:rPr/>
        <w:t>[J].</w:t>
      </w:r>
      <w:r>
        <w:rPr>
          <w:rFonts w:ascii="KaiTi" w:hAnsi="KaiTi" w:eastAsia="KaiTi" w:cs="KaiTi"/>
        </w:rPr>
        <w:t>结直肠肛</w:t>
      </w:r>
      <w:r>
        <w:rPr>
          <w:rFonts w:ascii="KaiTi" w:hAnsi="KaiTi" w:eastAsia="KaiTi" w:cs="KaiTi"/>
          <w:spacing w:val="-1"/>
        </w:rPr>
        <w:t>门外科</w:t>
      </w:r>
      <w:r>
        <w:rPr>
          <w:spacing w:val="-1"/>
        </w:rPr>
        <w:t>,2018,24(1):144-</w:t>
      </w:r>
      <w:r>
        <w:rPr>
          <w:spacing w:val="-21"/>
        </w:rPr>
        <w:t xml:space="preserve"> </w:t>
      </w:r>
      <w:r>
        <w:rPr>
          <w:spacing w:val="-1"/>
        </w:rPr>
        <w:t>146.</w:t>
      </w:r>
    </w:p>
    <w:p>
      <w:pPr>
        <w:pStyle w:val="BodyText"/>
        <w:ind w:left="625"/>
        <w:spacing w:before="33" w:line="216" w:lineRule="auto"/>
        <w:rPr/>
      </w:pPr>
      <w:r>
        <w:rPr/>
        <w:t>[22]   </w:t>
      </w:r>
      <w:r>
        <w:rPr>
          <w:rFonts w:ascii="KaiTi" w:hAnsi="KaiTi" w:eastAsia="KaiTi" w:cs="KaiTi"/>
        </w:rPr>
        <w:t>王超</w:t>
      </w:r>
      <w:r>
        <w:rPr/>
        <w:t>,</w:t>
      </w:r>
      <w:r>
        <w:rPr>
          <w:rFonts w:ascii="KaiTi" w:hAnsi="KaiTi" w:eastAsia="KaiTi" w:cs="KaiTi"/>
        </w:rPr>
        <w:t>郭政锋</w:t>
      </w:r>
      <w:r>
        <w:rPr/>
        <w:t>,</w:t>
      </w:r>
      <w:r>
        <w:rPr>
          <w:rFonts w:ascii="KaiTi" w:hAnsi="KaiTi" w:eastAsia="KaiTi" w:cs="KaiTi"/>
        </w:rPr>
        <w:t>刘光优</w:t>
      </w:r>
      <w:r>
        <w:rPr/>
        <w:t>.</w:t>
      </w:r>
      <w:r>
        <w:rPr>
          <w:rFonts w:ascii="KaiTi" w:hAnsi="KaiTi" w:eastAsia="KaiTi" w:cs="KaiTi"/>
        </w:rPr>
        <w:t>优质护理对于急性肠胃炎患者的护理的临床效果</w:t>
      </w:r>
      <w:r>
        <w:rPr/>
        <w:t>[J].</w:t>
      </w:r>
      <w:r>
        <w:rPr>
          <w:rFonts w:ascii="KaiTi" w:hAnsi="KaiTi" w:eastAsia="KaiTi" w:cs="KaiTi"/>
        </w:rPr>
        <w:t>结直肠肛门外科</w:t>
      </w:r>
      <w:r>
        <w:rPr/>
        <w:t>,2018,24(2):206-</w:t>
      </w:r>
      <w:r>
        <w:rPr>
          <w:spacing w:val="-1"/>
        </w:rPr>
        <w:t>207.</w:t>
      </w:r>
    </w:p>
    <w:p>
      <w:pPr>
        <w:pStyle w:val="BodyText"/>
        <w:ind w:left="625"/>
        <w:spacing w:before="33" w:line="216" w:lineRule="auto"/>
        <w:rPr/>
      </w:pPr>
      <w:r>
        <w:rPr/>
        <w:t>[23]   </w:t>
      </w:r>
      <w:r>
        <w:rPr>
          <w:rFonts w:ascii="KaiTi" w:hAnsi="KaiTi" w:eastAsia="KaiTi" w:cs="KaiTi"/>
        </w:rPr>
        <w:t>朱忠明</w:t>
      </w:r>
      <w:r>
        <w:rPr/>
        <w:t>.</w:t>
      </w:r>
      <w:r>
        <w:rPr>
          <w:rFonts w:ascii="KaiTi" w:hAnsi="KaiTi" w:eastAsia="KaiTi" w:cs="KaiTi"/>
        </w:rPr>
        <w:t>优质护理用于急性肠胃炎患者的效果观察</w:t>
      </w:r>
      <w:r>
        <w:rPr/>
        <w:t>[J].</w:t>
      </w:r>
      <w:r>
        <w:rPr>
          <w:rFonts w:ascii="KaiTi" w:hAnsi="KaiTi" w:eastAsia="KaiTi" w:cs="KaiTi"/>
        </w:rPr>
        <w:t>基层医学论坛</w:t>
      </w:r>
      <w:r>
        <w:rPr/>
        <w:t>,2020,24(18):2661-2</w:t>
      </w:r>
      <w:r>
        <w:rPr>
          <w:spacing w:val="-1"/>
        </w:rPr>
        <w:t>662.</w:t>
      </w:r>
    </w:p>
    <w:p>
      <w:pPr>
        <w:pStyle w:val="BodyText"/>
        <w:ind w:left="625"/>
        <w:spacing w:before="33" w:line="216" w:lineRule="auto"/>
        <w:rPr/>
      </w:pPr>
      <w:r>
        <w:rPr/>
        <w:t>[24]   </w:t>
      </w:r>
      <w:r>
        <w:rPr>
          <w:rFonts w:ascii="KaiTi" w:hAnsi="KaiTi" w:eastAsia="KaiTi" w:cs="KaiTi"/>
        </w:rPr>
        <w:t>陈曦</w:t>
      </w:r>
      <w:r>
        <w:rPr/>
        <w:t>.</w:t>
      </w:r>
      <w:r>
        <w:rPr>
          <w:rFonts w:ascii="KaiTi" w:hAnsi="KaiTi" w:eastAsia="KaiTi" w:cs="KaiTi"/>
        </w:rPr>
        <w:t>急性肠胃炎患者康复护</w:t>
      </w:r>
      <w:r>
        <w:rPr>
          <w:rFonts w:ascii="KaiTi" w:hAnsi="KaiTi" w:eastAsia="KaiTi" w:cs="KaiTi"/>
          <w:spacing w:val="-1"/>
        </w:rPr>
        <w:t>理中优质护理理念的运用</w:t>
      </w:r>
      <w:r>
        <w:rPr>
          <w:spacing w:val="-1"/>
        </w:rPr>
        <w:t>[J].</w:t>
      </w:r>
      <w:r>
        <w:rPr>
          <w:rFonts w:ascii="KaiTi" w:hAnsi="KaiTi" w:eastAsia="KaiTi" w:cs="KaiTi"/>
          <w:spacing w:val="-1"/>
        </w:rPr>
        <w:t>中国实用医药</w:t>
      </w:r>
      <w:r>
        <w:rPr>
          <w:spacing w:val="-1"/>
        </w:rPr>
        <w:t>,2020,</w:t>
      </w:r>
      <w:r>
        <w:rPr>
          <w:spacing w:val="-21"/>
        </w:rPr>
        <w:t xml:space="preserve"> </w:t>
      </w:r>
      <w:r>
        <w:rPr>
          <w:spacing w:val="-1"/>
        </w:rPr>
        <w:t>15(30):193-</w:t>
      </w:r>
      <w:r>
        <w:rPr>
          <w:spacing w:val="-21"/>
        </w:rPr>
        <w:t xml:space="preserve"> </w:t>
      </w:r>
      <w:r>
        <w:rPr>
          <w:spacing w:val="-1"/>
        </w:rPr>
        <w:t>195.</w:t>
      </w:r>
    </w:p>
    <w:p>
      <w:pPr>
        <w:pStyle w:val="BodyText"/>
        <w:ind w:left="625"/>
        <w:spacing w:before="32" w:line="216" w:lineRule="auto"/>
        <w:rPr/>
      </w:pPr>
      <w:r>
        <w:rPr>
          <w:spacing w:val="-1"/>
        </w:rPr>
        <w:t>[25]   </w:t>
      </w:r>
      <w:r>
        <w:rPr>
          <w:rFonts w:ascii="KaiTi" w:hAnsi="KaiTi" w:eastAsia="KaiTi" w:cs="KaiTi"/>
          <w:spacing w:val="-1"/>
        </w:rPr>
        <w:t>侯婷婷</w:t>
      </w:r>
      <w:r>
        <w:rPr>
          <w:spacing w:val="-1"/>
        </w:rPr>
        <w:t>,</w:t>
      </w:r>
      <w:r>
        <w:rPr>
          <w:spacing w:val="-6"/>
        </w:rPr>
        <w:t xml:space="preserve"> </w:t>
      </w:r>
      <w:r>
        <w:rPr>
          <w:rFonts w:ascii="KaiTi" w:hAnsi="KaiTi" w:eastAsia="KaiTi" w:cs="KaiTi"/>
          <w:spacing w:val="-1"/>
        </w:rPr>
        <w:t>田华</w:t>
      </w:r>
      <w:r>
        <w:rPr>
          <w:spacing w:val="-1"/>
        </w:rPr>
        <w:t>.</w:t>
      </w:r>
      <w:r>
        <w:rPr>
          <w:rFonts w:ascii="KaiTi" w:hAnsi="KaiTi" w:eastAsia="KaiTi" w:cs="KaiTi"/>
          <w:spacing w:val="-1"/>
        </w:rPr>
        <w:t>探究优质护理在急性肠胃炎护理中的临床价值</w:t>
      </w:r>
      <w:r>
        <w:rPr>
          <w:spacing w:val="-1"/>
        </w:rPr>
        <w:t>[J].</w:t>
      </w:r>
      <w:r>
        <w:rPr>
          <w:rFonts w:ascii="KaiTi" w:hAnsi="KaiTi" w:eastAsia="KaiTi" w:cs="KaiTi"/>
          <w:spacing w:val="-1"/>
        </w:rPr>
        <w:t>中国城乡企业卫生</w:t>
      </w:r>
      <w:r>
        <w:rPr>
          <w:spacing w:val="-1"/>
        </w:rPr>
        <w:t>,2020,35(8):9-</w:t>
      </w:r>
      <w:r>
        <w:rPr>
          <w:spacing w:val="-21"/>
        </w:rPr>
        <w:t xml:space="preserve"> </w:t>
      </w:r>
      <w:r>
        <w:rPr>
          <w:spacing w:val="-1"/>
        </w:rPr>
        <w:t>11.</w:t>
      </w:r>
    </w:p>
    <w:p>
      <w:pPr>
        <w:pStyle w:val="BodyText"/>
        <w:ind w:left="625"/>
        <w:spacing w:before="73" w:line="216" w:lineRule="auto"/>
        <w:rPr/>
      </w:pPr>
      <w:r>
        <w:rPr/>
        <w:t>[26]   </w:t>
      </w:r>
      <w:r>
        <w:rPr>
          <w:rFonts w:ascii="KaiTi" w:hAnsi="KaiTi" w:eastAsia="KaiTi" w:cs="KaiTi"/>
        </w:rPr>
        <w:t>王曦</w:t>
      </w:r>
      <w:r>
        <w:rPr/>
        <w:t>.</w:t>
      </w:r>
      <w:r>
        <w:rPr>
          <w:rFonts w:ascii="KaiTi" w:hAnsi="KaiTi" w:eastAsia="KaiTi" w:cs="KaiTi"/>
        </w:rPr>
        <w:t>急性肠胃炎患者开展优质护理的临床效果分析</w:t>
      </w:r>
      <w:r>
        <w:rPr/>
        <w:t>[J].</w:t>
      </w:r>
      <w:r>
        <w:rPr>
          <w:rFonts w:ascii="KaiTi" w:hAnsi="KaiTi" w:eastAsia="KaiTi" w:cs="KaiTi"/>
        </w:rPr>
        <w:t>结直肠肛门</w:t>
      </w:r>
      <w:r>
        <w:rPr>
          <w:rFonts w:ascii="KaiTi" w:hAnsi="KaiTi" w:eastAsia="KaiTi" w:cs="KaiTi"/>
          <w:spacing w:val="-1"/>
        </w:rPr>
        <w:t>外科</w:t>
      </w:r>
      <w:r>
        <w:rPr>
          <w:spacing w:val="-1"/>
        </w:rPr>
        <w:t>,2020,26(S1):126-</w:t>
      </w:r>
      <w:r>
        <w:rPr>
          <w:spacing w:val="-21"/>
        </w:rPr>
        <w:t xml:space="preserve"> </w:t>
      </w:r>
      <w:r>
        <w:rPr>
          <w:spacing w:val="-1"/>
        </w:rPr>
        <w:t>127.</w:t>
      </w:r>
    </w:p>
    <w:p>
      <w:pPr>
        <w:pStyle w:val="BodyText"/>
        <w:ind w:left="625"/>
        <w:spacing w:before="61" w:line="216" w:lineRule="auto"/>
        <w:rPr/>
      </w:pPr>
      <w:r>
        <w:rPr/>
        <w:t>[27]   </w:t>
      </w:r>
      <w:r>
        <w:rPr>
          <w:rFonts w:ascii="KaiTi" w:hAnsi="KaiTi" w:eastAsia="KaiTi" w:cs="KaiTi"/>
        </w:rPr>
        <w:t>穆金玲</w:t>
      </w:r>
      <w:r>
        <w:rPr/>
        <w:t>.</w:t>
      </w:r>
      <w:r>
        <w:rPr>
          <w:rFonts w:ascii="KaiTi" w:hAnsi="KaiTi" w:eastAsia="KaiTi" w:cs="KaiTi"/>
        </w:rPr>
        <w:t>优质护理在急性肠胃</w:t>
      </w:r>
      <w:r>
        <w:rPr>
          <w:rFonts w:ascii="KaiTi" w:hAnsi="KaiTi" w:eastAsia="KaiTi" w:cs="KaiTi"/>
          <w:spacing w:val="-1"/>
        </w:rPr>
        <w:t>炎护理中的应用效果研究</w:t>
      </w:r>
      <w:r>
        <w:rPr>
          <w:spacing w:val="-1"/>
        </w:rPr>
        <w:t>[J].</w:t>
      </w:r>
      <w:r>
        <w:rPr>
          <w:rFonts w:ascii="KaiTi" w:hAnsi="KaiTi" w:eastAsia="KaiTi" w:cs="KaiTi"/>
          <w:spacing w:val="-1"/>
        </w:rPr>
        <w:t>医学食疗与健康</w:t>
      </w:r>
      <w:r>
        <w:rPr>
          <w:spacing w:val="-1"/>
        </w:rPr>
        <w:t>,2020,</w:t>
      </w:r>
      <w:r>
        <w:rPr>
          <w:spacing w:val="-21"/>
        </w:rPr>
        <w:t xml:space="preserve"> </w:t>
      </w:r>
      <w:r>
        <w:rPr>
          <w:spacing w:val="-1"/>
        </w:rPr>
        <w:t>18(8):150-</w:t>
      </w:r>
      <w:r>
        <w:rPr>
          <w:spacing w:val="-21"/>
        </w:rPr>
        <w:t xml:space="preserve"> </w:t>
      </w:r>
      <w:r>
        <w:rPr>
          <w:spacing w:val="-1"/>
        </w:rPr>
        <w:t>152.</w:t>
      </w:r>
    </w:p>
    <w:p>
      <w:pPr>
        <w:pStyle w:val="BodyText"/>
        <w:ind w:left="625"/>
        <w:spacing w:before="33" w:line="202" w:lineRule="auto"/>
        <w:rPr/>
      </w:pPr>
      <w:r>
        <w:rPr/>
        <w:t>[28]   </w:t>
      </w:r>
      <w:r>
        <w:rPr>
          <w:rFonts w:ascii="KaiTi" w:hAnsi="KaiTi" w:eastAsia="KaiTi" w:cs="KaiTi"/>
        </w:rPr>
        <w:t>谢海燕</w:t>
      </w:r>
      <w:r>
        <w:rPr/>
        <w:t>.</w:t>
      </w:r>
      <w:r>
        <w:rPr>
          <w:rFonts w:ascii="KaiTi" w:hAnsi="KaiTi" w:eastAsia="KaiTi" w:cs="KaiTi"/>
        </w:rPr>
        <w:t>优质护理在急性肠胃炎患者中的效果观察</w:t>
      </w:r>
      <w:r>
        <w:rPr/>
        <w:t>[J].</w:t>
      </w:r>
      <w:r>
        <w:rPr>
          <w:rFonts w:ascii="KaiTi" w:hAnsi="KaiTi" w:eastAsia="KaiTi" w:cs="KaiTi"/>
        </w:rPr>
        <w:t>全科口腔医学电子杂志</w:t>
      </w:r>
      <w:r>
        <w:rPr/>
        <w:t>,2019,6(33):57</w:t>
      </w:r>
      <w:r>
        <w:rPr>
          <w:spacing w:val="-1"/>
        </w:rPr>
        <w:t>-60.</w:t>
      </w:r>
    </w:p>
    <w:sectPr>
      <w:type w:val="continuous"/>
      <w:pgSz w:w="11906" w:h="16158"/>
      <w:pgMar w:top="1236" w:right="1125" w:bottom="0" w:left="407" w:header="990" w:footer="0" w:gutter="0"/>
      <w:cols w:equalWidth="0" w:num="1">
        <w:col w:w="1037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3"/>
      <w:spacing w:before="27" w:line="182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2" style="position:absolute;margin-left:20.4pt;margin-top:780.47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</w:rPr>
      <w:t>142      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spacing w:val="-1"/>
      </w:rPr>
      <w:t xml:space="preserve">                                            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  <w:position w:val="1"/>
      </w:rPr>
      <w:t>心理月刊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2022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0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年  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0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15期  Vol.17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before="27" w:line="182" w:lineRule="auto"/>
      <w:jc w:val="right"/>
      <w:rPr>
        <w:rFonts w:ascii="SimSun" w:hAnsi="SimSun" w:eastAsia="SimSun" w:cs="SimSun"/>
        <w:sz w:val="16"/>
        <w:szCs w:val="16"/>
      </w:rPr>
    </w:pPr>
    <w:r>
      <w:pict>
        <v:shape id="WordPictureWatermark6" style="position:absolute;margin-left:20.4pt;margin-top:780.47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  <w:position w:val="1"/>
      </w:rPr>
      <w:t>心理月刊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38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  <w:position w:val="1"/>
      </w:rPr>
      <w:t>2022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0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  <w:position w:val="1"/>
      </w:rPr>
      <w:t>年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2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  <w:position w:val="1"/>
      </w:rPr>
      <w:t>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0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  <w:position w:val="1"/>
      </w:rPr>
      <w:t>15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0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  <w:position w:val="1"/>
      </w:rPr>
      <w:t>期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0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  <w:position w:val="1"/>
      </w:rPr>
      <w:t>Vol.17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"/>
        <w:position w:val="1"/>
      </w:rPr>
      <w:t xml:space="preserve">                                    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position w:val="1"/>
      </w:rPr>
      <w:t xml:space="preserve">                                                                                                 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spacing w:val="-2"/>
      </w:rPr>
      <w:t>1</w:t>
    </w:r>
    <w:r>
      <w:rPr>
        <w:rFonts w:ascii="SimSun" w:hAnsi="SimSun" w:eastAsia="SimSun" w:cs="SimSun"/>
        <w:sz w:val="16"/>
        <w:szCs w:val="16"/>
        <w:u w:val="single" w:color="auto"/>
        <w:spacing w:val="-3"/>
      </w:rPr>
      <w:t>43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before="27" w:line="182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4" style="position:absolute;margin-left:20.4pt;margin-top:780.47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u w:val="single" w:color="auto"/>
      </w:rPr>
      <w:t>144      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spacing w:val="-1"/>
      </w:rPr>
      <w:t xml:space="preserve">                                            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  <w:position w:val="1"/>
      </w:rPr>
      <w:t>心理月刊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2022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0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年  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0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15期  Vol.17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2023-01-22T19:37:10Z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2025-10-28T21:31:25</vt:filetime>
  </property>
</Properties>
</file>