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spacing w:before="84" w:line="220" w:lineRule="auto"/>
        <w:jc w:val="right"/>
        <w:rPr>
          <w:sz w:val="26"/>
          <w:szCs w:val="26"/>
        </w:rPr>
      </w:pPr>
      <w:r>
        <w:rPr>
          <w:sz w:val="26"/>
          <w:szCs w:val="26"/>
          <w:b/>
          <w:bCs/>
          <w:spacing w:val="-16"/>
        </w:rPr>
        <w:t>·</w:t>
      </w:r>
      <w:r>
        <w:rPr>
          <w:sz w:val="26"/>
          <w:szCs w:val="26"/>
          <w:spacing w:val="-83"/>
        </w:rPr>
        <w:t xml:space="preserve"> </w:t>
      </w:r>
      <w:r>
        <w:rPr>
          <w:sz w:val="26"/>
          <w:szCs w:val="26"/>
          <w:b/>
          <w:bCs/>
          <w:spacing w:val="-16"/>
        </w:rPr>
        <w:t>专家论坛</w:t>
      </w:r>
      <w:r>
        <w:rPr>
          <w:sz w:val="26"/>
          <w:szCs w:val="26"/>
          <w:spacing w:val="-16"/>
        </w:rPr>
        <w:t xml:space="preserve"> </w:t>
      </w:r>
      <w:r>
        <w:rPr>
          <w:sz w:val="26"/>
          <w:szCs w:val="26"/>
          <w:b/>
          <w:bCs/>
          <w:spacing w:val="-16"/>
        </w:rPr>
        <w:t>·</w:t>
      </w:r>
    </w:p>
    <w:p>
      <w:pPr>
        <w:pStyle w:val="BodyText"/>
        <w:ind w:left="3086"/>
        <w:spacing w:before="313" w:line="219" w:lineRule="auto"/>
        <w:rPr>
          <w:sz w:val="42"/>
          <w:szCs w:val="42"/>
        </w:rPr>
      </w:pPr>
      <w:r>
        <w:rPr>
          <w:sz w:val="42"/>
          <w:szCs w:val="42"/>
          <w:b/>
          <w:bCs/>
          <w:spacing w:val="-1"/>
        </w:rPr>
        <w:t>体外冲击波碎石术专家共识</w:t>
      </w:r>
    </w:p>
    <w:p>
      <w:pPr>
        <w:ind w:left="3339"/>
        <w:spacing w:before="275" w:line="224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9"/>
        </w:rPr>
        <w:t>中国研究型医院学会冲击波医学委员会泌尿学组</w:t>
      </w:r>
    </w:p>
    <w:p>
      <w:pPr>
        <w:pStyle w:val="BodyText"/>
        <w:ind w:left="1419" w:right="635"/>
        <w:spacing w:before="235" w:line="269" w:lineRule="auto"/>
        <w:jc w:val="both"/>
        <w:rPr/>
      </w:pPr>
      <w:r>
        <w:rPr>
          <w:rFonts w:ascii="SimHei" w:hAnsi="SimHei" w:eastAsia="SimHei" w:cs="SimHei"/>
          <w:spacing w:val="-18"/>
        </w:rPr>
        <w:t>摘要</w:t>
      </w:r>
      <w:r>
        <w:rPr>
          <w:spacing w:val="-18"/>
        </w:rPr>
        <w:t>：体外冲击波碎石术</w:t>
      </w:r>
      <w:r>
        <w:rPr>
          <w:spacing w:val="-38"/>
        </w:rPr>
        <w:t xml:space="preserve"> </w:t>
      </w:r>
      <w:r>
        <w:rPr>
          <w:spacing w:val="-18"/>
        </w:rPr>
        <w:t>(extracorporeal shock wave</w:t>
      </w:r>
      <w:r>
        <w:rPr>
          <w:spacing w:val="-19"/>
        </w:rPr>
        <w:t xml:space="preserve"> lithotripsy,SWL)是上尿路结石微创治疗的重要方法，</w:t>
      </w:r>
      <w:r>
        <w:rPr/>
        <w:t xml:space="preserve"> </w:t>
      </w:r>
      <w:r>
        <w:rPr>
          <w:spacing w:val="-19"/>
          <w:w w:val="95"/>
        </w:rPr>
        <w:t>其有效性及安全性已得到广泛的认可。但是在我国有关体外冲击波碎石术的病例选择、操作的规范以及安全防护</w:t>
      </w:r>
      <w:r>
        <w:rPr>
          <w:spacing w:val="1"/>
        </w:rPr>
        <w:t xml:space="preserve">  </w:t>
      </w:r>
      <w:r>
        <w:rPr>
          <w:spacing w:val="-23"/>
          <w:w w:val="97"/>
        </w:rPr>
        <w:t>机制还存在较多问题，缺乏相关共识。为了进一步规范我国体外冲击波碎石术的临床应用，由中国研究型医院学</w:t>
      </w:r>
      <w:r>
        <w:rPr/>
        <w:t xml:space="preserve">  </w:t>
      </w:r>
      <w:r>
        <w:rPr>
          <w:spacing w:val="-19"/>
          <w:w w:val="95"/>
        </w:rPr>
        <w:t>会冲击波医学委员会泌尿学组牵头，在参考国外体外冲击波碎石术应用指南的基础上，结合国内体外冲击波</w:t>
      </w:r>
      <w:r>
        <w:rPr>
          <w:spacing w:val="-20"/>
          <w:w w:val="95"/>
        </w:rPr>
        <w:t>碎石</w:t>
      </w:r>
      <w:r>
        <w:rPr/>
        <w:t xml:space="preserve">  </w:t>
      </w:r>
      <w:r>
        <w:rPr>
          <w:spacing w:val="-22"/>
        </w:rPr>
        <w:t>术的实践应用和临床经验，组织国内专家编写了本共识。该共识重点介绍了SWL</w:t>
      </w:r>
      <w:r>
        <w:rPr>
          <w:spacing w:val="38"/>
        </w:rPr>
        <w:t xml:space="preserve"> </w:t>
      </w:r>
      <w:r>
        <w:rPr>
          <w:spacing w:val="-22"/>
        </w:rPr>
        <w:t>的适应证、禁忌证</w:t>
      </w:r>
      <w:r>
        <w:rPr>
          <w:spacing w:val="-23"/>
        </w:rPr>
        <w:t>、患者管</w:t>
      </w:r>
      <w:r>
        <w:rPr/>
        <w:t xml:space="preserve">  </w:t>
      </w:r>
      <w:r>
        <w:rPr>
          <w:spacing w:val="-22"/>
        </w:rPr>
        <w:t>理、操作规范、技术要点、并发症防治及术后复查评估等，旨在提高我国泌尿外科医师对</w:t>
      </w:r>
      <w:r>
        <w:rPr>
          <w:rFonts w:ascii="Times New Roman" w:hAnsi="Times New Roman" w:eastAsia="Times New Roman" w:cs="Times New Roman"/>
          <w:spacing w:val="-22"/>
        </w:rPr>
        <w:t>SWL</w:t>
      </w:r>
      <w:r>
        <w:rPr>
          <w:spacing w:val="-22"/>
        </w:rPr>
        <w:t>的认识，规范</w:t>
      </w:r>
      <w:r>
        <w:rPr>
          <w:spacing w:val="6"/>
        </w:rPr>
        <w:t xml:space="preserve">  </w:t>
      </w:r>
      <w:r>
        <w:rPr>
          <w:rFonts w:ascii="Arial" w:hAnsi="Arial" w:eastAsia="Arial" w:cs="Arial"/>
          <w:spacing w:val="-14"/>
        </w:rPr>
        <w:t>SWL</w:t>
      </w:r>
      <w:r>
        <w:rPr>
          <w:spacing w:val="-14"/>
        </w:rPr>
        <w:t>的操作。</w:t>
      </w:r>
    </w:p>
    <w:p>
      <w:pPr>
        <w:pStyle w:val="BodyText"/>
        <w:ind w:left="1419"/>
        <w:spacing w:before="34" w:line="222" w:lineRule="auto"/>
        <w:rPr/>
      </w:pPr>
      <w:r>
        <w:rPr>
          <w:rFonts w:ascii="SimHei" w:hAnsi="SimHei" w:eastAsia="SimHei" w:cs="SimHei"/>
          <w:spacing w:val="-21"/>
          <w:w w:val="96"/>
        </w:rPr>
        <w:t>关键词</w:t>
      </w:r>
      <w:r>
        <w:rPr>
          <w:spacing w:val="-21"/>
          <w:w w:val="96"/>
        </w:rPr>
        <w:t>：体外冲击波碎石术；泌尿系结石；肾结石；输尿管结石；膀胱结石</w:t>
      </w:r>
    </w:p>
    <w:p>
      <w:pPr>
        <w:spacing w:line="65" w:lineRule="exact"/>
        <w:rPr/>
      </w:pPr>
      <w:r/>
    </w:p>
    <w:p>
      <w:pPr>
        <w:spacing w:line="65" w:lineRule="exact"/>
        <w:sectPr>
          <w:headerReference w:type="default" r:id="rId1"/>
          <w:pgSz w:w="12200" w:h="17130"/>
          <w:pgMar w:top="1670" w:right="1294" w:bottom="0" w:left="380" w:header="1237" w:footer="0" w:gutter="0"/>
          <w:cols w:equalWidth="0" w:num="1">
            <w:col w:w="10526" w:space="0"/>
          </w:cols>
        </w:sectPr>
        <w:rPr/>
      </w:pPr>
    </w:p>
    <w:p>
      <w:pPr>
        <w:pStyle w:val="BodyText"/>
        <w:ind w:left="1419"/>
        <w:spacing w:before="46" w:line="228" w:lineRule="auto"/>
        <w:rPr>
          <w:rFonts w:ascii="Times New Roman" w:hAnsi="Times New Roman" w:eastAsia="Times New Roman" w:cs="Times New Roman"/>
        </w:rPr>
      </w:pPr>
      <w:r>
        <w:rPr>
          <w:spacing w:val="-16"/>
        </w:rPr>
        <w:t>中图分类号：R364.2+5        文献标识码：</w:t>
      </w:r>
      <w:r>
        <w:rPr>
          <w:rFonts w:ascii="Times New Roman" w:hAnsi="Times New Roman" w:eastAsia="Times New Roman" w:cs="Times New Roman"/>
          <w:spacing w:val="-16"/>
        </w:rPr>
        <w:t>A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789" w:right="260" w:firstLine="420"/>
        <w:spacing w:before="65" w:line="296" w:lineRule="auto"/>
        <w:jc w:val="both"/>
        <w:rPr/>
      </w:pPr>
      <w:r>
        <w:rPr>
          <w:spacing w:val="18"/>
        </w:rPr>
        <w:t>泌尿系结石是泌尿外科常见疾病之一，中国</w:t>
      </w:r>
      <w:r>
        <w:rPr>
          <w:spacing w:val="8"/>
        </w:rPr>
        <w:t xml:space="preserve">  </w:t>
      </w:r>
      <w:r>
        <w:rPr>
          <w:spacing w:val="-1"/>
        </w:rPr>
        <w:t>成年人泌尿系结石的患病率约为6.5%¹-2]。体外冲击</w:t>
      </w:r>
      <w:r>
        <w:rPr>
          <w:spacing w:val="8"/>
        </w:rPr>
        <w:t xml:space="preserve">  </w:t>
      </w:r>
      <w:r>
        <w:rPr>
          <w:spacing w:val="5"/>
        </w:rPr>
        <w:t>波碎石术 </w:t>
      </w:r>
      <w:r>
        <w:rPr>
          <w:rFonts w:ascii="Times New Roman" w:hAnsi="Times New Roman" w:eastAsia="Times New Roman" w:cs="Times New Roman"/>
          <w:spacing w:val="5"/>
        </w:rPr>
        <w:t>(</w:t>
      </w:r>
      <w:r>
        <w:rPr>
          <w:rFonts w:ascii="Times New Roman" w:hAnsi="Times New Roman" w:eastAsia="Times New Roman" w:cs="Times New Roman"/>
        </w:rPr>
        <w:t>extracorporeal</w:t>
      </w:r>
      <w:r>
        <w:rPr>
          <w:rFonts w:ascii="Times New Roman" w:hAnsi="Times New Roman" w:eastAsia="Times New Roman" w:cs="Times New Roman"/>
          <w:spacing w:val="5"/>
        </w:rPr>
        <w:t xml:space="preserve">    </w:t>
      </w:r>
      <w:r>
        <w:rPr>
          <w:rFonts w:ascii="Times New Roman" w:hAnsi="Times New Roman" w:eastAsia="Times New Roman" w:cs="Times New Roman"/>
        </w:rPr>
        <w:t>shock</w:t>
      </w:r>
      <w:r>
        <w:rPr>
          <w:rFonts w:ascii="Times New Roman" w:hAnsi="Times New Roman" w:eastAsia="Times New Roman" w:cs="Times New Roman"/>
          <w:spacing w:val="5"/>
        </w:rPr>
        <w:t xml:space="preserve">    </w:t>
      </w:r>
      <w:r>
        <w:rPr>
          <w:rFonts w:ascii="Times New Roman" w:hAnsi="Times New Roman" w:eastAsia="Times New Roman" w:cs="Times New Roman"/>
        </w:rPr>
        <w:t>wave</w:t>
      </w:r>
      <w:r>
        <w:rPr>
          <w:rFonts w:ascii="Times New Roman" w:hAnsi="Times New Roman" w:eastAsia="Times New Roman" w:cs="Times New Roman"/>
          <w:spacing w:val="5"/>
        </w:rPr>
        <w:t xml:space="preserve">    </w:t>
      </w:r>
      <w:r>
        <w:rPr>
          <w:rFonts w:ascii="Times New Roman" w:hAnsi="Times New Roman" w:eastAsia="Times New Roman" w:cs="Times New Roman"/>
        </w:rPr>
        <w:t>lithotripsy</w:t>
      </w:r>
      <w:r>
        <w:rPr>
          <w:rFonts w:ascii="Times New Roman" w:hAnsi="Times New Roman" w:eastAsia="Times New Roman" w:cs="Times New Roman"/>
          <w:spacing w:val="5"/>
        </w:rPr>
        <w:t>,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/>
        <w:t>SWL</w:t>
      </w:r>
      <w:r>
        <w:rPr>
          <w:spacing w:val="18"/>
        </w:rPr>
        <w:t>)  已被公认为治疗肾与输尿管结石的首选方</w:t>
      </w:r>
      <w:r>
        <w:rPr>
          <w:spacing w:val="4"/>
        </w:rPr>
        <w:t xml:space="preserve">  </w:t>
      </w:r>
      <w:r>
        <w:rPr>
          <w:spacing w:val="4"/>
        </w:rPr>
        <w:t>法3]。迄今</w:t>
      </w:r>
      <w:r>
        <w:rPr>
          <w:rFonts w:ascii="Times New Roman" w:hAnsi="Times New Roman" w:eastAsia="Times New Roman" w:cs="Times New Roman"/>
        </w:rPr>
        <w:t>SWL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4"/>
        </w:rPr>
        <w:t>理论体系构建已基本完善，但是其</w:t>
      </w:r>
      <w:r>
        <w:rPr/>
        <w:t xml:space="preserve">  </w:t>
      </w:r>
      <w:r>
        <w:rPr>
          <w:spacing w:val="4"/>
        </w:rPr>
        <w:t>临床实践体系尚未完善，主要体现在</w:t>
      </w:r>
      <w:r>
        <w:rPr/>
        <w:t>SWL</w:t>
      </w:r>
      <w:r>
        <w:rPr>
          <w:spacing w:val="109"/>
        </w:rPr>
        <w:t xml:space="preserve"> </w:t>
      </w:r>
      <w:r>
        <w:rPr>
          <w:spacing w:val="4"/>
        </w:rPr>
        <w:t>规范化操</w:t>
      </w:r>
      <w:r>
        <w:rPr/>
        <w:t xml:space="preserve">  </w:t>
      </w:r>
      <w:r>
        <w:rPr>
          <w:spacing w:val="7"/>
        </w:rPr>
        <w:t>作标准以及安全性防护专项机制不健全46]。因此，</w:t>
      </w:r>
      <w:r>
        <w:rPr>
          <w:spacing w:val="11"/>
        </w:rPr>
        <w:t xml:space="preserve"> </w:t>
      </w:r>
      <w:r>
        <w:rPr>
          <w:spacing w:val="14"/>
        </w:rPr>
        <w:t>为进一步规范与优化</w:t>
      </w:r>
      <w:r>
        <w:rPr>
          <w:rFonts w:ascii="Times New Roman" w:hAnsi="Times New Roman" w:eastAsia="Times New Roman" w:cs="Times New Roman"/>
        </w:rPr>
        <w:t>SWL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spacing w:val="14"/>
        </w:rPr>
        <w:t>的临床实践，提高我国</w:t>
      </w:r>
      <w:r>
        <w:rPr>
          <w:spacing w:val="1"/>
        </w:rPr>
        <w:t xml:space="preserve"> </w:t>
      </w:r>
      <w:r>
        <w:rPr/>
        <w:t>SWL</w:t>
      </w:r>
      <w:r>
        <w:rPr>
          <w:spacing w:val="107"/>
        </w:rPr>
        <w:t xml:space="preserve"> </w:t>
      </w:r>
      <w:r>
        <w:rPr>
          <w:spacing w:val="4"/>
        </w:rPr>
        <w:t>技术的整体水平，学组专家经过充分讨论，对</w:t>
      </w:r>
      <w:r>
        <w:rPr/>
        <w:t xml:space="preserve">  </w:t>
      </w:r>
      <w:r>
        <w:rPr>
          <w:spacing w:val="-1"/>
        </w:rPr>
        <w:t>相关文献循证，特编写此项专家共识。</w:t>
      </w:r>
    </w:p>
    <w:p>
      <w:pPr>
        <w:pStyle w:val="BodyText"/>
        <w:ind w:left="792"/>
        <w:spacing w:before="156" w:line="222" w:lineRule="auto"/>
        <w:outlineLvl w:val="4"/>
        <w:rPr>
          <w:rFonts w:ascii="SimHei" w:hAnsi="SimHei" w:eastAsia="SimHei" w:cs="SimHei"/>
        </w:rPr>
      </w:pPr>
      <w:r>
        <w:rPr>
          <w:b/>
          <w:bCs/>
          <w:spacing w:val="-7"/>
        </w:rPr>
        <w:t>1</w:t>
      </w:r>
      <w:r>
        <w:rPr>
          <w:spacing w:val="79"/>
        </w:rPr>
        <w:t xml:space="preserve"> </w:t>
      </w:r>
      <w:r>
        <w:rPr>
          <w:rFonts w:ascii="SimHei" w:hAnsi="SimHei" w:eastAsia="SimHei" w:cs="SimHei"/>
          <w:b/>
          <w:bCs/>
          <w:spacing w:val="-7"/>
        </w:rPr>
        <w:t>适应证与禁忌证</w:t>
      </w:r>
    </w:p>
    <w:p>
      <w:pPr>
        <w:pStyle w:val="BodyText"/>
        <w:ind w:left="789" w:right="349" w:firstLine="420"/>
        <w:spacing w:before="222" w:line="296" w:lineRule="auto"/>
        <w:jc w:val="both"/>
        <w:rPr/>
      </w:pPr>
      <w:r>
        <w:rPr>
          <w:rFonts w:ascii="Times New Roman" w:hAnsi="Times New Roman" w:eastAsia="Times New Roman" w:cs="Times New Roman"/>
        </w:rPr>
        <w:t>SWL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spacing w:val="5"/>
        </w:rPr>
        <w:t>适应证包括直径&lt;20 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的肾结石、直径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8"/>
        </w:rPr>
        <w:t>≤10   </w:t>
      </w:r>
      <w:r>
        <w:rPr>
          <w:rFonts w:ascii="Times New Roman" w:hAnsi="Times New Roman" w:eastAsia="Times New Roman" w:cs="Times New Roman"/>
        </w:rPr>
        <w:t>mm</w:t>
      </w:r>
      <w:r>
        <w:rPr>
          <w:spacing w:val="8"/>
        </w:rPr>
        <w:t>的输尿管结石(患侧肾功能良好)以及直径</w:t>
      </w:r>
      <w:r>
        <w:rPr>
          <w:spacing w:val="18"/>
        </w:rPr>
        <w:t xml:space="preserve"> </w:t>
      </w:r>
      <w:r>
        <w:rPr>
          <w:spacing w:val="-3"/>
        </w:rPr>
        <w:t>&lt;30   mm膀胱结石(尿道无狭窄及梗阻)[3-5]。</w:t>
      </w:r>
    </w:p>
    <w:p>
      <w:pPr>
        <w:pStyle w:val="BodyText"/>
        <w:ind w:left="789" w:right="342" w:firstLine="420"/>
        <w:spacing w:before="19" w:line="296" w:lineRule="auto"/>
        <w:jc w:val="both"/>
        <w:rPr/>
      </w:pPr>
      <w:r>
        <w:rPr/>
        <w:t>SWL</w:t>
      </w:r>
      <w:r>
        <w:rPr>
          <w:spacing w:val="104"/>
        </w:rPr>
        <w:t xml:space="preserve"> </w:t>
      </w:r>
      <w:r>
        <w:rPr>
          <w:spacing w:val="4"/>
        </w:rPr>
        <w:t>绝对禁忌证是妊娠期尿路结石。相对禁忌</w:t>
      </w:r>
      <w:r>
        <w:rPr/>
        <w:t xml:space="preserve"> </w:t>
      </w:r>
      <w:r>
        <w:rPr>
          <w:spacing w:val="8"/>
        </w:rPr>
        <w:t>证包括结石远端尿路梗阻、慢性肾功能不全、重度</w:t>
      </w:r>
      <w:r>
        <w:rPr>
          <w:spacing w:val="14"/>
        </w:rPr>
        <w:t xml:space="preserve"> </w:t>
      </w:r>
      <w:r>
        <w:rPr>
          <w:spacing w:val="8"/>
        </w:rPr>
        <w:t>肥胖、严重尿路感染、严重骨骼畸形、严重心脑血</w:t>
      </w:r>
      <w:r>
        <w:rPr>
          <w:spacing w:val="11"/>
        </w:rPr>
        <w:t xml:space="preserve"> </w:t>
      </w:r>
      <w:r>
        <w:rPr>
          <w:spacing w:val="8"/>
        </w:rPr>
        <w:t>管疾病、严重糖尿病、未控制的高血压、凝血功能</w:t>
      </w:r>
      <w:r>
        <w:rPr>
          <w:spacing w:val="13"/>
        </w:rPr>
        <w:t xml:space="preserve"> </w:t>
      </w:r>
      <w:r>
        <w:rPr>
          <w:spacing w:val="-7"/>
        </w:rPr>
        <w:t>障碍以及正在口服抗凝药的患者</w:t>
      </w:r>
      <w:r>
        <w:rPr>
          <w:rFonts w:ascii="Calibri" w:hAnsi="Calibri" w:eastAsia="Calibri" w:cs="Calibri"/>
          <w:spacing w:val="-7"/>
        </w:rPr>
        <w:t>⁴</w:t>
      </w:r>
      <w:r>
        <w:rPr>
          <w:spacing w:val="-7"/>
        </w:rPr>
        <w:t>-7]。</w:t>
      </w:r>
    </w:p>
    <w:p>
      <w:pPr>
        <w:pStyle w:val="BodyText"/>
        <w:ind w:left="792"/>
        <w:spacing w:before="133" w:line="222" w:lineRule="auto"/>
        <w:outlineLvl w:val="4"/>
        <w:rPr>
          <w:rFonts w:ascii="SimHei" w:hAnsi="SimHei" w:eastAsia="SimHei" w:cs="SimHei"/>
        </w:rPr>
      </w:pPr>
      <w:r>
        <w:rPr>
          <w:b/>
          <w:bCs/>
          <w:spacing w:val="-6"/>
        </w:rPr>
        <w:t>2</w:t>
      </w:r>
      <w:r>
        <w:rPr>
          <w:spacing w:val="63"/>
        </w:rPr>
        <w:t xml:space="preserve"> </w:t>
      </w:r>
      <w:r>
        <w:rPr>
          <w:rFonts w:ascii="SimHei" w:hAnsi="SimHei" w:eastAsia="SimHei" w:cs="SimHei"/>
          <w:b/>
          <w:bCs/>
          <w:spacing w:val="-6"/>
        </w:rPr>
        <w:t>术前检查</w:t>
      </w:r>
    </w:p>
    <w:p>
      <w:pPr>
        <w:pStyle w:val="BodyText"/>
        <w:ind w:left="789" w:right="259" w:firstLine="420"/>
        <w:spacing w:before="231" w:line="287" w:lineRule="auto"/>
        <w:jc w:val="both"/>
        <w:rPr/>
      </w:pPr>
      <w:r>
        <w:rPr>
          <w:spacing w:val="-2"/>
        </w:rPr>
        <w:t>SWL</w:t>
      </w:r>
      <w:r>
        <w:rPr>
          <w:spacing w:val="103"/>
        </w:rPr>
        <w:t xml:space="preserve"> </w:t>
      </w:r>
      <w:r>
        <w:rPr>
          <w:spacing w:val="-2"/>
        </w:rPr>
        <w:t>术前检查的目的包括：①明确结石的诊断；</w:t>
      </w:r>
      <w:r>
        <w:rPr/>
        <w:t xml:space="preserve"> </w:t>
      </w:r>
      <w:r>
        <w:rPr>
          <w:spacing w:val="9"/>
        </w:rPr>
        <w:t>②评定</w:t>
      </w:r>
      <w:r>
        <w:rPr>
          <w:rFonts w:ascii="Times New Roman" w:hAnsi="Times New Roman" w:eastAsia="Times New Roman" w:cs="Times New Roman"/>
        </w:rPr>
        <w:t>SWL</w:t>
      </w:r>
      <w:r>
        <w:rPr>
          <w:rFonts w:ascii="Times New Roman" w:hAnsi="Times New Roman" w:eastAsia="Times New Roman" w:cs="Times New Roman"/>
          <w:spacing w:val="48"/>
          <w:w w:val="101"/>
        </w:rPr>
        <w:t xml:space="preserve"> </w:t>
      </w:r>
      <w:r>
        <w:rPr>
          <w:spacing w:val="9"/>
        </w:rPr>
        <w:t>的适应证；③排除</w:t>
      </w:r>
      <w:r>
        <w:rPr>
          <w:rFonts w:ascii="Times New Roman" w:hAnsi="Times New Roman" w:eastAsia="Times New Roman" w:cs="Times New Roman"/>
        </w:rPr>
        <w:t>SWL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spacing w:val="9"/>
        </w:rPr>
        <w:t>的禁忌；④评</w:t>
      </w:r>
      <w:r>
        <w:rPr/>
        <w:t xml:space="preserve">  </w:t>
      </w:r>
      <w:r>
        <w:rPr>
          <w:spacing w:val="-1"/>
        </w:rPr>
        <w:t>估患者接受</w:t>
      </w:r>
      <w:r>
        <w:rPr>
          <w:rFonts w:ascii="Times New Roman" w:hAnsi="Times New Roman" w:eastAsia="Times New Roman" w:cs="Times New Roman"/>
          <w:spacing w:val="-1"/>
        </w:rPr>
        <w:t>SWL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spacing w:val="-1"/>
        </w:rPr>
        <w:t>的可能性。</w:t>
      </w:r>
    </w:p>
    <w:p>
      <w:pPr>
        <w:pStyle w:val="BodyText"/>
        <w:ind w:left="789"/>
        <w:spacing w:before="48" w:line="227" w:lineRule="auto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495265</wp:posOffset>
            </wp:positionH>
            <wp:positionV relativeFrom="paragraph">
              <wp:posOffset>279552</wp:posOffset>
            </wp:positionV>
            <wp:extent cx="1644687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468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2.1 </w:t>
      </w:r>
      <w:r>
        <w:rPr>
          <w:rFonts w:ascii="KaiTi" w:hAnsi="KaiTi" w:eastAsia="KaiTi" w:cs="KaiTi"/>
          <w:spacing w:val="2"/>
        </w:rPr>
        <w:t>实验室检查</w:t>
      </w:r>
      <w:r>
        <w:rPr>
          <w:rFonts w:ascii="KaiTi" w:hAnsi="KaiTi" w:eastAsia="KaiTi" w:cs="KaiTi"/>
          <w:spacing w:val="2"/>
        </w:rPr>
        <w:t xml:space="preserve">   </w:t>
      </w:r>
      <w:r>
        <w:rPr>
          <w:spacing w:val="2"/>
        </w:rPr>
        <w:t>术前实验室检查包括血常规、尿</w:t>
      </w:r>
    </w:p>
    <w:p>
      <w:pPr>
        <w:pStyle w:val="BodyText"/>
        <w:ind w:left="789"/>
        <w:spacing w:before="267" w:line="214" w:lineRule="auto"/>
        <w:rPr/>
      </w:pPr>
      <w:r>
        <w:rPr>
          <w:spacing w:val="-11"/>
        </w:rPr>
        <w:t>※通信作者：谷现恩，E-mail:guxe</w:t>
      </w:r>
      <w:r>
        <w:rPr>
          <w:spacing w:val="-12"/>
        </w:rPr>
        <w:t>n@sina.com</w:t>
      </w:r>
    </w:p>
    <w:p>
      <w:pPr>
        <w:spacing w:line="9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12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文章编号：</w:t>
      </w:r>
      <w:r>
        <w:rPr>
          <w:rFonts w:ascii="Times New Roman" w:hAnsi="Times New Roman" w:eastAsia="Times New Roman" w:cs="Times New Roman"/>
          <w:spacing w:val="-6"/>
        </w:rPr>
        <w:t>1674-7410(2022)01-0001-03</w:t>
      </w: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right="107"/>
        <w:spacing w:before="65" w:line="287" w:lineRule="auto"/>
        <w:jc w:val="both"/>
        <w:rPr/>
      </w:pPr>
      <w:r>
        <w:rPr>
          <w:spacing w:val="12"/>
        </w:rPr>
        <w:t>常规、</w:t>
      </w:r>
      <w:r>
        <w:rPr>
          <w:rFonts w:ascii="Times New Roman" w:hAnsi="Times New Roman" w:eastAsia="Times New Roman" w:cs="Times New Roman"/>
          <w:spacing w:val="12"/>
        </w:rPr>
        <w:t>C-  </w:t>
      </w:r>
      <w:r>
        <w:rPr>
          <w:spacing w:val="12"/>
        </w:rPr>
        <w:t>反应蛋白以及凝血功能，必要时增加肝</w:t>
      </w:r>
      <w:r>
        <w:rPr/>
        <w:t xml:space="preserve"> </w:t>
      </w:r>
      <w:r>
        <w:rPr>
          <w:spacing w:val="7"/>
        </w:rPr>
        <w:t>肾功能、血电解质、尿细菌培养及药物敏感试验等</w:t>
      </w:r>
      <w:r>
        <w:rPr>
          <w:spacing w:val="14"/>
        </w:rPr>
        <w:t xml:space="preserve"> </w:t>
      </w:r>
      <w:r>
        <w:rPr>
          <w:spacing w:val="-1"/>
        </w:rPr>
        <w:t>检查。</w:t>
      </w:r>
    </w:p>
    <w:p>
      <w:pPr>
        <w:pStyle w:val="BodyText"/>
        <w:ind w:right="106"/>
        <w:spacing w:before="38" w:line="296" w:lineRule="auto"/>
        <w:jc w:val="both"/>
        <w:rPr/>
      </w:pPr>
      <w:r>
        <w:rPr>
          <w:spacing w:val="1"/>
        </w:rPr>
        <w:t>2.2</w:t>
      </w:r>
      <w:r>
        <w:rPr>
          <w:spacing w:val="30"/>
        </w:rPr>
        <w:t xml:space="preserve"> </w:t>
      </w:r>
      <w:r>
        <w:rPr>
          <w:spacing w:val="1"/>
        </w:rPr>
        <w:t>影像学检查</w:t>
      </w:r>
      <w:r>
        <w:rPr>
          <w:spacing w:val="19"/>
        </w:rPr>
        <w:t xml:space="preserve">   </w:t>
      </w:r>
      <w:r>
        <w:rPr>
          <w:spacing w:val="1"/>
        </w:rPr>
        <w:t>包括泌尿系超声、腹部</w:t>
      </w:r>
      <w:r>
        <w:rPr>
          <w:rFonts w:ascii="Times New Roman" w:hAnsi="Times New Roman" w:eastAsia="Times New Roman" w:cs="Times New Roman"/>
          <w:spacing w:val="1"/>
        </w:rPr>
        <w:t>X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/>
        <w:t>线平片 </w:t>
      </w:r>
      <w:r>
        <w:rPr>
          <w:spacing w:val="4"/>
        </w:rPr>
        <w:t>和腹部非增强电子计算机断层扫描 (</w:t>
      </w:r>
      <w:r>
        <w:rPr/>
        <w:t>computed</w:t>
      </w:r>
      <w:r>
        <w:rPr>
          <w:spacing w:val="4"/>
        </w:rPr>
        <w:t xml:space="preserve">  </w:t>
      </w:r>
      <w:r>
        <w:rPr/>
        <w:t>to</w:t>
      </w:r>
      <w:r>
        <w:rPr>
          <w:spacing w:val="4"/>
        </w:rPr>
        <w:t>-</w:t>
      </w:r>
      <w:r>
        <w:rPr>
          <w:spacing w:val="6"/>
        </w:rPr>
        <w:t xml:space="preserve"> </w:t>
      </w:r>
      <w:r>
        <w:rPr/>
        <w:t>mography</w:t>
      </w:r>
      <w:r>
        <w:rPr>
          <w:spacing w:val="8"/>
        </w:rPr>
        <w:t>,</w:t>
      </w:r>
      <w:r>
        <w:rPr/>
        <w:t>CT</w:t>
      </w:r>
      <w:r>
        <w:rPr>
          <w:spacing w:val="8"/>
        </w:rPr>
        <w:t>)</w:t>
      </w:r>
      <w:r>
        <w:rPr>
          <w:spacing w:val="17"/>
        </w:rPr>
        <w:t xml:space="preserve">   </w:t>
      </w:r>
      <w:r>
        <w:rPr>
          <w:spacing w:val="8"/>
        </w:rPr>
        <w:t>等。临床结石评估应选择超声+腹</w:t>
      </w:r>
      <w:r>
        <w:rPr/>
        <w:t xml:space="preserve"> </w:t>
      </w:r>
      <w:r>
        <w:rPr>
          <w:spacing w:val="3"/>
        </w:rPr>
        <w:t>部</w:t>
      </w:r>
      <w:r>
        <w:rPr>
          <w:rFonts w:ascii="Times New Roman" w:hAnsi="Times New Roman" w:eastAsia="Times New Roman" w:cs="Times New Roman"/>
          <w:spacing w:val="3"/>
        </w:rPr>
        <w:t>X</w:t>
      </w:r>
      <w:r>
        <w:rPr>
          <w:spacing w:val="3"/>
        </w:rPr>
        <w:t>线平片或者腹部非增强</w:t>
      </w:r>
      <w:r>
        <w:rPr>
          <w:rFonts w:ascii="Times New Roman" w:hAnsi="Times New Roman" w:eastAsia="Times New Roman" w:cs="Times New Roman"/>
        </w:rPr>
        <w:t>CT</w:t>
      </w:r>
      <w:r>
        <w:rPr>
          <w:spacing w:val="3"/>
        </w:rPr>
        <w:t>。</w:t>
      </w:r>
    </w:p>
    <w:p>
      <w:pPr>
        <w:pStyle w:val="BodyText"/>
        <w:spacing w:before="125" w:line="222" w:lineRule="auto"/>
        <w:rPr>
          <w:rFonts w:ascii="SimHei" w:hAnsi="SimHei" w:eastAsia="SimHei" w:cs="SimHei"/>
        </w:rPr>
      </w:pPr>
      <w:r>
        <w:rPr>
          <w:spacing w:val="-4"/>
        </w:rPr>
        <w:t>3</w:t>
      </w:r>
      <w:r>
        <w:rPr>
          <w:spacing w:val="73"/>
        </w:rPr>
        <w:t xml:space="preserve"> </w:t>
      </w:r>
      <w:r>
        <w:rPr>
          <w:rFonts w:ascii="SimHei" w:hAnsi="SimHei" w:eastAsia="SimHei" w:cs="SimHei"/>
          <w:spacing w:val="-4"/>
        </w:rPr>
        <w:t>术前准备</w:t>
      </w:r>
    </w:p>
    <w:p>
      <w:pPr>
        <w:pStyle w:val="BodyText"/>
        <w:ind w:right="35"/>
        <w:spacing w:before="210" w:line="296" w:lineRule="auto"/>
        <w:jc w:val="both"/>
        <w:rPr/>
      </w:pPr>
      <w:r>
        <w:rPr/>
        <w:t>3.1 评估患者情况</w:t>
      </w:r>
      <w:r>
        <w:rPr>
          <w:spacing w:val="18"/>
        </w:rPr>
        <w:t xml:space="preserve">   </w:t>
      </w:r>
      <w:r>
        <w:rPr/>
        <w:t>根据</w:t>
      </w:r>
      <w:r>
        <w:rPr>
          <w:rFonts w:ascii="Times New Roman" w:hAnsi="Times New Roman" w:eastAsia="Times New Roman" w:cs="Times New Roman"/>
        </w:rPr>
        <w:t>SWL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/>
        <w:t>相对禁忌证的范畴， </w:t>
      </w:r>
      <w:r>
        <w:rPr>
          <w:spacing w:val="8"/>
        </w:rPr>
        <w:t>重点评估患者的肾功能、尿路感染的发生、服用抗</w:t>
      </w:r>
      <w:r>
        <w:rPr>
          <w:spacing w:val="10"/>
        </w:rPr>
        <w:t xml:space="preserve"> </w:t>
      </w:r>
      <w:r>
        <w:rPr>
          <w:spacing w:val="8"/>
        </w:rPr>
        <w:t>凝药的情况、高血压及糖尿病的控制状态等。感染</w:t>
      </w:r>
      <w:r>
        <w:rPr>
          <w:spacing w:val="11"/>
        </w:rPr>
        <w:t xml:space="preserve"> </w:t>
      </w:r>
      <w:r>
        <w:rPr>
          <w:spacing w:val="8"/>
        </w:rPr>
        <w:t>性结石，留置输尿管支架管、导尿管、膀胱造瘘管</w:t>
      </w:r>
      <w:r>
        <w:rPr>
          <w:spacing w:val="13"/>
        </w:rPr>
        <w:t xml:space="preserve"> </w:t>
      </w:r>
      <w:r>
        <w:rPr>
          <w:spacing w:val="9"/>
        </w:rPr>
        <w:t>及肾造瘘管，存在泌尿系感染的患者，术前应使用</w:t>
      </w:r>
      <w:r>
        <w:rPr>
          <w:spacing w:val="5"/>
        </w:rPr>
        <w:t xml:space="preserve"> </w:t>
      </w:r>
      <w:r>
        <w:rPr/>
        <w:t>抗生素治疗。</w:t>
      </w:r>
    </w:p>
    <w:p>
      <w:pPr>
        <w:pStyle w:val="BodyText"/>
        <w:ind w:right="88" w:firstLine="439"/>
        <w:spacing w:before="16" w:line="296" w:lineRule="auto"/>
        <w:jc w:val="both"/>
        <w:rPr/>
      </w:pPr>
      <w:r>
        <w:rPr>
          <w:spacing w:val="13"/>
        </w:rPr>
        <w:t>正在接受抗凝治疗(如阿司匹林、华法林、达</w:t>
      </w:r>
      <w:r>
        <w:rPr>
          <w:spacing w:val="6"/>
        </w:rPr>
        <w:t xml:space="preserve"> </w:t>
      </w:r>
      <w:r>
        <w:rPr>
          <w:spacing w:val="7"/>
        </w:rPr>
        <w:t>比加群、氯吡格雷)的患者，在决定</w:t>
      </w:r>
      <w:r>
        <w:rPr/>
        <w:t>SWL</w:t>
      </w:r>
      <w:r>
        <w:rPr>
          <w:spacing w:val="7"/>
        </w:rPr>
        <w:t xml:space="preserve">  前，应请</w:t>
      </w:r>
      <w:r>
        <w:rPr>
          <w:spacing w:val="14"/>
        </w:rPr>
        <w:t xml:space="preserve"> </w:t>
      </w:r>
      <w:r>
        <w:rPr>
          <w:spacing w:val="8"/>
        </w:rPr>
        <w:t>专科医生会诊，以采取适当的治疗措施，如临时停</w:t>
      </w:r>
      <w:r>
        <w:rPr>
          <w:spacing w:val="13"/>
        </w:rPr>
        <w:t xml:space="preserve"> </w:t>
      </w:r>
      <w:r>
        <w:rPr>
          <w:spacing w:val="18"/>
        </w:rPr>
        <w:t>药或桥接抗血栓治疗，纠正潜在的凝血功能障碍</w:t>
      </w:r>
      <w:r>
        <w:rPr>
          <w:spacing w:val="8"/>
        </w:rPr>
        <w:t xml:space="preserve"> </w:t>
      </w:r>
      <w:r>
        <w:rPr>
          <w:spacing w:val="5"/>
        </w:rPr>
        <w:t>后，才可以进行</w:t>
      </w:r>
      <w:r>
        <w:rPr>
          <w:rFonts w:ascii="Times New Roman" w:hAnsi="Times New Roman" w:eastAsia="Times New Roman" w:cs="Times New Roman"/>
        </w:rPr>
        <w:t>SWL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5"/>
        </w:rPr>
        <w:t>。</w:t>
      </w:r>
      <w:r>
        <w:rPr>
          <w:spacing w:val="-59"/>
        </w:rPr>
        <w:t xml:space="preserve"> </w:t>
      </w:r>
      <w:r>
        <w:rPr>
          <w:spacing w:val="5"/>
        </w:rPr>
        <w:t>但对于肾脏区域的冲击波治</w:t>
      </w:r>
      <w:r>
        <w:rPr/>
        <w:t xml:space="preserve"> </w:t>
      </w:r>
      <w:r>
        <w:rPr>
          <w:spacing w:val="-1"/>
        </w:rPr>
        <w:t>疗，仍需慎重。</w:t>
      </w:r>
    </w:p>
    <w:p>
      <w:pPr>
        <w:pStyle w:val="BodyText"/>
        <w:ind w:right="95"/>
        <w:spacing w:before="26" w:line="276" w:lineRule="auto"/>
        <w:rPr/>
      </w:pPr>
      <w:r>
        <w:rPr>
          <w:rFonts w:ascii="Times New Roman" w:hAnsi="Times New Roman" w:eastAsia="Times New Roman" w:cs="Times New Roman"/>
          <w:spacing w:val="1"/>
        </w:rPr>
        <w:t>3.2   </w:t>
      </w:r>
      <w:r>
        <w:rPr>
          <w:rFonts w:ascii="KaiTi" w:hAnsi="KaiTi" w:eastAsia="KaiTi" w:cs="KaiTi"/>
          <w:spacing w:val="1"/>
        </w:rPr>
        <w:t>肠道准备</w:t>
      </w:r>
      <w:r>
        <w:rPr>
          <w:rFonts w:ascii="KaiTi" w:hAnsi="KaiTi" w:eastAsia="KaiTi" w:cs="KaiTi"/>
          <w:spacing w:val="15"/>
        </w:rPr>
        <w:t xml:space="preserve">   </w:t>
      </w:r>
      <w:r>
        <w:rPr>
          <w:spacing w:val="1"/>
        </w:rPr>
        <w:t>当肠内容物较多，尤其是肠道积气</w:t>
      </w:r>
      <w:r>
        <w:rPr>
          <w:spacing w:val="2"/>
        </w:rPr>
        <w:t xml:space="preserve"> </w:t>
      </w:r>
      <w:r>
        <w:rPr>
          <w:spacing w:val="9"/>
        </w:rPr>
        <w:t>时，既影响靶目标的定位，又影响冲击波传导，因</w:t>
      </w:r>
      <w:r>
        <w:rPr>
          <w:spacing w:val="1"/>
        </w:rPr>
        <w:t xml:space="preserve"> </w:t>
      </w:r>
      <w:r>
        <w:rPr>
          <w:spacing w:val="-1"/>
        </w:rPr>
        <w:t>此，术前需做好肠道准备。</w:t>
      </w:r>
    </w:p>
    <w:p>
      <w:pPr>
        <w:pStyle w:val="BodyText"/>
        <w:ind w:right="100"/>
        <w:spacing w:before="78" w:line="271" w:lineRule="auto"/>
        <w:rPr/>
      </w:pPr>
      <w:r>
        <w:rPr>
          <w:spacing w:val="7"/>
        </w:rPr>
        <w:t>3.3</w:t>
      </w:r>
      <w:r>
        <w:rPr>
          <w:spacing w:val="36"/>
        </w:rPr>
        <w:t xml:space="preserve"> </w:t>
      </w:r>
      <w:r>
        <w:rPr>
          <w:rFonts w:ascii="KaiTi" w:hAnsi="KaiTi" w:eastAsia="KaiTi" w:cs="KaiTi"/>
          <w:spacing w:val="7"/>
        </w:rPr>
        <w:t>尿路准备</w:t>
      </w:r>
      <w:r>
        <w:rPr>
          <w:rFonts w:ascii="KaiTi" w:hAnsi="KaiTi" w:eastAsia="KaiTi" w:cs="KaiTi"/>
          <w:spacing w:val="7"/>
        </w:rPr>
        <w:t xml:space="preserve">   </w:t>
      </w:r>
      <w:r>
        <w:rPr>
          <w:spacing w:val="7"/>
        </w:rPr>
        <w:t>术前1</w:t>
      </w:r>
      <w:r>
        <w:rPr>
          <w:spacing w:val="-41"/>
        </w:rPr>
        <w:t xml:space="preserve"> </w:t>
      </w:r>
      <w:r>
        <w:rPr>
          <w:spacing w:val="7"/>
        </w:rPr>
        <w:t>h</w:t>
      </w:r>
      <w:r>
        <w:rPr>
          <w:spacing w:val="-54"/>
        </w:rPr>
        <w:t xml:space="preserve"> </w:t>
      </w:r>
      <w:r>
        <w:rPr>
          <w:spacing w:val="7"/>
        </w:rPr>
        <w:t>常规饮水500</w:t>
      </w:r>
      <w:r>
        <w:rPr>
          <w:spacing w:val="16"/>
        </w:rPr>
        <w:t xml:space="preserve"> </w:t>
      </w:r>
      <w:r>
        <w:rPr/>
        <w:t>ml</w:t>
      </w:r>
      <w:r>
        <w:rPr>
          <w:spacing w:val="7"/>
        </w:rPr>
        <w:t>,</w:t>
      </w:r>
      <w:r>
        <w:rPr>
          <w:spacing w:val="-38"/>
        </w:rPr>
        <w:t xml:space="preserve"> </w:t>
      </w:r>
      <w:r>
        <w:rPr>
          <w:spacing w:val="7"/>
        </w:rPr>
        <w:t>可增加</w:t>
      </w:r>
      <w:r>
        <w:rPr/>
        <w:t xml:space="preserve"> </w:t>
      </w:r>
      <w:r>
        <w:rPr>
          <w:spacing w:val="8"/>
        </w:rPr>
        <w:t>尿液，有利于结石的粉碎和碎石颗粒的移动。输尿</w:t>
      </w:r>
      <w:r>
        <w:rPr>
          <w:spacing w:val="10"/>
        </w:rPr>
        <w:t xml:space="preserve"> </w:t>
      </w:r>
      <w:r>
        <w:rPr>
          <w:spacing w:val="-1"/>
        </w:rPr>
        <w:t>管下段结石，SWL  术前需要适度充盈膀胱。</w:t>
      </w:r>
    </w:p>
    <w:p>
      <w:pPr>
        <w:spacing w:line="271" w:lineRule="auto"/>
        <w:sectPr>
          <w:type w:val="continuous"/>
          <w:pgSz w:w="12200" w:h="17130"/>
          <w:pgMar w:top="1670" w:right="1294" w:bottom="0" w:left="380" w:header="1237" w:footer="0" w:gutter="0"/>
          <w:cols w:equalWidth="0" w:num="2">
            <w:col w:w="5731" w:space="100"/>
            <w:col w:w="4696" w:space="0"/>
          </w:cols>
        </w:sectPr>
        <w:rPr/>
      </w:pP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before="57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(C)1994-2023   China   Academic   Journal   Electronic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Publishing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House.All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rights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reserved.</w:t>
      </w:r>
      <w:hyperlink w:history="true" r:id="rId3">
        <w:r>
          <w:rPr>
            <w:rFonts w:ascii="Times New Roman" w:hAnsi="Times New Roman" w:eastAsia="Times New Roman" w:cs="Times New Roman"/>
            <w:sz w:val="20"/>
            <w:szCs w:val="20"/>
          </w:rPr>
          <w:t>http://www.cnki.net</w:t>
        </w:r>
      </w:hyperlink>
    </w:p>
    <w:p>
      <w:pPr>
        <w:spacing w:line="192" w:lineRule="auto"/>
        <w:sectPr>
          <w:type w:val="continuous"/>
          <w:pgSz w:w="12200" w:h="17130"/>
          <w:pgMar w:top="1670" w:right="1294" w:bottom="0" w:left="380" w:header="1237" w:footer="0" w:gutter="0"/>
          <w:cols w:equalWidth="0" w:num="1">
            <w:col w:w="10526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122" w:lineRule="exact"/>
        <w:rPr/>
      </w:pPr>
      <w:r/>
    </w:p>
    <w:p>
      <w:pPr>
        <w:spacing w:line="122" w:lineRule="exact"/>
        <w:sectPr>
          <w:headerReference w:type="default" r:id="rId4"/>
          <w:pgSz w:w="12200" w:h="17130"/>
          <w:pgMar w:top="1674" w:right="1404" w:bottom="0" w:left="380" w:header="1225" w:footer="0" w:gutter="0"/>
          <w:cols w:equalWidth="0" w:num="1">
            <w:col w:w="10416" w:space="0"/>
          </w:cols>
        </w:sectPr>
        <w:rPr/>
      </w:pPr>
    </w:p>
    <w:p>
      <w:pPr>
        <w:pStyle w:val="BodyText"/>
        <w:ind w:left="680" w:right="341"/>
        <w:spacing w:before="47" w:line="271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1"/>
        </w:rPr>
        <w:t>3.4   </w:t>
      </w:r>
      <w:r>
        <w:rPr>
          <w:rFonts w:ascii="KaiTi" w:hAnsi="KaiTi" w:eastAsia="KaiTi" w:cs="KaiTi"/>
          <w:sz w:val="21"/>
          <w:szCs w:val="21"/>
          <w:spacing w:val="-1"/>
        </w:rPr>
        <w:t>支架预置</w:t>
      </w:r>
      <w:r>
        <w:rPr>
          <w:rFonts w:ascii="KaiTi" w:hAnsi="KaiTi" w:eastAsia="KaiTi" w:cs="KaiTi"/>
          <w:sz w:val="21"/>
          <w:szCs w:val="21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SWL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术前不需常规置管，但以下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情况建议术前放置输尿管支架：①孤立肾的肾或输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7"/>
        </w:rPr>
        <w:t>尿管结石，如少尿、无尿、结石体积较大，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SWL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7"/>
        </w:rPr>
        <w:t>术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前需放置输尿管支架；②双侧输尿管结石；③输尿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管结石合并重度肾积水；④多发输尿管结石或“石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11"/>
        </w:rPr>
        <w:t>街”;⑤感染性结石；⑥较大的鹿角形结石。</w:t>
      </w:r>
    </w:p>
    <w:p>
      <w:pPr>
        <w:pStyle w:val="BodyText"/>
        <w:ind w:left="680" w:right="342"/>
        <w:spacing w:before="82" w:line="261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1"/>
        </w:rPr>
        <w:t>3.5   </w:t>
      </w:r>
      <w:r>
        <w:rPr>
          <w:rFonts w:ascii="KaiTi" w:hAnsi="KaiTi" w:eastAsia="KaiTi" w:cs="KaiTi"/>
          <w:sz w:val="21"/>
          <w:szCs w:val="21"/>
          <w:spacing w:val="-1"/>
        </w:rPr>
        <w:t>术前谈话</w:t>
      </w:r>
      <w:r>
        <w:rPr>
          <w:rFonts w:ascii="KaiTi" w:hAnsi="KaiTi" w:eastAsia="KaiTi" w:cs="KaiTi"/>
          <w:sz w:val="21"/>
          <w:szCs w:val="21"/>
          <w:spacing w:val="-1"/>
        </w:rPr>
        <w:t xml:space="preserve">   </w:t>
      </w:r>
      <w:r>
        <w:rPr>
          <w:sz w:val="21"/>
          <w:szCs w:val="21"/>
          <w:spacing w:val="-1"/>
        </w:rPr>
        <w:t>需要详细告知患者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SWL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的适应证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与并发症，以及替代诊疗方案，如腔镜取石等，征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7"/>
        </w:rPr>
        <w:t>求患者或家属的同意，并签订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SWL </w:t>
      </w:r>
      <w:r>
        <w:rPr>
          <w:sz w:val="21"/>
          <w:szCs w:val="21"/>
          <w:spacing w:val="-7"/>
        </w:rPr>
        <w:t>知情同意书。</w:t>
      </w:r>
    </w:p>
    <w:p>
      <w:pPr>
        <w:pStyle w:val="BodyText"/>
        <w:ind w:left="683"/>
        <w:spacing w:before="227" w:line="222" w:lineRule="auto"/>
        <w:outlineLvl w:val="4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spacing w:val="-10"/>
        </w:rPr>
        <w:t>4</w:t>
      </w:r>
      <w:r>
        <w:rPr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操作与技巧</w:t>
      </w:r>
    </w:p>
    <w:p>
      <w:pPr>
        <w:pStyle w:val="BodyText"/>
        <w:ind w:left="680" w:right="346"/>
        <w:spacing w:before="200" w:line="261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4.1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 </w:t>
      </w:r>
      <w:r>
        <w:rPr>
          <w:rFonts w:ascii="KaiTi" w:hAnsi="KaiTi" w:eastAsia="KaiTi" w:cs="KaiTi"/>
          <w:sz w:val="21"/>
          <w:szCs w:val="21"/>
        </w:rPr>
        <w:t>治疗体位</w:t>
      </w:r>
      <w:r>
        <w:rPr>
          <w:rFonts w:ascii="KaiTi" w:hAnsi="KaiTi" w:eastAsia="KaiTi" w:cs="KaiTi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SWL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常用体位主要有俯卧位、仰 </w:t>
      </w:r>
      <w:r>
        <w:rPr>
          <w:sz w:val="21"/>
          <w:szCs w:val="21"/>
          <w:spacing w:val="-1"/>
        </w:rPr>
        <w:t>卧位、侧卧位。无论采取何种治疗体位，均应尽量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1"/>
        </w:rPr>
        <w:t>避开骨骼、重要脏器和组织，关注患者的舒适感。</w:t>
      </w:r>
    </w:p>
    <w:p>
      <w:pPr>
        <w:pStyle w:val="BodyText"/>
        <w:ind w:left="680" w:right="340"/>
        <w:spacing w:before="81" w:line="261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4.2   </w:t>
      </w:r>
      <w:r>
        <w:rPr>
          <w:rFonts w:ascii="KaiTi" w:hAnsi="KaiTi" w:eastAsia="KaiTi" w:cs="KaiTi"/>
          <w:sz w:val="21"/>
          <w:szCs w:val="21"/>
          <w:spacing w:val="-1"/>
        </w:rPr>
        <w:t>治疗路径</w:t>
      </w:r>
      <w:r>
        <w:rPr>
          <w:rFonts w:ascii="KaiTi" w:hAnsi="KaiTi" w:eastAsia="KaiTi" w:cs="KaiTi"/>
          <w:sz w:val="21"/>
          <w:szCs w:val="21"/>
          <w:spacing w:val="-1"/>
        </w:rPr>
        <w:t xml:space="preserve">   </w:t>
      </w:r>
      <w:r>
        <w:rPr>
          <w:sz w:val="21"/>
          <w:szCs w:val="21"/>
          <w:spacing w:val="-1"/>
        </w:rPr>
        <w:t>SWL  路径选择需遵循“冲击路径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短、安全性高”的原则，特别注意冲击路径中组织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1"/>
        </w:rPr>
        <w:t>脏器或毗邻器官的损害程度。</w:t>
      </w:r>
    </w:p>
    <w:p>
      <w:pPr>
        <w:pStyle w:val="BodyText"/>
        <w:ind w:left="680" w:right="317" w:firstLine="429"/>
        <w:spacing w:before="80" w:line="282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SWL </w:t>
      </w:r>
      <w:r>
        <w:rPr>
          <w:sz w:val="21"/>
          <w:szCs w:val="21"/>
          <w:spacing w:val="-4"/>
        </w:rPr>
        <w:t>治疗路径主要有：①经背部路径，适用于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2"/>
        </w:rPr>
        <w:t>肾与输尿管上段结石；②经腹部路径，又分为同侧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经腹路径与对侧经腹路径，适用于输尿管中段及下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1"/>
        </w:rPr>
        <w:t>段结石，特殊情况下可用于肾下盏和输尿管上段结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1"/>
        </w:rPr>
        <w:t>石的治疗，对侧经腹路径常用于输尿管下段结石的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1"/>
        </w:rPr>
        <w:t>治疗；③经坐骨大孔路径，主要用于输尿管下段结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7"/>
        </w:rPr>
        <w:t>石的治疗。</w:t>
      </w:r>
    </w:p>
    <w:p>
      <w:pPr>
        <w:pStyle w:val="BodyText"/>
        <w:ind w:left="680" w:right="360"/>
        <w:spacing w:before="23" w:line="267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4.3   </w:t>
      </w:r>
      <w:r>
        <w:rPr>
          <w:rFonts w:ascii="KaiTi" w:hAnsi="KaiTi" w:eastAsia="KaiTi" w:cs="KaiTi"/>
          <w:sz w:val="21"/>
          <w:szCs w:val="21"/>
          <w:spacing w:val="1"/>
        </w:rPr>
        <w:t>定位技术</w:t>
      </w:r>
      <w:r>
        <w:rPr>
          <w:rFonts w:ascii="KaiTi" w:hAnsi="KaiTi" w:eastAsia="KaiTi" w:cs="KaiTi"/>
          <w:sz w:val="21"/>
          <w:szCs w:val="21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SWL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1"/>
        </w:rPr>
        <w:t>定位及监控方式主要有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X</w:t>
      </w:r>
      <w:r>
        <w:rPr>
          <w:sz w:val="21"/>
          <w:szCs w:val="21"/>
          <w:spacing w:val="1"/>
        </w:rPr>
        <w:t>线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5"/>
        </w:rPr>
        <w:t>与超声。理想的</w:t>
      </w:r>
      <w:r>
        <w:rPr>
          <w:rFonts w:ascii="Times New Roman" w:hAnsi="Times New Roman" w:eastAsia="Times New Roman" w:cs="Times New Roman"/>
          <w:sz w:val="21"/>
          <w:szCs w:val="21"/>
        </w:rPr>
        <w:t>SWL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5"/>
        </w:rPr>
        <w:t>是采用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X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sz w:val="21"/>
          <w:szCs w:val="21"/>
          <w:spacing w:val="5"/>
        </w:rPr>
        <w:t>线和超声双定位系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4"/>
        </w:rPr>
        <w:t>统，选择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>X</w:t>
      </w:r>
      <w:r>
        <w:rPr>
          <w:sz w:val="21"/>
          <w:szCs w:val="21"/>
          <w:spacing w:val="-14"/>
        </w:rPr>
        <w:t>线寻石，超声跟踪</w:t>
      </w:r>
      <w:r>
        <w:rPr>
          <w:rFonts w:ascii="Calibri" w:hAnsi="Calibri" w:eastAsia="Calibri" w:cs="Calibri"/>
          <w:sz w:val="21"/>
          <w:szCs w:val="21"/>
          <w:spacing w:val="-14"/>
        </w:rPr>
        <w:t>⁸</w:t>
      </w:r>
      <w:r>
        <w:rPr>
          <w:sz w:val="21"/>
          <w:szCs w:val="21"/>
          <w:spacing w:val="-14"/>
        </w:rPr>
        <w:t>-10]。</w:t>
      </w:r>
    </w:p>
    <w:p>
      <w:pPr>
        <w:pStyle w:val="BodyText"/>
        <w:ind w:left="680" w:right="339"/>
        <w:spacing w:before="61" w:line="275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4.4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-1"/>
        </w:rPr>
        <w:t>参数设置</w:t>
      </w:r>
      <w:r>
        <w:rPr>
          <w:rFonts w:ascii="KaiTi" w:hAnsi="KaiTi" w:eastAsia="KaiTi" w:cs="KaiTi"/>
          <w:sz w:val="21"/>
          <w:szCs w:val="21"/>
          <w:spacing w:val="-1"/>
        </w:rPr>
        <w:t xml:space="preserve">   </w:t>
      </w:r>
      <w:r>
        <w:rPr>
          <w:sz w:val="21"/>
          <w:szCs w:val="21"/>
          <w:spacing w:val="-1"/>
        </w:rPr>
        <w:t>选择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SWL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的治疗参数，兼顾安全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性与有效性，包括冲击频率和冲击波能量、冲击波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2"/>
        </w:rPr>
        <w:t>次数和治疗期数。推荐冲击频率为60次/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min,  </w:t>
      </w:r>
      <w:r>
        <w:rPr>
          <w:sz w:val="21"/>
          <w:szCs w:val="21"/>
          <w:spacing w:val="-3"/>
        </w:rPr>
        <w:t>并</w:t>
      </w:r>
      <w:r>
        <w:rPr>
          <w:sz w:val="21"/>
          <w:szCs w:val="21"/>
          <w:spacing w:val="-25"/>
        </w:rPr>
        <w:t xml:space="preserve"> </w:t>
      </w:r>
      <w:r>
        <w:rPr>
          <w:sz w:val="21"/>
          <w:szCs w:val="21"/>
          <w:spacing w:val="-3"/>
        </w:rPr>
        <w:t>应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用“步进式增能技术”逐级提高能量。“间隙休息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9"/>
        </w:rPr>
        <w:t>法”主要应用于肾或平肾下极以上的输尿管结石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SWL,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 </w:t>
      </w:r>
      <w:r>
        <w:rPr>
          <w:sz w:val="21"/>
          <w:szCs w:val="21"/>
          <w:spacing w:val="-3"/>
        </w:rPr>
        <w:t>冲击300～500次，暂停2～3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min,   </w:t>
      </w:r>
      <w:r>
        <w:rPr>
          <w:sz w:val="21"/>
          <w:szCs w:val="21"/>
          <w:spacing w:val="-4"/>
        </w:rPr>
        <w:t>既有利于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20"/>
        </w:rPr>
        <w:t>提高碎石效率，又可减少肾出血的发生概率[11-13]。同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一部位结石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SWL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的治疗期数不超过3次。单期冲击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8"/>
        </w:rPr>
        <w:t>次数：肾结石不超过2500次，输尿管结石不超过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19"/>
        </w:rPr>
        <w:t>3000次。</w:t>
      </w:r>
    </w:p>
    <w:p>
      <w:pPr>
        <w:pStyle w:val="BodyText"/>
        <w:ind w:left="680" w:right="355"/>
        <w:spacing w:before="99" w:line="261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4.5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 </w:t>
      </w:r>
      <w:r>
        <w:rPr>
          <w:rFonts w:ascii="KaiTi" w:hAnsi="KaiTi" w:eastAsia="KaiTi" w:cs="KaiTi"/>
          <w:sz w:val="21"/>
          <w:szCs w:val="21"/>
          <w:spacing w:val="-1"/>
        </w:rPr>
        <w:t>皮肤耦合</w:t>
      </w:r>
      <w:r>
        <w:rPr>
          <w:rFonts w:ascii="KaiTi" w:hAnsi="KaiTi" w:eastAsia="KaiTi" w:cs="KaiTi"/>
          <w:sz w:val="21"/>
          <w:szCs w:val="21"/>
          <w:spacing w:val="-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SWL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时需重视耦合技术和耦合剂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的选择，确保水囊与人体皮肤之间密切贴合。水囊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7"/>
        </w:rPr>
        <w:t>与皮肤耦合质量直接影响碎石效果14]。</w:t>
      </w:r>
    </w:p>
    <w:p>
      <w:pPr>
        <w:pStyle w:val="BodyText"/>
        <w:ind w:left="683"/>
        <w:spacing w:before="218" w:line="223" w:lineRule="auto"/>
        <w:outlineLvl w:val="4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spacing w:val="-11"/>
        </w:rPr>
        <w:t>5</w:t>
      </w:r>
      <w:r>
        <w:rPr>
          <w:sz w:val="21"/>
          <w:szCs w:val="21"/>
          <w:spacing w:val="5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术后处理</w:t>
      </w:r>
    </w:p>
    <w:p>
      <w:pPr>
        <w:pStyle w:val="BodyText"/>
        <w:ind w:left="680" w:right="337"/>
        <w:spacing w:before="199" w:line="286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"/>
        </w:rPr>
        <w:t>5.1   </w:t>
      </w:r>
      <w:r>
        <w:rPr>
          <w:rFonts w:ascii="KaiTi" w:hAnsi="KaiTi" w:eastAsia="KaiTi" w:cs="KaiTi"/>
          <w:sz w:val="21"/>
          <w:szCs w:val="21"/>
          <w:spacing w:val="1"/>
        </w:rPr>
        <w:t>止</w:t>
      </w:r>
      <w:r>
        <w:rPr>
          <w:rFonts w:ascii="KaiTi" w:hAnsi="KaiTi" w:eastAsia="KaiTi" w:cs="KaiTi"/>
          <w:sz w:val="21"/>
          <w:szCs w:val="21"/>
          <w:spacing w:val="-19"/>
        </w:rPr>
        <w:t xml:space="preserve"> </w:t>
      </w:r>
      <w:r>
        <w:rPr>
          <w:rFonts w:ascii="KaiTi" w:hAnsi="KaiTi" w:eastAsia="KaiTi" w:cs="KaiTi"/>
          <w:sz w:val="21"/>
          <w:szCs w:val="21"/>
          <w:spacing w:val="1"/>
        </w:rPr>
        <w:t>痛</w:t>
      </w:r>
      <w:r>
        <w:rPr>
          <w:rFonts w:ascii="KaiTi" w:hAnsi="KaiTi" w:eastAsia="KaiTi" w:cs="KaiTi"/>
          <w:sz w:val="21"/>
          <w:szCs w:val="21"/>
          <w:spacing w:val="39"/>
        </w:rPr>
        <w:t xml:space="preserve">  </w:t>
      </w:r>
      <w:r>
        <w:rPr>
          <w:sz w:val="21"/>
          <w:szCs w:val="21"/>
          <w:spacing w:val="1"/>
        </w:rPr>
        <w:t>少数患者受冲击的区域可有不适和疼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痛，一般无需特殊处理。术后出现肾绞痛，可给予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0" w:line="219" w:lineRule="auto"/>
        <w:rPr>
          <w:sz w:val="21"/>
          <w:szCs w:val="21"/>
        </w:rPr>
      </w:pPr>
      <w:r>
        <w:rPr>
          <w:sz w:val="21"/>
          <w:szCs w:val="21"/>
          <w:spacing w:val="-11"/>
        </w:rPr>
        <w:t>止痛治疗，必要时放置输尿管支架。</w:t>
      </w:r>
    </w:p>
    <w:p>
      <w:pPr>
        <w:pStyle w:val="BodyText"/>
        <w:ind w:right="95"/>
        <w:spacing w:before="59" w:line="273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5.2   </w:t>
      </w:r>
      <w:r>
        <w:rPr>
          <w:rFonts w:ascii="KaiTi" w:hAnsi="KaiTi" w:eastAsia="KaiTi" w:cs="KaiTi"/>
          <w:sz w:val="21"/>
          <w:szCs w:val="21"/>
          <w:spacing w:val="9"/>
        </w:rPr>
        <w:t>抗生素的应用</w:t>
      </w:r>
      <w:r>
        <w:rPr>
          <w:rFonts w:ascii="KaiTi" w:hAnsi="KaiTi" w:eastAsia="KaiTi" w:cs="KaiTi"/>
          <w:sz w:val="21"/>
          <w:szCs w:val="21"/>
          <w:spacing w:val="4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SWL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9"/>
        </w:rPr>
        <w:t>后不必常规使用抗生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素。对原有感染的患者和有潜在感染因素(如畸形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3"/>
        </w:rPr>
        <w:t>肾、糖尿病、放置输尿管支架)的患者，应继续控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8"/>
        </w:rPr>
        <w:t>制和预防感染。</w:t>
      </w:r>
    </w:p>
    <w:p>
      <w:pPr>
        <w:pStyle w:val="BodyText"/>
        <w:ind w:right="40"/>
        <w:spacing w:before="66" w:line="269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</w:rPr>
        <w:t>5.3</w:t>
      </w:r>
      <w:r>
        <w:rPr>
          <w:rFonts w:ascii="Arial" w:hAnsi="Arial" w:eastAsia="Arial" w:cs="Arial"/>
          <w:sz w:val="21"/>
          <w:szCs w:val="21"/>
          <w:b/>
          <w:bCs/>
          <w:spacing w:val="30"/>
          <w:w w:val="101"/>
        </w:rPr>
        <w:t xml:space="preserve">  </w:t>
      </w:r>
      <w:r>
        <w:rPr>
          <w:rFonts w:ascii="KaiTi" w:hAnsi="KaiTi" w:eastAsia="KaiTi" w:cs="KaiTi"/>
          <w:sz w:val="21"/>
          <w:szCs w:val="21"/>
        </w:rPr>
        <w:t>复碎间隔</w:t>
      </w:r>
      <w:r>
        <w:rPr>
          <w:rFonts w:ascii="KaiTi" w:hAnsi="KaiTi" w:eastAsia="KaiTi" w:cs="KaiTi"/>
          <w:sz w:val="21"/>
          <w:szCs w:val="21"/>
          <w:spacing w:val="4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SWL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的复碎间隔以1～2周为宜。 </w:t>
      </w:r>
      <w:r>
        <w:rPr>
          <w:sz w:val="21"/>
          <w:szCs w:val="21"/>
          <w:spacing w:val="-4"/>
        </w:rPr>
        <w:t>若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SWL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4"/>
        </w:rPr>
        <w:t>治疗肾脏区域结石，间隔至少2周。若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SWL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</w:t>
      </w:r>
      <w:r>
        <w:rPr>
          <w:sz w:val="21"/>
          <w:szCs w:val="21"/>
          <w:spacing w:val="-1"/>
        </w:rPr>
        <w:t>治疗平第3、4腰椎及以下输尿管结石，在综合评估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结石粉碎、梗阻、感染以及损伤情况后，复碎间隔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6"/>
        </w:rPr>
        <w:t>可以缩短至2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d</w:t>
      </w:r>
      <w:r>
        <w:rPr>
          <w:sz w:val="21"/>
          <w:szCs w:val="21"/>
          <w:spacing w:val="-6"/>
        </w:rPr>
        <w:t>。</w:t>
      </w:r>
    </w:p>
    <w:p>
      <w:pPr>
        <w:pStyle w:val="BodyText"/>
        <w:ind w:left="3"/>
        <w:spacing w:before="228" w:line="22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3"/>
          <w:w w:val="96"/>
        </w:rPr>
        <w:t>6</w:t>
      </w:r>
      <w:r>
        <w:rPr>
          <w:sz w:val="21"/>
          <w:szCs w:val="21"/>
          <w:spacing w:val="4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3"/>
          <w:w w:val="96"/>
        </w:rPr>
        <w:t>并发症及预防[</w:t>
      </w:r>
      <w:r>
        <w:rPr>
          <w:sz w:val="21"/>
          <w:szCs w:val="21"/>
          <w:spacing w:val="-23"/>
          <w:w w:val="96"/>
        </w:rPr>
        <w:t>15-17]</w:t>
      </w:r>
    </w:p>
    <w:p>
      <w:pPr>
        <w:pStyle w:val="BodyText"/>
        <w:ind w:firstLine="2"/>
        <w:spacing w:before="222" w:line="26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6"/>
        </w:rPr>
        <w:t>6.1</w:t>
      </w:r>
      <w:r>
        <w:rPr>
          <w:sz w:val="21"/>
          <w:szCs w:val="21"/>
          <w:spacing w:val="-6"/>
        </w:rPr>
        <w:t xml:space="preserve"> </w:t>
      </w:r>
      <w:r>
        <w:rPr>
          <w:rFonts w:ascii="KaiTi" w:hAnsi="KaiTi" w:eastAsia="KaiTi" w:cs="KaiTi"/>
          <w:sz w:val="21"/>
          <w:szCs w:val="21"/>
          <w:spacing w:val="-6"/>
        </w:rPr>
        <w:t>石街</w:t>
      </w:r>
      <w:r>
        <w:rPr>
          <w:rFonts w:ascii="KaiTi" w:hAnsi="KaiTi" w:eastAsia="KaiTi" w:cs="KaiTi"/>
          <w:sz w:val="21"/>
          <w:szCs w:val="21"/>
          <w:spacing w:val="-6"/>
        </w:rPr>
        <w:t xml:space="preserve">   </w:t>
      </w:r>
      <w:r>
        <w:rPr>
          <w:sz w:val="21"/>
          <w:szCs w:val="21"/>
          <w:spacing w:val="-6"/>
        </w:rPr>
        <w:t>石街可进一步引发严重并发症，因梗阻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2"/>
        </w:rPr>
        <w:t>诱发尿路感染，甚至尿源性脓毒血症。一旦出现严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3"/>
        </w:rPr>
        <w:t>重梗阻、感染或肾功能受损，必须立即解除梗</w:t>
      </w:r>
      <w:r>
        <w:rPr>
          <w:sz w:val="21"/>
          <w:szCs w:val="21"/>
          <w:spacing w:val="2"/>
        </w:rPr>
        <w:t>阻，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可放置输尿管支架或患侧肾造瘘等。预防石街的关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7"/>
        </w:rPr>
        <w:t>键在于严格选择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SWL </w:t>
      </w:r>
      <w:r>
        <w:rPr>
          <w:sz w:val="21"/>
          <w:szCs w:val="21"/>
          <w:spacing w:val="-7"/>
        </w:rPr>
        <w:t>适应证。</w:t>
      </w:r>
    </w:p>
    <w:p>
      <w:pPr>
        <w:pStyle w:val="BodyText"/>
        <w:ind w:right="72"/>
        <w:spacing w:before="105" w:line="27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2"/>
        </w:rPr>
        <w:t>6.2   </w:t>
      </w:r>
      <w:r>
        <w:rPr>
          <w:rFonts w:ascii="KaiTi" w:hAnsi="KaiTi" w:eastAsia="KaiTi" w:cs="KaiTi"/>
          <w:sz w:val="21"/>
          <w:szCs w:val="21"/>
          <w:spacing w:val="-2"/>
        </w:rPr>
        <w:t>肾脏损伤</w:t>
      </w:r>
      <w:r>
        <w:rPr>
          <w:rFonts w:ascii="KaiTi" w:hAnsi="KaiTi" w:eastAsia="KaiTi" w:cs="KaiTi"/>
          <w:sz w:val="21"/>
          <w:szCs w:val="21"/>
          <w:spacing w:val="-2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SWL </w:t>
      </w:r>
      <w:r>
        <w:rPr>
          <w:sz w:val="21"/>
          <w:szCs w:val="21"/>
          <w:spacing w:val="-2"/>
        </w:rPr>
        <w:t>严重的肾脏损伤主要有肾包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膜下血肿、肾周血肿等。术前应严格评估患者是否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2"/>
        </w:rPr>
        <w:t>存在肾脏损伤的危险因素，重点关注是否服用抗凝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2"/>
        </w:rPr>
        <w:t>药物、是否控制好高血压。规范操作技术，合理选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10"/>
        </w:rPr>
        <w:t>择碎石参数。</w:t>
      </w:r>
    </w:p>
    <w:p>
      <w:pPr>
        <w:pStyle w:val="BodyText"/>
        <w:spacing w:before="90" w:line="26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3"/>
        </w:rPr>
        <w:t>6.3   </w:t>
      </w:r>
      <w:r>
        <w:rPr>
          <w:rFonts w:ascii="KaiTi" w:hAnsi="KaiTi" w:eastAsia="KaiTi" w:cs="KaiTi"/>
          <w:sz w:val="21"/>
          <w:szCs w:val="21"/>
          <w:spacing w:val="-3"/>
        </w:rPr>
        <w:t>术后感染</w:t>
      </w:r>
      <w:r>
        <w:rPr>
          <w:rFonts w:ascii="KaiTi" w:hAnsi="KaiTi" w:eastAsia="KaiTi" w:cs="KaiTi"/>
          <w:sz w:val="21"/>
          <w:szCs w:val="21"/>
          <w:spacing w:val="11"/>
        </w:rPr>
        <w:t xml:space="preserve">   </w:t>
      </w:r>
      <w:r>
        <w:rPr>
          <w:sz w:val="21"/>
          <w:szCs w:val="21"/>
          <w:spacing w:val="-3"/>
        </w:rPr>
        <w:t>尿路感染可引发尿源性脓毒血症，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甚至尿源性脓毒血症性休克。</w:t>
      </w:r>
      <w:r>
        <w:rPr>
          <w:sz w:val="21"/>
          <w:szCs w:val="21"/>
          <w:spacing w:val="-19"/>
        </w:rPr>
        <w:t xml:space="preserve"> </w:t>
      </w:r>
      <w:r>
        <w:rPr>
          <w:sz w:val="21"/>
          <w:szCs w:val="21"/>
          <w:spacing w:val="-1"/>
        </w:rPr>
        <w:t>一旦发生脓毒血症，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6"/>
        </w:rPr>
        <w:t>应尽快联合重症医学科共同处理。重视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SWL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6"/>
        </w:rPr>
        <w:t>的</w:t>
      </w:r>
      <w:r>
        <w:rPr>
          <w:sz w:val="21"/>
          <w:szCs w:val="21"/>
          <w:spacing w:val="-7"/>
        </w:rPr>
        <w:t>围手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术期处理，重视尿常规和尿培养检查，术前控制好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11"/>
        </w:rPr>
        <w:t>尿路感染，是预防尿源性脓毒血症的关键。</w:t>
      </w:r>
    </w:p>
    <w:p>
      <w:pPr>
        <w:pStyle w:val="BodyText"/>
        <w:ind w:right="78"/>
        <w:spacing w:before="80" w:line="26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6.4   </w:t>
      </w:r>
      <w:r>
        <w:rPr>
          <w:rFonts w:ascii="KaiTi" w:hAnsi="KaiTi" w:eastAsia="KaiTi" w:cs="KaiTi"/>
          <w:sz w:val="21"/>
          <w:szCs w:val="21"/>
          <w:spacing w:val="-1"/>
        </w:rPr>
        <w:t>严重的内脏损伤</w:t>
      </w:r>
      <w:r>
        <w:rPr>
          <w:rFonts w:ascii="KaiTi" w:hAnsi="KaiTi" w:eastAsia="KaiTi" w:cs="KaiTi"/>
          <w:sz w:val="21"/>
          <w:szCs w:val="21"/>
          <w:spacing w:val="-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SWL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可引起肝脾包膜</w:t>
      </w:r>
      <w:r>
        <w:rPr>
          <w:sz w:val="21"/>
          <w:szCs w:val="21"/>
          <w:spacing w:val="-2"/>
        </w:rPr>
        <w:t>下血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8"/>
        </w:rPr>
        <w:t>肿、肠穿孔以及肺损伤等并发症，但多为个案报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告。内脏损伤的发生，多与既往有手术史或肝脾肿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2"/>
        </w:rPr>
        <w:t>大或胃肠严重积气有关，因此术前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CT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2"/>
        </w:rPr>
        <w:t>筛选出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SWL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sz w:val="21"/>
          <w:szCs w:val="21"/>
          <w:spacing w:val="-10"/>
        </w:rPr>
        <w:t>的不利因素，有助于预防严重内脏损伤的发生。</w:t>
      </w:r>
    </w:p>
    <w:p>
      <w:pPr>
        <w:pStyle w:val="BodyText"/>
        <w:ind w:left="3"/>
        <w:spacing w:before="216" w:line="221" w:lineRule="auto"/>
        <w:outlineLvl w:val="4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spacing w:val="-11"/>
        </w:rPr>
        <w:t>7</w:t>
      </w:r>
      <w:r>
        <w:rPr>
          <w:sz w:val="21"/>
          <w:szCs w:val="21"/>
          <w:spacing w:val="5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术后复查与疗效评定</w:t>
      </w:r>
    </w:p>
    <w:p>
      <w:pPr>
        <w:pStyle w:val="BodyText"/>
        <w:spacing w:before="227" w:line="273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7.1   </w:t>
      </w:r>
      <w:r>
        <w:rPr>
          <w:rFonts w:ascii="KaiTi" w:hAnsi="KaiTi" w:eastAsia="KaiTi" w:cs="KaiTi"/>
          <w:sz w:val="21"/>
          <w:szCs w:val="21"/>
        </w:rPr>
        <w:t>术后复查</w:t>
      </w:r>
      <w:r>
        <w:rPr>
          <w:rFonts w:ascii="KaiTi" w:hAnsi="KaiTi" w:eastAsia="KaiTi" w:cs="KaiTi"/>
          <w:sz w:val="21"/>
          <w:szCs w:val="21"/>
        </w:rPr>
        <w:t xml:space="preserve">   </w:t>
      </w:r>
      <w:r>
        <w:rPr>
          <w:sz w:val="21"/>
          <w:szCs w:val="21"/>
        </w:rPr>
        <w:t>在</w:t>
      </w:r>
      <w:r>
        <w:rPr>
          <w:rFonts w:ascii="Times New Roman" w:hAnsi="Times New Roman" w:eastAsia="Times New Roman" w:cs="Times New Roman"/>
          <w:sz w:val="21"/>
          <w:szCs w:val="21"/>
        </w:rPr>
        <w:t>SWL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术后，</w:t>
      </w:r>
      <w:r>
        <w:rPr>
          <w:sz w:val="21"/>
          <w:szCs w:val="21"/>
          <w:spacing w:val="-1"/>
        </w:rPr>
        <w:t>分别于1、2周以及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6"/>
        </w:rPr>
        <w:t>3个月进行复查。影像学检查包括超声和腹部X</w:t>
      </w:r>
      <w:r>
        <w:rPr>
          <w:sz w:val="21"/>
          <w:szCs w:val="21"/>
          <w:spacing w:val="-9"/>
        </w:rPr>
        <w:t xml:space="preserve"> </w:t>
      </w:r>
      <w:r>
        <w:rPr>
          <w:sz w:val="21"/>
          <w:szCs w:val="21"/>
          <w:spacing w:val="-6"/>
        </w:rPr>
        <w:t>线平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2"/>
        </w:rPr>
        <w:t>片，必要时行腹部非增强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CT</w:t>
      </w:r>
      <w:r>
        <w:rPr>
          <w:rFonts w:ascii="Times New Roman" w:hAnsi="Times New Roman" w:eastAsia="Times New Roman" w:cs="Times New Roman"/>
          <w:sz w:val="21"/>
          <w:szCs w:val="21"/>
          <w:spacing w:val="-23"/>
        </w:rPr>
        <w:t xml:space="preserve"> </w:t>
      </w:r>
      <w:r>
        <w:rPr>
          <w:sz w:val="21"/>
          <w:szCs w:val="21"/>
          <w:spacing w:val="-2"/>
        </w:rPr>
        <w:t>。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SWL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2"/>
        </w:rPr>
        <w:t>术后，</w:t>
      </w:r>
      <w:r>
        <w:rPr>
          <w:sz w:val="21"/>
          <w:szCs w:val="21"/>
          <w:spacing w:val="-3"/>
        </w:rPr>
        <w:t>有严重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3"/>
        </w:rPr>
        <w:t>不良反应者，应缩短复查时间，并增加复查次</w:t>
      </w:r>
      <w:r>
        <w:rPr>
          <w:sz w:val="21"/>
          <w:szCs w:val="21"/>
          <w:spacing w:val="2"/>
        </w:rPr>
        <w:t>数。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实验室检查包括血常规、尿常规。残石再生长均因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1"/>
        </w:rPr>
        <w:t>特定致病因素所在，应重视结石发生的病因诊断和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2"/>
        </w:rPr>
        <w:t>预防。对于尿酸结石、胱氨酸结石以及合并低枸橼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1"/>
        </w:rPr>
        <w:t>酸尿的含钙结石，推荐使用枸橼酸钾预防结石复发。</w:t>
      </w:r>
    </w:p>
    <w:p>
      <w:pPr>
        <w:pStyle w:val="BodyText"/>
        <w:ind w:right="88"/>
        <w:spacing w:before="86" w:line="257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7.2   </w:t>
      </w:r>
      <w:r>
        <w:rPr>
          <w:rFonts w:ascii="KaiTi" w:hAnsi="KaiTi" w:eastAsia="KaiTi" w:cs="KaiTi"/>
          <w:sz w:val="21"/>
          <w:szCs w:val="21"/>
          <w:spacing w:val="-7"/>
        </w:rPr>
        <w:t>疗效评定</w:t>
      </w:r>
      <w:r>
        <w:rPr>
          <w:rFonts w:ascii="KaiTi" w:hAnsi="KaiTi" w:eastAsia="KaiTi" w:cs="KaiTi"/>
          <w:sz w:val="21"/>
          <w:szCs w:val="21"/>
          <w:spacing w:val="13"/>
        </w:rPr>
        <w:t xml:space="preserve">   </w:t>
      </w:r>
      <w:r>
        <w:rPr>
          <w:sz w:val="21"/>
          <w:szCs w:val="21"/>
          <w:spacing w:val="-7"/>
        </w:rPr>
        <w:t>评估指标包括清石率、复治率、辅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8"/>
        </w:rPr>
        <w:t>治率和效率商。以超声及腹部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X</w:t>
      </w:r>
      <w:r>
        <w:rPr>
          <w:sz w:val="21"/>
          <w:szCs w:val="21"/>
          <w:spacing w:val="-8"/>
        </w:rPr>
        <w:t>线平片检查为主，必</w:t>
      </w:r>
    </w:p>
    <w:p>
      <w:pPr>
        <w:spacing w:line="257" w:lineRule="auto"/>
        <w:sectPr>
          <w:type w:val="continuous"/>
          <w:pgSz w:w="12200" w:h="17130"/>
          <w:pgMar w:top="1674" w:right="1404" w:bottom="0" w:left="380" w:header="1225" w:footer="0" w:gutter="0"/>
          <w:cols w:equalWidth="0" w:num="2">
            <w:col w:w="5630" w:space="100"/>
            <w:col w:w="4686" w:space="0"/>
          </w:cols>
        </w:sectPr>
        <w:rPr>
          <w:sz w:val="21"/>
          <w:szCs w:val="21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before="61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(C)1994-2023  China  Academic  Journal  Electronic  Publishing  House.All  rights  reserved.</w:t>
      </w:r>
      <w:hyperlink w:history="true" r:id="rId3">
        <w:r>
          <w:rPr>
            <w:rFonts w:ascii="Times New Roman" w:hAnsi="Times New Roman" w:eastAsia="Times New Roman" w:cs="Times New Roman"/>
            <w:sz w:val="21"/>
            <w:szCs w:val="21"/>
          </w:rPr>
          <w:t>http:/</w:t>
        </w:r>
        <w:r>
          <w:rPr>
            <w:rFonts w:ascii="Times New Roman" w:hAnsi="Times New Roman" w:eastAsia="Times New Roman" w:cs="Times New Roman"/>
            <w:sz w:val="21"/>
            <w:szCs w:val="21"/>
            <w:spacing w:val="-1"/>
          </w:rPr>
          <w:t>/www.cnki.net</w:t>
        </w:r>
      </w:hyperlink>
    </w:p>
    <w:p>
      <w:pPr>
        <w:spacing w:line="192" w:lineRule="auto"/>
        <w:sectPr>
          <w:type w:val="continuous"/>
          <w:pgSz w:w="12200" w:h="17130"/>
          <w:pgMar w:top="1674" w:right="1404" w:bottom="0" w:left="380" w:header="1225" w:footer="0" w:gutter="0"/>
          <w:cols w:equalWidth="0" w:num="1">
            <w:col w:w="10416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line="128" w:lineRule="exact"/>
        <w:rPr/>
      </w:pPr>
      <w:r/>
    </w:p>
    <w:p>
      <w:pPr>
        <w:spacing w:line="128" w:lineRule="exact"/>
        <w:sectPr>
          <w:headerReference w:type="default" r:id="rId5"/>
          <w:pgSz w:w="12200" w:h="17130"/>
          <w:pgMar w:top="1667" w:right="1330" w:bottom="0" w:left="380" w:header="1237" w:footer="0" w:gutter="0"/>
          <w:cols w:equalWidth="0" w:num="1">
            <w:col w:w="10490" w:space="0"/>
          </w:cols>
        </w:sectPr>
        <w:rPr/>
      </w:pPr>
    </w:p>
    <w:p>
      <w:pPr>
        <w:pStyle w:val="BodyText"/>
        <w:ind w:left="789" w:right="344"/>
        <w:spacing w:before="41" w:line="304" w:lineRule="auto"/>
        <w:jc w:val="both"/>
        <w:rPr/>
      </w:pPr>
      <w:r>
        <w:rPr>
          <w:spacing w:val="-2"/>
        </w:rPr>
        <w:t>要时行腹部非增强</w:t>
      </w:r>
      <w:r>
        <w:rPr>
          <w:rFonts w:ascii="Times New Roman" w:hAnsi="Times New Roman" w:eastAsia="Times New Roman" w:cs="Times New Roman"/>
          <w:spacing w:val="-2"/>
        </w:rPr>
        <w:t>CT²0-21]</w:t>
      </w:r>
      <w:r>
        <w:rPr>
          <w:spacing w:val="-2"/>
        </w:rPr>
        <w:t>。直径&gt;4</w:t>
      </w:r>
      <w:r>
        <w:rPr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mm </w:t>
      </w:r>
      <w:r>
        <w:rPr>
          <w:spacing w:val="-2"/>
        </w:rPr>
        <w:t>的残留结石</w:t>
      </w:r>
      <w:r>
        <w:rPr/>
        <w:t xml:space="preserve"> </w:t>
      </w:r>
      <w:r>
        <w:rPr>
          <w:spacing w:val="2"/>
        </w:rPr>
        <w:t>视为结石残留；发现单枚、直径≤4 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2"/>
        </w:rPr>
        <w:t>的结石</w:t>
      </w:r>
      <w:r>
        <w:rPr>
          <w:spacing w:val="1"/>
        </w:rPr>
        <w:t>为临</w:t>
      </w:r>
      <w:r>
        <w:rPr/>
        <w:t xml:space="preserve"> </w:t>
      </w:r>
      <w:r>
        <w:rPr>
          <w:spacing w:val="-2"/>
        </w:rPr>
        <w:t>床无意义残石。结石未粉碎是指结石主体变化不大。</w:t>
      </w:r>
    </w:p>
    <w:p>
      <w:pPr>
        <w:pStyle w:val="BodyText"/>
        <w:ind w:left="792"/>
        <w:spacing w:before="128" w:line="222" w:lineRule="auto"/>
        <w:outlineLvl w:val="4"/>
        <w:rPr>
          <w:rFonts w:ascii="SimHei" w:hAnsi="SimHei" w:eastAsia="SimHei" w:cs="SimHei"/>
        </w:rPr>
      </w:pPr>
      <w:r>
        <w:rPr>
          <w:b/>
          <w:bCs/>
          <w:spacing w:val="-5"/>
        </w:rPr>
        <w:t>8</w:t>
      </w:r>
      <w:r>
        <w:rPr>
          <w:spacing w:val="58"/>
        </w:rPr>
        <w:t xml:space="preserve"> </w:t>
      </w:r>
      <w:r>
        <w:rPr>
          <w:rFonts w:ascii="SimHei" w:hAnsi="SimHei" w:eastAsia="SimHei" w:cs="SimHei"/>
          <w:b/>
          <w:bCs/>
          <w:spacing w:val="-5"/>
        </w:rPr>
        <w:t>特殊结石</w:t>
      </w:r>
    </w:p>
    <w:p>
      <w:pPr>
        <w:pStyle w:val="BodyText"/>
        <w:ind w:left="789" w:right="348" w:firstLine="420"/>
        <w:spacing w:before="212" w:line="291" w:lineRule="auto"/>
        <w:jc w:val="both"/>
        <w:rPr/>
      </w:pPr>
      <w:r>
        <w:rPr>
          <w:spacing w:val="8"/>
        </w:rPr>
        <w:t>特殊结石主要指马蹄肾结石、孤立肾结石、移</w:t>
      </w:r>
      <w:r>
        <w:rPr>
          <w:spacing w:val="9"/>
        </w:rPr>
        <w:t xml:space="preserve"> </w:t>
      </w:r>
      <w:r>
        <w:rPr>
          <w:spacing w:val="8"/>
        </w:rPr>
        <w:t>植肾结石、肾盏憩室结石、盆腔肾结石、海绵肾结</w:t>
      </w:r>
      <w:r>
        <w:rPr>
          <w:spacing w:val="14"/>
        </w:rPr>
        <w:t xml:space="preserve"> </w:t>
      </w:r>
      <w:r>
        <w:rPr>
          <w:spacing w:val="8"/>
        </w:rPr>
        <w:t>石、儿童结石以及过度肥胖者结石等。大部分特殊</w:t>
      </w:r>
      <w:r>
        <w:rPr>
          <w:spacing w:val="10"/>
        </w:rPr>
        <w:t xml:space="preserve"> </w:t>
      </w:r>
      <w:r>
        <w:rPr/>
        <w:t>结石可以选择</w:t>
      </w:r>
      <w:r>
        <w:rPr>
          <w:rFonts w:ascii="Times New Roman" w:hAnsi="Times New Roman" w:eastAsia="Times New Roman" w:cs="Times New Roman"/>
        </w:rPr>
        <w:t>SWL,    </w:t>
      </w:r>
      <w:r>
        <w:rPr/>
        <w:t>但具体操作时，有其特殊性。</w:t>
      </w:r>
    </w:p>
    <w:p>
      <w:pPr>
        <w:pStyle w:val="BodyText"/>
        <w:ind w:left="789" w:right="346" w:firstLine="420"/>
        <w:spacing w:before="49" w:line="293" w:lineRule="auto"/>
        <w:jc w:val="both"/>
        <w:rPr/>
      </w:pPr>
      <w:r>
        <w:rPr>
          <w:spacing w:val="8"/>
        </w:rPr>
        <w:t>对孤立肾、移植肾以及盆腔肾进行碎石时，需</w:t>
      </w:r>
      <w:r>
        <w:rPr>
          <w:spacing w:val="11"/>
        </w:rPr>
        <w:t xml:space="preserve"> </w:t>
      </w:r>
      <w:r>
        <w:rPr>
          <w:spacing w:val="8"/>
        </w:rPr>
        <w:t>将肾功能作为第一要素考虑，不能将碎石是否成功</w:t>
      </w:r>
      <w:r>
        <w:rPr>
          <w:spacing w:val="16"/>
        </w:rPr>
        <w:t xml:space="preserve"> </w:t>
      </w:r>
      <w:r>
        <w:rPr>
          <w:spacing w:val="-1"/>
        </w:rPr>
        <w:t>作为首要目标，严格掌握</w:t>
      </w:r>
      <w:r>
        <w:rPr>
          <w:rFonts w:ascii="Times New Roman" w:hAnsi="Times New Roman" w:eastAsia="Times New Roman" w:cs="Times New Roman"/>
          <w:spacing w:val="-1"/>
        </w:rPr>
        <w:t>SWL</w:t>
      </w:r>
      <w:r>
        <w:rPr>
          <w:rFonts w:ascii="Times New Roman" w:hAnsi="Times New Roman" w:eastAsia="Times New Roman" w:cs="Times New Roman"/>
          <w:spacing w:val="47"/>
          <w:w w:val="101"/>
        </w:rPr>
        <w:t xml:space="preserve"> </w:t>
      </w:r>
      <w:r>
        <w:rPr>
          <w:spacing w:val="-1"/>
        </w:rPr>
        <w:t>适应证。其次，</w:t>
      </w:r>
      <w:r>
        <w:rPr>
          <w:rFonts w:ascii="Times New Roman" w:hAnsi="Times New Roman" w:eastAsia="Times New Roman" w:cs="Times New Roman"/>
          <w:spacing w:val="-1"/>
        </w:rPr>
        <w:t>SWL</w:t>
      </w:r>
      <w:r>
        <w:rPr>
          <w:rFonts w:ascii="Times New Roman" w:hAnsi="Times New Roman" w:eastAsia="Times New Roman" w:cs="Times New Roman"/>
        </w:rPr>
        <w:t xml:space="preserve">  </w:t>
      </w:r>
      <w:r>
        <w:rPr/>
        <w:t>治疗时遵循低能量、小剂量的原则。</w:t>
      </w:r>
    </w:p>
    <w:p>
      <w:pPr>
        <w:pStyle w:val="BodyText"/>
        <w:ind w:left="789" w:right="260" w:firstLine="420"/>
        <w:spacing w:before="5" w:line="295" w:lineRule="auto"/>
        <w:jc w:val="both"/>
        <w:rPr/>
      </w:pPr>
      <w:r>
        <w:rPr>
          <w:spacing w:val="4"/>
        </w:rPr>
        <w:t>虽然</w:t>
      </w:r>
      <w:r>
        <w:rPr>
          <w:rFonts w:ascii="Times New Roman" w:hAnsi="Times New Roman" w:eastAsia="Times New Roman" w:cs="Times New Roman"/>
        </w:rPr>
        <w:t>SWL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4"/>
        </w:rPr>
        <w:t>不能完全清除海绵肾结石，但能减少</w:t>
      </w:r>
      <w:r>
        <w:rPr/>
        <w:t xml:space="preserve">  </w:t>
      </w:r>
      <w:r>
        <w:rPr>
          <w:spacing w:val="3"/>
        </w:rPr>
        <w:t>结石量和缓解症状。肾盏憩室结石的</w:t>
      </w:r>
      <w:r>
        <w:rPr>
          <w:rFonts w:ascii="Times New Roman" w:hAnsi="Times New Roman" w:eastAsia="Times New Roman" w:cs="Times New Roman"/>
        </w:rPr>
        <w:t>SWL</w:t>
      </w:r>
      <w:r>
        <w:rPr>
          <w:rFonts w:ascii="Times New Roman" w:hAnsi="Times New Roman" w:eastAsia="Times New Roman" w:cs="Times New Roman"/>
          <w:spacing w:val="54"/>
          <w:w w:val="101"/>
        </w:rPr>
        <w:t xml:space="preserve"> </w:t>
      </w:r>
      <w:r>
        <w:rPr>
          <w:spacing w:val="3"/>
        </w:rPr>
        <w:t>疗效取决</w:t>
      </w:r>
      <w:r>
        <w:rPr/>
        <w:t xml:space="preserve">  </w:t>
      </w:r>
      <w:r>
        <w:rPr>
          <w:spacing w:val="8"/>
        </w:rPr>
        <w:t>于肾盏憩室现有的功能和形态，以及肾盏憩室出口</w:t>
      </w:r>
      <w:r>
        <w:rPr>
          <w:spacing w:val="6"/>
        </w:rPr>
        <w:t xml:space="preserve">  </w:t>
      </w:r>
      <w:r>
        <w:rPr>
          <w:spacing w:val="8"/>
        </w:rPr>
        <w:t>是否开放。对于过度肥胖的患者，患者皮肤至结石</w:t>
      </w:r>
      <w:r>
        <w:rPr>
          <w:spacing w:val="6"/>
        </w:rPr>
        <w:t xml:space="preserve">  </w:t>
      </w:r>
      <w:r>
        <w:rPr>
          <w:spacing w:val="4"/>
        </w:rPr>
        <w:t>的距离过大，</w:t>
      </w:r>
      <w:r>
        <w:rPr>
          <w:rFonts w:ascii="Times New Roman" w:hAnsi="Times New Roman" w:eastAsia="Times New Roman" w:cs="Times New Roman"/>
        </w:rPr>
        <w:t>SWL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4"/>
        </w:rPr>
        <w:t>定位困难，因而</w:t>
      </w:r>
      <w:r>
        <w:rPr>
          <w:rFonts w:ascii="Times New Roman" w:hAnsi="Times New Roman" w:eastAsia="Times New Roman" w:cs="Times New Roman"/>
        </w:rPr>
        <w:t>SWL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4"/>
        </w:rPr>
        <w:t>不易成功。</w:t>
      </w:r>
      <w:r>
        <w:rPr/>
        <w:t xml:space="preserve"> </w:t>
      </w:r>
      <w:r>
        <w:rPr>
          <w:spacing w:val="1"/>
        </w:rPr>
        <w:t>然而，新型碎石机治疗深度可达15～20 </w:t>
      </w:r>
      <w:r>
        <w:rPr>
          <w:rFonts w:ascii="Times New Roman" w:hAnsi="Times New Roman" w:eastAsia="Times New Roman" w:cs="Times New Roman"/>
        </w:rPr>
        <w:t>cm</w:t>
      </w:r>
      <w:r>
        <w:rPr>
          <w:rFonts w:ascii="Times New Roman" w:hAnsi="Times New Roman" w:eastAsia="Times New Roman" w:cs="Times New Roman"/>
          <w:spacing w:val="1"/>
        </w:rPr>
        <w:t>,   </w:t>
      </w:r>
      <w:r>
        <w:rPr/>
        <w:t>大部分  </w:t>
      </w:r>
      <w:r>
        <w:rPr>
          <w:spacing w:val="-14"/>
        </w:rPr>
        <w:t>肥胖的患者可以得到有效治疗22】。</w:t>
      </w:r>
    </w:p>
    <w:p>
      <w:pPr>
        <w:pStyle w:val="BodyText"/>
        <w:ind w:left="789" w:right="259" w:firstLine="420"/>
        <w:spacing w:before="44" w:line="299" w:lineRule="auto"/>
        <w:jc w:val="both"/>
        <w:rPr>
          <w:sz w:val="16"/>
          <w:szCs w:val="16"/>
        </w:rPr>
      </w:pPr>
      <w:r>
        <w:rPr>
          <w:spacing w:val="3"/>
        </w:rPr>
        <w:t>儿童结石</w:t>
      </w:r>
      <w:r>
        <w:rPr/>
        <w:t>SWL</w:t>
      </w:r>
      <w:r>
        <w:rPr>
          <w:spacing w:val="3"/>
        </w:rPr>
        <w:t xml:space="preserve">  的清石率优于成人。其原因是儿  </w:t>
      </w:r>
      <w:r>
        <w:rPr>
          <w:spacing w:val="8"/>
        </w:rPr>
        <w:t>童结石形成的时间较短，结构疏松；冲击波通过儿</w:t>
      </w:r>
      <w:r>
        <w:rPr>
          <w:spacing w:val="5"/>
        </w:rPr>
        <w:t xml:space="preserve">  </w:t>
      </w:r>
      <w:r>
        <w:rPr>
          <w:spacing w:val="8"/>
        </w:rPr>
        <w:t>童身体的距离较短，且儿童组织含水量高，冲击波</w:t>
      </w:r>
      <w:r>
        <w:rPr>
          <w:spacing w:val="6"/>
        </w:rPr>
        <w:t xml:space="preserve">  </w:t>
      </w:r>
      <w:r>
        <w:rPr>
          <w:spacing w:val="12"/>
        </w:rPr>
        <w:t>在传导过程中的阻抗较小；儿童输尿管较易扩张，</w:t>
      </w:r>
      <w:r>
        <w:rPr>
          <w:spacing w:val="15"/>
        </w:rPr>
        <w:t xml:space="preserve"> </w:t>
      </w:r>
      <w:r>
        <w:rPr>
          <w:spacing w:val="4"/>
        </w:rPr>
        <w:t>有利于碎石排出。但儿童年龄跨度大，</w:t>
      </w:r>
      <w:r>
        <w:rPr/>
        <w:t>SWL</w:t>
      </w:r>
      <w:r>
        <w:rPr>
          <w:spacing w:val="4"/>
        </w:rPr>
        <w:t xml:space="preserve">  适应证</w:t>
      </w:r>
      <w:r>
        <w:rPr/>
        <w:t xml:space="preserve">  </w:t>
      </w:r>
      <w:r>
        <w:rPr>
          <w:spacing w:val="8"/>
        </w:rPr>
        <w:t>的把握不能完全等同于成人，应根据所在医疗机构  </w:t>
      </w:r>
      <w:r>
        <w:rPr>
          <w:spacing w:val="-5"/>
        </w:rPr>
        <w:t>的设备条件、医师经验水平等综合判断22-25。学龄前</w:t>
      </w:r>
      <w:r>
        <w:rPr>
          <w:spacing w:val="9"/>
        </w:rPr>
        <w:t xml:space="preserve">  </w:t>
      </w:r>
      <w:r>
        <w:rPr>
          <w:spacing w:val="3"/>
        </w:rPr>
        <w:t>儿童在</w:t>
      </w:r>
      <w:r>
        <w:rPr>
          <w:rFonts w:ascii="Times New Roman" w:hAnsi="Times New Roman" w:eastAsia="Times New Roman" w:cs="Times New Roman"/>
        </w:rPr>
        <w:t>SWL</w:t>
      </w:r>
      <w:r>
        <w:rPr>
          <w:rFonts w:ascii="Times New Roman" w:hAnsi="Times New Roman" w:eastAsia="Times New Roman" w:cs="Times New Roman"/>
          <w:spacing w:val="54"/>
          <w:w w:val="101"/>
        </w:rPr>
        <w:t xml:space="preserve"> </w:t>
      </w:r>
      <w:r>
        <w:rPr>
          <w:spacing w:val="3"/>
        </w:rPr>
        <w:t>治疗时应选择全身麻醉，定位监控方式</w:t>
      </w:r>
      <w:r>
        <w:rPr/>
        <w:t xml:space="preserve">  </w:t>
      </w:r>
      <w:r>
        <w:rPr>
          <w:spacing w:val="4"/>
        </w:rPr>
        <w:t>首选超声，</w:t>
      </w:r>
      <w:r>
        <w:rPr>
          <w:rFonts w:ascii="Times New Roman" w:hAnsi="Times New Roman" w:eastAsia="Times New Roman" w:cs="Times New Roman"/>
          <w:spacing w:val="4"/>
        </w:rPr>
        <w:t>X</w:t>
      </w:r>
      <w:r>
        <w:rPr>
          <w:spacing w:val="4"/>
        </w:rPr>
        <w:t>线作为补充。虽然一般</w:t>
      </w:r>
      <w:r>
        <w:rPr>
          <w:rFonts w:ascii="Times New Roman" w:hAnsi="Times New Roman" w:eastAsia="Times New Roman" w:cs="Times New Roman"/>
          <w:spacing w:val="4"/>
        </w:rPr>
        <w:t>X</w:t>
      </w:r>
      <w:r>
        <w:rPr>
          <w:spacing w:val="4"/>
        </w:rPr>
        <w:t>线定位和跟踪  </w:t>
      </w:r>
      <w:r>
        <w:rPr>
          <w:spacing w:val="2"/>
        </w:rPr>
        <w:t>所需的</w:t>
      </w:r>
      <w:r>
        <w:rPr>
          <w:rFonts w:ascii="Times New Roman" w:hAnsi="Times New Roman" w:eastAsia="Times New Roman" w:cs="Times New Roman"/>
          <w:spacing w:val="2"/>
        </w:rPr>
        <w:t>X</w:t>
      </w:r>
      <w:r>
        <w:rPr>
          <w:spacing w:val="2"/>
        </w:rPr>
        <w:t>线辐射剂量很小，但仍应注意使用铅衣保护</w:t>
      </w:r>
      <w:r>
        <w:rPr>
          <w:spacing w:val="1"/>
        </w:rPr>
        <w:t xml:space="preserve">  </w:t>
      </w:r>
      <w:r>
        <w:rPr>
          <w:spacing w:val="1"/>
        </w:rPr>
        <w:t>生殖腺及肺部，避免冲击波和</w:t>
      </w:r>
      <w:r>
        <w:rPr>
          <w:rFonts w:ascii="Times New Roman" w:hAnsi="Times New Roman" w:eastAsia="Times New Roman" w:cs="Times New Roman"/>
          <w:spacing w:val="1"/>
        </w:rPr>
        <w:t>X</w:t>
      </w:r>
      <w:r>
        <w:rPr>
          <w:spacing w:val="1"/>
        </w:rPr>
        <w:t>线的不良反应。儿童</w:t>
      </w:r>
      <w:r>
        <w:rPr/>
        <w:t xml:space="preserve">  </w:t>
      </w:r>
      <w:r>
        <w:rPr/>
        <w:t>SWL</w:t>
      </w:r>
      <w:r>
        <w:rPr>
          <w:spacing w:val="88"/>
        </w:rPr>
        <w:t xml:space="preserve"> </w:t>
      </w:r>
      <w:r>
        <w:rPr>
          <w:spacing w:val="5"/>
        </w:rPr>
        <w:t>治疗的冲击波能量较成人低、冲击次数也较成</w:t>
      </w:r>
      <w:r>
        <w:rPr/>
        <w:t xml:space="preserve">  </w:t>
      </w:r>
      <w:r>
        <w:rPr>
          <w:sz w:val="16"/>
          <w:szCs w:val="16"/>
          <w:spacing w:val="-5"/>
        </w:rPr>
        <w:t>人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5"/>
        </w:rPr>
        <w:t>少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5"/>
        </w:rPr>
        <w:t>。</w:t>
      </w:r>
    </w:p>
    <w:p>
      <w:pPr>
        <w:pStyle w:val="BodyText"/>
        <w:ind w:left="1212"/>
        <w:spacing w:before="73" w:line="219" w:lineRule="auto"/>
        <w:rPr/>
      </w:pPr>
      <w:r>
        <w:rPr>
          <w:rFonts w:ascii="SimHei" w:hAnsi="SimHei" w:eastAsia="SimHei" w:cs="SimHei"/>
          <w:b/>
          <w:bCs/>
          <w:spacing w:val="-4"/>
        </w:rPr>
        <w:t>执笔专家</w:t>
      </w:r>
      <w:r>
        <w:rPr>
          <w:b/>
          <w:bCs/>
          <w:spacing w:val="-4"/>
        </w:rPr>
        <w:t>：吕建林，吴非，谷现恩</w:t>
      </w:r>
    </w:p>
    <w:p>
      <w:pPr>
        <w:pStyle w:val="BodyText"/>
        <w:ind w:left="789" w:right="342" w:firstLine="420"/>
        <w:spacing w:before="118" w:line="296" w:lineRule="auto"/>
        <w:jc w:val="both"/>
        <w:rPr/>
      </w:pPr>
      <w:r>
        <w:rPr>
          <w:rFonts w:ascii="SimHei" w:hAnsi="SimHei" w:eastAsia="SimHei" w:cs="SimHei"/>
          <w:spacing w:val="1"/>
        </w:rPr>
        <w:t>讨论专家(按单位汉语拼音排序)</w:t>
      </w:r>
      <w:r>
        <w:rPr>
          <w:spacing w:val="1"/>
        </w:rPr>
        <w:t>:</w:t>
      </w:r>
      <w:r>
        <w:rPr>
          <w:spacing w:val="-35"/>
        </w:rPr>
        <w:t xml:space="preserve"> </w:t>
      </w:r>
      <w:r>
        <w:rPr>
          <w:spacing w:val="1"/>
        </w:rPr>
        <w:t>梁</w:t>
      </w:r>
      <w:r>
        <w:rPr>
          <w:spacing w:val="-41"/>
        </w:rPr>
        <w:t xml:space="preserve"> </w:t>
      </w:r>
      <w:r>
        <w:rPr>
          <w:spacing w:val="1"/>
        </w:rPr>
        <w:t>丽</w:t>
      </w:r>
      <w:r>
        <w:rPr>
          <w:spacing w:val="-40"/>
        </w:rPr>
        <w:t xml:space="preserve"> </w:t>
      </w:r>
      <w:r>
        <w:rPr>
          <w:spacing w:val="1"/>
        </w:rPr>
        <w:t>莉 (</w:t>
      </w:r>
      <w:r>
        <w:rPr>
          <w:spacing w:val="-37"/>
        </w:rPr>
        <w:t xml:space="preserve"> </w:t>
      </w:r>
      <w:r>
        <w:rPr>
          <w:spacing w:val="1"/>
        </w:rPr>
        <w:t>北</w:t>
      </w:r>
      <w:r>
        <w:rPr/>
        <w:t xml:space="preserve"> </w:t>
      </w:r>
      <w:r>
        <w:rPr>
          <w:spacing w:val="21"/>
        </w:rPr>
        <w:t>京大学第一医院),李永强(北京协和医院),吴非</w:t>
      </w:r>
      <w:r>
        <w:rPr>
          <w:spacing w:val="4"/>
        </w:rPr>
        <w:t xml:space="preserve"> </w:t>
      </w:r>
      <w:r>
        <w:rPr>
          <w:spacing w:val="8"/>
        </w:rPr>
        <w:t>(大连大学附属中山医院),茅善华(复旦</w:t>
      </w:r>
      <w:r>
        <w:rPr>
          <w:spacing w:val="7"/>
        </w:rPr>
        <w:t>大学附属华</w:t>
      </w:r>
      <w:r>
        <w:rPr/>
        <w:t xml:space="preserve"> </w:t>
      </w:r>
      <w:r>
        <w:rPr>
          <w:spacing w:val="12"/>
        </w:rPr>
        <w:t>山医院),吕建林(南京医科大学附属江宁医院),唐</w:t>
      </w:r>
      <w:r>
        <w:rPr/>
        <w:t xml:space="preserve"> </w:t>
      </w:r>
      <w:r>
        <w:rPr>
          <w:spacing w:val="17"/>
        </w:rPr>
        <w:t>寅(四川大学华西医院),谷现恩(清华大学附属垂</w:t>
      </w:r>
      <w:r>
        <w:rPr/>
        <w:t xml:space="preserve"> </w:t>
      </w:r>
      <w:r>
        <w:rPr>
          <w:spacing w:val="16"/>
        </w:rPr>
        <w:t>杨柳医院),杨彬(山西白求恩医院),程鸣(皖南医</w:t>
      </w:r>
      <w:r>
        <w:rPr>
          <w:spacing w:val="7"/>
        </w:rPr>
        <w:t xml:space="preserve"> </w:t>
      </w:r>
      <w:r>
        <w:rPr>
          <w:spacing w:val="13"/>
        </w:rPr>
        <w:t>学院弋矶山医院),陈兴发(西安交通大学第</w:t>
      </w:r>
      <w:r>
        <w:rPr>
          <w:spacing w:val="12"/>
        </w:rPr>
        <w:t>一附属</w:t>
      </w:r>
      <w:r>
        <w:rPr/>
        <w:t xml:space="preserve"> </w:t>
      </w:r>
      <w:r>
        <w:rPr>
          <w:spacing w:val="16"/>
        </w:rPr>
        <w:t>医院),燕翔(浙江大学附属儿童医院),陈军(浙江</w:t>
      </w:r>
      <w:r>
        <w:rPr>
          <w:spacing w:val="2"/>
        </w:rPr>
        <w:t xml:space="preserve"> </w:t>
      </w:r>
      <w:r>
        <w:rPr>
          <w:spacing w:val="4"/>
        </w:rPr>
        <w:t>医院)</w:t>
      </w:r>
    </w:p>
    <w:p>
      <w:pPr>
        <w:spacing w:before="2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/>
        <w:spacing w:before="186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5"/>
        </w:rPr>
        <w:t>参考文献：</w:t>
      </w:r>
    </w:p>
    <w:p>
      <w:pPr>
        <w:pStyle w:val="BodyText"/>
        <w:ind w:left="419" w:right="63" w:hanging="419"/>
        <w:spacing w:before="201" w:line="280" w:lineRule="auto"/>
        <w:rPr>
          <w:sz w:val="16"/>
          <w:szCs w:val="16"/>
        </w:rPr>
      </w:pPr>
      <w:r>
        <w:rPr>
          <w:sz w:val="16"/>
          <w:szCs w:val="16"/>
          <w:spacing w:val="-13"/>
        </w:rPr>
        <w:t>[1]   曾国华，麦赞林，夏术阶，等.中国成年人群尿石症患病率横断面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0"/>
        </w:rPr>
        <w:t>调查[J].中华泌尿外科杂志，2015,36(6):528-532.</w:t>
      </w:r>
    </w:p>
    <w:p>
      <w:pPr>
        <w:ind w:left="419" w:right="58" w:hanging="419"/>
        <w:spacing w:before="81" w:line="29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[2]      ZENG   G,MAI   Z,XIA   S,et   al.Prevalence   o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  kidney   stones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China:an  ultrason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ography  based   cross-sectional   study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BJU     Int,2017,120(1):109-116.</w:t>
      </w:r>
    </w:p>
    <w:p>
      <w:pPr>
        <w:pStyle w:val="BodyText"/>
        <w:ind w:left="419" w:right="62" w:hanging="419"/>
        <w:spacing w:before="111" w:line="274" w:lineRule="auto"/>
        <w:rPr>
          <w:sz w:val="16"/>
          <w:szCs w:val="16"/>
        </w:rPr>
      </w:pPr>
      <w:r>
        <w:rPr>
          <w:sz w:val="16"/>
          <w:szCs w:val="16"/>
          <w:spacing w:val="-11"/>
        </w:rPr>
        <w:t>[3]</w:t>
      </w:r>
      <w:r>
        <w:rPr>
          <w:sz w:val="16"/>
          <w:szCs w:val="16"/>
          <w:spacing w:val="25"/>
          <w:w w:val="101"/>
        </w:rPr>
        <w:t xml:space="preserve">  </w:t>
      </w:r>
      <w:r>
        <w:rPr>
          <w:sz w:val="16"/>
          <w:szCs w:val="16"/>
          <w:spacing w:val="-11"/>
        </w:rPr>
        <w:t>孙西钊，张东方.冲击波碎石原理与应用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>[M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>].</w:t>
      </w:r>
      <w:r>
        <w:rPr>
          <w:sz w:val="16"/>
          <w:szCs w:val="16"/>
          <w:spacing w:val="-12"/>
        </w:rPr>
        <w:t>北京：中国科学技术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出版社，2019:395-442.</w:t>
      </w:r>
    </w:p>
    <w:p>
      <w:pPr>
        <w:ind w:left="419" w:right="56" w:hanging="419"/>
        <w:spacing w:before="63" w:line="28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[4]    SHINDE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S,AL B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ALUSHI Y,HOSSNYM,et al.Factors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affecting  the  outcome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of  extracorporeal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shockwave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lithotri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p-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sy   in   urinary   stone   treatm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ent   [J]Oman   Med   J,2018,33(3):</w:t>
      </w:r>
    </w:p>
    <w:p>
      <w:pPr>
        <w:ind w:left="419"/>
        <w:spacing w:before="158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209-217.</w:t>
      </w:r>
    </w:p>
    <w:p>
      <w:pPr>
        <w:ind w:left="419" w:right="63" w:hanging="419"/>
        <w:spacing w:before="94" w:line="31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[5]      AL-ZUBI   M,SLEIBI    A   A,ELAYAN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  B   M,et    al.The   ef-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fect  of  stone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patient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characteri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stics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predicting   extra-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corporal   shock   wave   lithotripsy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 success   rate:A   cross   sec-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tional   study    [J].Ann   Med   Surg(Lond),2021,70:102829.</w:t>
      </w:r>
    </w:p>
    <w:p>
      <w:pPr>
        <w:ind w:left="419" w:right="55" w:hanging="419"/>
        <w:spacing w:before="129" w:line="32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[6]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</w:rPr>
        <w:t>MASSOUD       AM,ABDELBARY        AM,AL-DES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SOUKEY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AA,et   al.The   success   of   extracorporeal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shock-wave   litho-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tripsy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based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stonc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-attenuation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value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non-con-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b/>
          <w:bCs/>
        </w:rPr>
        <w:t>trast   computed   tomography   [J].Arab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"/>
        </w:rPr>
        <w:t xml:space="preserve">  J   Urol,2014,12(2):</w:t>
      </w:r>
      <w:r>
        <w:rPr>
          <w:rFonts w:ascii="Times New Roman" w:hAnsi="Times New Roman" w:eastAsia="Times New Roman" w:cs="Times New Roman"/>
          <w:sz w:val="16"/>
          <w:szCs w:val="16"/>
          <w:b/>
          <w:bCs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155-161.</w:t>
      </w:r>
    </w:p>
    <w:p>
      <w:pPr>
        <w:pStyle w:val="BodyText"/>
        <w:ind w:left="419" w:right="66" w:hanging="419"/>
        <w:spacing w:before="113" w:line="29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-11"/>
        </w:rPr>
        <w:t>[7]</w:t>
      </w:r>
      <w:r>
        <w:rPr>
          <w:sz w:val="16"/>
          <w:szCs w:val="16"/>
          <w:spacing w:val="25"/>
        </w:rPr>
        <w:t xml:space="preserve">  </w:t>
      </w:r>
      <w:r>
        <w:rPr>
          <w:sz w:val="16"/>
          <w:szCs w:val="16"/>
          <w:spacing w:val="-11"/>
        </w:rPr>
        <w:t>叶章群，邓耀良.泌尿系结石治疗指南//黄健.中国泌尿外</w:t>
      </w:r>
      <w:r>
        <w:rPr>
          <w:sz w:val="16"/>
          <w:szCs w:val="16"/>
          <w:spacing w:val="-12"/>
        </w:rPr>
        <w:t>科和男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b/>
          <w:bCs/>
          <w:spacing w:val="-8"/>
        </w:rPr>
        <w:t>科疾病诊断治疗指南(2019版)[M].北京科学出版社，2020:237-</w:t>
      </w:r>
      <w:r>
        <w:rPr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267.</w:t>
      </w:r>
    </w:p>
    <w:p>
      <w:pPr>
        <w:pStyle w:val="BodyText"/>
        <w:ind w:left="419" w:right="60" w:hanging="419"/>
        <w:spacing w:before="111" w:line="254" w:lineRule="auto"/>
        <w:rPr>
          <w:sz w:val="16"/>
          <w:szCs w:val="16"/>
        </w:rPr>
      </w:pPr>
      <w:r>
        <w:rPr>
          <w:sz w:val="16"/>
          <w:szCs w:val="16"/>
          <w:spacing w:val="-15"/>
        </w:rPr>
        <w:t>[8]   </w:t>
      </w:r>
      <w:r>
        <w:rPr>
          <w:sz w:val="16"/>
          <w:szCs w:val="16"/>
          <w:b/>
          <w:bCs/>
          <w:spacing w:val="-15"/>
        </w:rPr>
        <w:t>陈兴发，陈军，周星，等.体外冲击波碎石治疗尿路结石1</w:t>
      </w:r>
      <w:r>
        <w:rPr>
          <w:sz w:val="16"/>
          <w:szCs w:val="16"/>
          <w:b/>
          <w:bCs/>
          <w:spacing w:val="-16"/>
        </w:rPr>
        <w:t>5467例临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7"/>
        </w:rPr>
        <w:t>床分析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[J].</w:t>
      </w:r>
      <w:r>
        <w:rPr>
          <w:sz w:val="16"/>
          <w:szCs w:val="16"/>
          <w:spacing w:val="-7"/>
        </w:rPr>
        <w:t>现代泌尿外科杂志，2013,18(4):350-352.</w:t>
      </w:r>
    </w:p>
    <w:p>
      <w:pPr>
        <w:pStyle w:val="BodyText"/>
        <w:ind w:left="419" w:hanging="419"/>
        <w:spacing w:before="89" w:line="270" w:lineRule="auto"/>
        <w:rPr>
          <w:sz w:val="16"/>
          <w:szCs w:val="16"/>
        </w:rPr>
      </w:pPr>
      <w:r>
        <w:rPr>
          <w:sz w:val="16"/>
          <w:szCs w:val="16"/>
          <w:spacing w:val="-11"/>
        </w:rPr>
        <w:t>[9]   </w:t>
      </w:r>
      <w:r>
        <w:rPr>
          <w:sz w:val="16"/>
          <w:szCs w:val="16"/>
          <w:b/>
          <w:bCs/>
          <w:spacing w:val="-11"/>
        </w:rPr>
        <w:t>谷现恩，高淑芳.电磁波源体外碎石机治疗上尿路结石</w:t>
      </w:r>
      <w:r>
        <w:rPr>
          <w:sz w:val="16"/>
          <w:szCs w:val="16"/>
          <w:b/>
          <w:bCs/>
          <w:spacing w:val="-12"/>
        </w:rPr>
        <w:t>1967例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2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21"/>
        </w:rPr>
        <w:t xml:space="preserve"> </w:t>
      </w:r>
      <w:r>
        <w:rPr>
          <w:sz w:val="16"/>
          <w:szCs w:val="16"/>
          <w:spacing w:val="-12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1"/>
        </w:rPr>
        <w:t>中华泌尿外科杂志，2002,23(6):377.</w:t>
      </w:r>
    </w:p>
    <w:p>
      <w:pPr>
        <w:pStyle w:val="BodyText"/>
        <w:ind w:left="422" w:right="65" w:hanging="422"/>
        <w:spacing w:before="82" w:line="263" w:lineRule="auto"/>
        <w:rPr>
          <w:sz w:val="16"/>
          <w:szCs w:val="16"/>
        </w:rPr>
      </w:pPr>
      <w:r>
        <w:rPr>
          <w:sz w:val="16"/>
          <w:szCs w:val="16"/>
          <w:spacing w:val="-13"/>
        </w:rPr>
        <w:t>[1</w:t>
      </w:r>
      <w:r>
        <w:rPr>
          <w:sz w:val="16"/>
          <w:szCs w:val="16"/>
          <w:b/>
          <w:bCs/>
          <w:spacing w:val="-13"/>
        </w:rPr>
        <w:t>0]余建华，丁建文，徐友明，等.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3"/>
        </w:rPr>
        <w:t>B</w:t>
      </w:r>
      <w:r>
        <w:rPr>
          <w:sz w:val="16"/>
          <w:szCs w:val="16"/>
          <w:b/>
          <w:bCs/>
          <w:spacing w:val="-13"/>
        </w:rPr>
        <w:t>超定位体外冲击波碎石</w:t>
      </w:r>
      <w:r>
        <w:rPr>
          <w:sz w:val="16"/>
          <w:szCs w:val="16"/>
          <w:b/>
          <w:bCs/>
          <w:spacing w:val="-14"/>
        </w:rPr>
        <w:t>术治疗尿路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b/>
          <w:bCs/>
          <w:spacing w:val="-9"/>
        </w:rPr>
        <w:t>结石20625例临床报告[J].中华泌尿外科</w:t>
      </w:r>
      <w:r>
        <w:rPr>
          <w:sz w:val="16"/>
          <w:szCs w:val="16"/>
          <w:b/>
          <w:bCs/>
          <w:spacing w:val="-10"/>
        </w:rPr>
        <w:t>杂志，2012,33(8):584-</w:t>
      </w:r>
    </w:p>
    <w:p>
      <w:pPr>
        <w:ind w:left="419"/>
        <w:spacing w:before="129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586.</w:t>
      </w:r>
    </w:p>
    <w:p>
      <w:pPr>
        <w:spacing w:before="77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[11]PETRIDES N,ISMAIL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S,ANJUM F,et al.How to max-</w:t>
      </w:r>
    </w:p>
    <w:p>
      <w:pPr>
        <w:ind w:left="419"/>
        <w:spacing w:before="132" w:line="18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"/>
        </w:rPr>
        <w:t>imize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"/>
        </w:rPr>
        <w:t>efficacy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"/>
        </w:rPr>
        <w:t>shockwave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"/>
        </w:rPr>
        <w:t>lithotripsy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"/>
        </w:rPr>
        <w:t>[J].Turk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"/>
        </w:rPr>
        <w:t>Urol,</w:t>
      </w:r>
    </w:p>
    <w:p>
      <w:pPr>
        <w:ind w:left="419"/>
        <w:spacing w:before="13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2020,46(Supp.1):S19-S26.</w:t>
      </w:r>
    </w:p>
    <w:p>
      <w:pPr>
        <w:ind w:left="419" w:right="56" w:hanging="419"/>
        <w:spacing w:before="89" w:line="30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[12]YOON JH,PARK S,KIM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 C,et alOutcomes of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extra-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corporeal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shock  wave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lithotr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ipsy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for  ureteral   stones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accord-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ing   to   ESWL   intensity   [J].Transl   Androl   Urol,20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21,10(4):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1588-1595.</w:t>
      </w:r>
    </w:p>
    <w:p>
      <w:pPr>
        <w:ind w:left="419" w:right="63" w:hanging="419"/>
        <w:spacing w:before="132" w:line="29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[13]BOVELANDER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E,WELTINGS     S,RAD     M,et     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l.The    in-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fluence   of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pain   on   the   outcome   of   extracorporeal   shock </w:t>
      </w:r>
      <w:r>
        <w:rPr>
          <w:rFonts w:ascii="Times New Roman" w:hAnsi="Times New Roman" w:eastAsia="Times New Roman" w:cs="Times New Roman"/>
          <w:sz w:val="16"/>
          <w:szCs w:val="16"/>
        </w:rPr>
        <w:t>wave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lithotripsy    [J].Curr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Urol,2019,12(2):81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-87.</w:t>
      </w:r>
    </w:p>
    <w:p>
      <w:pPr>
        <w:ind w:left="419" w:right="63" w:hanging="419"/>
        <w:spacing w:before="123" w:line="27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[14]LV   JL.A   new    o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ptical   coupling    control   technique   and    ap-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plication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in    SWL    [J].Urolithiasis,201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6,44(6):539-544.</w:t>
      </w:r>
    </w:p>
    <w:p>
      <w:pPr>
        <w:ind w:left="419" w:right="56" w:hanging="419"/>
        <w:spacing w:before="122" w:line="29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[15]NEWMAN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L    H,SALTZMAN     B.Identifying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    risk     factors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development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of   clinically    significant    p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ost-shock-wave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lithotripsy    subcapsular    hematomas     [J].Urolog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y,1991,38(1):</w:t>
      </w:r>
    </w:p>
    <w:p>
      <w:pPr>
        <w:ind w:left="419"/>
        <w:spacing w:before="158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35-38.</w:t>
      </w:r>
    </w:p>
    <w:p>
      <w:pPr>
        <w:pStyle w:val="BodyText"/>
        <w:ind w:left="419" w:right="47" w:hanging="419"/>
        <w:spacing w:before="88" w:line="310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pacing w:val="-1"/>
        </w:rPr>
        <w:t>[16]DHAR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N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B,THORNTON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J,KARAFA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T,et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al.A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multivariate  analysis  of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risk  factors  associated  with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subcap</w:t>
      </w:r>
      <w:r>
        <w:rPr>
          <w:sz w:val="16"/>
          <w:szCs w:val="16"/>
          <w:spacing w:val="-1"/>
        </w:rPr>
        <w:t>一</w:t>
      </w:r>
    </w:p>
    <w:p>
      <w:pPr>
        <w:ind w:right="1"/>
        <w:spacing w:before="80" w:line="224" w:lineRule="auto"/>
        <w:jc w:val="right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9"/>
        </w:rPr>
        <w:t>(下转第7页)</w:t>
      </w:r>
    </w:p>
    <w:p>
      <w:pPr>
        <w:spacing w:line="224" w:lineRule="auto"/>
        <w:sectPr>
          <w:type w:val="continuous"/>
          <w:pgSz w:w="12200" w:h="17130"/>
          <w:pgMar w:top="1667" w:right="1330" w:bottom="0" w:left="380" w:header="1237" w:footer="0" w:gutter="0"/>
          <w:cols w:equalWidth="0" w:num="2">
            <w:col w:w="5731" w:space="100"/>
            <w:col w:w="4660" w:space="0"/>
          </w:cols>
        </w:sectPr>
        <w:rPr>
          <w:rFonts w:ascii="KaiTi" w:hAnsi="KaiTi" w:eastAsia="KaiTi" w:cs="KaiTi"/>
          <w:sz w:val="20"/>
          <w:szCs w:val="20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before="58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(C)1994-2023   China   Academic   Journal   Electronic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Publishing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House.All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rights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reserved.</w:t>
      </w:r>
      <w:hyperlink w:history="true" r:id="rId3">
        <w:r>
          <w:rPr>
            <w:rFonts w:ascii="Times New Roman" w:hAnsi="Times New Roman" w:eastAsia="Times New Roman" w:cs="Times New Roman"/>
            <w:sz w:val="20"/>
            <w:szCs w:val="20"/>
          </w:rPr>
          <w:t>http://www.cnki.net</w:t>
        </w:r>
      </w:hyperlink>
    </w:p>
    <w:p>
      <w:pPr>
        <w:spacing w:line="192" w:lineRule="auto"/>
        <w:sectPr>
          <w:type w:val="continuous"/>
          <w:pgSz w:w="12200" w:h="17130"/>
          <w:pgMar w:top="1667" w:right="1330" w:bottom="0" w:left="380" w:header="1237" w:footer="0" w:gutter="0"/>
          <w:cols w:equalWidth="0" w:num="1">
            <w:col w:w="10490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712"/>
        <w:spacing w:before="84" w:line="226" w:lineRule="auto"/>
        <w:rPr>
          <w:sz w:val="26"/>
          <w:szCs w:val="26"/>
        </w:rPr>
      </w:pPr>
      <w:r>
        <w:rPr>
          <w:sz w:val="16"/>
          <w:szCs w:val="16"/>
          <w:b/>
          <w:bCs/>
          <w:spacing w:val="20"/>
        </w:rPr>
        <w:t>《泌尿外科杂志(电子版)》2022年1期</w:t>
      </w:r>
      <w:r>
        <w:rPr>
          <w:sz w:val="16"/>
          <w:szCs w:val="16"/>
          <w:spacing w:val="1"/>
        </w:rPr>
        <w:t xml:space="preserve">                                      </w:t>
      </w:r>
      <w:r>
        <w:rPr>
          <w:sz w:val="16"/>
          <w:szCs w:val="16"/>
        </w:rPr>
        <w:t xml:space="preserve">                                  </w:t>
      </w:r>
      <w:r>
        <w:rPr>
          <w:sz w:val="26"/>
          <w:szCs w:val="26"/>
          <w:b/>
          <w:bCs/>
          <w:spacing w:val="20"/>
        </w:rPr>
        <w:t>·7</w:t>
      </w:r>
      <w:r>
        <w:rPr>
          <w:sz w:val="26"/>
          <w:szCs w:val="26"/>
          <w:spacing w:val="-30"/>
        </w:rPr>
        <w:t xml:space="preserve"> </w:t>
      </w:r>
      <w:r>
        <w:rPr>
          <w:sz w:val="26"/>
          <w:szCs w:val="26"/>
          <w:b/>
          <w:bCs/>
          <w:spacing w:val="20"/>
        </w:rPr>
        <w:t>·</w:t>
      </w:r>
    </w:p>
    <w:p>
      <w:pPr>
        <w:spacing w:line="56" w:lineRule="exact"/>
        <w:rPr/>
      </w:pPr>
      <w:r/>
    </w:p>
    <w:tbl>
      <w:tblPr>
        <w:tblStyle w:val="TableNormal"/>
        <w:tblW w:w="9692" w:type="dxa"/>
        <w:tblInd w:w="77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797"/>
        <w:gridCol w:w="4895"/>
      </w:tblGrid>
      <w:tr>
        <w:trPr>
          <w:trHeight w:val="7994" w:hRule="atLeast"/>
        </w:trPr>
        <w:tc>
          <w:tcPr>
            <w:tcW w:w="4797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ind w:left="10" w:right="176"/>
              <w:spacing w:before="223" w:line="287" w:lineRule="auto"/>
              <w:jc w:val="both"/>
              <w:rPr/>
            </w:pPr>
            <w:r>
              <w:rPr>
                <w:sz w:val="21"/>
                <w:szCs w:val="21"/>
                <w:spacing w:val="-1"/>
              </w:rPr>
              <w:t>身体及情绪状态，来建立对未来生活的希望，树立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患者战胜疾病的信心，从而实现提高患者生存质量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  <w:spacing w:val="-14"/>
              </w:rPr>
              <w:t>的目的[13。本研究结果显示，观察组治疗依从性评分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均高于对照组，提示感恩拓延一建构理论延续护理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可提高患者治疗依从性，分析其原因在于本研究通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过让患者观看感恩视频，使肾移植患者能够对生活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中令人感动以及感恩的瞬间产生回忆，患者意识到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spacing w:val="8"/>
              </w:rPr>
              <w:t>生活中感动回忆源自他人帮助后，会对身边的朋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友、亲人产生感恩的意识，从而培养患者乐观的情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pacing w:val="-10"/>
              </w:rPr>
              <w:t>绪 ，</w:t>
            </w:r>
            <w:r>
              <w:rPr>
                <w:spacing w:val="-15"/>
              </w:rPr>
              <w:t xml:space="preserve"> </w:t>
            </w:r>
            <w:r>
              <w:rPr>
                <w:spacing w:val="-10"/>
              </w:rPr>
              <w:t>提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高</w:t>
            </w:r>
            <w:r>
              <w:rPr>
                <w:spacing w:val="-21"/>
              </w:rPr>
              <w:t xml:space="preserve"> </w:t>
            </w:r>
            <w:r>
              <w:rPr>
                <w:spacing w:val="-10"/>
              </w:rPr>
              <w:t>患</w:t>
            </w:r>
            <w:r>
              <w:rPr>
                <w:spacing w:val="-26"/>
              </w:rPr>
              <w:t xml:space="preserve"> </w:t>
            </w:r>
            <w:r>
              <w:rPr>
                <w:spacing w:val="-10"/>
              </w:rPr>
              <w:t>者</w:t>
            </w:r>
            <w:r>
              <w:rPr>
                <w:spacing w:val="-24"/>
              </w:rPr>
              <w:t xml:space="preserve"> </w:t>
            </w:r>
            <w:r>
              <w:rPr>
                <w:spacing w:val="-10"/>
              </w:rPr>
              <w:t>治</w:t>
            </w:r>
            <w:r>
              <w:rPr>
                <w:spacing w:val="-29"/>
              </w:rPr>
              <w:t xml:space="preserve"> </w:t>
            </w:r>
            <w:r>
              <w:rPr>
                <w:spacing w:val="-10"/>
              </w:rPr>
              <w:t>疗</w:t>
            </w:r>
            <w:r>
              <w:rPr>
                <w:spacing w:val="-26"/>
              </w:rPr>
              <w:t xml:space="preserve"> </w:t>
            </w:r>
            <w:r>
              <w:rPr>
                <w:spacing w:val="-10"/>
              </w:rPr>
              <w:t>依</w:t>
            </w:r>
            <w:r>
              <w:rPr>
                <w:spacing w:val="-26"/>
              </w:rPr>
              <w:t xml:space="preserve"> </w:t>
            </w:r>
            <w:r>
              <w:rPr>
                <w:spacing w:val="-10"/>
              </w:rPr>
              <w:t>从</w:t>
            </w:r>
            <w:r>
              <w:rPr>
                <w:spacing w:val="-26"/>
              </w:rPr>
              <w:t xml:space="preserve"> </w:t>
            </w:r>
            <w:r>
              <w:rPr>
                <w:spacing w:val="-10"/>
              </w:rPr>
              <w:t>性</w:t>
            </w:r>
            <w:r>
              <w:rPr>
                <w:spacing w:val="-28"/>
              </w:rPr>
              <w:t xml:space="preserve"> </w:t>
            </w:r>
            <w:r>
              <w:rPr>
                <w:spacing w:val="-10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spacing w:val="-10"/>
              </w:rPr>
              <w:t>。</w:t>
            </w:r>
          </w:p>
          <w:p>
            <w:pPr>
              <w:pStyle w:val="TableText"/>
              <w:ind w:left="10" w:right="175" w:firstLine="420"/>
              <w:spacing w:before="51" w:line="307" w:lineRule="auto"/>
              <w:jc w:val="both"/>
              <w:rPr/>
            </w:pPr>
            <w:r>
              <w:rPr>
                <w:sz w:val="21"/>
                <w:szCs w:val="21"/>
                <w:spacing w:val="4"/>
              </w:rPr>
              <w:t>综上所述，将感恩拓延-建构理论延续性护理</w:t>
            </w:r>
            <w:r>
              <w:rPr>
                <w:sz w:val="21"/>
                <w:szCs w:val="21"/>
                <w:spacing w:val="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应用于肾移植患者中，可有效提高患者生活质量及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pacing w:val="29"/>
              </w:rPr>
              <w:t>治疗依从性</w:t>
            </w:r>
            <w:r>
              <w:rPr>
                <w:spacing w:val="-17"/>
              </w:rPr>
              <w:t xml:space="preserve"> </w:t>
            </w:r>
            <w:r>
              <w:rPr>
                <w:spacing w:val="29"/>
              </w:rPr>
              <w:t>，</w:t>
            </w:r>
            <w:r>
              <w:rPr>
                <w:spacing w:val="-28"/>
              </w:rPr>
              <w:t xml:space="preserve"> </w:t>
            </w:r>
            <w:r>
              <w:rPr>
                <w:spacing w:val="29"/>
              </w:rPr>
              <w:t>并降低患者负面情感</w:t>
            </w:r>
            <w:r>
              <w:rPr>
                <w:spacing w:val="-37"/>
              </w:rPr>
              <w:t xml:space="preserve"> </w:t>
            </w:r>
            <w:r>
              <w:rPr>
                <w:spacing w:val="29"/>
              </w:rPr>
              <w:t>。</w:t>
            </w:r>
          </w:p>
          <w:p>
            <w:pPr>
              <w:ind w:left="12"/>
              <w:spacing w:before="190" w:line="222" w:lineRule="auto"/>
              <w:rPr>
                <w:rFonts w:ascii="SimHei" w:hAnsi="SimHei" w:eastAsia="SimHei" w:cs="SimHei"/>
                <w:sz w:val="16"/>
                <w:szCs w:val="16"/>
              </w:rPr>
            </w:pPr>
            <w:r>
              <w:rPr>
                <w:rFonts w:ascii="SimHei" w:hAnsi="SimHei" w:eastAsia="SimHei" w:cs="SimHei"/>
                <w:sz w:val="16"/>
                <w:szCs w:val="16"/>
                <w:b/>
                <w:bCs/>
                <w:spacing w:val="24"/>
              </w:rPr>
              <w:t>参考文献</w:t>
            </w:r>
            <w:r>
              <w:rPr>
                <w:rFonts w:ascii="SimHei" w:hAnsi="SimHei" w:eastAsia="SimHei" w:cs="SimHei"/>
                <w:sz w:val="16"/>
                <w:szCs w:val="16"/>
                <w:spacing w:val="-35"/>
              </w:rPr>
              <w:t xml:space="preserve"> </w:t>
            </w:r>
            <w:r>
              <w:rPr>
                <w:rFonts w:ascii="SimHei" w:hAnsi="SimHei" w:eastAsia="SimHei" w:cs="SimHei"/>
                <w:sz w:val="16"/>
                <w:szCs w:val="16"/>
                <w:b/>
                <w:bCs/>
                <w:spacing w:val="24"/>
              </w:rPr>
              <w:t>：</w:t>
            </w:r>
          </w:p>
          <w:p>
            <w:pPr>
              <w:pStyle w:val="TableText"/>
              <w:ind w:left="430" w:right="119" w:hanging="420"/>
              <w:spacing w:before="207" w:line="28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5"/>
              </w:rPr>
              <w:t>[1</w:t>
            </w:r>
            <w:r>
              <w:rPr>
                <w:b/>
                <w:bCs/>
                <w:spacing w:val="-15"/>
              </w:rPr>
              <w:t>]</w:t>
            </w:r>
            <w:r>
              <w:rPr>
                <w:spacing w:val="31"/>
              </w:rPr>
              <w:t xml:space="preserve">  </w:t>
            </w:r>
            <w:r>
              <w:rPr>
                <w:b/>
                <w:bCs/>
                <w:spacing w:val="-15"/>
              </w:rPr>
              <w:t>盛梦丹，黄玮，周江桥，等.以信息管理为基础的延续性护理干预</w:t>
            </w:r>
            <w:r>
              <w:rPr/>
              <w:t xml:space="preserve">  </w:t>
            </w:r>
            <w:r>
              <w:rPr>
                <w:b/>
                <w:bCs/>
                <w:spacing w:val="-4"/>
              </w:rPr>
              <w:t>对肾移植患者生命质量及满意度的影响[J].检</w:t>
            </w:r>
            <w:r>
              <w:rPr>
                <w:b/>
                <w:bCs/>
                <w:spacing w:val="-5"/>
              </w:rPr>
              <w:t>验医学与临床，</w:t>
            </w:r>
            <w:r>
              <w:rPr/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</w:rPr>
              <w:t>2017,14(21):3234-3236.</w:t>
            </w:r>
          </w:p>
          <w:p>
            <w:pPr>
              <w:pStyle w:val="TableText"/>
              <w:ind w:left="432" w:right="192" w:hanging="422"/>
              <w:spacing w:before="111" w:line="256" w:lineRule="auto"/>
              <w:rPr/>
            </w:pPr>
            <w:r>
              <w:rPr>
                <w:spacing w:val="-10"/>
              </w:rPr>
              <w:t>[2]</w:t>
            </w:r>
            <w:r>
              <w:rPr>
                <w:spacing w:val="31"/>
                <w:w w:val="101"/>
              </w:rPr>
              <w:t xml:space="preserve">  </w:t>
            </w:r>
            <w:r>
              <w:rPr>
                <w:b/>
                <w:bCs/>
                <w:spacing w:val="-10"/>
              </w:rPr>
              <w:t>王薇薇，戴琳峰.延续性护理对心脏死亡器官捐</w:t>
            </w:r>
            <w:r>
              <w:rPr>
                <w:b/>
                <w:bCs/>
                <w:spacing w:val="-11"/>
              </w:rPr>
              <w:t>献肾移植患者生</w:t>
            </w:r>
            <w:r>
              <w:rPr/>
              <w:t xml:space="preserve"> </w:t>
            </w:r>
            <w:r>
              <w:rPr>
                <w:b/>
                <w:bCs/>
                <w:spacing w:val="-8"/>
              </w:rPr>
              <w:t>存质量的影响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8"/>
              </w:rPr>
              <w:t>[J].</w:t>
            </w:r>
            <w:r>
              <w:rPr>
                <w:b/>
                <w:bCs/>
                <w:spacing w:val="-8"/>
              </w:rPr>
              <w:t>实用临床医药杂志，2</w:t>
            </w:r>
            <w:r>
              <w:rPr>
                <w:b/>
                <w:bCs/>
                <w:spacing w:val="-9"/>
              </w:rPr>
              <w:t>018,22(18):18-20,31.</w:t>
            </w:r>
          </w:p>
          <w:p>
            <w:pPr>
              <w:pStyle w:val="TableText"/>
              <w:ind w:left="432" w:right="192" w:hanging="422"/>
              <w:spacing w:before="97" w:line="279" w:lineRule="auto"/>
              <w:rPr/>
            </w:pPr>
            <w:r>
              <w:rPr>
                <w:spacing w:val="-15"/>
              </w:rPr>
              <w:t>[</w:t>
            </w:r>
            <w:r>
              <w:rPr>
                <w:b/>
                <w:bCs/>
                <w:spacing w:val="-15"/>
              </w:rPr>
              <w:t>3]</w:t>
            </w:r>
            <w:r>
              <w:rPr>
                <w:spacing w:val="30"/>
              </w:rPr>
              <w:t xml:space="preserve">  </w:t>
            </w:r>
            <w:r>
              <w:rPr>
                <w:b/>
                <w:bCs/>
                <w:spacing w:val="-15"/>
              </w:rPr>
              <w:t>吴静，张昊，刘小娜，等.基于感恩拓延一建构理论的护理干预对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9"/>
              </w:rPr>
              <w:t>乳腺癌术后患者感恩水平、复发担忧及负性情绪的影响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9"/>
              </w:rPr>
              <w:t>[J].</w:t>
            </w:r>
            <w:r>
              <w:rPr>
                <w:b/>
                <w:bCs/>
                <w:spacing w:val="-9"/>
              </w:rPr>
              <w:t>护士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7"/>
              </w:rPr>
              <w:t>进修杂志，2021,36(14):1255-1259,12</w:t>
            </w:r>
            <w:r>
              <w:rPr>
                <w:b/>
                <w:bCs/>
                <w:spacing w:val="-8"/>
              </w:rPr>
              <w:t>67.</w:t>
            </w:r>
          </w:p>
          <w:p>
            <w:pPr>
              <w:pStyle w:val="TableText"/>
              <w:ind w:left="12"/>
              <w:spacing w:before="74" w:line="212" w:lineRule="auto"/>
              <w:rPr/>
            </w:pPr>
            <w:r>
              <w:rPr>
                <w:b/>
                <w:bCs/>
                <w:spacing w:val="-7"/>
              </w:rPr>
              <w:t>[4]</w:t>
            </w:r>
            <w:r>
              <w:rPr>
                <w:spacing w:val="30"/>
              </w:rPr>
              <w:t xml:space="preserve">  </w:t>
            </w:r>
            <w:r>
              <w:rPr>
                <w:b/>
                <w:bCs/>
                <w:spacing w:val="-7"/>
              </w:rPr>
              <w:t>霍瑛瑛.延续性护理在肾移植术后出院患者中的应</w:t>
            </w:r>
            <w:r>
              <w:rPr>
                <w:b/>
                <w:bCs/>
                <w:spacing w:val="-8"/>
              </w:rPr>
              <w:t>用观察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8"/>
              </w:rPr>
              <w:t>[J].</w:t>
            </w:r>
            <w:r>
              <w:rPr>
                <w:b/>
                <w:bCs/>
                <w:spacing w:val="-8"/>
              </w:rPr>
              <w:t>中</w:t>
            </w:r>
          </w:p>
        </w:tc>
        <w:tc>
          <w:tcPr>
            <w:tcW w:w="4895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ind w:left="685"/>
              <w:spacing w:before="226" w:line="216" w:lineRule="auto"/>
              <w:rPr/>
            </w:pPr>
            <w:r>
              <w:rPr>
                <w:b/>
                <w:bCs/>
                <w:spacing w:val="-8"/>
              </w:rPr>
              <w:t>国药物与临床，2019,19(21):3825-3826.</w:t>
            </w:r>
          </w:p>
          <w:p>
            <w:pPr>
              <w:pStyle w:val="TableText"/>
              <w:ind w:left="682" w:right="26" w:hanging="419"/>
              <w:spacing w:before="96" w:line="253" w:lineRule="auto"/>
              <w:rPr/>
            </w:pPr>
            <w:r>
              <w:rPr>
                <w:spacing w:val="-8"/>
              </w:rPr>
              <w:t>[5]</w:t>
            </w:r>
            <w:r>
              <w:rPr>
                <w:spacing w:val="26"/>
              </w:rPr>
              <w:t xml:space="preserve">  </w:t>
            </w:r>
            <w:r>
              <w:rPr>
                <w:spacing w:val="-8"/>
              </w:rPr>
              <w:t>李雯，华燕.影响肾移植术后患者服药依从性的因素调查及护理</w:t>
            </w:r>
            <w:r>
              <w:rPr/>
              <w:t xml:space="preserve"> </w:t>
            </w:r>
            <w:r>
              <w:rPr>
                <w:spacing w:val="-8"/>
              </w:rPr>
              <w:t>干预研究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[J]. </w:t>
            </w:r>
            <w:r>
              <w:rPr>
                <w:spacing w:val="-8"/>
              </w:rPr>
              <w:t>实用器官移植电子杂志，2020,8(2):110-114.</w:t>
            </w:r>
          </w:p>
          <w:p>
            <w:pPr>
              <w:pStyle w:val="TableText"/>
              <w:ind w:left="682" w:right="22" w:hanging="419"/>
              <w:spacing w:before="101" w:line="253" w:lineRule="auto"/>
              <w:rPr/>
            </w:pPr>
            <w:r>
              <w:rPr>
                <w:spacing w:val="-12"/>
              </w:rPr>
              <w:t>[6]   马媛，唐倩，袁胜平.配偶式护理干预</w:t>
            </w:r>
            <w:r>
              <w:rPr>
                <w:spacing w:val="-13"/>
              </w:rPr>
              <w:t>对肾移植患者术后生理、心</w:t>
            </w:r>
            <w:r>
              <w:rPr/>
              <w:t xml:space="preserve"> </w:t>
            </w:r>
            <w:r>
              <w:rPr>
                <w:spacing w:val="-7"/>
              </w:rPr>
              <w:t>理康复进程的影响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[J].</w:t>
            </w:r>
            <w:r>
              <w:rPr>
                <w:spacing w:val="-7"/>
              </w:rPr>
              <w:t>国际护理学杂志，2021,40(4):631-634.</w:t>
            </w:r>
          </w:p>
          <w:p>
            <w:pPr>
              <w:pStyle w:val="TableText"/>
              <w:ind w:left="682" w:right="22" w:hanging="419"/>
              <w:spacing w:before="101" w:line="253" w:lineRule="auto"/>
              <w:rPr/>
            </w:pPr>
            <w:r>
              <w:rPr>
                <w:spacing w:val="-15"/>
              </w:rPr>
              <w:t>[7]</w:t>
            </w:r>
            <w:r>
              <w:rPr>
                <w:spacing w:val="31"/>
              </w:rPr>
              <w:t xml:space="preserve">  </w:t>
            </w:r>
            <w:r>
              <w:rPr>
                <w:spacing w:val="-15"/>
              </w:rPr>
              <w:t>唐婷婷，周珈瑀，孙琪媛，等.2型糖尿病患者基于感恩拓延一建构</w:t>
            </w:r>
            <w:r>
              <w:rPr>
                <w:spacing w:val="1"/>
              </w:rPr>
              <w:t xml:space="preserve"> </w:t>
            </w:r>
            <w:r>
              <w:rPr>
                <w:spacing w:val="-7"/>
              </w:rPr>
              <w:t>理论的延续护理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[J].</w:t>
            </w:r>
            <w:r>
              <w:rPr>
                <w:spacing w:val="-7"/>
              </w:rPr>
              <w:t>护理学杂志，2021,36(5):96-99.</w:t>
            </w:r>
          </w:p>
          <w:p>
            <w:pPr>
              <w:pStyle w:val="TableText"/>
              <w:ind w:left="682" w:right="25" w:hanging="419"/>
              <w:spacing w:before="101" w:line="27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7"/>
              </w:rPr>
              <w:t>[8]</w:t>
            </w:r>
            <w:r>
              <w:rPr>
                <w:spacing w:val="25"/>
              </w:rPr>
              <w:t xml:space="preserve">  </w:t>
            </w:r>
            <w:r>
              <w:rPr>
                <w:spacing w:val="-17"/>
              </w:rPr>
              <w:t>肖诗雨，唐婷婷，孙琪媛，等.基于感恩拓延一建构理</w:t>
            </w:r>
            <w:r>
              <w:rPr>
                <w:spacing w:val="-18"/>
              </w:rPr>
              <w:t>论对妊娠糖尿</w:t>
            </w:r>
            <w:r>
              <w:rPr>
                <w:spacing w:val="1"/>
              </w:rPr>
              <w:t xml:space="preserve"> </w:t>
            </w:r>
            <w:r>
              <w:rPr>
                <w:spacing w:val="-11"/>
              </w:rPr>
              <w:t>病患者焦虑情绪和自我管理能力的影响研究[J</w:t>
            </w:r>
            <w:r>
              <w:rPr>
                <w:spacing w:val="-12"/>
              </w:rPr>
              <w:t>].四川医学，2021,</w:t>
            </w:r>
            <w:r>
              <w:rPr/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42(9):948-952.</w:t>
            </w:r>
          </w:p>
          <w:p>
            <w:pPr>
              <w:pStyle w:val="TableText"/>
              <w:ind w:left="682" w:right="2" w:hanging="419"/>
              <w:spacing w:before="146" w:line="247" w:lineRule="auto"/>
              <w:rPr/>
            </w:pPr>
            <w:r>
              <w:rPr>
                <w:spacing w:val="-17"/>
              </w:rPr>
              <w:t>[9]   黄秋华，符小玲，欧阳艳红，等.感恩拓延一建构理论在老年支气管</w:t>
            </w:r>
            <w:r>
              <w:rPr>
                <w:spacing w:val="18"/>
              </w:rPr>
              <w:t xml:space="preserve"> </w:t>
            </w:r>
            <w:r>
              <w:rPr>
                <w:spacing w:val="-7"/>
              </w:rPr>
              <w:t>扩张伴抑郁症病人延续护理中的应用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[J].</w:t>
            </w:r>
            <w:r>
              <w:rPr>
                <w:spacing w:val="-7"/>
              </w:rPr>
              <w:t>护理研究，2022,36(1):</w:t>
            </w:r>
          </w:p>
          <w:p>
            <w:pPr>
              <w:ind w:left="682"/>
              <w:spacing w:before="134" w:line="18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3"/>
              </w:rPr>
              <w:t>171-174.</w:t>
            </w:r>
          </w:p>
          <w:p>
            <w:pPr>
              <w:pStyle w:val="TableText"/>
              <w:ind w:left="682" w:hanging="419"/>
              <w:spacing w:before="103" w:line="28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9"/>
              </w:rPr>
              <w:t>[10]史又文，王雪静，袁腊春，等.延续护理在提高肾移植患者术后服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药依从性及生活质量中的应用[J].实用临床护理学电子杂志，</w:t>
            </w:r>
            <w:r>
              <w:rPr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2017,2(41):4-5.</w:t>
            </w:r>
          </w:p>
          <w:p>
            <w:pPr>
              <w:pStyle w:val="TableText"/>
              <w:ind w:left="682" w:right="25" w:hanging="419"/>
              <w:spacing w:before="116" w:line="268" w:lineRule="auto"/>
              <w:rPr/>
            </w:pPr>
            <w:r>
              <w:rPr>
                <w:spacing w:val="-4"/>
              </w:rPr>
              <w:t>[11]马涛.延续性护理对肾移植术后出院患者自我管理及生活质量影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响[J].中国药物与临床，2020,20(15):2651-2652.</w:t>
            </w:r>
          </w:p>
          <w:p>
            <w:pPr>
              <w:pStyle w:val="TableText"/>
              <w:ind w:left="682" w:right="43" w:hanging="419"/>
              <w:spacing w:before="70" w:line="277" w:lineRule="auto"/>
              <w:rPr/>
            </w:pPr>
            <w:r>
              <w:rPr>
                <w:spacing w:val="-3"/>
              </w:rPr>
              <w:t>[12]霍瑛瑛.延续性护理在肾移植术后出院患者中的应用观察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[J].  </w:t>
            </w:r>
            <w:r>
              <w:rPr>
                <w:spacing w:val="-3"/>
              </w:rPr>
              <w:t>中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国药物与临床，2019,19(21):3825-</w:t>
            </w:r>
            <w:r>
              <w:rPr>
                <w:spacing w:val="-7"/>
              </w:rPr>
              <w:t>3826.</w:t>
            </w:r>
          </w:p>
          <w:p>
            <w:pPr>
              <w:pStyle w:val="TableText"/>
              <w:ind w:left="682" w:right="16" w:hanging="419"/>
              <w:spacing w:before="64" w:line="28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8"/>
              </w:rPr>
              <w:t>[13]龚文姜，杨杰，蔡明玉.感恩拓延一建构理论疗法改善腹膜透</w:t>
            </w:r>
            <w:r>
              <w:rPr>
                <w:spacing w:val="-9"/>
              </w:rPr>
              <w:t>析患</w:t>
            </w:r>
            <w:r>
              <w:rPr/>
              <w:t xml:space="preserve"> </w:t>
            </w:r>
            <w:r>
              <w:rPr>
                <w:spacing w:val="-8"/>
              </w:rPr>
              <w:t>者不良情绪及自我管理行为的观察研究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[J].</w:t>
            </w:r>
            <w:r>
              <w:rPr>
                <w:spacing w:val="-8"/>
              </w:rPr>
              <w:t>中国血液净化，2020,</w:t>
            </w:r>
            <w:r>
              <w:rPr/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19(4):266-269.</w:t>
            </w:r>
          </w:p>
          <w:p>
            <w:pPr>
              <w:pStyle w:val="TableText"/>
              <w:ind w:left="682" w:hanging="419"/>
              <w:spacing w:before="126" w:line="247" w:lineRule="auto"/>
              <w:rPr/>
            </w:pPr>
            <w:r>
              <w:rPr>
                <w:spacing w:val="-12"/>
              </w:rPr>
              <w:t>[14]汪淼芹，苏霖，李淼，等.感恩拓延一建构理论在</w:t>
            </w:r>
            <w:r>
              <w:rPr>
                <w:rFonts w:ascii="Times New Roman" w:hAnsi="Times New Roman" w:eastAsia="Times New Roman" w:cs="Times New Roman"/>
                <w:spacing w:val="-12"/>
              </w:rPr>
              <w:t>COPD</w:t>
            </w:r>
            <w:r>
              <w:rPr>
                <w:rFonts w:ascii="Times New Roman" w:hAnsi="Times New Roman" w:eastAsia="Times New Roman" w:cs="Times New Roman"/>
                <w:spacing w:val="24"/>
              </w:rPr>
              <w:t xml:space="preserve"> </w:t>
            </w:r>
            <w:r>
              <w:rPr>
                <w:spacing w:val="-12"/>
              </w:rPr>
              <w:t>伴焦虑症患</w:t>
            </w:r>
            <w:r>
              <w:rPr/>
              <w:t xml:space="preserve"> </w:t>
            </w:r>
            <w:r>
              <w:rPr>
                <w:spacing w:val="-5"/>
              </w:rPr>
              <w:t>者延续护理中的应用效果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[J].</w:t>
            </w:r>
            <w:r>
              <w:rPr>
                <w:spacing w:val="-5"/>
              </w:rPr>
              <w:t>中华现代护理</w:t>
            </w:r>
            <w:r>
              <w:rPr>
                <w:spacing w:val="-6"/>
              </w:rPr>
              <w:t>杂志，2017,23(31):</w:t>
            </w:r>
          </w:p>
          <w:p>
            <w:pPr>
              <w:ind w:left="682"/>
              <w:spacing w:before="134" w:line="18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3941-3945.</w:t>
            </w:r>
          </w:p>
        </w:tc>
      </w:tr>
    </w:tbl>
    <w:p>
      <w:pPr>
        <w:ind w:left="792"/>
        <w:spacing w:before="112" w:line="22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9"/>
        </w:rPr>
        <w:t>(上接第3页)</w:t>
      </w:r>
    </w:p>
    <w:p>
      <w:pPr>
        <w:spacing w:before="144"/>
        <w:rPr/>
      </w:pPr>
      <w:r/>
    </w:p>
    <w:p>
      <w:pPr>
        <w:sectPr>
          <w:headerReference w:type="default" r:id="rId6"/>
          <w:pgSz w:w="12200" w:h="17130"/>
          <w:pgMar w:top="400" w:right="1347" w:bottom="0" w:left="380" w:header="0" w:footer="0" w:gutter="0"/>
          <w:cols w:equalWidth="0" w:num="1">
            <w:col w:w="10473" w:space="0"/>
          </w:cols>
        </w:sectPr>
        <w:rPr/>
      </w:pPr>
    </w:p>
    <w:p>
      <w:pPr>
        <w:ind w:left="1209" w:right="360"/>
        <w:spacing w:before="29" w:line="35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sular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hematoma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formation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following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electromagnetic   shock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wave   lithotripsy   [J].J   Urol,2004,1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72(6   Pt    1):2271-2274.</w:t>
      </w:r>
    </w:p>
    <w:p>
      <w:pPr>
        <w:ind w:left="1209" w:right="353" w:hanging="420"/>
        <w:spacing w:before="2" w:line="29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[17]SARE    G     M,LLOYD    F     R,STOWE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    M     J.Life-threaten-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ing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haemorrhage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extracorporeal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shockwave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lithotripsy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patient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taking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clopidogre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[J].BJU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Int,2002,90(4):469.</w:t>
      </w:r>
    </w:p>
    <w:p>
      <w:pPr>
        <w:ind w:left="1209" w:right="353" w:hanging="420"/>
        <w:spacing w:before="103" w:line="32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[18]LABANARIS    A     P,KÜHN     R,SCHOTT     G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E,et     al.Peri-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renal   hematomas    induced   by    extracorporea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   shock    wave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lithotripsy(ESWL).Therapeutic      management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</w:t>
      </w:r>
      <w:r>
        <w:rPr>
          <w:rFonts w:ascii="Times New Roman" w:hAnsi="Times New Roman" w:eastAsia="Times New Roman" w:cs="Times New Roman"/>
          <w:sz w:val="16"/>
          <w:szCs w:val="16"/>
        </w:rPr>
        <w:t>[J].Scientific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World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</w:rPr>
        <w:t>J,2007,7:1563-1566.</w:t>
      </w:r>
    </w:p>
    <w:p>
      <w:pPr>
        <w:ind w:left="1209" w:right="339" w:hanging="420"/>
        <w:spacing w:before="155" w:line="29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[19]MARINKOVIC      S     P,MARINKOVIC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 CM,XIE      D.Spleen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injury  following  left  extracorporeal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 shockwave  lithotripsy(ES-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WL)[J].BMC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</w:t>
      </w:r>
      <w:r>
        <w:rPr>
          <w:rFonts w:ascii="Times New Roman" w:hAnsi="Times New Roman" w:eastAsia="Times New Roman" w:cs="Times New Roman"/>
          <w:sz w:val="16"/>
          <w:szCs w:val="16"/>
        </w:rPr>
        <w:t>Urol,2015,15:4.</w:t>
      </w:r>
    </w:p>
    <w:p>
      <w:pPr>
        <w:ind w:left="1209" w:right="348" w:hanging="420"/>
        <w:spacing w:before="129" w:line="31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[20]JUNUZOVIC                 D,PRSTOJEVICJK,HASANBEGOVICM,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   al.Evaluation    of   extracoporeal    shock   wave    lith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otripsy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(ESWL):efficacy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trea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tment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  urinary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system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stones   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Acta    Inform    Med,2014,22(5):309-314.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19" w:right="26" w:hanging="419"/>
        <w:spacing w:before="32" w:line="29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[21]BRISBANE   W,BAILEY    M   R,SORENSEN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   D.An    over-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view  of  kidney  stone  imaging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techniques   [J].Nat  Rev  Urol,  </w:t>
      </w:r>
      <w:r>
        <w:rPr>
          <w:rFonts w:ascii="Times New Roman" w:hAnsi="Times New Roman" w:eastAsia="Times New Roman" w:cs="Times New Roman"/>
          <w:sz w:val="16"/>
          <w:szCs w:val="16"/>
        </w:rPr>
        <w:t>2016,13(11):654-662.</w:t>
      </w:r>
    </w:p>
    <w:p>
      <w:pPr>
        <w:ind w:left="419" w:right="26" w:hanging="419"/>
        <w:spacing w:before="134" w:line="3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[22]PRICOP    C,RADAVOI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    D,PUIA    D,et    al.Obesity:a    deli-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cate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issue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choosing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ESWL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kidney    and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ureteral     stones?[J].Acta    Endocrinol(Buch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ar),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2019,5(1):133-138.</w:t>
      </w:r>
    </w:p>
    <w:p>
      <w:pPr>
        <w:pStyle w:val="BodyText"/>
        <w:ind w:left="419" w:right="23" w:hanging="419"/>
        <w:spacing w:before="125" w:line="269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[23]贾建业，叶敏，陈方，等.低能级体外震波碎石治疗儿童尿路结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9"/>
        </w:rPr>
        <w:t>石[J].中华小儿外科杂志，2005,26</w:t>
      </w:r>
      <w:r>
        <w:rPr>
          <w:sz w:val="16"/>
          <w:szCs w:val="16"/>
          <w:spacing w:val="-10"/>
        </w:rPr>
        <w:t>(5):239-241.</w:t>
      </w:r>
    </w:p>
    <w:p>
      <w:pPr>
        <w:ind w:left="419" w:right="26" w:hanging="419"/>
        <w:spacing w:before="101" w:line="29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[24]AKIN    Y,YUCEL    S.Long-term    effects    of    ped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iatric    extra-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corporeal   shockwave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  lithotripsy    on   renal   function    [J].Res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Rep      Urol,2014,6:21-25.</w:t>
      </w:r>
    </w:p>
    <w:p>
      <w:pPr>
        <w:ind w:left="419" w:right="26" w:hanging="419"/>
        <w:spacing w:before="123" w:line="3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[25]IQBAL    N,ASSAD     S,BHATTI    J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R,et    al.Comparison     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extracorporeal   shock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wave    lithotripsy   for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urolit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hiasis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be-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tween   children   and   adults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:A   single   centre   study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[J].Cure-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us,2016,8(9):e810.</w:t>
      </w:r>
    </w:p>
    <w:p>
      <w:pPr>
        <w:spacing w:line="312" w:lineRule="auto"/>
        <w:sectPr>
          <w:type w:val="continuous"/>
          <w:pgSz w:w="12200" w:h="17130"/>
          <w:pgMar w:top="400" w:right="1347" w:bottom="0" w:left="380" w:header="0" w:footer="0" w:gutter="0"/>
          <w:cols w:equalWidth="0" w:num="2">
            <w:col w:w="5741" w:space="100"/>
            <w:col w:w="4633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before="60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(C)1994-2023  China  Academic  Journal  Electronic  Publishing  House.All  rights  reserved.</w:t>
      </w:r>
      <w:hyperlink w:history="true" r:id="rId3">
        <w:r>
          <w:rPr>
            <w:rFonts w:ascii="Times New Roman" w:hAnsi="Times New Roman" w:eastAsia="Times New Roman" w:cs="Times New Roman"/>
            <w:sz w:val="21"/>
            <w:szCs w:val="21"/>
          </w:rPr>
          <w:t>http:/</w:t>
        </w:r>
        <w:r>
          <w:rPr>
            <w:rFonts w:ascii="Times New Roman" w:hAnsi="Times New Roman" w:eastAsia="Times New Roman" w:cs="Times New Roman"/>
            <w:sz w:val="21"/>
            <w:szCs w:val="21"/>
            <w:spacing w:val="-1"/>
          </w:rPr>
          <w:t>/www.cnki.net</w:t>
        </w:r>
      </w:hyperlink>
    </w:p>
    <w:sectPr>
      <w:type w:val="continuous"/>
      <w:pgSz w:w="12200" w:h="17130"/>
      <w:pgMar w:top="400" w:right="1347" w:bottom="0" w:left="380" w:header="0" w:footer="0" w:gutter="0"/>
      <w:cols w:equalWidth="0" w:num="1">
        <w:col w:w="1047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2"/>
      <w:spacing w:before="51" w:line="224" w:lineRule="auto"/>
      <w:rPr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736584</wp:posOffset>
          </wp:positionH>
          <wp:positionV relativeFrom="page">
            <wp:posOffset>1022359</wp:posOffset>
          </wp:positionV>
          <wp:extent cx="6159484" cy="635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59484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2"/>
      </w:rPr>
      <w:t>《泌尿外科杂志(电子版)》2022年1</w:t>
    </w:r>
    <w:r>
      <w:rPr>
        <w:b/>
        <w:bCs/>
        <w:spacing w:val="-3"/>
      </w:rPr>
      <w:t>期</w:t>
    </w:r>
    <w:r>
      <w:rPr>
        <w:spacing w:val="-3"/>
      </w:rPr>
      <w:t xml:space="preserve">                                                           ·1  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9"/>
      <w:spacing w:before="54" w:line="223" w:lineRule="auto"/>
      <w:rPr>
        <w:sz w:val="21"/>
        <w:szCs w:val="21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666784</wp:posOffset>
          </wp:positionH>
          <wp:positionV relativeFrom="page">
            <wp:posOffset>1022359</wp:posOffset>
          </wp:positionV>
          <wp:extent cx="6159484" cy="635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59484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1"/>
        <w:szCs w:val="21"/>
        <w:spacing w:val="-9"/>
      </w:rPr>
      <w:t>·2  ·                       </w:t>
    </w:r>
    <w:r>
      <w:rPr>
        <w:sz w:val="21"/>
        <w:szCs w:val="21"/>
        <w:spacing w:val="-10"/>
      </w:rPr>
      <w:t xml:space="preserve">                                  </w:t>
    </w:r>
    <w:r>
      <w:rPr>
        <w:sz w:val="21"/>
        <w:szCs w:val="21"/>
        <w:b/>
        <w:bCs/>
        <w:spacing w:val="-10"/>
      </w:rPr>
      <w:t>《泌尿外科杂志(电子版)》2022年1期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9"/>
      <w:spacing w:before="48" w:line="220" w:lineRule="auto"/>
      <w:rPr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736584</wp:posOffset>
          </wp:positionH>
          <wp:positionV relativeFrom="page">
            <wp:posOffset>1022359</wp:posOffset>
          </wp:positionV>
          <wp:extent cx="6159484" cy="6350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59484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3"/>
      </w:rPr>
      <w:t>《泌尿外科杂志(电子版)》2022年1期                                                           </w:t>
    </w:r>
    <w:r>
      <w:rPr>
        <w:b/>
        <w:bCs/>
        <w:spacing w:val="-4"/>
        <w:position w:val="1"/>
      </w:rPr>
      <w:t>·</w:t>
    </w:r>
    <w:r>
      <w:rPr>
        <w:spacing w:val="-43"/>
        <w:position w:val="1"/>
      </w:rPr>
      <w:t xml:space="preserve"> </w:t>
    </w:r>
    <w:r>
      <w:rPr>
        <w:b/>
        <w:bCs/>
        <w:spacing w:val="-4"/>
        <w:position w:val="1"/>
      </w:rPr>
      <w:t>3</w:t>
    </w:r>
    <w:r>
      <w:rPr>
        <w:spacing w:val="-4"/>
        <w:position w:val="1"/>
      </w:rPr>
      <w:t xml:space="preserve">  </w:t>
    </w:r>
    <w:r>
      <w:rPr>
        <w:b/>
        <w:bCs/>
        <w:spacing w:val="-4"/>
        <w:position w:val="1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yperlink" Target="http://www.cnki.net" TargetMode="External"/><Relationship Id="rId2" Type="http://schemas.openxmlformats.org/officeDocument/2006/relationships/image" Target="media/image2.jpe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2025-10-28T21:34:07Z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2025-10-28T21:34:09</vt:filetime>
  </property>
  <property fmtid="{D5CDD505-2E9C-101B-9397-08002B2CF9AE}" pid="4" name="UsrData">
    <vt:lpwstr>6900c64c6b974f001fc277a5wl</vt:lpwstr>
  </property>
</Properties>
</file>