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7" w:lineRule="auto"/>
        <w:rPr>
          <w:sz w:val="21"/>
        </w:rPr>
      </w:pPr>
      <w:r/>
    </w:p>
    <w:p>
      <w:pPr>
        <w:pStyle w:val="BodyText"/>
        <w:spacing w:line="248" w:lineRule="auto"/>
        <w:rPr>
          <w:sz w:val="21"/>
        </w:rPr>
      </w:pPr>
      <w:r/>
    </w:p>
    <w:p>
      <w:pPr>
        <w:ind w:left="500"/>
        <w:spacing w:before="150" w:line="203" w:lineRule="auto"/>
        <w:outlineLvl w:val="0"/>
        <w:rPr>
          <w:rFonts w:ascii="Microsoft YaHei" w:hAnsi="Microsoft YaHei" w:eastAsia="Microsoft YaHei" w:cs="Microsoft YaHei"/>
          <w:sz w:val="35"/>
          <w:szCs w:val="35"/>
        </w:rPr>
      </w:pPr>
      <w:r>
        <w:rPr>
          <w:rFonts w:ascii="Microsoft YaHei" w:hAnsi="Microsoft YaHei" w:eastAsia="Microsoft YaHei" w:cs="Microsoft YaHei"/>
          <w:sz w:val="35"/>
          <w:szCs w:val="35"/>
          <w:color w:val="231F20"/>
          <w:spacing w:val="7"/>
        </w:rPr>
        <w:t>尿离心镜法</w:t>
      </w:r>
      <w:r>
        <w:rPr>
          <w:rFonts w:ascii="Microsoft YaHei" w:hAnsi="Microsoft YaHei" w:eastAsia="Microsoft YaHei" w:cs="Microsoft YaHei"/>
          <w:sz w:val="35"/>
          <w:szCs w:val="35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35"/>
          <w:szCs w:val="35"/>
          <w:color w:val="231F20"/>
          <w:spacing w:val="7"/>
        </w:rPr>
        <w:t>、尿干化学法在泌尿系结石诊断中的应用价值分析</w:t>
      </w:r>
    </w:p>
    <w:p>
      <w:pPr>
        <w:pStyle w:val="BodyText"/>
        <w:spacing w:line="306" w:lineRule="auto"/>
        <w:rPr>
          <w:sz w:val="21"/>
        </w:rPr>
      </w:pPr>
      <w:r/>
    </w:p>
    <w:p>
      <w:pPr>
        <w:pStyle w:val="BodyText"/>
        <w:ind w:left="502"/>
        <w:spacing w:before="86" w:line="207" w:lineRule="auto"/>
        <w:rPr>
          <w:sz w:val="10"/>
          <w:szCs w:val="1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郭悦江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4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1</w:t>
      </w:r>
      <w:r>
        <w:rPr>
          <w:sz w:val="10"/>
          <w:szCs w:val="10"/>
          <w:color w:val="231F20"/>
          <w:spacing w:val="3"/>
          <w:position w:val="8"/>
        </w:rPr>
        <w:t xml:space="preserve">   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杨信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4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2</w:t>
      </w:r>
      <w:r>
        <w:rPr>
          <w:sz w:val="10"/>
          <w:szCs w:val="10"/>
          <w:color w:val="231F20"/>
          <w:spacing w:val="3"/>
          <w:position w:val="8"/>
        </w:rPr>
        <w:t xml:space="preserve">   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何明强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5"/>
        </w:rPr>
        <w:t xml:space="preserve"> </w:t>
      </w:r>
      <w:r>
        <w:rPr>
          <w:sz w:val="10"/>
          <w:szCs w:val="10"/>
          <w:color w:val="231F20"/>
          <w:spacing w:val="2"/>
          <w:position w:val="8"/>
        </w:rPr>
        <w:t>1</w:t>
      </w:r>
    </w:p>
    <w:p>
      <w:pPr>
        <w:pStyle w:val="BodyText"/>
        <w:ind w:left="495" w:right="4909"/>
        <w:spacing w:before="27" w:line="23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519000</w:t>
      </w:r>
      <w:r>
        <w:rPr>
          <w:sz w:val="20"/>
          <w:szCs w:val="20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珠海市金湾区南水镇卫生院泌尿外科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sz w:val="10"/>
          <w:szCs w:val="10"/>
          <w:color w:val="231F20"/>
          <w:spacing w:val="6"/>
          <w:position w:val="8"/>
        </w:rPr>
        <w:t>1</w:t>
      </w:r>
      <w:r>
        <w:rPr>
          <w:sz w:val="10"/>
          <w:szCs w:val="10"/>
          <w:color w:val="231F20"/>
          <w:spacing w:val="10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，广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东 珠海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5"/>
        </w:rPr>
        <w:t>519000</w:t>
      </w:r>
      <w:r>
        <w:rPr>
          <w:sz w:val="20"/>
          <w:szCs w:val="20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珠海市人民医院泌尿外科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7"/>
        </w:rPr>
        <w:t xml:space="preserve"> </w:t>
      </w:r>
      <w:r>
        <w:rPr>
          <w:sz w:val="10"/>
          <w:szCs w:val="10"/>
          <w:color w:val="231F20"/>
          <w:spacing w:val="5"/>
          <w:position w:val="8"/>
        </w:rPr>
        <w:t>2</w:t>
      </w:r>
      <w:r>
        <w:rPr>
          <w:sz w:val="10"/>
          <w:szCs w:val="10"/>
          <w:color w:val="231F20"/>
          <w:spacing w:val="10"/>
          <w:w w:val="102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，广东 珠海</w:t>
      </w:r>
    </w:p>
    <w:p>
      <w:pPr>
        <w:pStyle w:val="BodyText"/>
        <w:ind w:left="914"/>
        <w:spacing w:before="198" w:line="232" w:lineRule="auto"/>
        <w:rPr/>
      </w:pPr>
      <w:r>
        <w:rPr>
          <w:color w:val="231F20"/>
          <w:spacing w:val="-3"/>
        </w:rPr>
        <w:t>doi:10.3969/j.issn.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3"/>
        </w:rPr>
        <w:t>1007-614x.2024.29.025</w:t>
      </w:r>
    </w:p>
    <w:p>
      <w:pPr>
        <w:pStyle w:val="BodyText"/>
        <w:ind w:left="910" w:right="431" w:firstLine="3"/>
        <w:spacing w:before="78" w:line="310" w:lineRule="auto"/>
        <w:jc w:val="both"/>
        <w:rPr>
          <w:rFonts w:ascii="SimSun" w:hAnsi="SimSun" w:eastAsia="SimSun" w:cs="SimSun"/>
        </w:rPr>
      </w:pPr>
      <w:r>
        <w:rPr>
          <w:rFonts w:ascii="Microsoft YaHei" w:hAnsi="Microsoft YaHei" w:eastAsia="Microsoft YaHei" w:cs="Microsoft YaHei"/>
          <w:color w:val="231F20"/>
          <w:spacing w:val="4"/>
        </w:rPr>
        <w:t>摘</w:t>
      </w:r>
      <w:r>
        <w:rPr>
          <w:rFonts w:ascii="Microsoft YaHei" w:hAnsi="Microsoft YaHei" w:eastAsia="Microsoft YaHei" w:cs="Microsoft YaHei"/>
          <w:color w:val="231F20"/>
          <w:spacing w:val="16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4"/>
        </w:rPr>
        <w:t>要    </w:t>
      </w:r>
      <w:r>
        <w:rPr>
          <w:rFonts w:ascii="SimSun" w:hAnsi="SimSun" w:eastAsia="SimSun" w:cs="SimSun"/>
          <w:color w:val="231F20"/>
          <w:spacing w:val="4"/>
        </w:rPr>
        <w:t>目的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：探讨尿离心镜法、尿干化学法在泌尿系结石诊断中的应用价值。方法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：选取</w:t>
      </w:r>
      <w:r>
        <w:rPr>
          <w:color w:val="231F20"/>
          <w:spacing w:val="4"/>
        </w:rPr>
        <w:t>2021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年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4"/>
        </w:rPr>
        <w:t>1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月—</w:t>
      </w:r>
      <w:r>
        <w:rPr>
          <w:color w:val="231F20"/>
          <w:spacing w:val="4"/>
        </w:rPr>
        <w:t>2023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年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4"/>
        </w:rPr>
        <w:t>12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珠海市金湾区南水镇卫生院收治的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color w:val="231F20"/>
          <w:spacing w:val="11"/>
        </w:rPr>
        <w:t>500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例疑似泌尿系结石患者作为研究对象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，均运用</w:t>
      </w:r>
      <w:r>
        <w:rPr>
          <w:rFonts w:ascii="SimSun" w:hAnsi="SimSun" w:eastAsia="SimSun" w:cs="SimSun"/>
          <w:color w:val="231F20"/>
          <w:spacing w:val="10"/>
        </w:rPr>
        <w:t>尿离心镜法、尿干化学法完成尿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常规检查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，以超声诊断结果作为“金标准”，比较尿离心镜法、尿干化学法诊断泌尿系结石的灵敏度、特异度、准确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度、阳性预测值、阴性预测值。结果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：超声检查结果显示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，</w:t>
      </w:r>
      <w:r>
        <w:rPr>
          <w:color w:val="231F20"/>
          <w:spacing w:val="8"/>
        </w:rPr>
        <w:t>500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例受检者确诊泌尿系结</w:t>
      </w:r>
      <w:r>
        <w:rPr>
          <w:rFonts w:ascii="SimSun" w:hAnsi="SimSun" w:eastAsia="SimSun" w:cs="SimSun"/>
          <w:color w:val="231F20"/>
          <w:spacing w:val="7"/>
        </w:rPr>
        <w:t>石</w:t>
      </w:r>
      <w:r>
        <w:rPr>
          <w:color w:val="231F20"/>
          <w:spacing w:val="7"/>
        </w:rPr>
        <w:t>484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例。尿干化学法诊断泌尿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系结石的灵敏度、特异度、准确度、阳性预测值、阴性预测值均高于尿离心镜法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，差异有统计学意义</w:t>
      </w:r>
      <w:r>
        <w:rPr>
          <w:color w:val="231F20"/>
          <w:spacing w:val="7"/>
        </w:rPr>
        <w:t>(</w:t>
      </w:r>
      <w:r>
        <w:rPr>
          <w:i/>
          <w:iCs/>
          <w:color w:val="231F20"/>
          <w:spacing w:val="7"/>
        </w:rPr>
        <w:t>P</w:t>
      </w:r>
      <w:r>
        <w:rPr>
          <w:rFonts w:ascii="SimSun" w:hAnsi="SimSun" w:eastAsia="SimSun" w:cs="SimSun"/>
          <w:color w:val="231F20"/>
          <w:spacing w:val="7"/>
        </w:rPr>
        <w:t>＜</w:t>
      </w:r>
      <w:r>
        <w:rPr>
          <w:color w:val="231F20"/>
          <w:spacing w:val="7"/>
        </w:rPr>
        <w:t>0.0</w:t>
      </w:r>
      <w:r>
        <w:rPr>
          <w:color w:val="231F20"/>
          <w:spacing w:val="6"/>
        </w:rPr>
        <w:t>5)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。结论：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尿离心镜法、尿干化学法在泌尿系结石诊断中的应用</w:t>
      </w:r>
      <w:r>
        <w:rPr>
          <w:rFonts w:ascii="SimSun" w:hAnsi="SimSun" w:eastAsia="SimSun" w:cs="SimSun"/>
          <w:color w:val="231F20"/>
          <w:spacing w:val="10"/>
        </w:rPr>
        <w:t>价值较高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，可以有效检出泌尿系结石患者草酸钙结晶情况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，且尿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干化学法诊断泌尿系结石的效能优于尿离心镜法。</w:t>
      </w:r>
    </w:p>
    <w:p>
      <w:pPr>
        <w:ind w:left="914"/>
        <w:spacing w:before="19" w:line="209" w:lineRule="auto"/>
        <w:rPr>
          <w:rFonts w:ascii="SimSun" w:hAnsi="SimSun" w:eastAsia="SimSun" w:cs="SimSun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0"/>
        </w:rPr>
        <w:t>关键词   </w:t>
      </w:r>
      <w:r>
        <w:rPr>
          <w:rFonts w:ascii="SimSun" w:hAnsi="SimSun" w:eastAsia="SimSun" w:cs="SimSun"/>
          <w:sz w:val="17"/>
          <w:szCs w:val="17"/>
          <w:color w:val="231F20"/>
          <w:spacing w:val="10"/>
        </w:rPr>
        <w:t>尿常规检查；尿离心镜法；尿干化学</w:t>
      </w:r>
      <w:r>
        <w:rPr>
          <w:rFonts w:ascii="SimSun" w:hAnsi="SimSun" w:eastAsia="SimSun" w:cs="SimSun"/>
          <w:sz w:val="17"/>
          <w:szCs w:val="17"/>
          <w:color w:val="231F20"/>
          <w:spacing w:val="9"/>
        </w:rPr>
        <w:t>法；诊断效能；泌尿系结石</w:t>
      </w:r>
    </w:p>
    <w:p>
      <w:pPr>
        <w:pStyle w:val="BodyText"/>
        <w:ind w:left="929"/>
        <w:spacing w:before="47" w:line="208" w:lineRule="auto"/>
        <w:rPr/>
      </w:pPr>
      <w:r>
        <w:rPr>
          <w:rFonts w:ascii="Microsoft YaHei" w:hAnsi="Microsoft YaHei" w:eastAsia="Microsoft YaHei" w:cs="Microsoft YaHei"/>
          <w:color w:val="231F20"/>
          <w:spacing w:val="1"/>
        </w:rPr>
        <w:t>中图分类号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  </w:t>
      </w:r>
      <w:r>
        <w:rPr>
          <w:color w:val="231F20"/>
          <w:spacing w:val="1"/>
        </w:rPr>
        <w:t>R446.121</w:t>
      </w:r>
      <w:r>
        <w:rPr>
          <w:color w:val="231F20"/>
          <w:spacing w:val="6"/>
        </w:rPr>
        <w:t xml:space="preserve">       </w:t>
      </w:r>
      <w:r>
        <w:rPr>
          <w:rFonts w:ascii="Microsoft YaHei" w:hAnsi="Microsoft YaHei" w:eastAsia="Microsoft YaHei" w:cs="Microsoft YaHei"/>
          <w:color w:val="231F20"/>
          <w:spacing w:val="1"/>
        </w:rPr>
        <w:t>文献标识码</w:t>
      </w:r>
      <w:r>
        <w:rPr>
          <w:rFonts w:ascii="Microsoft YaHei" w:hAnsi="Microsoft YaHei" w:eastAsia="Microsoft YaHei" w:cs="Microsoft YaHei"/>
          <w:color w:val="231F20"/>
          <w:spacing w:val="12"/>
        </w:rPr>
        <w:t xml:space="preserve">   </w:t>
      </w:r>
      <w:r>
        <w:rPr>
          <w:color w:val="231F20"/>
          <w:spacing w:val="1"/>
        </w:rPr>
        <w:t>A</w:t>
      </w:r>
    </w:p>
    <w:p>
      <w:pPr>
        <w:pStyle w:val="BodyText"/>
        <w:ind w:left="904"/>
        <w:spacing w:before="74" w:line="210" w:lineRule="auto"/>
        <w:rPr/>
      </w:pPr>
      <w:r>
        <w:rPr>
          <w:color w:val="231F20"/>
          <w:spacing w:val="4"/>
        </w:rPr>
        <w:t>Application Value 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4"/>
        </w:rPr>
        <w:t>U</w:t>
      </w:r>
      <w:r>
        <w:rPr>
          <w:color w:val="231F20"/>
          <w:spacing w:val="3"/>
        </w:rPr>
        <w:t>roscopy and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3"/>
        </w:rPr>
        <w:t>Urochemistry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3"/>
        </w:rPr>
        <w:t>in the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Diagnosis of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3"/>
        </w:rPr>
        <w:t>Urinary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3"/>
        </w:rPr>
        <w:t>Calculi</w:t>
      </w:r>
    </w:p>
    <w:p>
      <w:pPr>
        <w:pStyle w:val="BodyText"/>
        <w:ind w:left="909"/>
        <w:spacing w:before="102"/>
        <w:rPr>
          <w:sz w:val="9"/>
          <w:szCs w:val="9"/>
        </w:rPr>
      </w:pPr>
      <w:r>
        <w:rPr>
          <w:color w:val="231F20"/>
          <w:spacing w:val="-2"/>
        </w:rPr>
        <w:t>Guo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Yuejiang</w:t>
      </w:r>
      <w:r>
        <w:rPr>
          <w:sz w:val="9"/>
          <w:szCs w:val="9"/>
          <w:i/>
          <w:iCs/>
          <w:color w:val="231F20"/>
          <w:spacing w:val="-2"/>
          <w:position w:val="7"/>
        </w:rPr>
        <w:t>1</w:t>
      </w:r>
      <w:r>
        <w:rPr>
          <w:color w:val="231F20"/>
          <w:spacing w:val="-2"/>
        </w:rPr>
        <w:t>, Yang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Xin</w:t>
      </w:r>
      <w:r>
        <w:rPr>
          <w:sz w:val="9"/>
          <w:szCs w:val="9"/>
          <w:i/>
          <w:iCs/>
          <w:color w:val="231F20"/>
          <w:spacing w:val="-2"/>
          <w:position w:val="7"/>
        </w:rPr>
        <w:t>2</w:t>
      </w:r>
      <w:r>
        <w:rPr>
          <w:color w:val="231F20"/>
          <w:spacing w:val="-2"/>
        </w:rPr>
        <w:t>, He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Mingqi</w:t>
      </w:r>
      <w:r>
        <w:rPr>
          <w:color w:val="231F20"/>
          <w:spacing w:val="-3"/>
        </w:rPr>
        <w:t>ang</w:t>
      </w:r>
      <w:r>
        <w:rPr>
          <w:sz w:val="9"/>
          <w:szCs w:val="9"/>
          <w:i/>
          <w:iCs/>
          <w:color w:val="231F20"/>
          <w:spacing w:val="-3"/>
          <w:position w:val="7"/>
        </w:rPr>
        <w:t>1</w:t>
      </w:r>
    </w:p>
    <w:p>
      <w:pPr>
        <w:pStyle w:val="BodyText"/>
        <w:ind w:left="913"/>
        <w:spacing w:before="80" w:line="229" w:lineRule="exact"/>
        <w:rPr/>
      </w:pPr>
      <w:r>
        <w:rPr>
          <w:i/>
          <w:iCs/>
          <w:color w:val="231F20"/>
          <w:spacing w:val="-5"/>
          <w:position w:val="2"/>
        </w:rPr>
        <w:t>Department of</w:t>
      </w:r>
      <w:r>
        <w:rPr>
          <w:i/>
          <w:iCs/>
          <w:color w:val="231F20"/>
          <w:spacing w:val="-4"/>
          <w:position w:val="2"/>
        </w:rPr>
        <w:t xml:space="preserve"> </w:t>
      </w:r>
      <w:r>
        <w:rPr>
          <w:i/>
          <w:iCs/>
          <w:color w:val="231F20"/>
          <w:spacing w:val="-5"/>
          <w:position w:val="2"/>
        </w:rPr>
        <w:t>Urology,  Zhuhai Jinwan District Nanshui</w:t>
      </w:r>
      <w:r>
        <w:rPr>
          <w:i/>
          <w:iCs/>
          <w:color w:val="231F20"/>
          <w:spacing w:val="12"/>
          <w:w w:val="101"/>
          <w:position w:val="2"/>
        </w:rPr>
        <w:t xml:space="preserve"> </w:t>
      </w:r>
      <w:r>
        <w:rPr>
          <w:i/>
          <w:iCs/>
          <w:color w:val="231F20"/>
          <w:spacing w:val="-5"/>
          <w:position w:val="2"/>
        </w:rPr>
        <w:t>Town Health</w:t>
      </w:r>
      <w:r>
        <w:rPr>
          <w:i/>
          <w:iCs/>
          <w:color w:val="231F20"/>
          <w:spacing w:val="9"/>
          <w:position w:val="2"/>
        </w:rPr>
        <w:t xml:space="preserve"> </w:t>
      </w:r>
      <w:r>
        <w:rPr>
          <w:i/>
          <w:iCs/>
          <w:color w:val="231F20"/>
          <w:spacing w:val="-5"/>
          <w:position w:val="2"/>
        </w:rPr>
        <w:t>Center</w:t>
      </w:r>
      <w:r>
        <w:rPr>
          <w:sz w:val="9"/>
          <w:szCs w:val="9"/>
          <w:i/>
          <w:iCs/>
          <w:color w:val="231F20"/>
          <w:spacing w:val="-5"/>
          <w:position w:val="9"/>
        </w:rPr>
        <w:t>1</w:t>
      </w:r>
      <w:r>
        <w:rPr>
          <w:i/>
          <w:iCs/>
          <w:color w:val="231F20"/>
          <w:spacing w:val="-5"/>
          <w:position w:val="2"/>
        </w:rPr>
        <w:t>, Zhuhai 519000,</w:t>
      </w:r>
      <w:r>
        <w:rPr>
          <w:i/>
          <w:iCs/>
          <w:color w:val="231F20"/>
          <w:spacing w:val="13"/>
          <w:w w:val="101"/>
          <w:position w:val="2"/>
        </w:rPr>
        <w:t xml:space="preserve"> </w:t>
      </w:r>
      <w:r>
        <w:rPr>
          <w:i/>
          <w:iCs/>
          <w:color w:val="231F20"/>
          <w:spacing w:val="-7"/>
          <w:position w:val="2"/>
        </w:rPr>
        <w:t>Guangdong Province,</w:t>
      </w:r>
      <w:r>
        <w:rPr>
          <w:i/>
          <w:iCs/>
          <w:color w:val="231F20"/>
          <w:spacing w:val="9"/>
          <w:position w:val="2"/>
        </w:rPr>
        <w:t xml:space="preserve"> </w:t>
      </w:r>
      <w:r>
        <w:rPr>
          <w:i/>
          <w:iCs/>
          <w:color w:val="231F20"/>
          <w:spacing w:val="-7"/>
          <w:position w:val="2"/>
        </w:rPr>
        <w:t>China</w:t>
      </w:r>
    </w:p>
    <w:p>
      <w:pPr>
        <w:pStyle w:val="BodyText"/>
        <w:ind w:left="913"/>
        <w:spacing w:before="72" w:line="229" w:lineRule="exact"/>
        <w:rPr/>
      </w:pPr>
      <w:r>
        <w:rPr>
          <w:i/>
          <w:iCs/>
          <w:color w:val="231F20"/>
          <w:spacing w:val="-5"/>
          <w:position w:val="2"/>
        </w:rPr>
        <w:t>Department of</w:t>
      </w:r>
      <w:r>
        <w:rPr>
          <w:i/>
          <w:iCs/>
          <w:color w:val="231F20"/>
          <w:spacing w:val="-1"/>
          <w:position w:val="2"/>
        </w:rPr>
        <w:t xml:space="preserve"> </w:t>
      </w:r>
      <w:r>
        <w:rPr>
          <w:i/>
          <w:iCs/>
          <w:color w:val="231F20"/>
          <w:spacing w:val="-5"/>
          <w:position w:val="2"/>
        </w:rPr>
        <w:t>Urology, Zhuhai People's Hospital</w:t>
      </w:r>
      <w:r>
        <w:rPr>
          <w:sz w:val="9"/>
          <w:szCs w:val="9"/>
          <w:i/>
          <w:iCs/>
          <w:color w:val="231F20"/>
          <w:spacing w:val="-3"/>
          <w:position w:val="9"/>
        </w:rPr>
        <w:t>2</w:t>
      </w:r>
      <w:r>
        <w:rPr>
          <w:i/>
          <w:iCs/>
          <w:color w:val="231F20"/>
          <w:spacing w:val="-3"/>
          <w:position w:val="2"/>
        </w:rPr>
        <w:t>, Zhuhai 519000,</w:t>
      </w:r>
      <w:r>
        <w:rPr>
          <w:i/>
          <w:iCs/>
          <w:color w:val="231F20"/>
          <w:spacing w:val="12"/>
          <w:w w:val="101"/>
          <w:position w:val="2"/>
        </w:rPr>
        <w:t xml:space="preserve"> </w:t>
      </w:r>
      <w:r>
        <w:rPr>
          <w:i/>
          <w:iCs/>
          <w:color w:val="231F20"/>
          <w:spacing w:val="-7"/>
          <w:position w:val="2"/>
        </w:rPr>
        <w:t>Guangdong Province,</w:t>
      </w:r>
      <w:r>
        <w:rPr>
          <w:i/>
          <w:iCs/>
          <w:color w:val="231F20"/>
          <w:spacing w:val="9"/>
          <w:position w:val="2"/>
        </w:rPr>
        <w:t xml:space="preserve"> </w:t>
      </w:r>
      <w:r>
        <w:rPr>
          <w:i/>
          <w:iCs/>
          <w:color w:val="231F20"/>
          <w:spacing w:val="-7"/>
          <w:position w:val="2"/>
        </w:rPr>
        <w:t>China</w:t>
      </w:r>
    </w:p>
    <w:p>
      <w:pPr>
        <w:pStyle w:val="BodyText"/>
        <w:ind w:left="909" w:right="483" w:firstLine="1"/>
        <w:spacing w:before="97" w:line="366" w:lineRule="auto"/>
        <w:rPr/>
      </w:pPr>
      <w:r>
        <w:rPr>
          <w:color w:val="231F20"/>
          <w:spacing w:val="-4"/>
        </w:rPr>
        <w:t>Abstract     Objective: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-4"/>
        </w:rPr>
        <w:t>To  investigate  the  application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4"/>
        </w:rPr>
        <w:t>value  of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uroscopy  and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4"/>
        </w:rPr>
        <w:t>urochemistry  in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-4"/>
        </w:rPr>
        <w:t>the  diagnosis  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urinary  calculi.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Methods: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total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of five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hundred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with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suspected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urin</w:t>
      </w:r>
      <w:r>
        <w:rPr>
          <w:color w:val="231F20"/>
          <w:spacing w:val="-5"/>
        </w:rPr>
        <w:t>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calculi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admitted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to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5"/>
        </w:rPr>
        <w:t>Zhuhai Jinwan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District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Nanshui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Town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Health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Center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7"/>
        </w:rPr>
        <w:t>from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January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2021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7"/>
        </w:rPr>
        <w:t>to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December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7"/>
        </w:rPr>
        <w:t>2023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selected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-7"/>
        </w:rPr>
        <w:t>study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objects.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7"/>
        </w:rPr>
        <w:t>Urine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7"/>
        </w:rPr>
        <w:t>ro</w:t>
      </w:r>
      <w:r>
        <w:rPr>
          <w:color w:val="231F20"/>
          <w:spacing w:val="-8"/>
        </w:rPr>
        <w:t>utine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examination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was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-8"/>
        </w:rPr>
        <w:t>completed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-8"/>
        </w:rPr>
        <w:t>by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urocentrifugation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urine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dry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chemistry.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4"/>
        </w:rPr>
        <w:t>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4"/>
        </w:rPr>
        <w:t>sensitivity,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specificity,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accuracy,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positive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p</w:t>
      </w:r>
      <w:r>
        <w:rPr>
          <w:color w:val="231F20"/>
          <w:spacing w:val="-5"/>
        </w:rPr>
        <w:t>redictive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value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5"/>
        </w:rPr>
        <w:t>negative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5"/>
        </w:rPr>
        <w:t>predictive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value of uroscopy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 urochemistry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diagnosis of urinary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calcul</w:t>
      </w:r>
      <w:r>
        <w:rPr>
          <w:color w:val="231F20"/>
          <w:spacing w:val="-6"/>
        </w:rPr>
        <w:t>i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6"/>
        </w:rPr>
        <w:t>were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compared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with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6"/>
        </w:rPr>
        <w:t>results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6"/>
        </w:rPr>
        <w:t>of ultrasonic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diagnosis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as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gold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standard.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6"/>
        </w:rPr>
        <w:t>Results: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6"/>
        </w:rPr>
        <w:t>The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6"/>
        </w:rPr>
        <w:t>results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of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6"/>
        </w:rPr>
        <w:t>ultrasound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6"/>
        </w:rPr>
        <w:t>examination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6"/>
        </w:rPr>
        <w:t>showed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-6"/>
        </w:rPr>
        <w:t>t</w:t>
      </w:r>
      <w:r>
        <w:rPr>
          <w:color w:val="231F20"/>
          <w:spacing w:val="-7"/>
        </w:rPr>
        <w:t>hat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484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7"/>
        </w:rPr>
        <w:t>of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7"/>
        </w:rPr>
        <w:t>the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7"/>
        </w:rPr>
        <w:t>500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7"/>
        </w:rPr>
        <w:t>subjects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were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-7"/>
        </w:rPr>
        <w:t>diagnosed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7"/>
        </w:rPr>
        <w:t>urinary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calculi;</w:t>
      </w:r>
      <w:r>
        <w:rPr>
          <w:color w:val="231F20"/>
          <w:spacing w:val="39"/>
          <w:w w:val="101"/>
        </w:rPr>
        <w:t xml:space="preserve"> </w:t>
      </w:r>
      <w:r>
        <w:rPr>
          <w:color w:val="231F20"/>
          <w:spacing w:val="-3"/>
        </w:rPr>
        <w:t>the  sensitivity,  specificity,</w:t>
      </w:r>
      <w:r>
        <w:rPr>
          <w:color w:val="231F20"/>
          <w:spacing w:val="-4"/>
        </w:rPr>
        <w:t xml:space="preserve">  accuracy,  positive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4"/>
        </w:rPr>
        <w:t>predictive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value  and  negative</w:t>
      </w:r>
      <w:r>
        <w:rPr>
          <w:color w:val="231F20"/>
          <w:spacing w:val="41"/>
        </w:rPr>
        <w:t xml:space="preserve"> </w:t>
      </w:r>
      <w:r>
        <w:rPr>
          <w:color w:val="231F20"/>
          <w:spacing w:val="-4"/>
        </w:rPr>
        <w:t>predictive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4"/>
        </w:rPr>
        <w:t>value  of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4"/>
        </w:rPr>
        <w:t>urinary  dry  chemical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method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in 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diagnosis of urinary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calculi were higher than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5"/>
        </w:rPr>
        <w:t>those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of urocentrifugation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method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differences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5"/>
        </w:rPr>
        <w:t>were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statisti</w:t>
      </w:r>
      <w:r>
        <w:rPr>
          <w:color w:val="231F20"/>
          <w:spacing w:val="-6"/>
        </w:rPr>
        <w:t>cally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significant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4"/>
        </w:rPr>
        <w:t>(</w:t>
      </w:r>
      <w:r>
        <w:rPr>
          <w:i/>
          <w:iCs/>
          <w:color w:val="231F20"/>
          <w:spacing w:val="-4"/>
        </w:rPr>
        <w:t>P</w:t>
      </w:r>
      <w:r>
        <w:rPr>
          <w:color w:val="231F20"/>
          <w:spacing w:val="-4"/>
        </w:rPr>
        <w:t>&lt;0.05).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4"/>
        </w:rPr>
        <w:t>Conclusion: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4"/>
        </w:rPr>
        <w:t>Urosco</w:t>
      </w:r>
      <w:r>
        <w:rPr>
          <w:color w:val="231F20"/>
          <w:spacing w:val="-5"/>
        </w:rPr>
        <w:t>py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-5"/>
        </w:rPr>
        <w:t>urochemistry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are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5"/>
        </w:rPr>
        <w:t>high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-5"/>
        </w:rPr>
        <w:t>application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value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5"/>
        </w:rPr>
        <w:t>diagnosis</w:t>
      </w:r>
      <w:r>
        <w:rPr>
          <w:color w:val="231F20"/>
          <w:spacing w:val="33"/>
          <w:w w:val="102"/>
        </w:rPr>
        <w:t xml:space="preserve"> </w:t>
      </w:r>
      <w:r>
        <w:rPr>
          <w:color w:val="231F20"/>
          <w:spacing w:val="-5"/>
        </w:rPr>
        <w:t>of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5"/>
        </w:rPr>
        <w:t>urinary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5"/>
        </w:rPr>
        <w:t>calculi,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which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effectively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detect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calcium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oxalate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crystals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5"/>
        </w:rPr>
        <w:t>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5"/>
        </w:rPr>
        <w:t>with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urinary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5"/>
        </w:rPr>
        <w:t>calculi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and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efficacy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of uroscopy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5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the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5"/>
        </w:rPr>
        <w:t>d</w:t>
      </w:r>
      <w:r>
        <w:rPr>
          <w:color w:val="231F20"/>
          <w:spacing w:val="-6"/>
        </w:rPr>
        <w:t>iagnosis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of urinary calculi is superior to urocentrifugation.</w:t>
      </w:r>
    </w:p>
    <w:p>
      <w:pPr>
        <w:pStyle w:val="BodyText"/>
        <w:ind w:left="921"/>
        <w:spacing w:before="31" w:line="232" w:lineRule="auto"/>
        <w:rPr/>
      </w:pPr>
      <w:r>
        <w:rPr>
          <w:color w:val="231F20"/>
          <w:spacing w:val="-4"/>
        </w:rPr>
        <w:t>Key words    Urine routine examination; Uroscopy;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Urine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dry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chemical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method;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Diagnostic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effectiveness;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Urinary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calculus</w:t>
      </w:r>
    </w:p>
    <w:p>
      <w:pPr>
        <w:spacing w:before="76"/>
        <w:rPr/>
      </w:pPr>
      <w:r/>
    </w:p>
    <w:p>
      <w:pPr>
        <w:sectPr>
          <w:headerReference w:type="default" r:id="rId1"/>
          <w:pgSz w:w="11906" w:h="16158"/>
          <w:pgMar w:top="1031" w:right="808" w:bottom="0" w:left="424" w:header="730" w:footer="0" w:gutter="0"/>
          <w:cols w:equalWidth="0" w:num="1">
            <w:col w:w="10673" w:space="0"/>
          </w:cols>
        </w:sectPr>
        <w:rPr/>
      </w:pPr>
    </w:p>
    <w:p>
      <w:pPr>
        <w:pStyle w:val="BodyText"/>
        <w:ind w:left="491" w:right="303" w:firstLine="424"/>
        <w:spacing w:before="49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泌尿系结石是泌尿科常见疾病，主要是指发生在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肾、输尿管、膀胱等部位的结石</w:t>
      </w:r>
      <w:r>
        <w:rPr>
          <w:sz w:val="10"/>
          <w:szCs w:val="10"/>
          <w:color w:val="231F20"/>
          <w:spacing w:val="11"/>
          <w:position w:val="8"/>
        </w:rPr>
        <w:t>[1]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。泌尿系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结石发病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与机体代谢异常、遗传、环境、尿路梗阻、感染等因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素密切相关</w:t>
      </w:r>
      <w:r>
        <w:rPr>
          <w:sz w:val="10"/>
          <w:szCs w:val="10"/>
          <w:color w:val="231F20"/>
          <w:spacing w:val="9"/>
          <w:position w:val="8"/>
        </w:rPr>
        <w:t>[2]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。在疾病早期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，患者往往无明显特异性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表现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，随着结石不断增大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，会对局部组织造成刺激，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引发腹痛、排尿困难、血尿等症状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，对患者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正常工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作、生活均造成不利影响</w:t>
      </w:r>
      <w:r>
        <w:rPr>
          <w:sz w:val="10"/>
          <w:szCs w:val="10"/>
          <w:color w:val="231F20"/>
          <w:spacing w:val="11"/>
          <w:position w:val="8"/>
        </w:rPr>
        <w:t>[3]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。泌尿系结石患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者需要尽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早进行诊断，以确定结石位置、成分、代谢状态，从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而制定治疗方案</w:t>
      </w:r>
      <w:r>
        <w:rPr>
          <w:sz w:val="10"/>
          <w:szCs w:val="10"/>
          <w:color w:val="231F20"/>
          <w:spacing w:val="12"/>
          <w:position w:val="8"/>
        </w:rPr>
        <w:t>[4]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。</w:t>
      </w:r>
      <w:r>
        <w:rPr>
          <w:sz w:val="20"/>
          <w:szCs w:val="20"/>
          <w:color w:val="231F20"/>
          <w:spacing w:val="12"/>
        </w:rPr>
        <w:t>B</w:t>
      </w:r>
      <w:r>
        <w:rPr>
          <w:sz w:val="20"/>
          <w:szCs w:val="20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超、</w:t>
      </w:r>
      <w:r>
        <w:rPr>
          <w:sz w:val="20"/>
          <w:szCs w:val="20"/>
          <w:color w:val="231F20"/>
          <w:spacing w:val="12"/>
        </w:rPr>
        <w:t>X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线等影像学检查具有操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作简单、无创伤性、准确率高等优势，是诊断泌尿系</w:t>
      </w:r>
    </w:p>
    <w:p>
      <w:pPr>
        <w:spacing w:line="2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40" w:line="29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结石的常用手段</w:t>
      </w:r>
      <w:r>
        <w:rPr>
          <w:sz w:val="10"/>
          <w:szCs w:val="10"/>
          <w:color w:val="231F20"/>
          <w:spacing w:val="13"/>
          <w:position w:val="8"/>
        </w:rPr>
        <w:t>[5]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。但部分基层医院设备资源有限，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9"/>
        </w:rPr>
        <w:t>通常将尿常规检验作为泌尿系结石的主要诊断手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段</w:t>
      </w:r>
      <w:r>
        <w:rPr>
          <w:sz w:val="10"/>
          <w:szCs w:val="10"/>
          <w:color w:val="231F20"/>
          <w:spacing w:val="11"/>
          <w:position w:val="8"/>
        </w:rPr>
        <w:t>[6]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。本文旨在探究尿离心镜法、尿干化学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法在泌尿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系结石诊断中的应用价值，具体内容如下。</w:t>
      </w:r>
    </w:p>
    <w:p>
      <w:pPr>
        <w:ind w:left="8"/>
        <w:spacing w:before="307" w:line="20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资料与方法</w:t>
      </w:r>
    </w:p>
    <w:p>
      <w:pPr>
        <w:pStyle w:val="BodyText"/>
        <w:ind w:firstLine="420"/>
        <w:spacing w:before="36" w:line="29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选取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"/>
        </w:rPr>
        <w:t>2021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1"/>
        </w:rPr>
        <w:t>1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月—</w:t>
      </w:r>
      <w:r>
        <w:rPr>
          <w:sz w:val="20"/>
          <w:szCs w:val="20"/>
          <w:color w:val="231F20"/>
          <w:spacing w:val="1"/>
        </w:rPr>
        <w:t>2023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年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20"/>
          <w:szCs w:val="20"/>
          <w:color w:val="231F20"/>
          <w:spacing w:val="1"/>
        </w:rPr>
        <w:t>12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月珠海市金湾区南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水镇卫生院收治的</w:t>
      </w:r>
      <w:r>
        <w:rPr>
          <w:sz w:val="20"/>
          <w:szCs w:val="20"/>
          <w:color w:val="231F20"/>
          <w:spacing w:val="10"/>
        </w:rPr>
        <w:t>500</w:t>
      </w:r>
      <w:r>
        <w:rPr>
          <w:sz w:val="20"/>
          <w:szCs w:val="20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例疑似泌尿系结石患者作为研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究对象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，其中男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2"/>
        </w:rPr>
        <w:t>280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，女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sz w:val="20"/>
          <w:szCs w:val="20"/>
          <w:color w:val="231F20"/>
          <w:spacing w:val="-2"/>
        </w:rPr>
        <w:t>220</w:t>
      </w:r>
      <w:r>
        <w:rPr>
          <w:sz w:val="20"/>
          <w:szCs w:val="20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；年龄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sz w:val="20"/>
          <w:szCs w:val="20"/>
          <w:color w:val="231F20"/>
          <w:spacing w:val="-2"/>
        </w:rPr>
        <w:t>35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～</w:t>
      </w:r>
      <w:r>
        <w:rPr>
          <w:sz w:val="20"/>
          <w:szCs w:val="20"/>
          <w:color w:val="231F20"/>
          <w:spacing w:val="-2"/>
        </w:rPr>
        <w:t>75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均值为</w:t>
      </w:r>
      <w:r>
        <w:rPr>
          <w:sz w:val="20"/>
          <w:szCs w:val="20"/>
          <w:color w:val="231F20"/>
          <w:spacing w:val="-2"/>
        </w:rPr>
        <w:t>(55.23±5.47)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岁。</w:t>
      </w:r>
    </w:p>
    <w:p>
      <w:pPr>
        <w:spacing w:line="293" w:lineRule="auto"/>
        <w:sectPr>
          <w:type w:val="continuous"/>
          <w:pgSz w:w="11906" w:h="16158"/>
          <w:pgMar w:top="1031" w:right="808" w:bottom="0" w:left="424" w:header="730" w:footer="0" w:gutter="0"/>
          <w:cols w:equalWidth="0" w:num="2">
            <w:col w:w="5685" w:space="100"/>
            <w:col w:w="488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488"/>
        <w:spacing w:before="122" w:line="218" w:lineRule="auto"/>
        <w:tabs>
          <w:tab w:val="left" w:pos="7234"/>
        </w:tabs>
        <w:rPr>
          <w:rFonts w:ascii="SimSun" w:hAnsi="SimSun" w:eastAsia="SimSun" w:cs="SimSun"/>
          <w:sz w:val="20"/>
          <w:szCs w:val="20"/>
        </w:rPr>
      </w:pPr>
      <w:r>
        <w:rPr>
          <w:rFonts w:ascii="SimHei" w:hAnsi="SimHei" w:eastAsia="SimHei" w:cs="SimHei"/>
          <w:sz w:val="17"/>
          <w:szCs w:val="17"/>
          <w:u w:val="single" w:color="auto"/>
          <w:color w:val="231F20"/>
        </w:rPr>
        <w:tab/>
      </w:r>
      <w:r>
        <w:rPr>
          <w:rFonts w:ascii="SimHei" w:hAnsi="SimHei" w:eastAsia="SimHei" w:cs="SimHei"/>
          <w:sz w:val="17"/>
          <w:szCs w:val="17"/>
          <w:color w:val="231F20"/>
          <w:spacing w:val="45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13"/>
        </w:rPr>
        <w:t>中国社区医师2024年第40卷第29期</w:t>
      </w:r>
      <w:r>
        <w:rPr>
          <w:rFonts w:ascii="SimHei" w:hAnsi="SimHei" w:eastAsia="SimHei" w:cs="SimHei"/>
          <w:sz w:val="17"/>
          <w:szCs w:val="17"/>
          <w:color w:val="231F20"/>
          <w:spacing w:val="27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  <w:position w:val="-1"/>
        </w:rPr>
        <w:t>75</w:t>
      </w:r>
    </w:p>
    <w:p>
      <w:pPr>
        <w:spacing w:line="218" w:lineRule="auto"/>
        <w:sectPr>
          <w:type w:val="continuous"/>
          <w:pgSz w:w="11906" w:h="16158"/>
          <w:pgMar w:top="1031" w:right="808" w:bottom="0" w:left="424" w:header="730" w:footer="0" w:gutter="0"/>
          <w:cols w:equalWidth="0" w:num="1">
            <w:col w:w="1067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2"/>
          <w:pgSz w:w="11906" w:h="16158"/>
          <w:pgMar w:top="1031" w:right="796" w:bottom="0" w:left="424" w:header="730" w:footer="0" w:gutter="0"/>
          <w:cols w:equalWidth="0" w:num="1">
            <w:col w:w="10685" w:space="0"/>
          </w:cols>
        </w:sectPr>
        <w:rPr/>
      </w:pPr>
    </w:p>
    <w:p>
      <w:pPr>
        <w:ind w:left="491" w:right="368" w:firstLine="423"/>
        <w:spacing w:before="50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</w:rPr>
        <w:t>纳入标准：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①</w:t>
      </w:r>
      <w:r>
        <w:rPr>
          <w:rFonts w:ascii="SimSun" w:hAnsi="SimSun" w:eastAsia="SimSun" w:cs="SimSun"/>
          <w:sz w:val="20"/>
          <w:szCs w:val="20"/>
          <w:color w:val="231F20"/>
        </w:rPr>
        <w:t>存在腹部不适、血尿、排尿疼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痛等症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状；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病历资料详细、完整；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无传染性疾病。</w:t>
      </w:r>
    </w:p>
    <w:p>
      <w:pPr>
        <w:ind w:left="492" w:right="368" w:firstLine="419"/>
        <w:spacing w:line="24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排除标准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存在重要脏器损伤；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存在泌尿系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统炎症；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存在检查禁忌证；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④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患有精神疾病；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⑤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中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途退出研究。</w:t>
      </w:r>
    </w:p>
    <w:p>
      <w:pPr>
        <w:ind w:left="491" w:right="290" w:firstLine="421"/>
        <w:spacing w:before="16" w:line="24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方法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：受检者入院后均进行尿常规检查，于清晨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留存尿液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20 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，分成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份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，制成尿液标本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，在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1 h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送至实验室进行检验。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尿离心镜法：将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10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尿液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样本充分摇匀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，将其置入离心试管中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，以</w:t>
      </w:r>
      <w:r>
        <w:rPr>
          <w:rFonts w:ascii="SimSun" w:hAnsi="SimSun" w:eastAsia="SimSun" w:cs="SimSun"/>
          <w:sz w:val="20"/>
          <w:szCs w:val="20"/>
          <w:color w:val="231F20"/>
          <w:spacing w:val="-5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3 000 r/min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离心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5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min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，分离上清液</w:t>
      </w:r>
      <w:r>
        <w:rPr>
          <w:rFonts w:ascii="SimSun" w:hAnsi="SimSun" w:eastAsia="SimSun" w:cs="SimSun"/>
          <w:sz w:val="20"/>
          <w:szCs w:val="20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，并将残留尿液和沉淀物充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分摇匀</w:t>
      </w:r>
      <w:r>
        <w:rPr>
          <w:rFonts w:ascii="SimSun" w:hAnsi="SimSun" w:eastAsia="SimSun" w:cs="SimSun"/>
          <w:sz w:val="20"/>
          <w:szCs w:val="20"/>
          <w:color w:val="231F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，随后取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0.02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mL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尿残渣滴在载玻片上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，选取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长、宽均为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18 mm </w:t>
      </w:r>
      <w:r>
        <w:rPr>
          <w:rFonts w:ascii="SimSun" w:hAnsi="SimSun" w:eastAsia="SimSun" w:cs="SimSun"/>
          <w:sz w:val="20"/>
          <w:szCs w:val="20"/>
          <w:color w:val="231F20"/>
        </w:rPr>
        <w:t>的盖玻片进行覆盖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，采用高倍生物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显微镜观察样本。高倍视野可见草酸钙结晶数量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≥3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个，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视为阳性。如检出异常</w:t>
      </w:r>
      <w:r>
        <w:rPr>
          <w:rFonts w:ascii="SimSun" w:hAnsi="SimSun" w:eastAsia="SimSun" w:cs="SimSun"/>
          <w:sz w:val="20"/>
          <w:szCs w:val="20"/>
          <w:color w:val="231F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，需对患者尿液进行镜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检复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核。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尿干化学法：选用全自动尿液分析仪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>(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生产厂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家：爱科来国际贸易有限公司；型号：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>AX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-4030)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及配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套试剂进行测定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，严格遵照仪器说明书进行操作。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结果以仪器显示为准。</w:t>
      </w:r>
    </w:p>
    <w:p>
      <w:pPr>
        <w:ind w:left="494" w:right="299" w:firstLine="419"/>
        <w:spacing w:before="18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检查过程中需要注意：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3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女性患者需要避开经期，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防止尿液标本掺杂血液，影响检查结果；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采集的尿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液样本需要为清晨中段尿液，有助于对其成分进行分析；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" w:right="78" w:hanging="3"/>
        <w:spacing w:before="58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③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在尿液采集完成后，不要将样本放置过久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，防止出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现细胞溶解、葡萄糖溶解等情况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，影响检查结果。</w:t>
      </w:r>
    </w:p>
    <w:p>
      <w:pPr>
        <w:ind w:firstLine="425"/>
        <w:spacing w:before="20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观察指标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：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7"/>
        </w:rPr>
        <w:t>①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记录尿离心镜法、尿干化学法检测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结果。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②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以超声检查诊断结果作为“金标准”，分析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尿离心镜法、尿干化学法对泌尿系结石的诊断效能。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灵敏度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=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真阳性例数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/(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假阴性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×100%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，特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异度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=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真阴性例数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/(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假阳性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×100%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，准确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=(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总例数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×100%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，阳性预测值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=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真阳性例数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/(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真阳性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假阳性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×100%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，阴性预测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值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=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真阴性例数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/(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真阴性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+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假阴性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例数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×100%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</w:p>
    <w:p>
      <w:pPr>
        <w:spacing w:line="165" w:lineRule="auto"/>
        <w:jc w:val="right"/>
        <w:rPr>
          <w:rFonts w:ascii="SimSun" w:hAnsi="SimSun" w:eastAsia="SimSun" w:cs="SimSun"/>
          <w:sz w:val="20"/>
          <w:szCs w:val="20"/>
        </w:rPr>
      </w:pPr>
      <w:r>
        <w:pict>
          <v:shape id="_x0000_s6" style="position:absolute;margin-left:54.6507pt;margin-top:5.2305pt;mso-position-vertical-relative:text;mso-position-horizontal-relative:text;width:6.7pt;height:14.1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tabs>
                      <w:tab w:val="left" w:pos="113"/>
                    </w:tabs>
                    <w:rPr>
                      <w:sz w:val="21"/>
                    </w:rPr>
                  </w:pPr>
                  <w:r>
                    <w:rPr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统计学方法：数据应用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"/>
        </w:rPr>
        <w:t>SPSS 21.0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统计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学软件分析；</w:t>
      </w:r>
    </w:p>
    <w:p>
      <w:pPr>
        <w:pStyle w:val="BodyText"/>
        <w:ind w:left="3" w:right="75" w:hanging="3"/>
        <w:spacing w:before="89" w:line="23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计量资料以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i/>
          <w:iCs/>
          <w:color w:val="231F20"/>
          <w:spacing w:val="5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±</w:t>
      </w:r>
      <w:r>
        <w:rPr>
          <w:sz w:val="20"/>
          <w:szCs w:val="20"/>
          <w:i/>
          <w:iCs/>
          <w:color w:val="231F20"/>
          <w:spacing w:val="5"/>
        </w:rPr>
        <w:t>s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表示</w:t>
      </w:r>
      <w:r>
        <w:rPr>
          <w:rFonts w:ascii="SimSun" w:hAnsi="SimSun" w:eastAsia="SimSun" w:cs="SimSun"/>
          <w:sz w:val="20"/>
          <w:szCs w:val="20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，采用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sz w:val="20"/>
          <w:szCs w:val="20"/>
          <w:i/>
          <w:iCs/>
          <w:color w:val="231F20"/>
          <w:spacing w:val="5"/>
        </w:rPr>
        <w:t>t</w:t>
      </w:r>
      <w:r>
        <w:rPr>
          <w:sz w:val="20"/>
          <w:szCs w:val="20"/>
          <w:i/>
          <w:iCs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检验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；计数资料以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i/>
          <w:iCs/>
          <w:color w:val="231F20"/>
          <w:spacing w:val="5"/>
        </w:rPr>
        <w:t>n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5"/>
        </w:rPr>
        <w:t>(%)</w:t>
      </w:r>
      <w:r>
        <w:rPr>
          <w:rFonts w:ascii="Microsoft YaHei" w:hAnsi="Microsoft YaHei" w:eastAsia="Microsoft YaHei" w:cs="Microsoft YaHei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表示，采用</w:t>
      </w:r>
      <w:r>
        <w:rPr>
          <w:rFonts w:ascii="SimSun" w:hAnsi="SimSun" w:eastAsia="SimSun" w:cs="SimSun"/>
          <w:sz w:val="20"/>
          <w:szCs w:val="20"/>
          <w:color w:val="231F20"/>
          <w:spacing w:val="-53"/>
        </w:rPr>
        <w:t xml:space="preserve"> </w:t>
      </w:r>
      <w:r>
        <w:rPr>
          <w:sz w:val="20"/>
          <w:szCs w:val="20"/>
          <w:i/>
          <w:iCs/>
          <w:color w:val="231F20"/>
          <w:spacing w:val="2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2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9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检验；</w:t>
      </w:r>
      <w:r>
        <w:rPr>
          <w:sz w:val="20"/>
          <w:szCs w:val="20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＜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0.05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为差异有统计学意义。</w:t>
      </w:r>
    </w:p>
    <w:p>
      <w:pPr>
        <w:ind w:left="10"/>
        <w:spacing w:before="296" w:line="20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结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4"/>
        </w:rPr>
        <w:t>果</w:t>
      </w:r>
    </w:p>
    <w:p>
      <w:pPr>
        <w:ind w:left="3" w:right="12" w:firstLine="417"/>
        <w:spacing w:before="32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各项检查诊断结果统计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0"/>
        </w:rPr>
        <w:t>：超声检查结果显示，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500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例受检者确诊泌尿系结石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484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例。见表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</w:t>
      </w:r>
    </w:p>
    <w:p>
      <w:pPr>
        <w:pStyle w:val="BodyText"/>
        <w:ind w:right="78" w:firstLine="423"/>
        <w:spacing w:before="3" w:line="27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尿离心镜法、尿干化学法对泌尿系结石的诊断效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能比较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：尿干化学法诊断泌尿系结石的灵敏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度、特异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度、准确度、阳性预测值、阴性预测值均高于尿离心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镜法，差异有统计学意义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(</w:t>
      </w:r>
      <w:r>
        <w:rPr>
          <w:sz w:val="20"/>
          <w:szCs w:val="20"/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＜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0.05)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。见表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</w:t>
      </w:r>
    </w:p>
    <w:p>
      <w:pPr>
        <w:spacing w:line="279" w:lineRule="auto"/>
        <w:sectPr>
          <w:type w:val="continuous"/>
          <w:pgSz w:w="11906" w:h="16158"/>
          <w:pgMar w:top="1031" w:right="796" w:bottom="0" w:left="424" w:header="730" w:footer="0" w:gutter="0"/>
          <w:cols w:equalWidth="0" w:num="2">
            <w:col w:w="5684" w:space="100"/>
            <w:col w:w="490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left="4277"/>
        <w:spacing w:before="150" w:line="204" w:lineRule="auto"/>
        <w:outlineLvl w:val="0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5"/>
        </w:rPr>
        <w:t>表 1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5"/>
        </w:rPr>
        <w:t>各项检查诊断结果统计(</w:t>
      </w:r>
      <w:r>
        <w:rPr>
          <w:i/>
          <w:iCs/>
          <w:color w:val="231F20"/>
          <w:spacing w:val="5"/>
        </w:rPr>
        <w:t>n</w:t>
      </w:r>
      <w:r>
        <w:rPr>
          <w:rFonts w:ascii="Microsoft YaHei" w:hAnsi="Microsoft YaHei" w:eastAsia="Microsoft YaHei" w:cs="Microsoft YaHei"/>
          <w:color w:val="231F20"/>
          <w:spacing w:val="5"/>
        </w:rPr>
        <w:t>)</w:t>
      </w:r>
    </w:p>
    <w:p>
      <w:pPr>
        <w:spacing w:line="5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10117" w:type="dxa"/>
        <w:tblInd w:w="48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76"/>
        <w:gridCol w:w="1129"/>
        <w:gridCol w:w="1771"/>
        <w:gridCol w:w="2109"/>
        <w:gridCol w:w="4032"/>
      </w:tblGrid>
      <w:tr>
        <w:trPr>
          <w:trHeight w:val="255" w:hRule="atLeast"/>
        </w:trPr>
        <w:tc>
          <w:tcPr>
            <w:tcW w:w="107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16"/>
              <w:spacing w:before="154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8"/>
              </w:rPr>
              <w:t>超声检查</w:t>
            </w:r>
          </w:p>
        </w:tc>
        <w:tc>
          <w:tcPr>
            <w:tcW w:w="1129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345"/>
              <w:spacing w:before="229" w:line="110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3880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288"/>
              <w:spacing w:before="42" w:line="21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8"/>
              </w:rPr>
              <w:t>尿离心镜法</w:t>
            </w:r>
          </w:p>
        </w:tc>
        <w:tc>
          <w:tcPr>
            <w:tcW w:w="4032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ind w:left="1423"/>
              <w:spacing w:before="43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pict>
                <v:shape id="_x0000_s8" style="position:absolute;margin-left:-184.677pt;margin-top:12.731pt;mso-position-vertical-relative:top-margin-area;mso-position-horizontal-relative:right-margin-area;width:176.8pt;height:0.3pt;z-index:251659264;" filled="false" strokecolor="#231F20" strokeweight="0.28pt" coordsize="3536,6" coordorigin="0,0" path="m0,2l3535,2e">
                  <v:stroke joinstyle="miter" miterlimit="4"/>
                </v:shape>
              </w:pict>
            </w: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8"/>
              </w:rPr>
              <w:t>尿干化学法</w:t>
            </w:r>
          </w:p>
          <w:p>
            <w:pPr>
              <w:ind w:left="808"/>
              <w:spacing w:before="96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"/>
              </w:rPr>
              <w:t>阳性                     阴性</w:t>
            </w:r>
          </w:p>
        </w:tc>
      </w:tr>
      <w:tr>
        <w:trPr>
          <w:trHeight w:val="286" w:hRule="atLeast"/>
        </w:trPr>
        <w:tc>
          <w:tcPr>
            <w:tcW w:w="1076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29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568"/>
              <w:spacing w:before="76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阳性</w:t>
            </w:r>
          </w:p>
        </w:tc>
        <w:tc>
          <w:tcPr>
            <w:tcW w:w="210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ind w:left="874"/>
              <w:spacing w:before="76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"/>
              </w:rPr>
              <w:t>阴性</w:t>
            </w:r>
          </w:p>
        </w:tc>
        <w:tc>
          <w:tcPr>
            <w:tcW w:w="4032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1076" w:type="dxa"/>
            <w:vAlign w:val="top"/>
            <w:tcBorders>
              <w:top w:val="single" w:color="231F20" w:sz="2" w:space="0"/>
            </w:tcBorders>
          </w:tcPr>
          <w:p>
            <w:pPr>
              <w:ind w:left="133"/>
              <w:spacing w:before="77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阳性</w:t>
            </w:r>
          </w:p>
        </w:tc>
        <w:tc>
          <w:tcPr>
            <w:tcW w:w="112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4"/>
              <w:spacing w:before="73" w:line="177" w:lineRule="auto"/>
              <w:rPr/>
            </w:pPr>
            <w:r>
              <w:rPr>
                <w:color w:val="231F20"/>
                <w:spacing w:val="-8"/>
              </w:rPr>
              <w:t>489</w:t>
            </w:r>
          </w:p>
        </w:tc>
        <w:tc>
          <w:tcPr>
            <w:tcW w:w="177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550"/>
              <w:spacing w:before="73" w:line="177" w:lineRule="auto"/>
              <w:rPr/>
            </w:pPr>
            <w:r>
              <w:rPr>
                <w:color w:val="231F20"/>
                <w:spacing w:val="-8"/>
              </w:rPr>
              <w:t>479</w:t>
            </w:r>
          </w:p>
        </w:tc>
        <w:tc>
          <w:tcPr>
            <w:tcW w:w="210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66"/>
              <w:spacing w:before="73" w:line="177" w:lineRule="auto"/>
              <w:rPr/>
            </w:pPr>
            <w:r>
              <w:rPr>
                <w:color w:val="231F20"/>
                <w:spacing w:val="-16"/>
              </w:rPr>
              <w:t>10</w:t>
            </w:r>
          </w:p>
        </w:tc>
        <w:tc>
          <w:tcPr>
            <w:tcW w:w="40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89"/>
              <w:spacing w:before="73" w:line="177" w:lineRule="auto"/>
              <w:rPr/>
            </w:pPr>
            <w:r>
              <w:rPr>
                <w:color w:val="231F20"/>
                <w:spacing w:val="-9"/>
              </w:rPr>
              <w:t>487</w:t>
            </w:r>
            <w:r>
              <w:rPr>
                <w:color w:val="231F20"/>
                <w:spacing w:val="1"/>
              </w:rPr>
              <w:t xml:space="preserve">                         </w:t>
            </w:r>
            <w:r>
              <w:rPr>
                <w:color w:val="231F20"/>
              </w:rPr>
              <w:t xml:space="preserve">               </w:t>
            </w:r>
            <w:r>
              <w:rPr>
                <w:color w:val="231F20"/>
                <w:spacing w:val="-9"/>
              </w:rPr>
              <w:t>2</w:t>
            </w:r>
          </w:p>
        </w:tc>
      </w:tr>
      <w:tr>
        <w:trPr>
          <w:trHeight w:val="288" w:hRule="atLeast"/>
        </w:trPr>
        <w:tc>
          <w:tcPr>
            <w:tcW w:w="1076" w:type="dxa"/>
            <w:vAlign w:val="top"/>
          </w:tcPr>
          <w:p>
            <w:pPr>
              <w:ind w:left="131"/>
              <w:spacing w:before="70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1"/>
              </w:rPr>
              <w:t>阴性</w:t>
            </w:r>
          </w:p>
        </w:tc>
        <w:tc>
          <w:tcPr>
            <w:tcW w:w="1129" w:type="dxa"/>
            <w:vAlign w:val="top"/>
          </w:tcPr>
          <w:p>
            <w:pPr>
              <w:pStyle w:val="TableText"/>
              <w:ind w:left="361"/>
              <w:spacing w:before="66" w:line="174" w:lineRule="auto"/>
              <w:rPr/>
            </w:pPr>
            <w:r>
              <w:rPr>
                <w:color w:val="231F20"/>
                <w:spacing w:val="-16"/>
              </w:rPr>
              <w:t>11</w:t>
            </w:r>
          </w:p>
        </w:tc>
        <w:tc>
          <w:tcPr>
            <w:tcW w:w="1771" w:type="dxa"/>
            <w:vAlign w:val="top"/>
          </w:tcPr>
          <w:p>
            <w:pPr>
              <w:pStyle w:val="TableText"/>
              <w:ind w:left="733"/>
              <w:spacing w:before="66" w:line="174" w:lineRule="auto"/>
              <w:rPr/>
            </w:pPr>
            <w:r>
              <w:rPr>
                <w:color w:val="231F20"/>
              </w:rPr>
              <w:t>5</w:t>
            </w:r>
          </w:p>
        </w:tc>
        <w:tc>
          <w:tcPr>
            <w:tcW w:w="2109" w:type="dxa"/>
            <w:vAlign w:val="top"/>
          </w:tcPr>
          <w:p>
            <w:pPr>
              <w:pStyle w:val="TableText"/>
              <w:ind w:left="1042"/>
              <w:spacing w:before="66" w:line="174" w:lineRule="auto"/>
              <w:rPr/>
            </w:pPr>
            <w:r>
              <w:rPr>
                <w:color w:val="231F20"/>
              </w:rPr>
              <w:t>6</w:t>
            </w:r>
          </w:p>
        </w:tc>
        <w:tc>
          <w:tcPr>
            <w:tcW w:w="4032" w:type="dxa"/>
            <w:vAlign w:val="top"/>
          </w:tcPr>
          <w:p>
            <w:pPr>
              <w:pStyle w:val="TableText"/>
              <w:ind w:left="987"/>
              <w:spacing w:before="66" w:line="174" w:lineRule="auto"/>
              <w:rPr/>
            </w:pPr>
            <w:r>
              <w:rPr>
                <w:color w:val="231F20"/>
                <w:spacing w:val="-21"/>
              </w:rPr>
              <w:t>1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21"/>
              </w:rPr>
              <w:t>10</w:t>
            </w:r>
          </w:p>
        </w:tc>
      </w:tr>
      <w:tr>
        <w:trPr>
          <w:trHeight w:val="290" w:hRule="atLeast"/>
        </w:trPr>
        <w:tc>
          <w:tcPr>
            <w:tcW w:w="1076" w:type="dxa"/>
            <w:vAlign w:val="top"/>
            <w:tcBorders>
              <w:bottom w:val="single" w:color="231F20" w:sz="4" w:space="0"/>
            </w:tcBorders>
          </w:tcPr>
          <w:p>
            <w:pPr>
              <w:ind w:left="115"/>
              <w:spacing w:before="72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合计</w:t>
            </w:r>
          </w:p>
        </w:tc>
        <w:tc>
          <w:tcPr>
            <w:tcW w:w="112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57"/>
              <w:spacing w:before="70" w:line="172" w:lineRule="auto"/>
              <w:rPr/>
            </w:pPr>
            <w:r>
              <w:rPr>
                <w:color w:val="231F20"/>
                <w:spacing w:val="-9"/>
              </w:rPr>
              <w:t>500</w:t>
            </w:r>
          </w:p>
        </w:tc>
        <w:tc>
          <w:tcPr>
            <w:tcW w:w="177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0"/>
              <w:spacing w:before="70" w:line="172" w:lineRule="auto"/>
              <w:rPr/>
            </w:pPr>
            <w:r>
              <w:rPr>
                <w:color w:val="231F20"/>
                <w:spacing w:val="-7"/>
                <w:w w:val="99"/>
              </w:rPr>
              <w:t>484</w:t>
            </w:r>
          </w:p>
        </w:tc>
        <w:tc>
          <w:tcPr>
            <w:tcW w:w="210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66"/>
              <w:spacing w:before="70" w:line="172" w:lineRule="auto"/>
              <w:rPr/>
            </w:pPr>
            <w:r>
              <w:rPr>
                <w:color w:val="231F20"/>
                <w:spacing w:val="-16"/>
              </w:rPr>
              <w:t>16</w:t>
            </w:r>
          </w:p>
        </w:tc>
        <w:tc>
          <w:tcPr>
            <w:tcW w:w="403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89"/>
              <w:spacing w:before="70" w:line="172" w:lineRule="auto"/>
              <w:rPr/>
            </w:pPr>
            <w:r>
              <w:rPr>
                <w:color w:val="231F20"/>
                <w:spacing w:val="-13"/>
              </w:rPr>
              <w:t>488</w:t>
            </w:r>
            <w:r>
              <w:rPr>
                <w:color w:val="231F20"/>
                <w:spacing w:val="1"/>
              </w:rPr>
              <w:t xml:space="preserve">                                      </w:t>
            </w:r>
            <w:r>
              <w:rPr>
                <w:color w:val="231F20"/>
                <w:spacing w:val="-13"/>
              </w:rPr>
              <w:t>12</w:t>
            </w:r>
          </w:p>
        </w:tc>
      </w:tr>
    </w:tbl>
    <w:p>
      <w:pPr>
        <w:ind w:left="3071"/>
        <w:spacing w:before="288" w:line="177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2   尿离心镜法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8"/>
        </w:rPr>
        <w:t>、尿干化学法对泌尿系结石的诊断效能比较(%)</w:t>
      </w:r>
    </w:p>
    <w:tbl>
      <w:tblPr>
        <w:tblStyle w:val="TableNormal"/>
        <w:tblW w:w="10118" w:type="dxa"/>
        <w:tblInd w:w="48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01"/>
        <w:gridCol w:w="1845"/>
        <w:gridCol w:w="1749"/>
        <w:gridCol w:w="1851"/>
        <w:gridCol w:w="1906"/>
        <w:gridCol w:w="1466"/>
      </w:tblGrid>
      <w:tr>
        <w:trPr>
          <w:trHeight w:val="304" w:hRule="atLeast"/>
        </w:trPr>
        <w:tc>
          <w:tcPr>
            <w:tcW w:w="130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17"/>
              <w:spacing w:before="78" w:line="217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检查方法</w:t>
            </w:r>
          </w:p>
        </w:tc>
        <w:tc>
          <w:tcPr>
            <w:tcW w:w="184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75"/>
              <w:spacing w:before="79" w:line="215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7"/>
              </w:rPr>
              <w:t>灵敏度</w:t>
            </w:r>
          </w:p>
        </w:tc>
        <w:tc>
          <w:tcPr>
            <w:tcW w:w="174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01"/>
              <w:spacing w:before="79" w:line="21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特异度</w:t>
            </w:r>
          </w:p>
        </w:tc>
        <w:tc>
          <w:tcPr>
            <w:tcW w:w="18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64"/>
              <w:spacing w:before="78" w:line="218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6"/>
              </w:rPr>
              <w:t>准确度</w:t>
            </w:r>
          </w:p>
        </w:tc>
        <w:tc>
          <w:tcPr>
            <w:tcW w:w="190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93"/>
              <w:spacing w:before="76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5"/>
              </w:rPr>
              <w:t>阳性预测值</w:t>
            </w:r>
          </w:p>
        </w:tc>
        <w:tc>
          <w:tcPr>
            <w:tcW w:w="146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438"/>
              <w:spacing w:before="76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5"/>
              </w:rPr>
              <w:t>阴性预测值</w:t>
            </w:r>
          </w:p>
        </w:tc>
      </w:tr>
      <w:tr>
        <w:trPr>
          <w:trHeight w:val="293" w:hRule="atLeast"/>
        </w:trPr>
        <w:tc>
          <w:tcPr>
            <w:tcW w:w="1301" w:type="dxa"/>
            <w:vAlign w:val="top"/>
            <w:tcBorders>
              <w:top w:val="single" w:color="231F20" w:sz="2" w:space="0"/>
            </w:tcBorders>
          </w:tcPr>
          <w:p>
            <w:pPr>
              <w:ind w:left="118"/>
              <w:spacing w:before="63" w:line="216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8"/>
              </w:rPr>
              <w:t>尿离心镜法</w:t>
            </w:r>
          </w:p>
        </w:tc>
        <w:tc>
          <w:tcPr>
            <w:tcW w:w="184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00"/>
              <w:spacing w:before="60" w:line="183" w:lineRule="auto"/>
              <w:rPr/>
            </w:pPr>
            <w:r>
              <w:rPr>
                <w:color w:val="231F20"/>
                <w:spacing w:val="-10"/>
              </w:rPr>
              <w:t>97.96(479/489)</w:t>
            </w:r>
          </w:p>
        </w:tc>
        <w:tc>
          <w:tcPr>
            <w:tcW w:w="174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9"/>
              <w:spacing w:before="60" w:line="183" w:lineRule="auto"/>
              <w:rPr/>
            </w:pPr>
            <w:r>
              <w:rPr>
                <w:color w:val="231F20"/>
                <w:spacing w:val="-10"/>
              </w:rPr>
              <w:t>54.55(6/11)</w:t>
            </w:r>
          </w:p>
        </w:tc>
        <w:tc>
          <w:tcPr>
            <w:tcW w:w="185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4"/>
              <w:spacing w:before="60" w:line="183" w:lineRule="auto"/>
              <w:rPr/>
            </w:pPr>
            <w:r>
              <w:rPr>
                <w:color w:val="231F20"/>
                <w:spacing w:val="-10"/>
              </w:rPr>
              <w:t>97.00(485/500)</w:t>
            </w:r>
          </w:p>
        </w:tc>
        <w:tc>
          <w:tcPr>
            <w:tcW w:w="190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80"/>
              <w:spacing w:before="60" w:line="183" w:lineRule="auto"/>
              <w:rPr/>
            </w:pPr>
            <w:r>
              <w:rPr>
                <w:color w:val="231F20"/>
                <w:spacing w:val="-10"/>
              </w:rPr>
              <w:t>98.97(479/484)</w:t>
            </w:r>
          </w:p>
        </w:tc>
        <w:tc>
          <w:tcPr>
            <w:tcW w:w="146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65"/>
              <w:spacing w:before="60" w:line="183" w:lineRule="auto"/>
              <w:rPr/>
            </w:pPr>
            <w:r>
              <w:rPr>
                <w:color w:val="231F20"/>
                <w:spacing w:val="-10"/>
              </w:rPr>
              <w:t>37.50(6/16)</w:t>
            </w:r>
          </w:p>
        </w:tc>
      </w:tr>
      <w:tr>
        <w:trPr>
          <w:trHeight w:val="295" w:hRule="atLeast"/>
        </w:trPr>
        <w:tc>
          <w:tcPr>
            <w:tcW w:w="1301" w:type="dxa"/>
            <w:vAlign w:val="top"/>
          </w:tcPr>
          <w:p>
            <w:pPr>
              <w:ind w:left="118"/>
              <w:spacing w:before="63" w:line="213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8"/>
              </w:rPr>
              <w:t>尿干化学法</w:t>
            </w:r>
          </w:p>
        </w:tc>
        <w:tc>
          <w:tcPr>
            <w:tcW w:w="1845" w:type="dxa"/>
            <w:vAlign w:val="top"/>
          </w:tcPr>
          <w:p>
            <w:pPr>
              <w:pStyle w:val="TableText"/>
              <w:ind w:left="300"/>
              <w:spacing w:before="60" w:line="185" w:lineRule="auto"/>
              <w:rPr/>
            </w:pPr>
            <w:r>
              <w:rPr>
                <w:color w:val="231F20"/>
                <w:spacing w:val="-10"/>
              </w:rPr>
              <w:t>99.59(487/489)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458"/>
              <w:spacing w:before="60" w:line="185" w:lineRule="auto"/>
              <w:rPr/>
            </w:pPr>
            <w:r>
              <w:rPr>
                <w:color w:val="231F20"/>
                <w:spacing w:val="-10"/>
              </w:rPr>
              <w:t>91.91(10/11)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384"/>
              <w:spacing w:before="60" w:line="185" w:lineRule="auto"/>
              <w:rPr/>
            </w:pPr>
            <w:r>
              <w:rPr>
                <w:color w:val="231F20"/>
                <w:spacing w:val="-10"/>
              </w:rPr>
              <w:t>99.40(497/500)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380"/>
              <w:spacing w:before="60" w:line="185" w:lineRule="auto"/>
              <w:rPr/>
            </w:pPr>
            <w:r>
              <w:rPr>
                <w:color w:val="231F20"/>
                <w:spacing w:val="-10"/>
              </w:rPr>
              <w:t>99.80(487/488)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468"/>
              <w:spacing w:before="60" w:line="185" w:lineRule="auto"/>
              <w:rPr/>
            </w:pPr>
            <w:r>
              <w:rPr>
                <w:color w:val="231F20"/>
                <w:spacing w:val="-10"/>
              </w:rPr>
              <w:t>83.33(10/12)</w:t>
            </w:r>
          </w:p>
        </w:tc>
      </w:tr>
      <w:tr>
        <w:trPr>
          <w:trHeight w:val="301" w:hRule="atLeast"/>
        </w:trPr>
        <w:tc>
          <w:tcPr>
            <w:tcW w:w="1301" w:type="dxa"/>
            <w:vAlign w:val="top"/>
          </w:tcPr>
          <w:p>
            <w:pPr>
              <w:pStyle w:val="TableText"/>
              <w:ind w:left="120"/>
              <w:spacing w:before="56" w:line="203" w:lineRule="auto"/>
              <w:rPr>
                <w:sz w:val="9"/>
                <w:szCs w:val="9"/>
              </w:rPr>
            </w:pPr>
            <w:r>
              <w:rPr>
                <w:rFonts w:ascii="Arial" w:hAnsi="Arial" w:eastAsia="Arial" w:cs="Arial"/>
                <w:sz w:val="18"/>
                <w:szCs w:val="18"/>
                <w:i/>
                <w:iCs/>
                <w:color w:val="231F20"/>
                <w:spacing w:val="-1"/>
                <w:position w:val="-3"/>
              </w:rPr>
              <w:t>χ</w:t>
            </w:r>
            <w:r>
              <w:rPr>
                <w:sz w:val="9"/>
                <w:szCs w:val="9"/>
                <w:color w:val="231F20"/>
                <w:spacing w:val="-1"/>
                <w:position w:val="4"/>
              </w:rPr>
              <w:t>2</w:t>
            </w:r>
          </w:p>
        </w:tc>
        <w:tc>
          <w:tcPr>
            <w:tcW w:w="1845" w:type="dxa"/>
            <w:vAlign w:val="top"/>
          </w:tcPr>
          <w:p>
            <w:pPr>
              <w:pStyle w:val="TableText"/>
              <w:ind w:left="645"/>
              <w:spacing w:before="56" w:line="193" w:lineRule="auto"/>
              <w:rPr/>
            </w:pPr>
            <w:r>
              <w:rPr>
                <w:color w:val="231F20"/>
                <w:spacing w:val="-7"/>
              </w:rPr>
              <w:t>5.399</w:t>
            </w:r>
          </w:p>
        </w:tc>
        <w:tc>
          <w:tcPr>
            <w:tcW w:w="1749" w:type="dxa"/>
            <w:vAlign w:val="top"/>
          </w:tcPr>
          <w:p>
            <w:pPr>
              <w:pStyle w:val="TableText"/>
              <w:ind w:left="671"/>
              <w:spacing w:before="56" w:line="193" w:lineRule="auto"/>
              <w:rPr/>
            </w:pPr>
            <w:r>
              <w:rPr>
                <w:color w:val="231F20"/>
                <w:spacing w:val="-7"/>
              </w:rPr>
              <w:t>3.666</w:t>
            </w:r>
          </w:p>
        </w:tc>
        <w:tc>
          <w:tcPr>
            <w:tcW w:w="1851" w:type="dxa"/>
            <w:vAlign w:val="top"/>
          </w:tcPr>
          <w:p>
            <w:pPr>
              <w:pStyle w:val="TableText"/>
              <w:ind w:left="734"/>
              <w:spacing w:before="56" w:line="193" w:lineRule="auto"/>
              <w:rPr/>
            </w:pPr>
            <w:r>
              <w:rPr>
                <w:color w:val="231F20"/>
                <w:spacing w:val="-8"/>
              </w:rPr>
              <w:t>8.146</w:t>
            </w:r>
          </w:p>
        </w:tc>
        <w:tc>
          <w:tcPr>
            <w:tcW w:w="1906" w:type="dxa"/>
            <w:vAlign w:val="top"/>
          </w:tcPr>
          <w:p>
            <w:pPr>
              <w:pStyle w:val="TableText"/>
              <w:ind w:left="725"/>
              <w:spacing w:before="56" w:line="193" w:lineRule="auto"/>
              <w:rPr/>
            </w:pPr>
            <w:r>
              <w:rPr>
                <w:color w:val="231F20"/>
                <w:spacing w:val="-7"/>
              </w:rPr>
              <w:t>5.399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675"/>
              <w:spacing w:before="56" w:line="193" w:lineRule="auto"/>
              <w:rPr/>
            </w:pPr>
            <w:r>
              <w:rPr>
                <w:color w:val="231F20"/>
                <w:spacing w:val="-7"/>
              </w:rPr>
              <w:t>3.666</w:t>
            </w:r>
          </w:p>
        </w:tc>
      </w:tr>
      <w:tr>
        <w:trPr>
          <w:trHeight w:val="262" w:hRule="atLeast"/>
        </w:trPr>
        <w:tc>
          <w:tcPr>
            <w:tcW w:w="1301" w:type="dxa"/>
            <w:vAlign w:val="top"/>
            <w:tcBorders>
              <w:bottom w:val="single" w:color="231F20" w:sz="4" w:space="0"/>
            </w:tcBorders>
          </w:tcPr>
          <w:p>
            <w:pPr>
              <w:ind w:left="112"/>
              <w:spacing w:before="77" w:line="191" w:lineRule="auto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231F20"/>
              </w:rPr>
              <w:t>P</w:t>
            </w:r>
          </w:p>
        </w:tc>
        <w:tc>
          <w:tcPr>
            <w:tcW w:w="184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44"/>
              <w:spacing w:before="47" w:line="168" w:lineRule="auto"/>
              <w:rPr/>
            </w:pPr>
            <w:r>
              <w:rPr>
                <w:color w:val="231F20"/>
                <w:spacing w:val="-7"/>
              </w:rPr>
              <w:t>0.020</w:t>
            </w:r>
          </w:p>
        </w:tc>
        <w:tc>
          <w:tcPr>
            <w:tcW w:w="174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0"/>
              <w:spacing w:before="47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  <w:tc>
          <w:tcPr>
            <w:tcW w:w="185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28"/>
              <w:spacing w:before="47" w:line="168" w:lineRule="auto"/>
              <w:rPr/>
            </w:pPr>
            <w:r>
              <w:rPr>
                <w:color w:val="231F20"/>
                <w:spacing w:val="-7"/>
              </w:rPr>
              <w:t>0.004</w:t>
            </w:r>
          </w:p>
        </w:tc>
        <w:tc>
          <w:tcPr>
            <w:tcW w:w="190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724"/>
              <w:spacing w:before="47" w:line="168" w:lineRule="auto"/>
              <w:rPr/>
            </w:pPr>
            <w:r>
              <w:rPr>
                <w:color w:val="231F20"/>
                <w:spacing w:val="-7"/>
              </w:rPr>
              <w:t>0.020</w:t>
            </w:r>
          </w:p>
        </w:tc>
        <w:tc>
          <w:tcPr>
            <w:tcW w:w="146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35"/>
              <w:spacing w:before="47" w:line="168" w:lineRule="auto"/>
              <w:rPr/>
            </w:pPr>
            <w:r>
              <w:rPr>
                <w:rFonts w:ascii="SimSun" w:hAnsi="SimSun" w:eastAsia="SimSun" w:cs="SimSun"/>
                <w:color w:val="231F20"/>
                <w:spacing w:val="-6"/>
              </w:rPr>
              <w:t>&lt;</w:t>
            </w:r>
            <w:r>
              <w:rPr>
                <w:rFonts w:ascii="SimSun" w:hAnsi="SimSun" w:eastAsia="SimSun" w:cs="SimSun"/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6"/>
              </w:rPr>
              <w:t>0.001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26" w:lineRule="exact"/>
        <w:rPr/>
      </w:pPr>
      <w:r/>
    </w:p>
    <w:p>
      <w:pPr>
        <w:spacing w:line="26" w:lineRule="exact"/>
        <w:sectPr>
          <w:type w:val="continuous"/>
          <w:pgSz w:w="11906" w:h="16158"/>
          <w:pgMar w:top="1031" w:right="796" w:bottom="0" w:left="424" w:header="730" w:footer="0" w:gutter="0"/>
          <w:cols w:equalWidth="0" w:num="1">
            <w:col w:w="10685" w:space="0"/>
          </w:cols>
        </w:sectPr>
        <w:rPr/>
      </w:pPr>
    </w:p>
    <w:p>
      <w:pPr>
        <w:ind w:left="494"/>
        <w:spacing w:before="46" w:line="210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讨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5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1"/>
        </w:rPr>
        <w:t>论</w:t>
      </w:r>
    </w:p>
    <w:p>
      <w:pPr>
        <w:ind w:left="491" w:right="291" w:firstLine="432"/>
        <w:spacing w:before="33" w:line="28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随着人们生活水平的提高，高脂、高嘌呤等不良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饮食习惯的影响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，泌尿系结石发病率急剧攀升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6"/>
          <w:position w:val="8"/>
        </w:rPr>
        <w:t>[6-7]</w:t>
      </w:r>
      <w:r>
        <w:rPr>
          <w:rFonts w:ascii="SimSun" w:hAnsi="SimSun" w:eastAsia="SimSun" w:cs="SimSun"/>
          <w:sz w:val="20"/>
          <w:szCs w:val="20"/>
          <w:color w:val="231F20"/>
          <w:spacing w:val="16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泌尿系结石是指发生在肾、输尿管、膀胱等泌尿系统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内的结石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，多发于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25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～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4"/>
        </w:rPr>
        <w:t>40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岁人群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4"/>
          <w:position w:val="8"/>
        </w:rPr>
        <w:t>[8]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。肾或输尿管结石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患者临床主要表现为肾绞痛、血尿，膀胱结石患者临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床主要表现为排尿疼痛、排尿中断等，均对患者的身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体健康、生活质量造成严重影响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1"/>
          <w:position w:val="8"/>
        </w:rPr>
        <w:t>[9-10]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8"/>
          <w:w w:val="102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。为了避免结石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的不断增大和恶性发展，临床需要及时明确泌尿系结</w:t>
      </w:r>
    </w:p>
    <w:p>
      <w:pPr>
        <w:spacing w:line="3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8" w:firstLine="1"/>
        <w:spacing w:before="56" w:line="28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石患者病情，包括结石类型、所处部位，进而制定针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对性治疗方案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，有效促进患者康复。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9"/>
        </w:rPr>
        <w:t>X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线、彩色多普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勒超声等影像学手段均为大型医院诊断泌尿系结石的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常用方式，但是对于基层医院，由于资源有限，多采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取尿常规检验进行疾病诊断。</w:t>
      </w:r>
    </w:p>
    <w:p>
      <w:pPr>
        <w:pStyle w:val="BodyText"/>
        <w:ind w:right="78" w:firstLine="419"/>
        <w:spacing w:before="1" w:line="27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本研究结果显示，尿干化学法诊断泌尿系结石的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灵敏度、特异度、准确度、阳性预测值、阴性预测值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均高于尿离心镜法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，差异有统计学意义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(</w:t>
      </w:r>
      <w:r>
        <w:rPr>
          <w:sz w:val="20"/>
          <w:szCs w:val="20"/>
          <w:i/>
          <w:iCs/>
          <w:color w:val="231F20"/>
          <w:spacing w:val="2"/>
        </w:rPr>
        <w:t>P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＜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>0.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>05)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。说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明尿离心镜法、尿干化学法在泌尿系结石诊断中的应</w:t>
      </w:r>
    </w:p>
    <w:p>
      <w:pPr>
        <w:spacing w:line="273" w:lineRule="auto"/>
        <w:sectPr>
          <w:type w:val="continuous"/>
          <w:pgSz w:w="11906" w:h="16158"/>
          <w:pgMar w:top="1031" w:right="796" w:bottom="0" w:left="424" w:header="730" w:footer="0" w:gutter="0"/>
          <w:cols w:equalWidth="0" w:num="2">
            <w:col w:w="5685" w:space="100"/>
            <w:col w:w="4901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ind w:left="487"/>
        <w:spacing w:before="118" w:line="218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color w:val="231F20"/>
          <w:spacing w:val="14"/>
          <w:position w:val="-1"/>
        </w:rPr>
        <w:t>76  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>中国社区医师2024年第40卷第29期</w:t>
      </w:r>
      <w:r>
        <w:rPr>
          <w:rFonts w:ascii="SimHei" w:hAnsi="SimHei" w:eastAsia="SimHei" w:cs="SimHei"/>
          <w:sz w:val="17"/>
          <w:szCs w:val="17"/>
          <w:color w:val="231F20"/>
          <w:spacing w:val="19"/>
        </w:rPr>
        <w:t xml:space="preserve"> </w:t>
      </w:r>
      <w:r>
        <w:rPr>
          <w:rFonts w:ascii="SimHei" w:hAnsi="SimHei" w:eastAsia="SimHei" w:cs="SimHei"/>
          <w:sz w:val="17"/>
          <w:szCs w:val="17"/>
          <w:u w:val="single" w:color="auto"/>
          <w:color w:val="231F20"/>
        </w:rPr>
        <w:t xml:space="preserve">                                                                                </w:t>
      </w:r>
    </w:p>
    <w:p>
      <w:pPr>
        <w:spacing w:line="218" w:lineRule="auto"/>
        <w:sectPr>
          <w:type w:val="continuous"/>
          <w:pgSz w:w="11906" w:h="16158"/>
          <w:pgMar w:top="1031" w:right="796" w:bottom="0" w:left="424" w:header="730" w:footer="0" w:gutter="0"/>
          <w:cols w:equalWidth="0" w:num="1">
            <w:col w:w="10685" w:space="0"/>
          </w:cols>
        </w:sectPr>
        <w:rPr>
          <w:rFonts w:ascii="SimHei" w:hAnsi="SimHei" w:eastAsia="SimHei" w:cs="SimHei"/>
          <w:sz w:val="17"/>
          <w:szCs w:val="17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3"/>
          <w:footerReference w:type="default" r:id="rId4"/>
          <w:pgSz w:w="11906" w:h="16158"/>
          <w:pgMar w:top="1031" w:right="866" w:bottom="977" w:left="424" w:header="730" w:footer="690" w:gutter="0"/>
          <w:cols w:equalWidth="0" w:num="1">
            <w:col w:w="10616" w:space="0"/>
          </w:cols>
        </w:sectPr>
        <w:rPr/>
      </w:pPr>
    </w:p>
    <w:p>
      <w:pPr>
        <w:pStyle w:val="BodyText"/>
        <w:ind w:left="490" w:right="293" w:firstLine="3"/>
        <w:spacing w:before="31" w:line="29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用价值较高，且尿干化学法诊断泌尿系结石的效能优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于尿离心镜法，能够为患者治疗方案的制定提供可靠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参考依据。尿常规检验中，主要将患者尿液作为检验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样本，通过对结石的化学成分进行检测和分析，进而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确定结石类型</w:t>
      </w:r>
      <w:r>
        <w:rPr>
          <w:sz w:val="10"/>
          <w:szCs w:val="10"/>
          <w:color w:val="231F20"/>
          <w:spacing w:val="15"/>
          <w:position w:val="8"/>
        </w:rPr>
        <w:t>[11]</w:t>
      </w:r>
      <w:r>
        <w:rPr>
          <w:sz w:val="10"/>
          <w:szCs w:val="10"/>
          <w:color w:val="231F20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。泌尿系结石成分中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>，以一水草酸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钙、二水草酸钙占比最高，通过检验草酸钙结晶，能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够有效判断患者是否患有泌尿系结石</w:t>
      </w:r>
      <w:r>
        <w:rPr>
          <w:sz w:val="10"/>
          <w:szCs w:val="10"/>
          <w:color w:val="231F20"/>
          <w:spacing w:val="10"/>
          <w:position w:val="8"/>
        </w:rPr>
        <w:t>[12-13</w:t>
      </w:r>
      <w:r>
        <w:rPr>
          <w:sz w:val="10"/>
          <w:szCs w:val="10"/>
          <w:color w:val="231F20"/>
          <w:spacing w:val="9"/>
          <w:position w:val="8"/>
        </w:rPr>
        <w:t>]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。而结石的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存在，会导致泌尿系统局部黏膜血管破损，使得红细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胞从血液中进入尿液，泌尿系统局部会出现炎症或发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生化脓性病变，通过对尿红细胞、白细胞计数进行检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测，能够判断病情。尿离心镜法、尿干化学法是常见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的尿常规检验方式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>，均能检测草酸钙结晶、尿红细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胞、白细胞计数，尿离心镜法主要借助高倍显微镜观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察泌尿系统结石及红细胞、白细胞形态与数量，检测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耗时长、操作精细复杂；尿干化学法是利用显色反应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进行检测</w:t>
      </w:r>
      <w:r>
        <w:rPr>
          <w:sz w:val="10"/>
          <w:szCs w:val="10"/>
          <w:color w:val="231F20"/>
          <w:spacing w:val="8"/>
          <w:position w:val="8"/>
        </w:rPr>
        <w:t>[14]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。尿干化学法诊断泌尿系结石的效果优于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尿离心镜法，原因可能为尿离心镜只能对完整的红细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胞进行检测，而尿干化学法既能对完整红细胞进行检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测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1"/>
        </w:rPr>
        <w:t>，又能检测出破损红细胞。临床需结合患者症状、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体征与尿常规检查结果进行鉴别诊断。当患者尿常规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检出草酸钙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，红细胞</w:t>
      </w:r>
      <w:r>
        <w:rPr>
          <w:rFonts w:ascii="SimSun" w:hAnsi="SimSun" w:eastAsia="SimSun" w:cs="SimSun"/>
          <w:sz w:val="20"/>
          <w:szCs w:val="20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、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白细胞阳性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>，伴肾区疼痛，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则诊断为肾结石；伴上腹部或腰部阵发性剧烈疼痛或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放射性疼痛，则诊断为输尿管结石；伴排尿困难、尿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量减少，存在尿道放射痛，则诊断为尿道结石</w:t>
      </w:r>
      <w:r>
        <w:rPr>
          <w:sz w:val="10"/>
          <w:szCs w:val="10"/>
          <w:color w:val="231F20"/>
          <w:spacing w:val="6"/>
          <w:position w:val="8"/>
        </w:rPr>
        <w:t>[15-16]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。</w:t>
      </w:r>
    </w:p>
    <w:p>
      <w:pPr>
        <w:ind w:left="493" w:right="374" w:firstLine="417"/>
        <w:spacing w:before="2" w:line="29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综上所述，尿离心镜法、尿干化学法在泌尿系结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石诊断中的应用价值较高，可以有效检出泌尿系结石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患者草酸钙结晶情况，且尿干化学法诊断泌尿系结石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的效能优于尿离心镜法。</w:t>
      </w:r>
    </w:p>
    <w:p>
      <w:pPr>
        <w:ind w:left="496"/>
        <w:spacing w:before="308" w:line="207" w:lineRule="auto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6"/>
        </w:rPr>
        <w:t>参考文献</w:t>
      </w:r>
    </w:p>
    <w:p>
      <w:pPr>
        <w:pStyle w:val="BodyText"/>
        <w:ind w:left="496"/>
        <w:spacing w:before="37" w:line="205" w:lineRule="auto"/>
        <w:rPr/>
      </w:pPr>
      <w:r>
        <w:rPr>
          <w:color w:val="231F20"/>
          <w:spacing w:val="7"/>
        </w:rPr>
        <w:t>[1]   </w:t>
      </w:r>
      <w:r>
        <w:rPr>
          <w:rFonts w:ascii="SimSun" w:hAnsi="SimSun" w:eastAsia="SimSun" w:cs="SimSun"/>
          <w:color w:val="231F20"/>
          <w:spacing w:val="7"/>
        </w:rPr>
        <w:t>杨色娟</w:t>
      </w:r>
      <w:r>
        <w:rPr>
          <w:rFonts w:ascii="SimSun" w:hAnsi="SimSun" w:eastAsia="SimSun" w:cs="SimSun"/>
          <w:color w:val="231F20"/>
          <w:spacing w:val="-34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尿常规检查对诊断泌尿系结石的临床价值研究</w:t>
      </w:r>
      <w:r>
        <w:rPr>
          <w:color w:val="231F20"/>
          <w:spacing w:val="7"/>
        </w:rPr>
        <w:t>[J].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72"/>
        <w:spacing w:before="38" w:line="220" w:lineRule="auto"/>
        <w:rPr/>
      </w:pPr>
      <w:r>
        <w:rPr>
          <w:rFonts w:ascii="SimSun" w:hAnsi="SimSun" w:eastAsia="SimSun" w:cs="SimSun"/>
          <w:color w:val="231F20"/>
          <w:spacing w:val="1"/>
        </w:rPr>
        <w:t>基层医学论坛</w:t>
      </w:r>
      <w:r>
        <w:rPr>
          <w:color w:val="231F20"/>
          <w:spacing w:val="1"/>
        </w:rPr>
        <w:t>,2023,27(14):98-100.</w:t>
      </w:r>
    </w:p>
    <w:p>
      <w:pPr>
        <w:pStyle w:val="BodyText"/>
        <w:ind w:left="374" w:right="8" w:hanging="374"/>
        <w:spacing w:before="89" w:line="269" w:lineRule="auto"/>
        <w:rPr/>
      </w:pPr>
      <w:r>
        <w:rPr>
          <w:color w:val="231F20"/>
          <w:spacing w:val="8"/>
        </w:rPr>
        <w:t>[2]</w:t>
      </w:r>
      <w:r>
        <w:rPr>
          <w:color w:val="231F20"/>
          <w:spacing w:val="4"/>
        </w:rPr>
        <w:t xml:space="preserve">    </w:t>
      </w:r>
      <w:r>
        <w:rPr>
          <w:rFonts w:ascii="SimSun" w:hAnsi="SimSun" w:eastAsia="SimSun" w:cs="SimSun"/>
          <w:color w:val="231F20"/>
          <w:spacing w:val="8"/>
        </w:rPr>
        <w:t>王欢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彩色多普勒超声在泌尿系结石诊断及定位中的应用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价值</w:t>
      </w:r>
      <w:r>
        <w:rPr>
          <w:rFonts w:ascii="SimSun" w:hAnsi="SimSun" w:eastAsia="SimSun" w:cs="SimSun"/>
          <w:color w:val="231F20"/>
          <w:spacing w:val="-28"/>
        </w:rPr>
        <w:t xml:space="preserve"> </w:t>
      </w:r>
      <w:r>
        <w:rPr>
          <w:color w:val="231F20"/>
          <w:spacing w:val="1"/>
        </w:rPr>
        <w:t>[J]. </w:t>
      </w:r>
      <w:r>
        <w:rPr>
          <w:rFonts w:ascii="SimSun" w:hAnsi="SimSun" w:eastAsia="SimSun" w:cs="SimSun"/>
          <w:color w:val="231F20"/>
          <w:spacing w:val="1"/>
        </w:rPr>
        <w:t>现代医用影像学</w:t>
      </w:r>
      <w:r>
        <w:rPr>
          <w:color w:val="231F20"/>
          <w:spacing w:val="1"/>
        </w:rPr>
        <w:t>,2023</w:t>
      </w:r>
      <w:r>
        <w:rPr>
          <w:color w:val="231F20"/>
        </w:rPr>
        <w:t>,32(12):2301-2304.</w:t>
      </w:r>
    </w:p>
    <w:p>
      <w:pPr>
        <w:pStyle w:val="BodyText"/>
        <w:ind w:left="390" w:right="8" w:hanging="390"/>
        <w:spacing w:before="80" w:line="274" w:lineRule="auto"/>
        <w:rPr/>
      </w:pPr>
      <w:r>
        <w:rPr>
          <w:color w:val="231F20"/>
          <w:spacing w:val="3"/>
        </w:rPr>
        <w:t>[3]   </w:t>
      </w:r>
      <w:r>
        <w:rPr>
          <w:rFonts w:ascii="SimSun" w:hAnsi="SimSun" w:eastAsia="SimSun" w:cs="SimSun"/>
          <w:color w:val="231F20"/>
          <w:spacing w:val="3"/>
        </w:rPr>
        <w:t>聂荣俊</w:t>
      </w:r>
      <w:r>
        <w:rPr>
          <w:color w:val="231F20"/>
          <w:spacing w:val="3"/>
        </w:rPr>
        <w:t>.</w:t>
      </w:r>
      <w:r>
        <w:rPr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多排螺旋</w:t>
      </w:r>
      <w:r>
        <w:rPr>
          <w:color w:val="231F20"/>
        </w:rPr>
        <w:t>CT</w:t>
      </w:r>
      <w:r>
        <w:rPr>
          <w:rFonts w:ascii="SimSun" w:hAnsi="SimSun" w:eastAsia="SimSun" w:cs="SimSun"/>
          <w:color w:val="231F20"/>
          <w:spacing w:val="3"/>
        </w:rPr>
        <w:t>三维重建技术在泌尿系结石及积水诊断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中的应用价值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-1"/>
        </w:rPr>
        <w:t>[J].</w:t>
      </w:r>
      <w:r>
        <w:rPr>
          <w:rFonts w:ascii="SimSun" w:hAnsi="SimSun" w:eastAsia="SimSun" w:cs="SimSun"/>
          <w:color w:val="231F20"/>
          <w:spacing w:val="-1"/>
        </w:rPr>
        <w:t>现代医用影像学</w:t>
      </w:r>
      <w:r>
        <w:rPr>
          <w:color w:val="231F20"/>
          <w:spacing w:val="-1"/>
        </w:rPr>
        <w:t>,2023,32(11):2100-210</w:t>
      </w:r>
      <w:r>
        <w:rPr>
          <w:color w:val="231F20"/>
          <w:spacing w:val="-2"/>
        </w:rPr>
        <w:t>2.</w:t>
      </w:r>
    </w:p>
    <w:p>
      <w:pPr>
        <w:pStyle w:val="BodyText"/>
        <w:ind w:left="372" w:right="8" w:hanging="372"/>
        <w:spacing w:before="89" w:line="269" w:lineRule="auto"/>
        <w:rPr/>
      </w:pPr>
      <w:r>
        <w:rPr>
          <w:color w:val="231F20"/>
          <w:spacing w:val="5"/>
        </w:rPr>
        <w:t>[4]   </w:t>
      </w:r>
      <w:r>
        <w:rPr>
          <w:rFonts w:ascii="SimSun" w:hAnsi="SimSun" w:eastAsia="SimSun" w:cs="SimSun"/>
          <w:color w:val="231F20"/>
          <w:spacing w:val="5"/>
        </w:rPr>
        <w:t>胡小剑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郑亮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张志刚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等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泌尿系结石患者结石及尿液成分与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结石复发相关性分析</w:t>
      </w:r>
      <w:r>
        <w:rPr>
          <w:color w:val="231F20"/>
          <w:spacing w:val="1"/>
        </w:rPr>
        <w:t>[J].</w:t>
      </w:r>
      <w:r>
        <w:rPr>
          <w:rFonts w:ascii="SimSun" w:hAnsi="SimSun" w:eastAsia="SimSun" w:cs="SimSun"/>
          <w:color w:val="231F20"/>
          <w:spacing w:val="1"/>
        </w:rPr>
        <w:t>河北医学</w:t>
      </w:r>
      <w:r>
        <w:rPr>
          <w:color w:val="231F20"/>
          <w:spacing w:val="1"/>
        </w:rPr>
        <w:t>,2023,29(7):1149-1154.</w:t>
      </w:r>
    </w:p>
    <w:p>
      <w:pPr>
        <w:pStyle w:val="BodyText"/>
        <w:ind w:left="372" w:right="5" w:hanging="372"/>
        <w:spacing w:before="91" w:line="291" w:lineRule="auto"/>
        <w:rPr/>
      </w:pPr>
      <w:r>
        <w:rPr>
          <w:color w:val="231F20"/>
          <w:spacing w:val="9"/>
        </w:rPr>
        <w:t>[5]   </w:t>
      </w:r>
      <w:r>
        <w:rPr>
          <w:rFonts w:ascii="SimSun" w:hAnsi="SimSun" w:eastAsia="SimSun" w:cs="SimSun"/>
          <w:color w:val="231F20"/>
          <w:spacing w:val="9"/>
        </w:rPr>
        <w:t>董晖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李年国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司学军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等</w:t>
      </w:r>
      <w:r>
        <w:rPr>
          <w:rFonts w:ascii="SimSun" w:hAnsi="SimSun" w:eastAsia="SimSun" w:cs="SimSun"/>
          <w:color w:val="231F20"/>
          <w:spacing w:val="-27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彩色多普勒闪烁伪像诊断泌尿系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结石的流程优化及学习曲线研究</w:t>
      </w:r>
      <w:r>
        <w:rPr>
          <w:color w:val="231F20"/>
          <w:spacing w:val="9"/>
        </w:rPr>
        <w:t>[J].</w:t>
      </w:r>
      <w:r>
        <w:rPr>
          <w:rFonts w:ascii="SimSun" w:hAnsi="SimSun" w:eastAsia="SimSun" w:cs="SimSun"/>
          <w:color w:val="231F20"/>
          <w:spacing w:val="9"/>
        </w:rPr>
        <w:t>影像研究与医学应用</w:t>
      </w:r>
      <w:r>
        <w:rPr>
          <w:color w:val="231F20"/>
          <w:spacing w:val="9"/>
        </w:rPr>
        <w:t>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2023,7(16):59-61.</w:t>
      </w:r>
    </w:p>
    <w:p>
      <w:pPr>
        <w:pStyle w:val="BodyText"/>
        <w:ind w:left="370" w:right="8" w:hanging="371"/>
        <w:spacing w:before="103" w:line="285" w:lineRule="auto"/>
        <w:rPr/>
      </w:pPr>
      <w:r>
        <w:rPr>
          <w:color w:val="231F20"/>
          <w:spacing w:val="10"/>
        </w:rPr>
        <w:t>[6]</w:t>
      </w:r>
      <w:r>
        <w:rPr>
          <w:color w:val="231F20"/>
          <w:spacing w:val="3"/>
        </w:rPr>
        <w:t xml:space="preserve">    </w:t>
      </w:r>
      <w:r>
        <w:rPr>
          <w:rFonts w:ascii="SimSun" w:hAnsi="SimSun" w:eastAsia="SimSun" w:cs="SimSun"/>
          <w:color w:val="231F20"/>
          <w:spacing w:val="10"/>
        </w:rPr>
        <w:t>王瑞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color w:val="231F20"/>
          <w:spacing w:val="10"/>
        </w:rPr>
        <w:t>郝井志</w:t>
      </w:r>
      <w:r>
        <w:rPr>
          <w:color w:val="231F20"/>
          <w:spacing w:val="10"/>
        </w:rPr>
        <w:t>,</w:t>
      </w:r>
      <w:r>
        <w:rPr>
          <w:rFonts w:ascii="SimSun" w:hAnsi="SimSun" w:eastAsia="SimSun" w:cs="SimSun"/>
          <w:color w:val="231F20"/>
          <w:spacing w:val="10"/>
        </w:rPr>
        <w:t>刘晓琳</w:t>
      </w:r>
      <w:r>
        <w:rPr>
          <w:rFonts w:ascii="SimSun" w:hAnsi="SimSun" w:eastAsia="SimSun" w:cs="SimSun"/>
          <w:color w:val="231F20"/>
          <w:spacing w:val="-36"/>
        </w:rPr>
        <w:t xml:space="preserve"> </w:t>
      </w:r>
      <w:r>
        <w:rPr>
          <w:color w:val="231F20"/>
          <w:spacing w:val="10"/>
        </w:rPr>
        <w:t>.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外周血单个核细胞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</w:rPr>
        <w:t>TLR</w:t>
      </w:r>
      <w:r>
        <w:rPr>
          <w:color w:val="231F20"/>
          <w:spacing w:val="10"/>
        </w:rPr>
        <w:t>2 </w:t>
      </w:r>
      <w:r>
        <w:rPr>
          <w:color w:val="231F20"/>
        </w:rPr>
        <w:t>mRNA</w:t>
      </w:r>
      <w:r>
        <w:rPr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TLR</w:t>
      </w:r>
      <w:r>
        <w:rPr>
          <w:color w:val="231F20"/>
          <w:spacing w:val="10"/>
        </w:rPr>
        <w:t>4 </w:t>
      </w:r>
      <w:r>
        <w:rPr>
          <w:color w:val="231F20"/>
        </w:rPr>
        <w:t>mRNA</w:t>
      </w:r>
      <w:r>
        <w:rPr>
          <w:color w:val="231F20"/>
          <w:spacing w:val="-6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对泌尿系结石患者术后并发尿源性脓毒血症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的诊断效能</w:t>
      </w:r>
      <w:r>
        <w:rPr>
          <w:color w:val="231F20"/>
          <w:spacing w:val="2"/>
        </w:rPr>
        <w:t>[J].</w:t>
      </w:r>
      <w:r>
        <w:rPr>
          <w:rFonts w:ascii="SimSun" w:hAnsi="SimSun" w:eastAsia="SimSun" w:cs="SimSun"/>
          <w:color w:val="231F20"/>
          <w:spacing w:val="2"/>
        </w:rPr>
        <w:t>海南医学</w:t>
      </w:r>
      <w:r>
        <w:rPr>
          <w:color w:val="231F20"/>
          <w:spacing w:val="2"/>
        </w:rPr>
        <w:t>,2022,33(2</w:t>
      </w:r>
      <w:r>
        <w:rPr>
          <w:color w:val="231F20"/>
          <w:spacing w:val="1"/>
        </w:rPr>
        <w:t>3):3071-3076.</w:t>
      </w:r>
    </w:p>
    <w:p>
      <w:pPr>
        <w:pStyle w:val="BodyText"/>
        <w:ind w:left="372" w:right="8" w:hanging="372"/>
        <w:spacing w:before="89" w:line="285" w:lineRule="auto"/>
        <w:rPr/>
      </w:pPr>
      <w:r>
        <w:rPr>
          <w:color w:val="231F20"/>
          <w:spacing w:val="5"/>
        </w:rPr>
        <w:t>[7]</w:t>
      </w:r>
      <w:r>
        <w:rPr>
          <w:color w:val="231F20"/>
          <w:spacing w:val="2"/>
        </w:rPr>
        <w:t xml:space="preserve">    </w:t>
      </w:r>
      <w:r>
        <w:rPr>
          <w:rFonts w:ascii="SimSun" w:hAnsi="SimSun" w:eastAsia="SimSun" w:cs="SimSun"/>
          <w:color w:val="231F20"/>
          <w:spacing w:val="5"/>
        </w:rPr>
        <w:t>于宝玉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张斌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张博洋</w:t>
      </w:r>
      <w:r>
        <w:rPr>
          <w:color w:val="231F20"/>
          <w:spacing w:val="5"/>
        </w:rPr>
        <w:t>,</w:t>
      </w:r>
      <w:r>
        <w:rPr>
          <w:rFonts w:ascii="SimSun" w:hAnsi="SimSun" w:eastAsia="SimSun" w:cs="SimSun"/>
          <w:color w:val="231F20"/>
          <w:spacing w:val="5"/>
        </w:rPr>
        <w:t>等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低剂量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联合图像域迭代重建算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法对泌尿系结石的诊断价值及结石成分分析</w:t>
      </w:r>
      <w:r>
        <w:rPr>
          <w:color w:val="231F20"/>
          <w:spacing w:val="11"/>
        </w:rPr>
        <w:t>[J].</w:t>
      </w:r>
      <w:r>
        <w:rPr>
          <w:rFonts w:ascii="SimSun" w:hAnsi="SimSun" w:eastAsia="SimSun" w:cs="SimSun"/>
          <w:color w:val="231F20"/>
          <w:spacing w:val="11"/>
        </w:rPr>
        <w:t>中国医学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</w:rPr>
        <w:t>前沿杂志</w:t>
      </w:r>
      <w:r>
        <w:rPr>
          <w:color w:val="231F20"/>
        </w:rPr>
        <w:t>(</w:t>
      </w:r>
      <w:r>
        <w:rPr>
          <w:rFonts w:ascii="SimSun" w:hAnsi="SimSun" w:eastAsia="SimSun" w:cs="SimSun"/>
          <w:color w:val="231F20"/>
        </w:rPr>
        <w:t>电子版</w:t>
      </w:r>
      <w:r>
        <w:rPr>
          <w:color w:val="231F20"/>
        </w:rPr>
        <w:t>),2022,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14(10):31-35.</w:t>
      </w:r>
    </w:p>
    <w:p>
      <w:pPr>
        <w:pStyle w:val="BodyText"/>
        <w:ind w:left="374" w:right="8" w:hanging="374"/>
        <w:spacing w:before="90" w:line="269" w:lineRule="auto"/>
        <w:rPr/>
      </w:pPr>
      <w:r>
        <w:rPr>
          <w:color w:val="231F20"/>
          <w:spacing w:val="8"/>
        </w:rPr>
        <w:t>[8]</w:t>
      </w:r>
      <w:r>
        <w:rPr>
          <w:color w:val="231F20"/>
          <w:spacing w:val="4"/>
        </w:rPr>
        <w:t xml:space="preserve">    </w:t>
      </w:r>
      <w:r>
        <w:rPr>
          <w:rFonts w:ascii="SimSun" w:hAnsi="SimSun" w:eastAsia="SimSun" w:cs="SimSun"/>
          <w:color w:val="231F20"/>
          <w:spacing w:val="8"/>
        </w:rPr>
        <w:t>韦娟芳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彩色多普勒超声快闪伪像在泌尿系结石中的诊断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价值</w:t>
      </w:r>
      <w:r>
        <w:rPr>
          <w:color w:val="231F20"/>
          <w:spacing w:val="3"/>
        </w:rPr>
        <w:t>[J].</w:t>
      </w:r>
      <w:r>
        <w:rPr>
          <w:rFonts w:ascii="SimSun" w:hAnsi="SimSun" w:eastAsia="SimSun" w:cs="SimSun"/>
          <w:color w:val="231F20"/>
          <w:spacing w:val="3"/>
        </w:rPr>
        <w:t>影像研究与医学应用</w:t>
      </w:r>
      <w:r>
        <w:rPr>
          <w:color w:val="231F20"/>
          <w:spacing w:val="3"/>
        </w:rPr>
        <w:t>,2022,6(9):</w:t>
      </w:r>
      <w:r>
        <w:rPr>
          <w:color w:val="231F20"/>
          <w:spacing w:val="2"/>
        </w:rPr>
        <w:t>100-102.</w:t>
      </w:r>
    </w:p>
    <w:p>
      <w:pPr>
        <w:pStyle w:val="BodyText"/>
        <w:ind w:left="372" w:right="8" w:hanging="372"/>
        <w:spacing w:before="89" w:line="269" w:lineRule="auto"/>
        <w:rPr/>
      </w:pPr>
      <w:r>
        <w:rPr>
          <w:color w:val="231F20"/>
          <w:spacing w:val="8"/>
        </w:rPr>
        <w:t>[9]   </w:t>
      </w:r>
      <w:r>
        <w:rPr>
          <w:rFonts w:ascii="SimSun" w:hAnsi="SimSun" w:eastAsia="SimSun" w:cs="SimSun"/>
          <w:color w:val="231F20"/>
          <w:spacing w:val="8"/>
        </w:rPr>
        <w:t>胡秀红</w:t>
      </w:r>
      <w:r>
        <w:rPr>
          <w:color w:val="231F20"/>
          <w:spacing w:val="8"/>
        </w:rPr>
        <w:t>,</w:t>
      </w:r>
      <w:r>
        <w:rPr>
          <w:rFonts w:ascii="SimSun" w:hAnsi="SimSun" w:eastAsia="SimSun" w:cs="SimSun"/>
          <w:color w:val="231F20"/>
          <w:spacing w:val="8"/>
        </w:rPr>
        <w:t>陈凡杰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彩色多普勒超声</w:t>
      </w:r>
      <w:r>
        <w:rPr>
          <w:rFonts w:ascii="SimSun" w:hAnsi="SimSun" w:eastAsia="SimSun" w:cs="SimSun"/>
          <w:color w:val="231F20"/>
          <w:spacing w:val="7"/>
        </w:rPr>
        <w:t>快闪伪像用于诊断泌尿系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结石的临床价值</w:t>
      </w:r>
      <w:r>
        <w:rPr>
          <w:color w:val="231F20"/>
          <w:spacing w:val="3"/>
        </w:rPr>
        <w:t>[J].</w:t>
      </w:r>
      <w:r>
        <w:rPr>
          <w:rFonts w:ascii="SimSun" w:hAnsi="SimSun" w:eastAsia="SimSun" w:cs="SimSun"/>
          <w:color w:val="231F20"/>
          <w:spacing w:val="3"/>
        </w:rPr>
        <w:t>黑龙江医学</w:t>
      </w:r>
      <w:r>
        <w:rPr>
          <w:color w:val="231F20"/>
          <w:spacing w:val="3"/>
        </w:rPr>
        <w:t>,2022,46(1):58-60.</w:t>
      </w:r>
    </w:p>
    <w:p>
      <w:pPr>
        <w:pStyle w:val="BodyText"/>
        <w:ind w:left="377" w:right="8" w:hanging="378"/>
        <w:spacing w:before="89" w:line="269" w:lineRule="auto"/>
        <w:rPr/>
      </w:pPr>
      <w:r>
        <w:rPr>
          <w:color w:val="231F20"/>
          <w:spacing w:val="8"/>
        </w:rPr>
        <w:t>[10]</w:t>
      </w:r>
      <w:r>
        <w:rPr>
          <w:color w:val="231F20"/>
          <w:spacing w:val="9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周凯</w:t>
      </w:r>
      <w:r>
        <w:rPr>
          <w:color w:val="231F20"/>
          <w:spacing w:val="8"/>
        </w:rPr>
        <w:t>,</w:t>
      </w:r>
      <w:r>
        <w:rPr>
          <w:rFonts w:ascii="SimSun" w:hAnsi="SimSun" w:eastAsia="SimSun" w:cs="SimSun"/>
          <w:color w:val="231F20"/>
          <w:spacing w:val="8"/>
        </w:rPr>
        <w:t>许恩赐</w:t>
      </w:r>
      <w:r>
        <w:rPr>
          <w:color w:val="231F20"/>
          <w:spacing w:val="8"/>
        </w:rPr>
        <w:t>,</w:t>
      </w:r>
      <w:r>
        <w:rPr>
          <w:rFonts w:ascii="SimSun" w:hAnsi="SimSun" w:eastAsia="SimSun" w:cs="SimSun"/>
          <w:color w:val="231F20"/>
          <w:spacing w:val="8"/>
        </w:rPr>
        <w:t>李梦强</w:t>
      </w:r>
      <w:r>
        <w:rPr>
          <w:color w:val="231F20"/>
          <w:spacing w:val="8"/>
        </w:rPr>
        <w:t>,</w:t>
      </w:r>
      <w:r>
        <w:rPr>
          <w:rFonts w:ascii="SimSun" w:hAnsi="SimSun" w:eastAsia="SimSun" w:cs="SimSun"/>
          <w:color w:val="231F20"/>
          <w:spacing w:val="8"/>
        </w:rPr>
        <w:t>等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尿路结石患者尿白细胞酯酶对尿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细菌培养的预测价值</w:t>
      </w:r>
      <w:r>
        <w:rPr>
          <w:color w:val="231F20"/>
          <w:spacing w:val="4"/>
        </w:rPr>
        <w:t>[J].</w:t>
      </w:r>
      <w:r>
        <w:rPr>
          <w:rFonts w:ascii="SimSun" w:hAnsi="SimSun" w:eastAsia="SimSun" w:cs="SimSun"/>
          <w:color w:val="231F20"/>
          <w:spacing w:val="4"/>
        </w:rPr>
        <w:t>中国实用医药</w:t>
      </w:r>
      <w:r>
        <w:rPr>
          <w:color w:val="231F20"/>
          <w:spacing w:val="4"/>
        </w:rPr>
        <w:t>,2014,9(25):3-5.</w:t>
      </w:r>
    </w:p>
    <w:p>
      <w:pPr>
        <w:pStyle w:val="BodyText"/>
        <w:ind w:left="374" w:right="8" w:hanging="374"/>
        <w:spacing w:before="90" w:line="269" w:lineRule="auto"/>
        <w:rPr/>
      </w:pPr>
      <w:r>
        <w:rPr>
          <w:color w:val="231F20"/>
          <w:spacing w:val="6"/>
        </w:rPr>
        <w:t>[11]</w:t>
      </w:r>
      <w:r>
        <w:rPr>
          <w:color w:val="231F20"/>
          <w:spacing w:val="64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关莹莹</w:t>
      </w:r>
      <w:r>
        <w:rPr>
          <w:color w:val="231F20"/>
          <w:spacing w:val="6"/>
        </w:rPr>
        <w:t>,</w:t>
      </w:r>
      <w:r>
        <w:rPr>
          <w:rFonts w:ascii="SimSun" w:hAnsi="SimSun" w:eastAsia="SimSun" w:cs="SimSun"/>
          <w:color w:val="231F20"/>
          <w:spacing w:val="6"/>
        </w:rPr>
        <w:t>李云慧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尿常规检查对泌尿系结石患者的临床诊断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价值</w:t>
      </w:r>
      <w:r>
        <w:rPr>
          <w:color w:val="231F20"/>
        </w:rPr>
        <w:t>[J]. </w:t>
      </w:r>
      <w:r>
        <w:rPr>
          <w:rFonts w:ascii="SimSun" w:hAnsi="SimSun" w:eastAsia="SimSun" w:cs="SimSun"/>
          <w:color w:val="231F20"/>
        </w:rPr>
        <w:t>中国实用医药</w:t>
      </w:r>
      <w:r>
        <w:rPr>
          <w:color w:val="231F20"/>
        </w:rPr>
        <w:t>,2021,</w:t>
      </w:r>
      <w:r>
        <w:rPr>
          <w:color w:val="231F20"/>
          <w:spacing w:val="-26"/>
        </w:rPr>
        <w:t xml:space="preserve"> </w:t>
      </w:r>
      <w:r>
        <w:rPr>
          <w:color w:val="231F20"/>
        </w:rPr>
        <w:t>16(7):27-29.</w:t>
      </w:r>
    </w:p>
    <w:p>
      <w:pPr>
        <w:pStyle w:val="BodyText"/>
        <w:ind w:left="374" w:right="8" w:hanging="374"/>
        <w:spacing w:before="89" w:line="269" w:lineRule="auto"/>
        <w:rPr/>
      </w:pPr>
      <w:r>
        <w:rPr>
          <w:color w:val="231F20"/>
          <w:spacing w:val="8"/>
        </w:rPr>
        <w:t>[12]</w:t>
      </w:r>
      <w:r>
        <w:rPr>
          <w:color w:val="231F20"/>
          <w:spacing w:val="4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赵贺红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急性肾绞痛尿常规检查在泌尿系统疾病诊断中的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价值分析</w:t>
      </w:r>
      <w:r>
        <w:rPr>
          <w:color w:val="231F20"/>
          <w:spacing w:val="2"/>
        </w:rPr>
        <w:t>[J].</w:t>
      </w:r>
      <w:r>
        <w:rPr>
          <w:rFonts w:ascii="SimSun" w:hAnsi="SimSun" w:eastAsia="SimSun" w:cs="SimSun"/>
          <w:color w:val="231F20"/>
          <w:spacing w:val="2"/>
        </w:rPr>
        <w:t>实用医技杂志</w:t>
      </w:r>
      <w:r>
        <w:rPr>
          <w:color w:val="231F20"/>
          <w:spacing w:val="2"/>
        </w:rPr>
        <w:t>,2019,26(12):15</w:t>
      </w:r>
      <w:r>
        <w:rPr>
          <w:color w:val="231F20"/>
          <w:spacing w:val="1"/>
        </w:rPr>
        <w:t>48-1549.</w:t>
      </w:r>
    </w:p>
    <w:p>
      <w:pPr>
        <w:pStyle w:val="BodyText"/>
        <w:ind w:left="382" w:right="8" w:hanging="383"/>
        <w:spacing w:before="89" w:line="269" w:lineRule="auto"/>
        <w:rPr/>
      </w:pPr>
      <w:r>
        <w:rPr>
          <w:color w:val="231F20"/>
          <w:spacing w:val="11"/>
        </w:rPr>
        <w:t>[13]</w:t>
      </w:r>
      <w:r>
        <w:rPr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11"/>
        </w:rPr>
        <w:t>李天荣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11"/>
        </w:rPr>
        <w:t>.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尿常规检查在泌尿系结石患者中的应用</w:t>
      </w:r>
      <w:r>
        <w:rPr>
          <w:color w:val="231F20"/>
          <w:spacing w:val="11"/>
        </w:rPr>
        <w:t>[J</w:t>
      </w:r>
      <w:r>
        <w:rPr>
          <w:color w:val="231F20"/>
          <w:spacing w:val="10"/>
        </w:rPr>
        <w:t>].</w:t>
      </w:r>
      <w:r>
        <w:rPr>
          <w:rFonts w:ascii="SimSun" w:hAnsi="SimSun" w:eastAsia="SimSun" w:cs="SimSun"/>
          <w:color w:val="231F20"/>
          <w:spacing w:val="10"/>
        </w:rPr>
        <w:t>检验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医学与临床</w:t>
      </w:r>
      <w:r>
        <w:rPr>
          <w:color w:val="231F20"/>
        </w:rPr>
        <w:t>,2008,(19):1212-1213.</w:t>
      </w:r>
    </w:p>
    <w:p>
      <w:pPr>
        <w:pStyle w:val="BodyText"/>
        <w:ind w:left="382" w:right="8" w:hanging="383"/>
        <w:spacing w:before="90" w:line="269" w:lineRule="auto"/>
        <w:rPr/>
      </w:pPr>
      <w:r>
        <w:rPr>
          <w:color w:val="231F20"/>
          <w:spacing w:val="9"/>
        </w:rPr>
        <w:t>[14]  </w:t>
      </w:r>
      <w:r>
        <w:rPr>
          <w:rFonts w:ascii="SimSun" w:hAnsi="SimSun" w:eastAsia="SimSun" w:cs="SimSun"/>
          <w:color w:val="231F20"/>
          <w:spacing w:val="9"/>
        </w:rPr>
        <w:t>赵洁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急诊肾输尿管结石并绞痛的临床</w:t>
      </w:r>
      <w:r>
        <w:rPr>
          <w:rFonts w:ascii="SimSun" w:hAnsi="SimSun" w:eastAsia="SimSun" w:cs="SimSun"/>
          <w:color w:val="231F20"/>
          <w:spacing w:val="8"/>
        </w:rPr>
        <w:t>诊疗探析</w:t>
      </w:r>
      <w:r>
        <w:rPr>
          <w:color w:val="231F20"/>
          <w:spacing w:val="8"/>
        </w:rPr>
        <w:t>[J]. </w:t>
      </w:r>
      <w:r>
        <w:rPr>
          <w:rFonts w:ascii="SimSun" w:hAnsi="SimSun" w:eastAsia="SimSun" w:cs="SimSun"/>
          <w:color w:val="231F20"/>
          <w:spacing w:val="8"/>
        </w:rPr>
        <w:t>中外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医学研究</w:t>
      </w:r>
      <w:r>
        <w:rPr>
          <w:color w:val="231F20"/>
          <w:spacing w:val="-1"/>
        </w:rPr>
        <w:t>,2015,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13(7):122-123.</w:t>
      </w:r>
    </w:p>
    <w:p>
      <w:pPr>
        <w:pStyle w:val="BodyText"/>
        <w:spacing w:before="89" w:line="222" w:lineRule="auto"/>
        <w:jc w:val="right"/>
        <w:rPr/>
      </w:pPr>
      <w:r>
        <w:rPr>
          <w:color w:val="231F20"/>
          <w:spacing w:val="6"/>
        </w:rPr>
        <w:t>[15]</w:t>
      </w:r>
      <w:r>
        <w:rPr>
          <w:color w:val="231F20"/>
          <w:spacing w:val="47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潘义兵</w:t>
      </w:r>
      <w:r>
        <w:rPr>
          <w:rFonts w:ascii="SimSun" w:hAnsi="SimSun" w:eastAsia="SimSun" w:cs="SimSun"/>
          <w:color w:val="231F20"/>
          <w:spacing w:val="-47"/>
        </w:rPr>
        <w:t xml:space="preserve"> </w:t>
      </w:r>
      <w:r>
        <w:rPr>
          <w:color w:val="231F20"/>
          <w:spacing w:val="6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泌尿系统感染性结石的病因、诊断及护理分析</w:t>
      </w:r>
      <w:r>
        <w:rPr>
          <w:color w:val="231F20"/>
          <w:spacing w:val="5"/>
        </w:rPr>
        <w:t>[J].</w:t>
      </w:r>
    </w:p>
    <w:p>
      <w:pPr>
        <w:pStyle w:val="BodyText"/>
        <w:ind w:left="372"/>
        <w:spacing w:before="88" w:line="220" w:lineRule="auto"/>
        <w:rPr/>
      </w:pPr>
      <w:r>
        <w:rPr>
          <w:rFonts w:ascii="SimSun" w:hAnsi="SimSun" w:eastAsia="SimSun" w:cs="SimSun"/>
          <w:color w:val="231F20"/>
          <w:spacing w:val="1"/>
        </w:rPr>
        <w:t>鄂州大学学报</w:t>
      </w:r>
      <w:r>
        <w:rPr>
          <w:color w:val="231F20"/>
          <w:spacing w:val="1"/>
        </w:rPr>
        <w:t>,2013,20(1):71-73.</w:t>
      </w:r>
    </w:p>
    <w:p>
      <w:pPr>
        <w:pStyle w:val="BodyText"/>
        <w:ind w:left="374" w:right="8" w:hanging="374"/>
        <w:spacing w:before="90" w:line="274" w:lineRule="auto"/>
        <w:rPr/>
      </w:pPr>
      <w:r>
        <w:rPr>
          <w:color w:val="231F20"/>
          <w:spacing w:val="8"/>
        </w:rPr>
        <w:t>[16]</w:t>
      </w:r>
      <w:r>
        <w:rPr>
          <w:color w:val="231F20"/>
          <w:spacing w:val="4"/>
        </w:rPr>
        <w:t xml:space="preserve">  </w:t>
      </w:r>
      <w:r>
        <w:rPr>
          <w:rFonts w:ascii="SimSun" w:hAnsi="SimSun" w:eastAsia="SimSun" w:cs="SimSun"/>
          <w:color w:val="231F20"/>
          <w:spacing w:val="8"/>
        </w:rPr>
        <w:t>卓观宏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尿液隐血分析与沉渣镜检查在泌尿系结石诊断评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价</w:t>
      </w:r>
      <w:r>
        <w:rPr>
          <w:color w:val="231F20"/>
          <w:spacing w:val="2"/>
        </w:rPr>
        <w:t>[J].</w:t>
      </w:r>
      <w:r>
        <w:rPr>
          <w:rFonts w:ascii="SimSun" w:hAnsi="SimSun" w:eastAsia="SimSun" w:cs="SimSun"/>
          <w:color w:val="231F20"/>
          <w:spacing w:val="2"/>
        </w:rPr>
        <w:t>井冈山医专学报</w:t>
      </w:r>
      <w:r>
        <w:rPr>
          <w:color w:val="231F20"/>
          <w:spacing w:val="2"/>
        </w:rPr>
        <w:t>,2007(3):33.</w:t>
      </w:r>
    </w:p>
    <w:sectPr>
      <w:type w:val="continuous"/>
      <w:pgSz w:w="11906" w:h="16158"/>
      <w:pgMar w:top="1031" w:right="866" w:bottom="977" w:left="424" w:header="730" w:footer="690" w:gutter="0"/>
      <w:cols w:equalWidth="0" w:num="2">
        <w:col w:w="5690" w:space="100"/>
        <w:col w:w="482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"/>
      <w:spacing w:line="255" w:lineRule="auto"/>
      <w:tabs>
        <w:tab w:val="left" w:pos="7234"/>
      </w:tabs>
      <w:rPr>
        <w:rFonts w:ascii="SimSun" w:hAnsi="SimSun" w:eastAsia="SimSun" w:cs="SimSun"/>
        <w:sz w:val="20"/>
        <w:szCs w:val="20"/>
      </w:rPr>
    </w:pPr>
    <w:r>
      <w:rPr>
        <w:rFonts w:ascii="SimHei" w:hAnsi="SimHei" w:eastAsia="SimHei" w:cs="SimHei"/>
        <w:sz w:val="17"/>
        <w:szCs w:val="17"/>
        <w:u w:val="single" w:color="auto"/>
        <w:color w:val="231F20"/>
      </w:rPr>
      <w:tab/>
    </w:r>
    <w:r>
      <w:rPr>
        <w:rFonts w:ascii="SimHei" w:hAnsi="SimHei" w:eastAsia="SimHei" w:cs="SimHei"/>
        <w:sz w:val="17"/>
        <w:szCs w:val="17"/>
        <w:color w:val="231F20"/>
        <w:spacing w:val="45"/>
      </w:rPr>
      <w:t xml:space="preserve"> </w:t>
    </w:r>
    <w:r>
      <w:rPr>
        <w:rFonts w:ascii="SimHei" w:hAnsi="SimHei" w:eastAsia="SimHei" w:cs="SimHei"/>
        <w:sz w:val="17"/>
        <w:szCs w:val="17"/>
        <w:color w:val="231F20"/>
        <w:spacing w:val="13"/>
      </w:rPr>
      <w:t>中国社区医师2024年第40卷第29期</w:t>
    </w:r>
    <w:r>
      <w:rPr>
        <w:rFonts w:ascii="SimHei" w:hAnsi="SimHei" w:eastAsia="SimHei" w:cs="SimHei"/>
        <w:sz w:val="17"/>
        <w:szCs w:val="17"/>
        <w:color w:val="231F20"/>
        <w:spacing w:val="27"/>
        <w:w w:val="101"/>
      </w:rPr>
      <w:t xml:space="preserve">  </w:t>
    </w:r>
    <w:r>
      <w:rPr>
        <w:rFonts w:ascii="SimSun" w:hAnsi="SimSun" w:eastAsia="SimSun" w:cs="SimSun"/>
        <w:sz w:val="20"/>
        <w:szCs w:val="20"/>
        <w:color w:val="231F20"/>
        <w:spacing w:val="13"/>
        <w:position w:val="-1"/>
      </w:rPr>
      <w:t>77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"/>
      <w:spacing w:before="39" w:line="227" w:lineRule="auto"/>
      <w:rPr>
        <w:rFonts w:ascii="DengXian" w:hAnsi="DengXian" w:eastAsia="DengXian" w:cs="DengXian"/>
        <w:sz w:val="19"/>
        <w:szCs w:val="19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CHINESE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COMMUNITY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DOCTORS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                                                                                                                                                </w:t>
    </w:r>
    <w:r>
      <w:rPr>
        <w:rFonts w:ascii="DengXian" w:hAnsi="DengXian" w:eastAsia="DengXian" w:cs="DengXian"/>
        <w:sz w:val="15"/>
        <w:szCs w:val="15"/>
        <w:color w:val="231F20"/>
        <w:spacing w:val="1"/>
        <w:position w:val="1"/>
      </w:rPr>
      <w:t xml:space="preserve">  </w:t>
    </w:r>
    <w:r>
      <w:rPr>
        <w:rFonts w:ascii="DengXian" w:hAnsi="DengXian" w:eastAsia="DengXian" w:cs="DengXian"/>
        <w:sz w:val="15"/>
        <w:szCs w:val="15"/>
        <w:color w:val="231F20"/>
        <w:position w:val="1"/>
      </w:rPr>
      <w:t xml:space="preserve"> </w:t>
    </w:r>
    <w:r>
      <w:rPr>
        <w:rFonts w:ascii="DengXian" w:hAnsi="DengXian" w:eastAsia="DengXian" w:cs="DengXian"/>
        <w:sz w:val="19"/>
        <w:szCs w:val="19"/>
        <w:color w:val="231F20"/>
        <w:position w:val="-1"/>
      </w:rPr>
      <w:t>论著</w:t>
    </w:r>
    <w:r>
      <w:rPr>
        <w:rFonts w:ascii="SimHei" w:hAnsi="SimHei" w:eastAsia="SimHei" w:cs="SimHei"/>
        <w:sz w:val="19"/>
        <w:szCs w:val="19"/>
        <w:color w:val="231F20"/>
        <w:position w:val="-1"/>
      </w:rPr>
      <w:t>·</w:t>
    </w:r>
    <w:r>
      <w:rPr>
        <w:rFonts w:ascii="DengXian" w:hAnsi="DengXian" w:eastAsia="DengXian" w:cs="DengXian"/>
        <w:sz w:val="19"/>
        <w:szCs w:val="19"/>
        <w:color w:val="231F20"/>
        <w:position w:val="-1"/>
      </w:rPr>
      <w:t>临床辅助检查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"/>
      <w:spacing w:before="39" w:line="227" w:lineRule="auto"/>
      <w:rPr>
        <w:rFonts w:ascii="DengXian" w:hAnsi="DengXian" w:eastAsia="DengXian" w:cs="DengXian"/>
        <w:sz w:val="15"/>
        <w:szCs w:val="15"/>
      </w:rPr>
    </w:pPr>
    <w:r>
      <w:pict>
        <v:shape id="WordPictureWatermark4" style="position:absolute;margin-left:21.2pt;margin-top:777.674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rFonts w:ascii="DengXian" w:hAnsi="DengXian" w:eastAsia="DengXian" w:cs="DengXian"/>
        <w:sz w:val="19"/>
        <w:szCs w:val="19"/>
        <w:color w:val="231F20"/>
        <w:spacing w:val="1"/>
        <w:position w:val="-1"/>
      </w:rPr>
      <w:t>论著</w:t>
    </w:r>
    <w:r>
      <w:rPr>
        <w:rFonts w:ascii="SimHei" w:hAnsi="SimHei" w:eastAsia="SimHei" w:cs="SimHei"/>
        <w:sz w:val="19"/>
        <w:szCs w:val="19"/>
        <w:color w:val="231F20"/>
        <w:spacing w:val="1"/>
        <w:position w:val="-1"/>
      </w:rPr>
      <w:t>·</w:t>
    </w:r>
    <w:r>
      <w:rPr>
        <w:rFonts w:ascii="DengXian" w:hAnsi="DengXian" w:eastAsia="DengXian" w:cs="DengXian"/>
        <w:sz w:val="19"/>
        <w:szCs w:val="19"/>
        <w:color w:val="231F20"/>
        <w:spacing w:val="1"/>
        <w:position w:val="-1"/>
      </w:rPr>
      <w:t>临床辅助检查</w:t>
    </w:r>
    <w:r>
      <w:rPr>
        <w:rFonts w:ascii="DengXian" w:hAnsi="DengXian" w:eastAsia="DengXian" w:cs="DengXian"/>
        <w:sz w:val="19"/>
        <w:szCs w:val="19"/>
        <w:color w:val="231F20"/>
        <w:spacing w:val="8"/>
        <w:position w:val="-1"/>
      </w:rPr>
      <w:t xml:space="preserve"> 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                                                                                                                                               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CHINESE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COMMUNITY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8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DOCTOR</w:t>
    </w:r>
    <w:r>
      <w:rPr>
        <w:rFonts w:ascii="DengXian" w:hAnsi="DengXian" w:eastAsia="DengXian" w:cs="DengXian"/>
        <w:sz w:val="15"/>
        <w:szCs w:val="15"/>
        <w:color w:val="231F20"/>
        <w:position w:val="1"/>
      </w:rPr>
      <w:t>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39" w:line="227" w:lineRule="auto"/>
      <w:jc w:val="right"/>
      <w:rPr>
        <w:rFonts w:ascii="DengXian" w:hAnsi="DengXian" w:eastAsia="DengXian" w:cs="DengXian"/>
        <w:sz w:val="19"/>
        <w:szCs w:val="19"/>
      </w:rPr>
    </w:pPr>
    <w:r>
      <w:pict>
        <v:shape id="WordPictureWatermark10" style="position:absolute;margin-left:21.2pt;margin-top:777.67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CHINESE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COMMUNITY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position w:val="1"/>
      </w:rPr>
      <w:t>DOCTORS</w:t>
    </w:r>
    <w:r>
      <w:rPr>
        <w:rFonts w:ascii="DengXian" w:hAnsi="DengXian" w:eastAsia="DengXian" w:cs="DengXian"/>
        <w:sz w:val="15"/>
        <w:szCs w:val="15"/>
        <w:u w:val="single" w:color="auto"/>
        <w:color w:val="231F20"/>
        <w:spacing w:val="1"/>
        <w:position w:val="1"/>
      </w:rPr>
      <w:t xml:space="preserve">                                                                                                                                                 </w:t>
    </w:r>
    <w:r>
      <w:rPr>
        <w:rFonts w:ascii="DengXian" w:hAnsi="DengXian" w:eastAsia="DengXian" w:cs="DengXian"/>
        <w:sz w:val="15"/>
        <w:szCs w:val="15"/>
        <w:color w:val="231F20"/>
        <w:spacing w:val="1"/>
        <w:position w:val="1"/>
      </w:rPr>
      <w:t xml:space="preserve">  </w:t>
    </w:r>
    <w:r>
      <w:rPr>
        <w:rFonts w:ascii="DengXian" w:hAnsi="DengXian" w:eastAsia="DengXian" w:cs="DengXian"/>
        <w:sz w:val="15"/>
        <w:szCs w:val="15"/>
        <w:color w:val="231F20"/>
        <w:position w:val="1"/>
      </w:rPr>
      <w:t xml:space="preserve"> </w:t>
    </w:r>
    <w:r>
      <w:rPr>
        <w:rFonts w:ascii="DengXian" w:hAnsi="DengXian" w:eastAsia="DengXian" w:cs="DengXian"/>
        <w:sz w:val="19"/>
        <w:szCs w:val="19"/>
        <w:color w:val="231F20"/>
        <w:position w:val="-1"/>
      </w:rPr>
      <w:t>论著</w:t>
    </w:r>
    <w:r>
      <w:rPr>
        <w:rFonts w:ascii="SimHei" w:hAnsi="SimHei" w:eastAsia="SimHei" w:cs="SimHei"/>
        <w:sz w:val="19"/>
        <w:szCs w:val="19"/>
        <w:color w:val="231F20"/>
        <w:position w:val="-1"/>
      </w:rPr>
      <w:t>·</w:t>
    </w:r>
    <w:r>
      <w:rPr>
        <w:rFonts w:ascii="DengXian" w:hAnsi="DengXian" w:eastAsia="DengXian" w:cs="DengXian"/>
        <w:sz w:val="19"/>
        <w:szCs w:val="19"/>
        <w:color w:val="231F20"/>
        <w:position w:val="-1"/>
      </w:rPr>
      <w:t>临床辅助检查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footer" Target="footer1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2024-11-17T14:35:54Z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2025-10-28T21:34:09</vt:filetime>
  </property>
</Properties>
</file>