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86" w:lineRule="auto"/>
        <w:rPr>
          <w:rFonts w:ascii="Arial"/>
          <w:sz w:val="21"/>
        </w:rPr>
      </w:pPr>
      <w:r/>
    </w:p>
    <w:p>
      <w:pPr>
        <w:ind w:left="7369"/>
        <w:spacing w:before="71" w:line="204" w:lineRule="auto"/>
        <w:rPr>
          <w:rFonts w:ascii="STXingkai" w:hAnsi="STXingkai" w:eastAsia="STXingkai" w:cs="STXingkai"/>
          <w:sz w:val="21"/>
          <w:szCs w:val="21"/>
        </w:rPr>
      </w:pPr>
      <w:r>
        <w:drawing>
          <wp:anchor distT="0" distB="0" distL="0" distR="0" simplePos="0" relativeHeight="251658240" behindDoc="1" locked="0" layoutInCell="1" allowOverlap="1">
            <wp:simplePos x="0" y="0"/>
            <wp:positionH relativeFrom="column">
              <wp:posOffset>4819601</wp:posOffset>
            </wp:positionH>
            <wp:positionV relativeFrom="paragraph">
              <wp:posOffset>178103</wp:posOffset>
            </wp:positionV>
            <wp:extent cx="1562137" cy="6667"/>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562137" cy="6667"/>
                    </a:xfrm>
                    <a:prstGeom prst="rect">
                      <a:avLst/>
                    </a:prstGeom>
                  </pic:spPr>
                </pic:pic>
              </a:graphicData>
            </a:graphic>
          </wp:anchor>
        </w:drawing>
      </w:r>
      <w:r>
        <w:rPr>
          <w:rFonts w:ascii="STXingkai" w:hAnsi="STXingkai" w:eastAsia="STXingkai" w:cs="STXingkai"/>
          <w:sz w:val="21"/>
          <w:szCs w:val="21"/>
          <w:position w:val="-19"/>
        </w:rPr>
        <w:drawing>
          <wp:inline distT="0" distB="0" distL="0" distR="0">
            <wp:extent cx="222205" cy="209589"/>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222205" cy="209589"/>
                    </a:xfrm>
                    <a:prstGeom prst="rect">
                      <a:avLst/>
                    </a:prstGeom>
                  </pic:spPr>
                </pic:pic>
              </a:graphicData>
            </a:graphic>
          </wp:inline>
        </w:drawing>
      </w:r>
      <w:r>
        <w:rPr>
          <w:rFonts w:ascii="STXingkai" w:hAnsi="STXingkai" w:eastAsia="STXingkai" w:cs="STXingkai"/>
          <w:sz w:val="21"/>
          <w:szCs w:val="21"/>
          <w:spacing w:val="18"/>
          <w:w w:val="101"/>
        </w:rPr>
        <w:t xml:space="preserve">  </w:t>
      </w:r>
      <w:r>
        <w:rPr>
          <w:rFonts w:ascii="STXingkai" w:hAnsi="STXingkai" w:eastAsia="STXingkai" w:cs="STXingkai"/>
          <w:sz w:val="21"/>
          <w:szCs w:val="21"/>
          <w:b/>
          <w:bCs/>
          <w:spacing w:val="-23"/>
        </w:rPr>
        <w:t>附</w:t>
      </w:r>
      <w:r>
        <w:rPr>
          <w:rFonts w:ascii="STXingkai" w:hAnsi="STXingkai" w:eastAsia="STXingkai" w:cs="STXingkai"/>
          <w:sz w:val="21"/>
          <w:szCs w:val="21"/>
          <w:spacing w:val="1"/>
        </w:rPr>
        <w:t xml:space="preserve">    </w:t>
      </w:r>
      <w:r>
        <w:rPr>
          <w:rFonts w:ascii="STXingkai" w:hAnsi="STXingkai" w:eastAsia="STXingkai" w:cs="STXingkai"/>
          <w:sz w:val="21"/>
          <w:szCs w:val="21"/>
          <w:b/>
          <w:bCs/>
          <w:spacing w:val="-23"/>
        </w:rPr>
        <w:t>灵</w:t>
      </w:r>
      <w:r>
        <w:rPr>
          <w:rFonts w:ascii="STXingkai" w:hAnsi="STXingkai" w:eastAsia="STXingkai" w:cs="STXingkai"/>
          <w:sz w:val="21"/>
          <w:szCs w:val="21"/>
          <w:spacing w:val="2"/>
        </w:rPr>
        <w:t xml:space="preserve">     </w:t>
      </w:r>
      <w:r>
        <w:rPr>
          <w:rFonts w:ascii="STXingkai" w:hAnsi="STXingkai" w:eastAsia="STXingkai" w:cs="STXingkai"/>
          <w:sz w:val="21"/>
          <w:szCs w:val="21"/>
          <w:b/>
          <w:bCs/>
          <w:spacing w:val="-23"/>
        </w:rPr>
        <w:t>·</w:t>
      </w:r>
      <w:r>
        <w:rPr>
          <w:rFonts w:ascii="STXingkai" w:hAnsi="STXingkai" w:eastAsia="STXingkai" w:cs="STXingkai"/>
          <w:sz w:val="21"/>
          <w:szCs w:val="21"/>
          <w:spacing w:val="1"/>
        </w:rPr>
        <w:t xml:space="preserve">    </w:t>
      </w:r>
      <w:r>
        <w:rPr>
          <w:rFonts w:ascii="STXingkai" w:hAnsi="STXingkai" w:eastAsia="STXingkai" w:cs="STXingkai"/>
          <w:sz w:val="21"/>
          <w:szCs w:val="21"/>
          <w:b/>
          <w:bCs/>
          <w:spacing w:val="-23"/>
        </w:rPr>
        <w:t>指</w:t>
      </w:r>
      <w:r>
        <w:rPr>
          <w:rFonts w:ascii="STXingkai" w:hAnsi="STXingkai" w:eastAsia="STXingkai" w:cs="STXingkai"/>
          <w:sz w:val="21"/>
          <w:szCs w:val="21"/>
          <w:spacing w:val="-23"/>
        </w:rPr>
        <w:t xml:space="preserve">     </w:t>
      </w:r>
      <w:r>
        <w:rPr>
          <w:rFonts w:ascii="STXingkai" w:hAnsi="STXingkai" w:eastAsia="STXingkai" w:cs="STXingkai"/>
          <w:sz w:val="21"/>
          <w:szCs w:val="21"/>
          <w:b/>
          <w:bCs/>
          <w:spacing w:val="-23"/>
        </w:rPr>
        <w:t>南</w:t>
      </w:r>
    </w:p>
    <w:p>
      <w:pPr>
        <w:pStyle w:val="BodyText"/>
        <w:ind w:left="4242" w:right="1158" w:hanging="2648"/>
        <w:spacing w:before="106" w:line="244" w:lineRule="auto"/>
        <w:outlineLvl w:val="0"/>
        <w:rPr/>
      </w:pPr>
      <w:r>
        <w:rPr>
          <w:rFonts w:ascii="SimHei" w:hAnsi="SimHei" w:eastAsia="SimHei" w:cs="SimHei"/>
          <w:sz w:val="32"/>
          <w:szCs w:val="32"/>
          <w:b/>
          <w:bCs/>
          <w:spacing w:val="7"/>
        </w:rPr>
        <w:t>欧洲泌尿外科学会2006年泌尿系结石诊治指</w:t>
      </w:r>
      <w:r>
        <w:rPr>
          <w:rFonts w:ascii="SimHei" w:hAnsi="SimHei" w:eastAsia="SimHei" w:cs="SimHei"/>
          <w:sz w:val="32"/>
          <w:szCs w:val="32"/>
          <w:b/>
          <w:bCs/>
          <w:spacing w:val="6"/>
        </w:rPr>
        <w:t>南(一)</w:t>
      </w:r>
      <w:r>
        <w:rPr>
          <w:rFonts w:ascii="SimHei" w:hAnsi="SimHei" w:eastAsia="SimHei" w:cs="SimHei"/>
          <w:sz w:val="32"/>
          <w:szCs w:val="32"/>
        </w:rPr>
        <w:t xml:space="preserve"> </w:t>
      </w:r>
      <w:r>
        <w:rPr>
          <w:b/>
          <w:bCs/>
          <w:spacing w:val="-4"/>
        </w:rPr>
        <w:t>泌尿系结石诊疗指南</w:t>
      </w:r>
    </w:p>
    <w:p>
      <w:pPr>
        <w:pStyle w:val="BodyText"/>
        <w:ind w:left="4123"/>
        <w:spacing w:before="57" w:line="219" w:lineRule="auto"/>
        <w:rPr/>
      </w:pPr>
      <w:r>
        <w:rPr>
          <w:b/>
          <w:bCs/>
          <w:spacing w:val="-1"/>
        </w:rPr>
        <w:t>欧洲泌尿外科学会2006</w:t>
      </w:r>
    </w:p>
    <w:p>
      <w:pPr>
        <w:ind w:left="829"/>
        <w:spacing w:before="12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H.-G.Tiselius,D.Ackermann,P.Alken</w:t>
      </w:r>
      <w:r>
        <w:rPr>
          <w:rFonts w:ascii="Times New Roman" w:hAnsi="Times New Roman" w:eastAsia="Times New Roman" w:cs="Times New Roman"/>
          <w:sz w:val="21"/>
          <w:szCs w:val="21"/>
          <w:spacing w:val="-1"/>
        </w:rPr>
        <w:t>,C.Buck,</w:t>
      </w:r>
    </w:p>
    <w:p>
      <w:pPr>
        <w:ind w:left="829"/>
        <w:spacing w:before="13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P.Conort,M.Gallucci,</w:t>
      </w:r>
      <w:r>
        <w:rPr>
          <w:rFonts w:ascii="Times New Roman" w:hAnsi="Times New Roman" w:eastAsia="Times New Roman" w:cs="Times New Roman"/>
          <w:sz w:val="21"/>
          <w:szCs w:val="21"/>
          <w:spacing w:val="-1"/>
        </w:rPr>
        <w:t>T.Knoll</w:t>
      </w:r>
    </w:p>
    <w:p>
      <w:pPr>
        <w:pStyle w:val="BodyText"/>
        <w:ind w:left="829"/>
        <w:spacing w:before="117" w:line="219" w:lineRule="auto"/>
        <w:rPr/>
      </w:pPr>
      <w:r>
        <w:rPr>
          <w:spacing w:val="26"/>
        </w:rPr>
        <w:t>编译陈志强程跃</w:t>
      </w:r>
    </w:p>
    <w:p>
      <w:pPr>
        <w:pStyle w:val="BodyText"/>
        <w:ind w:left="829"/>
        <w:spacing w:before="81" w:line="219" w:lineRule="auto"/>
        <w:rPr/>
      </w:pPr>
      <w:r>
        <w:rPr>
          <w:spacing w:val="11"/>
        </w:rPr>
        <w:t>审校叶章群</w:t>
      </w:r>
    </w:p>
    <w:p>
      <w:pPr>
        <w:pStyle w:val="BodyText"/>
        <w:ind w:left="829"/>
        <w:spacing w:before="80" w:line="219" w:lineRule="auto"/>
        <w:rPr/>
      </w:pPr>
      <w:r>
        <w:rPr>
          <w:spacing w:val="23"/>
        </w:rPr>
        <w:t>秘书余</w:t>
      </w:r>
    </w:p>
    <w:p>
      <w:pPr>
        <w:pStyle w:val="BodyText"/>
        <w:ind w:left="829"/>
        <w:spacing w:before="81" w:line="219" w:lineRule="auto"/>
        <w:rPr/>
      </w:pPr>
      <w:r>
        <w:rPr>
          <w:spacing w:val="5"/>
        </w:rPr>
        <w:t>中华泌尿外科学会泌尿系结石学组推荐</w:t>
      </w:r>
    </w:p>
    <w:p>
      <w:pPr>
        <w:ind w:left="4752"/>
        <w:spacing w:before="90" w:line="222" w:lineRule="auto"/>
        <w:rPr>
          <w:rFonts w:ascii="SimHei" w:hAnsi="SimHei" w:eastAsia="SimHei" w:cs="SimHei"/>
          <w:sz w:val="21"/>
          <w:szCs w:val="21"/>
        </w:rPr>
      </w:pPr>
      <w:r>
        <w:rPr>
          <w:rFonts w:ascii="SimHei" w:hAnsi="SimHei" w:eastAsia="SimHei" w:cs="SimHei"/>
          <w:sz w:val="21"/>
          <w:szCs w:val="21"/>
          <w:b/>
          <w:bCs/>
          <w:spacing w:val="-7"/>
        </w:rPr>
        <w:t>前</w:t>
      </w:r>
      <w:r>
        <w:rPr>
          <w:rFonts w:ascii="SimHei" w:hAnsi="SimHei" w:eastAsia="SimHei" w:cs="SimHei"/>
          <w:sz w:val="21"/>
          <w:szCs w:val="21"/>
          <w:spacing w:val="8"/>
        </w:rPr>
        <w:t xml:space="preserve">     </w:t>
      </w:r>
      <w:r>
        <w:rPr>
          <w:rFonts w:ascii="SimHei" w:hAnsi="SimHei" w:eastAsia="SimHei" w:cs="SimHei"/>
          <w:sz w:val="21"/>
          <w:szCs w:val="21"/>
          <w:b/>
          <w:bCs/>
          <w:spacing w:val="-7"/>
        </w:rPr>
        <w:t>言</w:t>
      </w:r>
    </w:p>
    <w:p>
      <w:pPr>
        <w:spacing w:line="334" w:lineRule="auto"/>
        <w:rPr>
          <w:rFonts w:ascii="Arial"/>
          <w:sz w:val="21"/>
        </w:rPr>
      </w:pPr>
      <w:r/>
    </w:p>
    <w:p>
      <w:pPr>
        <w:pStyle w:val="BodyText"/>
        <w:ind w:left="832"/>
        <w:spacing w:before="68" w:line="216" w:lineRule="auto"/>
        <w:rPr/>
      </w:pPr>
      <w:r>
        <w:rPr>
          <w:b/>
          <w:bCs/>
          <w:spacing w:val="5"/>
        </w:rPr>
        <w:t>尿石症是泌尿外科的常见病，患病率高达5-10%,在我国尿石症患者占泌尿外科住院病人的</w:t>
      </w:r>
      <w:r>
        <w:rPr>
          <w:b/>
          <w:bCs/>
          <w:spacing w:val="4"/>
        </w:rPr>
        <w:t>近四分</w:t>
      </w:r>
    </w:p>
    <w:p>
      <w:pPr>
        <w:pStyle w:val="BodyText"/>
        <w:ind w:left="469"/>
        <w:spacing w:before="90" w:line="219" w:lineRule="auto"/>
        <w:rPr/>
      </w:pPr>
      <w:r>
        <w:rPr>
          <w:spacing w:val="2"/>
        </w:rPr>
        <w:t>之一，严重影响了人们的身体健康。</w:t>
      </w:r>
    </w:p>
    <w:p>
      <w:pPr>
        <w:pStyle w:val="BodyText"/>
        <w:ind w:left="472" w:right="17" w:firstLine="360"/>
        <w:spacing w:before="87" w:line="299" w:lineRule="auto"/>
        <w:jc w:val="both"/>
        <w:rPr/>
      </w:pPr>
      <w:r>
        <w:rPr>
          <w:b/>
          <w:bCs/>
        </w:rPr>
        <w:t>近年来我国泌尿外科发展迅速，结石的各种治疗方法基本上已与国际接轨，但治疗方法的选择尚未</w:t>
      </w:r>
      <w:r>
        <w:rPr>
          <w:spacing w:val="9"/>
        </w:rPr>
        <w:t xml:space="preserve">  </w:t>
      </w:r>
      <w:r>
        <w:rPr>
          <w:b/>
          <w:bCs/>
        </w:rPr>
        <w:t>进行规范化，导致部分医院在治疗方法的选择上随心所欲，或者根据其医疗条件选择治疗方法的问题。</w:t>
      </w:r>
      <w:r>
        <w:rPr>
          <w:spacing w:val="8"/>
        </w:rPr>
        <w:t xml:space="preserve"> </w:t>
      </w:r>
      <w:r>
        <w:rPr>
          <w:b/>
          <w:bCs/>
        </w:rPr>
        <w:t>为了规范结石的治疗，我们将2006年欧洲泌尿外科学会公布的泌尿系结石诊疗指南进行了编译和整理，</w:t>
      </w:r>
      <w:r>
        <w:rPr>
          <w:spacing w:val="4"/>
        </w:rPr>
        <w:t xml:space="preserve"> </w:t>
      </w:r>
      <w:r>
        <w:rPr>
          <w:b/>
          <w:bCs/>
          <w:spacing w:val="-2"/>
        </w:rPr>
        <w:t>希望对我国的尿石症治疗的规范化有所帮助。</w:t>
      </w:r>
    </w:p>
    <w:p>
      <w:pPr>
        <w:pStyle w:val="BodyText"/>
        <w:ind w:left="6773"/>
        <w:spacing w:line="218" w:lineRule="auto"/>
        <w:rPr/>
      </w:pPr>
      <w:r>
        <w:rPr>
          <w:b/>
          <w:bCs/>
          <w:spacing w:val="1"/>
        </w:rPr>
        <w:t>中华泌尿外科学会泌尿系结石学组</w:t>
      </w:r>
    </w:p>
    <w:p>
      <w:pPr>
        <w:pStyle w:val="BodyText"/>
        <w:ind w:left="7722"/>
        <w:spacing w:before="83" w:line="219" w:lineRule="auto"/>
        <w:rPr/>
      </w:pPr>
      <w:r>
        <w:rPr>
          <w:b/>
          <w:bCs/>
        </w:rPr>
        <w:t>二00六年六月</w:t>
      </w:r>
    </w:p>
    <w:p>
      <w:pPr>
        <w:ind w:left="4793"/>
        <w:spacing w:before="109" w:line="222" w:lineRule="auto"/>
        <w:rPr>
          <w:rFonts w:ascii="SimHei" w:hAnsi="SimHei" w:eastAsia="SimHei" w:cs="SimHei"/>
          <w:sz w:val="21"/>
          <w:szCs w:val="21"/>
        </w:rPr>
      </w:pPr>
      <w:r>
        <w:rPr>
          <w:rFonts w:ascii="SimHei" w:hAnsi="SimHei" w:eastAsia="SimHei" w:cs="SimHei"/>
          <w:sz w:val="21"/>
          <w:szCs w:val="21"/>
          <w:b/>
          <w:bCs/>
          <w:spacing w:val="-20"/>
        </w:rPr>
        <w:t>目</w:t>
      </w:r>
      <w:r>
        <w:rPr>
          <w:rFonts w:ascii="SimHei" w:hAnsi="SimHei" w:eastAsia="SimHei" w:cs="SimHei"/>
          <w:sz w:val="21"/>
          <w:szCs w:val="21"/>
          <w:spacing w:val="13"/>
        </w:rPr>
        <w:t xml:space="preserve">     </w:t>
      </w:r>
      <w:r>
        <w:rPr>
          <w:rFonts w:ascii="SimHei" w:hAnsi="SimHei" w:eastAsia="SimHei" w:cs="SimHei"/>
          <w:sz w:val="21"/>
          <w:szCs w:val="21"/>
          <w:b/>
          <w:bCs/>
          <w:spacing w:val="-20"/>
        </w:rPr>
        <w:t>录</w:t>
      </w:r>
    </w:p>
    <w:p>
      <w:pPr>
        <w:spacing w:line="328" w:lineRule="auto"/>
        <w:rPr>
          <w:rFonts w:ascii="Arial"/>
          <w:sz w:val="21"/>
        </w:rPr>
      </w:pPr>
      <w:r/>
    </w:p>
    <w:p>
      <w:pPr>
        <w:pStyle w:val="BodyText"/>
        <w:ind w:left="832"/>
        <w:spacing w:before="69" w:line="219" w:lineRule="auto"/>
        <w:outlineLvl w:val="4"/>
        <w:rPr/>
      </w:pPr>
      <w:r>
        <w:rPr>
          <w:b/>
          <w:bCs/>
          <w:spacing w:val="-13"/>
        </w:rPr>
        <w:t>1</w:t>
      </w:r>
      <w:r>
        <w:rPr>
          <w:spacing w:val="15"/>
        </w:rPr>
        <w:t xml:space="preserve"> </w:t>
      </w:r>
      <w:r>
        <w:rPr>
          <w:b/>
          <w:bCs/>
          <w:spacing w:val="-13"/>
        </w:rPr>
        <w:t>背景</w:t>
      </w:r>
    </w:p>
    <w:p>
      <w:pPr>
        <w:pStyle w:val="BodyText"/>
        <w:ind w:left="832"/>
        <w:spacing w:before="101" w:line="219" w:lineRule="auto"/>
        <w:outlineLvl w:val="4"/>
        <w:rPr/>
      </w:pPr>
      <w:r>
        <w:rPr>
          <w:b/>
          <w:bCs/>
          <w:spacing w:val="-8"/>
        </w:rPr>
        <w:t>1.1</w:t>
      </w:r>
      <w:r>
        <w:rPr>
          <w:spacing w:val="-8"/>
        </w:rPr>
        <w:t xml:space="preserve"> </w:t>
      </w:r>
      <w:r>
        <w:rPr>
          <w:b/>
          <w:bCs/>
          <w:spacing w:val="-8"/>
        </w:rPr>
        <w:t>参考文献</w:t>
      </w:r>
    </w:p>
    <w:p>
      <w:pPr>
        <w:ind w:left="829"/>
        <w:spacing w:before="89" w:line="221" w:lineRule="auto"/>
        <w:outlineLvl w:val="4"/>
        <w:rPr>
          <w:rFonts w:ascii="SimHei" w:hAnsi="SimHei" w:eastAsia="SimHei" w:cs="SimHei"/>
          <w:sz w:val="21"/>
          <w:szCs w:val="21"/>
        </w:rPr>
      </w:pPr>
      <w:r>
        <w:rPr>
          <w:rFonts w:ascii="Times New Roman" w:hAnsi="Times New Roman" w:eastAsia="Times New Roman" w:cs="Times New Roman"/>
          <w:sz w:val="21"/>
          <w:szCs w:val="21"/>
          <w:b/>
          <w:bCs/>
          <w:spacing w:val="-6"/>
        </w:rPr>
        <w:t>2</w:t>
      </w:r>
      <w:r>
        <w:rPr>
          <w:rFonts w:ascii="Times New Roman" w:hAnsi="Times New Roman" w:eastAsia="Times New Roman" w:cs="Times New Roman"/>
          <w:sz w:val="21"/>
          <w:szCs w:val="21"/>
          <w:b/>
          <w:bCs/>
          <w:spacing w:val="14"/>
        </w:rPr>
        <w:t xml:space="preserve">  </w:t>
      </w:r>
      <w:r>
        <w:rPr>
          <w:rFonts w:ascii="SimHei" w:hAnsi="SimHei" w:eastAsia="SimHei" w:cs="SimHei"/>
          <w:sz w:val="21"/>
          <w:szCs w:val="21"/>
          <w:b/>
          <w:bCs/>
          <w:spacing w:val="-6"/>
        </w:rPr>
        <w:t>分类</w:t>
      </w:r>
    </w:p>
    <w:p>
      <w:pPr>
        <w:pStyle w:val="BodyText"/>
        <w:ind w:left="829"/>
        <w:spacing w:before="93" w:line="219" w:lineRule="auto"/>
        <w:rPr/>
      </w:pPr>
      <w:r>
        <w:rPr/>
        <w:t>2.1</w:t>
      </w:r>
      <w:r>
        <w:rPr>
          <w:spacing w:val="-23"/>
        </w:rPr>
        <w:t xml:space="preserve"> </w:t>
      </w:r>
      <w:r>
        <w:rPr/>
        <w:t>结石患者分类</w:t>
      </w:r>
    </w:p>
    <w:p>
      <w:pPr>
        <w:pStyle w:val="BodyText"/>
        <w:ind w:left="829"/>
        <w:spacing w:before="91" w:line="219" w:lineRule="auto"/>
        <w:rPr/>
      </w:pPr>
      <w:r>
        <w:rPr>
          <w:spacing w:val="7"/>
        </w:rPr>
        <w:t>2.2结石形成的危险因素</w:t>
      </w:r>
    </w:p>
    <w:p>
      <w:pPr>
        <w:pStyle w:val="BodyText"/>
        <w:ind w:left="829"/>
        <w:spacing w:before="111" w:line="219" w:lineRule="auto"/>
        <w:rPr/>
      </w:pPr>
      <w:r>
        <w:rPr>
          <w:spacing w:val="-3"/>
        </w:rPr>
        <w:t>2.3 参考文献</w:t>
      </w:r>
    </w:p>
    <w:p>
      <w:pPr>
        <w:pStyle w:val="BodyText"/>
        <w:ind w:left="829"/>
        <w:spacing w:before="68" w:line="219" w:lineRule="auto"/>
        <w:outlineLvl w:val="4"/>
        <w:rPr/>
      </w:pPr>
      <w:r>
        <w:rPr>
          <w:rFonts w:ascii="Times New Roman" w:hAnsi="Times New Roman" w:eastAsia="Times New Roman" w:cs="Times New Roman"/>
          <w:b/>
          <w:bCs/>
          <w:spacing w:val="8"/>
        </w:rPr>
        <w:t>3</w:t>
      </w:r>
      <w:r>
        <w:rPr>
          <w:rFonts w:ascii="Times New Roman" w:hAnsi="Times New Roman" w:eastAsia="Times New Roman" w:cs="Times New Roman"/>
          <w:b/>
          <w:bCs/>
          <w:spacing w:val="49"/>
        </w:rPr>
        <w:t xml:space="preserve"> </w:t>
      </w:r>
      <w:r>
        <w:rPr>
          <w:b/>
          <w:bCs/>
          <w:spacing w:val="8"/>
        </w:rPr>
        <w:t>诊断</w:t>
      </w:r>
    </w:p>
    <w:p>
      <w:pPr>
        <w:pStyle w:val="BodyText"/>
        <w:ind w:left="829"/>
        <w:spacing w:before="94" w:line="219" w:lineRule="auto"/>
        <w:rPr/>
      </w:pPr>
      <w:r>
        <w:rPr>
          <w:spacing w:val="1"/>
        </w:rPr>
        <w:t>3.1</w:t>
      </w:r>
      <w:r>
        <w:rPr>
          <w:spacing w:val="-28"/>
        </w:rPr>
        <w:t xml:space="preserve"> </w:t>
      </w:r>
      <w:r>
        <w:rPr>
          <w:spacing w:val="1"/>
        </w:rPr>
        <w:t>影像学检查</w:t>
      </w:r>
    </w:p>
    <w:p>
      <w:pPr>
        <w:pStyle w:val="BodyText"/>
        <w:ind w:left="829"/>
        <w:spacing w:before="89" w:line="219" w:lineRule="auto"/>
        <w:rPr/>
      </w:pPr>
      <w:r>
        <w:rPr>
          <w:spacing w:val="-4"/>
        </w:rPr>
        <w:t>3.1.1</w:t>
      </w:r>
      <w:r>
        <w:rPr>
          <w:spacing w:val="-23"/>
        </w:rPr>
        <w:t xml:space="preserve"> </w:t>
      </w:r>
      <w:r>
        <w:rPr>
          <w:spacing w:val="-4"/>
        </w:rPr>
        <w:t>造影剂过敏</w:t>
      </w:r>
    </w:p>
    <w:p>
      <w:pPr>
        <w:pStyle w:val="BodyText"/>
        <w:ind w:left="829"/>
        <w:spacing w:before="94" w:line="221" w:lineRule="auto"/>
        <w:rPr/>
      </w:pPr>
      <w:r>
        <w:rPr>
          <w:spacing w:val="-9"/>
        </w:rPr>
        <w:t>3.1.2 二甲双胍</w:t>
      </w:r>
    </w:p>
    <w:p>
      <w:pPr>
        <w:pStyle w:val="BodyText"/>
        <w:ind w:left="829"/>
        <w:spacing w:before="97" w:line="219" w:lineRule="auto"/>
        <w:rPr/>
      </w:pPr>
      <w:r>
        <w:rPr>
          <w:spacing w:val="4"/>
        </w:rPr>
        <w:t>3.1.3肾功能不全</w:t>
      </w:r>
    </w:p>
    <w:p>
      <w:pPr>
        <w:pStyle w:val="BodyText"/>
        <w:ind w:left="829"/>
        <w:spacing w:before="81" w:line="219" w:lineRule="auto"/>
        <w:rPr/>
      </w:pPr>
      <w:r>
        <w:rPr>
          <w:spacing w:val="3"/>
        </w:rPr>
        <w:t>发生肾功能不全的危险因素</w:t>
      </w:r>
    </w:p>
    <w:p>
      <w:pPr>
        <w:pStyle w:val="BodyText"/>
        <w:ind w:left="829"/>
        <w:spacing w:before="100" w:line="219" w:lineRule="auto"/>
        <w:rPr/>
      </w:pPr>
      <w:r>
        <w:rPr>
          <w:spacing w:val="-2"/>
        </w:rPr>
        <w:t>碘的剂量</w:t>
      </w:r>
    </w:p>
    <w:p>
      <w:pPr>
        <w:pStyle w:val="BodyText"/>
        <w:ind w:left="829"/>
        <w:spacing w:before="82" w:line="219" w:lineRule="auto"/>
        <w:rPr/>
      </w:pPr>
      <w:r>
        <w:rPr>
          <w:spacing w:val="-3"/>
        </w:rPr>
        <w:t>3.1.4 未治疗的甲状腺功能亢进</w:t>
      </w:r>
    </w:p>
    <w:p>
      <w:pPr>
        <w:pStyle w:val="BodyText"/>
        <w:ind w:left="829"/>
        <w:spacing w:before="101" w:line="219" w:lineRule="auto"/>
        <w:rPr/>
      </w:pPr>
      <w:r>
        <w:rPr>
          <w:spacing w:val="2"/>
        </w:rPr>
        <w:t>3.1.5参考文献</w:t>
      </w:r>
    </w:p>
    <w:p>
      <w:pPr>
        <w:pStyle w:val="BodyText"/>
        <w:ind w:left="829"/>
        <w:spacing w:before="91" w:line="220" w:lineRule="auto"/>
        <w:rPr/>
      </w:pPr>
      <w:r>
        <w:rPr/>
        <w:t>3.2</w:t>
      </w:r>
      <w:r>
        <w:rPr>
          <w:spacing w:val="-23"/>
        </w:rPr>
        <w:t xml:space="preserve"> </w:t>
      </w:r>
      <w:r>
        <w:rPr/>
        <w:t>结石成分分析</w:t>
      </w:r>
    </w:p>
    <w:p>
      <w:pPr>
        <w:pStyle w:val="BodyText"/>
        <w:ind w:left="829"/>
        <w:spacing w:before="90" w:line="219" w:lineRule="auto"/>
        <w:rPr/>
      </w:pPr>
      <w:r>
        <w:rPr>
          <w:spacing w:val="-10"/>
        </w:rPr>
        <w:t>3.2.1 参考文献</w:t>
      </w:r>
    </w:p>
    <w:p>
      <w:pPr>
        <w:pStyle w:val="BodyText"/>
        <w:ind w:left="829"/>
        <w:spacing w:before="90" w:line="219" w:lineRule="auto"/>
        <w:rPr/>
      </w:pPr>
      <w:r>
        <w:rPr>
          <w:spacing w:val="1"/>
        </w:rPr>
        <w:t>3.3</w:t>
      </w:r>
      <w:r>
        <w:rPr>
          <w:spacing w:val="-48"/>
        </w:rPr>
        <w:t xml:space="preserve"> </w:t>
      </w:r>
      <w:r>
        <w:rPr>
          <w:spacing w:val="1"/>
        </w:rPr>
        <w:t>生化检查</w:t>
      </w:r>
    </w:p>
    <w:p>
      <w:pPr>
        <w:pStyle w:val="BodyText"/>
        <w:ind w:left="829"/>
        <w:spacing w:before="91" w:line="219" w:lineRule="auto"/>
        <w:rPr/>
      </w:pPr>
      <w:r>
        <w:rPr>
          <w:spacing w:val="-6"/>
        </w:rPr>
        <w:t>3.3.1</w:t>
      </w:r>
      <w:r>
        <w:rPr>
          <w:spacing w:val="-21"/>
        </w:rPr>
        <w:t xml:space="preserve"> </w:t>
      </w:r>
      <w:r>
        <w:rPr>
          <w:spacing w:val="-6"/>
        </w:rPr>
        <w:t>急性期检查</w:t>
      </w:r>
    </w:p>
    <w:p>
      <w:pPr>
        <w:ind w:left="5070"/>
        <w:spacing w:before="261"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—177—</w:t>
      </w:r>
    </w:p>
    <w:p>
      <w:pPr>
        <w:spacing w:line="302" w:lineRule="auto"/>
        <w:rPr>
          <w:rFonts w:ascii="Arial"/>
          <w:sz w:val="21"/>
        </w:rPr>
      </w:pPr>
      <w:r/>
    </w:p>
    <w:p>
      <w:pPr>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4">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headerReference w:type="default" r:id="rId1"/>
          <w:pgSz w:w="11850" w:h="16140"/>
          <w:pgMar w:top="400" w:right="1419" w:bottom="0" w:left="380" w:header="0" w:footer="0" w:gutter="0"/>
        </w:sectPr>
        <w:rPr>
          <w:rFonts w:ascii="Times New Roman" w:hAnsi="Times New Roman" w:eastAsia="Times New Roman" w:cs="Times New Roman"/>
          <w:sz w:val="21"/>
          <w:szCs w:val="21"/>
        </w:rPr>
      </w:pPr>
    </w:p>
    <w:p>
      <w:pPr>
        <w:spacing w:line="342" w:lineRule="auto"/>
        <w:rPr>
          <w:rFonts w:ascii="Arial"/>
          <w:sz w:val="21"/>
        </w:rPr>
      </w:pPr>
      <w:r/>
    </w:p>
    <w:p>
      <w:pPr>
        <w:ind w:left="821"/>
        <w:spacing w:before="71" w:line="199" w:lineRule="auto"/>
        <w:rPr>
          <w:sz w:val="21"/>
          <w:szCs w:val="21"/>
        </w:rPr>
      </w:pPr>
      <w:r>
        <w:drawing>
          <wp:anchor distT="0" distB="0" distL="0" distR="0" simplePos="0" relativeHeight="251659264" behindDoc="1" locked="0" layoutInCell="1" allowOverlap="1">
            <wp:simplePos x="0" y="0"/>
            <wp:positionH relativeFrom="column">
              <wp:posOffset>330186</wp:posOffset>
            </wp:positionH>
            <wp:positionV relativeFrom="paragraph">
              <wp:posOffset>174900</wp:posOffset>
            </wp:positionV>
            <wp:extent cx="1562063" cy="6667"/>
            <wp:effectExtent l="0" t="0" r="0" b="0"/>
            <wp:wrapNone/>
            <wp:docPr id="6" name="IM 6"/>
            <wp:cNvGraphicFramePr/>
            <a:graphic>
              <a:graphicData uri="http://schemas.openxmlformats.org/drawingml/2006/picture">
                <pic:pic>
                  <pic:nvPicPr>
                    <pic:cNvPr id="6" name="IM 6"/>
                    <pic:cNvPicPr/>
                  </pic:nvPicPr>
                  <pic:blipFill>
                    <a:blip r:embed="rId6"/>
                    <a:stretch>
                      <a:fillRect/>
                    </a:stretch>
                  </pic:blipFill>
                  <pic:spPr>
                    <a:xfrm rot="0">
                      <a:off x="0" y="0"/>
                      <a:ext cx="1562063" cy="6667"/>
                    </a:xfrm>
                    <a:prstGeom prst="rect">
                      <a:avLst/>
                    </a:prstGeom>
                  </pic:spPr>
                </pic:pic>
              </a:graphicData>
            </a:graphic>
          </wp:anchor>
        </w:drawing>
      </w:r>
      <w:r>
        <w:rPr>
          <w:rFonts w:ascii="STXingkai" w:hAnsi="STXingkai" w:eastAsia="STXingkai" w:cs="STXingkai"/>
          <w:sz w:val="21"/>
          <w:szCs w:val="21"/>
          <w:b/>
          <w:bCs/>
          <w:spacing w:val="-30"/>
        </w:rPr>
        <w:t>附</w:t>
      </w:r>
      <w:r>
        <w:rPr>
          <w:rFonts w:ascii="STXingkai" w:hAnsi="STXingkai" w:eastAsia="STXingkai" w:cs="STXingkai"/>
          <w:sz w:val="21"/>
          <w:szCs w:val="21"/>
          <w:spacing w:val="11"/>
        </w:rPr>
        <w:t xml:space="preserve">    </w:t>
      </w:r>
      <w:r>
        <w:rPr>
          <w:rFonts w:ascii="STXingkai" w:hAnsi="STXingkai" w:eastAsia="STXingkai" w:cs="STXingkai"/>
          <w:sz w:val="21"/>
          <w:szCs w:val="21"/>
          <w:b/>
          <w:bCs/>
          <w:spacing w:val="-30"/>
        </w:rPr>
        <w:t>灵</w:t>
      </w:r>
      <w:r>
        <w:rPr>
          <w:rFonts w:ascii="STXingkai" w:hAnsi="STXingkai" w:eastAsia="STXingkai" w:cs="STXingkai"/>
          <w:sz w:val="21"/>
          <w:szCs w:val="21"/>
          <w:spacing w:val="10"/>
        </w:rPr>
        <w:t xml:space="preserve">     </w:t>
      </w:r>
      <w:r>
        <w:rPr>
          <w:rFonts w:ascii="STXingkai" w:hAnsi="STXingkai" w:eastAsia="STXingkai" w:cs="STXingkai"/>
          <w:sz w:val="21"/>
          <w:szCs w:val="21"/>
          <w:b/>
          <w:bCs/>
          <w:spacing w:val="-30"/>
        </w:rPr>
        <w:t>·</w:t>
      </w:r>
      <w:r>
        <w:rPr>
          <w:rFonts w:ascii="STXingkai" w:hAnsi="STXingkai" w:eastAsia="STXingkai" w:cs="STXingkai"/>
          <w:sz w:val="21"/>
          <w:szCs w:val="21"/>
          <w:spacing w:val="10"/>
        </w:rPr>
        <w:t xml:space="preserve">    </w:t>
      </w:r>
      <w:r>
        <w:rPr>
          <w:rFonts w:ascii="STXingkai" w:hAnsi="STXingkai" w:eastAsia="STXingkai" w:cs="STXingkai"/>
          <w:sz w:val="21"/>
          <w:szCs w:val="21"/>
          <w:b/>
          <w:bCs/>
          <w:spacing w:val="-30"/>
        </w:rPr>
        <w:t>指</w:t>
      </w:r>
      <w:r>
        <w:rPr>
          <w:rFonts w:ascii="STXingkai" w:hAnsi="STXingkai" w:eastAsia="STXingkai" w:cs="STXingkai"/>
          <w:sz w:val="21"/>
          <w:szCs w:val="21"/>
          <w:spacing w:val="9"/>
        </w:rPr>
        <w:t xml:space="preserve">    </w:t>
      </w:r>
      <w:r>
        <w:rPr>
          <w:rFonts w:ascii="STXingkai" w:hAnsi="STXingkai" w:eastAsia="STXingkai" w:cs="STXingkai"/>
          <w:sz w:val="21"/>
          <w:szCs w:val="21"/>
          <w:b/>
          <w:bCs/>
          <w:spacing w:val="-30"/>
        </w:rPr>
        <w:t>力</w:t>
      </w:r>
      <w:r>
        <w:rPr>
          <w:rFonts w:ascii="STXingkai" w:hAnsi="STXingkai" w:eastAsia="STXingkai" w:cs="STXingkai"/>
          <w:sz w:val="21"/>
          <w:szCs w:val="21"/>
          <w:spacing w:val="-30"/>
        </w:rPr>
        <w:t xml:space="preserve">   </w:t>
      </w:r>
      <w:r>
        <w:rPr>
          <w:sz w:val="21"/>
          <w:szCs w:val="21"/>
          <w:position w:val="-18"/>
        </w:rPr>
        <w:drawing>
          <wp:inline distT="0" distB="0" distL="0" distR="0">
            <wp:extent cx="209564" cy="203133"/>
            <wp:effectExtent l="0" t="0" r="0" b="0"/>
            <wp:docPr id="8" name="IM 8"/>
            <wp:cNvGraphicFramePr/>
            <a:graphic>
              <a:graphicData uri="http://schemas.openxmlformats.org/drawingml/2006/picture">
                <pic:pic>
                  <pic:nvPicPr>
                    <pic:cNvPr id="8" name="IM 8"/>
                    <pic:cNvPicPr/>
                  </pic:nvPicPr>
                  <pic:blipFill>
                    <a:blip r:embed="rId7"/>
                    <a:stretch>
                      <a:fillRect/>
                    </a:stretch>
                  </pic:blipFill>
                  <pic:spPr>
                    <a:xfrm rot="0">
                      <a:off x="0" y="0"/>
                      <a:ext cx="209564" cy="203133"/>
                    </a:xfrm>
                    <a:prstGeom prst="rect">
                      <a:avLst/>
                    </a:prstGeom>
                  </pic:spPr>
                </pic:pic>
              </a:graphicData>
            </a:graphic>
          </wp:inline>
        </w:drawing>
      </w:r>
    </w:p>
    <w:p>
      <w:pPr>
        <w:pStyle w:val="BodyText"/>
        <w:ind w:left="899"/>
        <w:spacing w:before="218" w:line="219" w:lineRule="auto"/>
        <w:rPr/>
      </w:pPr>
      <w:r>
        <w:rPr>
          <w:spacing w:val="5"/>
        </w:rPr>
        <w:t>3.3.2 尿液检查项目(寻找结石形成</w:t>
      </w:r>
      <w:r>
        <w:rPr>
          <w:spacing w:val="4"/>
        </w:rPr>
        <w:t>危险因素)</w:t>
      </w:r>
    </w:p>
    <w:p>
      <w:pPr>
        <w:pStyle w:val="BodyText"/>
        <w:ind w:left="899"/>
        <w:spacing w:before="88" w:line="218" w:lineRule="auto"/>
        <w:rPr/>
      </w:pPr>
      <w:r>
        <w:rPr>
          <w:spacing w:val="-6"/>
        </w:rPr>
        <w:t>3.3.3 对检查项目的评价</w:t>
      </w:r>
    </w:p>
    <w:p>
      <w:pPr>
        <w:pStyle w:val="BodyText"/>
        <w:ind w:left="899"/>
        <w:spacing w:before="74" w:line="219" w:lineRule="auto"/>
        <w:rPr/>
      </w:pPr>
      <w:r>
        <w:rPr>
          <w:spacing w:val="-8"/>
        </w:rPr>
        <w:t>3.3.4 参考文献</w:t>
      </w:r>
    </w:p>
    <w:p>
      <w:pPr>
        <w:pStyle w:val="BodyText"/>
        <w:ind w:left="899"/>
        <w:spacing w:before="82" w:line="220" w:lineRule="auto"/>
        <w:rPr/>
      </w:pPr>
      <w:r>
        <w:rPr>
          <w:spacing w:val="1"/>
        </w:rPr>
        <w:t>4</w:t>
      </w:r>
      <w:r>
        <w:rPr>
          <w:spacing w:val="31"/>
        </w:rPr>
        <w:t xml:space="preserve"> </w:t>
      </w:r>
      <w:r>
        <w:rPr>
          <w:spacing w:val="1"/>
        </w:rPr>
        <w:t>结石大小</w:t>
      </w:r>
    </w:p>
    <w:p>
      <w:pPr>
        <w:pStyle w:val="BodyText"/>
        <w:ind w:left="899"/>
        <w:spacing w:before="99" w:line="219" w:lineRule="auto"/>
        <w:rPr/>
      </w:pPr>
      <w:r>
        <w:rPr>
          <w:spacing w:val="-5"/>
        </w:rPr>
        <w:t>4.1 参考文献</w:t>
      </w:r>
    </w:p>
    <w:p>
      <w:pPr>
        <w:pStyle w:val="BodyText"/>
        <w:ind w:left="899"/>
        <w:spacing w:before="81" w:line="219" w:lineRule="auto"/>
        <w:rPr/>
      </w:pPr>
      <w:r>
        <w:rPr>
          <w:spacing w:val="-5"/>
        </w:rPr>
        <w:t>5</w:t>
      </w:r>
      <w:r>
        <w:rPr>
          <w:spacing w:val="42"/>
        </w:rPr>
        <w:t xml:space="preserve"> </w:t>
      </w:r>
      <w:r>
        <w:rPr>
          <w:spacing w:val="-5"/>
        </w:rPr>
        <w:t>肾绞痛的治疗</w:t>
      </w:r>
    </w:p>
    <w:p>
      <w:pPr>
        <w:pStyle w:val="BodyText"/>
        <w:ind w:left="899"/>
        <w:spacing w:before="81" w:line="219" w:lineRule="auto"/>
        <w:rPr/>
      </w:pPr>
      <w:r>
        <w:rPr>
          <w:spacing w:val="-8"/>
        </w:rPr>
        <w:t>5.1</w:t>
      </w:r>
      <w:r>
        <w:rPr>
          <w:spacing w:val="5"/>
        </w:rPr>
        <w:t xml:space="preserve"> </w:t>
      </w:r>
      <w:r>
        <w:rPr>
          <w:spacing w:val="-8"/>
        </w:rPr>
        <w:t>镇痛</w:t>
      </w:r>
    </w:p>
    <w:p>
      <w:pPr>
        <w:pStyle w:val="BodyText"/>
        <w:ind w:left="979"/>
        <w:spacing w:before="71" w:line="220" w:lineRule="auto"/>
        <w:rPr/>
      </w:pPr>
      <w:r>
        <w:rPr>
          <w:spacing w:val="-4"/>
        </w:rPr>
        <w:t>5.1.1 非甾体消炎药(NSAIDs)</w:t>
      </w:r>
    </w:p>
    <w:p>
      <w:pPr>
        <w:pStyle w:val="BodyText"/>
        <w:ind w:left="979"/>
        <w:spacing w:before="89" w:line="219" w:lineRule="auto"/>
        <w:rPr/>
      </w:pPr>
      <w:r>
        <w:rPr>
          <w:spacing w:val="-8"/>
        </w:rPr>
        <w:t>5.1.2 预防肾绞痛复发</w:t>
      </w:r>
    </w:p>
    <w:p>
      <w:pPr>
        <w:pStyle w:val="BodyText"/>
        <w:ind w:left="979"/>
        <w:spacing w:before="81" w:line="219" w:lineRule="auto"/>
        <w:rPr/>
      </w:pPr>
      <w:r>
        <w:rPr>
          <w:spacing w:val="-3"/>
        </w:rPr>
        <w:t>5.1.3 双氯芬酸钠对肾功能的影响</w:t>
      </w:r>
    </w:p>
    <w:p>
      <w:pPr>
        <w:pStyle w:val="BodyText"/>
        <w:ind w:left="899"/>
        <w:spacing w:before="101" w:line="219" w:lineRule="auto"/>
        <w:rPr/>
      </w:pPr>
      <w:r>
        <w:rPr>
          <w:spacing w:val="10"/>
        </w:rPr>
        <w:t>5.2参考文献</w:t>
      </w:r>
    </w:p>
    <w:p>
      <w:pPr>
        <w:pStyle w:val="BodyText"/>
        <w:ind w:left="899"/>
        <w:spacing w:before="74" w:line="221" w:lineRule="auto"/>
        <w:rPr/>
      </w:pPr>
      <w:r>
        <w:rPr>
          <w:spacing w:val="1"/>
        </w:rPr>
        <w:t>6</w:t>
      </w:r>
      <w:r>
        <w:rPr>
          <w:spacing w:val="32"/>
        </w:rPr>
        <w:t xml:space="preserve"> </w:t>
      </w:r>
      <w:r>
        <w:rPr>
          <w:spacing w:val="1"/>
        </w:rPr>
        <w:t>取石的适应症</w:t>
      </w:r>
    </w:p>
    <w:p>
      <w:pPr>
        <w:pStyle w:val="BodyText"/>
        <w:ind w:left="899"/>
        <w:spacing w:before="96" w:line="219" w:lineRule="auto"/>
        <w:rPr/>
      </w:pPr>
      <w:r>
        <w:rPr>
          <w:spacing w:val="-3"/>
        </w:rPr>
        <w:t>6.1</w:t>
      </w:r>
      <w:r>
        <w:rPr>
          <w:spacing w:val="-28"/>
        </w:rPr>
        <w:t xml:space="preserve"> </w:t>
      </w:r>
      <w:r>
        <w:rPr>
          <w:spacing w:val="-3"/>
        </w:rPr>
        <w:t>参考文献</w:t>
      </w:r>
    </w:p>
    <w:p>
      <w:pPr>
        <w:pStyle w:val="BodyText"/>
        <w:ind w:left="902"/>
        <w:spacing w:before="67" w:line="219" w:lineRule="auto"/>
        <w:rPr/>
      </w:pPr>
      <w:r>
        <w:rPr>
          <w:b/>
          <w:bCs/>
          <w:spacing w:val="17"/>
        </w:rPr>
        <w:t>7肾结石的取石</w:t>
      </w:r>
    </w:p>
    <w:p>
      <w:pPr>
        <w:pStyle w:val="BodyText"/>
        <w:ind w:left="902"/>
        <w:spacing w:before="81" w:line="219" w:lineRule="auto"/>
        <w:outlineLvl w:val="4"/>
        <w:rPr/>
      </w:pPr>
      <w:r>
        <w:rPr>
          <w:b/>
          <w:bCs/>
          <w:spacing w:val="-3"/>
        </w:rPr>
        <w:t>7.1</w:t>
      </w:r>
      <w:r>
        <w:rPr>
          <w:spacing w:val="-3"/>
        </w:rPr>
        <w:t xml:space="preserve"> </w:t>
      </w:r>
      <w:r>
        <w:rPr>
          <w:b/>
          <w:bCs/>
          <w:spacing w:val="-3"/>
        </w:rPr>
        <w:t>体外冲击波碎石术(ESWL)</w:t>
      </w:r>
    </w:p>
    <w:p>
      <w:pPr>
        <w:pStyle w:val="BodyText"/>
        <w:ind w:left="902"/>
        <w:spacing w:before="81" w:line="219" w:lineRule="auto"/>
        <w:outlineLvl w:val="4"/>
        <w:rPr/>
      </w:pPr>
      <w:r>
        <w:rPr>
          <w:b/>
          <w:bCs/>
          <w:spacing w:val="-3"/>
        </w:rPr>
        <w:t>7.1.2</w:t>
      </w:r>
      <w:r>
        <w:rPr>
          <w:spacing w:val="76"/>
        </w:rPr>
        <w:t xml:space="preserve"> </w:t>
      </w:r>
      <w:r>
        <w:rPr>
          <w:b/>
          <w:bCs/>
          <w:spacing w:val="-3"/>
        </w:rPr>
        <w:t>ESWL治疗巨大肾结石</w:t>
      </w:r>
    </w:p>
    <w:p>
      <w:pPr>
        <w:pStyle w:val="BodyText"/>
        <w:ind w:left="902"/>
        <w:spacing w:before="92" w:line="220" w:lineRule="auto"/>
        <w:rPr/>
      </w:pPr>
      <w:r>
        <w:rPr>
          <w:b/>
          <w:bCs/>
          <w:spacing w:val="-3"/>
        </w:rPr>
        <w:t>7.1.2.1结石所在位置</w:t>
      </w:r>
    </w:p>
    <w:p>
      <w:pPr>
        <w:pStyle w:val="BodyText"/>
        <w:ind w:left="902"/>
        <w:spacing w:before="79" w:line="220" w:lineRule="auto"/>
        <w:rPr/>
      </w:pPr>
      <w:r>
        <w:rPr>
          <w:b/>
          <w:bCs/>
          <w:spacing w:val="-4"/>
        </w:rPr>
        <w:t>7.1.2.2结石大小</w:t>
      </w:r>
    </w:p>
    <w:p>
      <w:pPr>
        <w:pStyle w:val="BodyText"/>
        <w:ind w:left="902"/>
        <w:spacing w:before="90" w:line="220" w:lineRule="auto"/>
        <w:rPr/>
      </w:pPr>
      <w:r>
        <w:rPr>
          <w:b/>
          <w:bCs/>
          <w:spacing w:val="-9"/>
        </w:rPr>
        <w:t>7.1.2.3</w:t>
      </w:r>
      <w:r>
        <w:rPr>
          <w:spacing w:val="-9"/>
        </w:rPr>
        <w:t xml:space="preserve"> </w:t>
      </w:r>
      <w:r>
        <w:rPr>
          <w:b/>
          <w:bCs/>
          <w:spacing w:val="-9"/>
        </w:rPr>
        <w:t>结石成分和硬度</w:t>
      </w:r>
    </w:p>
    <w:p>
      <w:pPr>
        <w:pStyle w:val="BodyText"/>
        <w:ind w:left="902"/>
        <w:spacing w:before="109" w:line="219" w:lineRule="auto"/>
        <w:rPr/>
      </w:pPr>
      <w:r>
        <w:rPr>
          <w:b/>
          <w:bCs/>
          <w:spacing w:val="-12"/>
        </w:rPr>
        <w:t>7.1.2.4</w:t>
      </w:r>
      <w:r>
        <w:rPr>
          <w:spacing w:val="-12"/>
        </w:rPr>
        <w:t xml:space="preserve"> </w:t>
      </w:r>
      <w:r>
        <w:rPr>
          <w:b/>
          <w:bCs/>
          <w:spacing w:val="-12"/>
        </w:rPr>
        <w:t>参考文献</w:t>
      </w:r>
    </w:p>
    <w:p>
      <w:pPr>
        <w:pStyle w:val="BodyText"/>
        <w:ind w:left="902"/>
        <w:spacing w:before="91" w:line="219" w:lineRule="auto"/>
        <w:outlineLvl w:val="4"/>
        <w:rPr/>
      </w:pPr>
      <w:r>
        <w:rPr>
          <w:b/>
          <w:bCs/>
          <w:spacing w:val="-4"/>
        </w:rPr>
        <w:t>7.2</w:t>
      </w:r>
      <w:r>
        <w:rPr>
          <w:spacing w:val="-4"/>
        </w:rPr>
        <w:t xml:space="preserve"> </w:t>
      </w:r>
      <w:r>
        <w:rPr>
          <w:b/>
          <w:bCs/>
          <w:spacing w:val="-4"/>
        </w:rPr>
        <w:t>肾结石经皮肾碎石术</w:t>
      </w:r>
    </w:p>
    <w:p>
      <w:pPr>
        <w:pStyle w:val="BodyText"/>
        <w:ind w:left="902"/>
        <w:spacing w:before="81" w:line="219" w:lineRule="auto"/>
        <w:rPr/>
      </w:pPr>
      <w:r>
        <w:rPr>
          <w:b/>
          <w:bCs/>
          <w:spacing w:val="-12"/>
        </w:rPr>
        <w:t>7.2.1</w:t>
      </w:r>
      <w:r>
        <w:rPr>
          <w:spacing w:val="-12"/>
        </w:rPr>
        <w:t xml:space="preserve"> </w:t>
      </w:r>
      <w:r>
        <w:rPr>
          <w:b/>
          <w:bCs/>
          <w:spacing w:val="-12"/>
        </w:rPr>
        <w:t>并发症</w:t>
      </w:r>
    </w:p>
    <w:p>
      <w:pPr>
        <w:pStyle w:val="BodyText"/>
        <w:ind w:left="902"/>
        <w:spacing w:before="91" w:line="219" w:lineRule="auto"/>
        <w:rPr/>
      </w:pPr>
      <w:r>
        <w:rPr>
          <w:b/>
          <w:bCs/>
          <w:spacing w:val="-10"/>
        </w:rPr>
        <w:t>7.2.2</w:t>
      </w:r>
      <w:r>
        <w:rPr>
          <w:spacing w:val="-10"/>
        </w:rPr>
        <w:t xml:space="preserve"> </w:t>
      </w:r>
      <w:r>
        <w:rPr>
          <w:b/>
          <w:bCs/>
          <w:spacing w:val="-10"/>
        </w:rPr>
        <w:t>参考文献</w:t>
      </w:r>
    </w:p>
    <w:p>
      <w:pPr>
        <w:pStyle w:val="BodyText"/>
        <w:ind w:left="899"/>
        <w:spacing w:before="102" w:line="219" w:lineRule="auto"/>
        <w:rPr/>
      </w:pPr>
      <w:r>
        <w:rPr>
          <w:spacing w:val="6"/>
        </w:rPr>
        <w:t>7.3鹿角形结石的治疗和结石大小的重要性</w:t>
      </w:r>
    </w:p>
    <w:p>
      <w:pPr>
        <w:ind w:left="899"/>
        <w:spacing w:before="107"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7.3.1</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ESWL</w:t>
      </w:r>
    </w:p>
    <w:p>
      <w:pPr>
        <w:pStyle w:val="BodyText"/>
        <w:ind w:left="899"/>
        <w:spacing w:before="83" w:line="212" w:lineRule="auto"/>
        <w:rPr>
          <w:rFonts w:ascii="Times New Roman" w:hAnsi="Times New Roman" w:eastAsia="Times New Roman" w:cs="Times New Roman"/>
        </w:rPr>
      </w:pPr>
      <w:r>
        <w:rPr>
          <w:spacing w:val="6"/>
        </w:rPr>
        <w:t>7.3.2经皮肾镜取石术</w:t>
      </w:r>
      <w:r>
        <w:rPr>
          <w:rFonts w:ascii="Times New Roman" w:hAnsi="Times New Roman" w:eastAsia="Times New Roman" w:cs="Times New Roman"/>
          <w:spacing w:val="6"/>
        </w:rPr>
        <w:t>(</w:t>
      </w:r>
      <w:r>
        <w:rPr>
          <w:rFonts w:ascii="Times New Roman" w:hAnsi="Times New Roman" w:eastAsia="Times New Roman" w:cs="Times New Roman"/>
        </w:rPr>
        <w:t>PNL</w:t>
      </w:r>
      <w:r>
        <w:rPr>
          <w:rFonts w:ascii="Times New Roman" w:hAnsi="Times New Roman" w:eastAsia="Times New Roman" w:cs="Times New Roman"/>
          <w:spacing w:val="6"/>
        </w:rPr>
        <w:t>)</w:t>
      </w:r>
    </w:p>
    <w:p>
      <w:pPr>
        <w:pStyle w:val="BodyText"/>
        <w:ind w:left="899"/>
        <w:spacing w:before="125" w:line="221" w:lineRule="auto"/>
        <w:rPr>
          <w:rFonts w:ascii="Times New Roman" w:hAnsi="Times New Roman" w:eastAsia="Times New Roman" w:cs="Times New Roman"/>
        </w:rPr>
      </w:pPr>
      <w:r>
        <w:rPr>
          <w:rFonts w:ascii="Times New Roman" w:hAnsi="Times New Roman" w:eastAsia="Times New Roman" w:cs="Times New Roman"/>
          <w:spacing w:val="-2"/>
        </w:rPr>
        <w:t>7.3.3</w:t>
      </w:r>
      <w:r>
        <w:rPr>
          <w:rFonts w:ascii="Times New Roman" w:hAnsi="Times New Roman" w:eastAsia="Times New Roman" w:cs="Times New Roman"/>
          <w:spacing w:val="13"/>
        </w:rPr>
        <w:t xml:space="preserve">  </w:t>
      </w:r>
      <w:r>
        <w:rPr>
          <w:rFonts w:ascii="Times New Roman" w:hAnsi="Times New Roman" w:eastAsia="Times New Roman" w:cs="Times New Roman"/>
          <w:spacing w:val="-2"/>
        </w:rPr>
        <w:t>ESWL</w:t>
      </w:r>
      <w:r>
        <w:rPr>
          <w:spacing w:val="-2"/>
        </w:rPr>
        <w:t>联合</w:t>
      </w:r>
      <w:r>
        <w:rPr>
          <w:rFonts w:ascii="Times New Roman" w:hAnsi="Times New Roman" w:eastAsia="Times New Roman" w:cs="Times New Roman"/>
          <w:spacing w:val="-2"/>
        </w:rPr>
        <w:t>PNL</w:t>
      </w:r>
    </w:p>
    <w:p>
      <w:pPr>
        <w:pStyle w:val="BodyText"/>
        <w:ind w:left="899"/>
        <w:spacing w:before="76" w:line="219" w:lineRule="auto"/>
        <w:rPr/>
      </w:pPr>
      <w:r>
        <w:rPr>
          <w:spacing w:val="2"/>
        </w:rPr>
        <w:t>7.3.4经皮手术与</w:t>
      </w:r>
      <w:r>
        <w:rPr>
          <w:rFonts w:ascii="Times New Roman" w:hAnsi="Times New Roman" w:eastAsia="Times New Roman" w:cs="Times New Roman"/>
        </w:rPr>
        <w:t>ESWL</w:t>
      </w:r>
      <w:r>
        <w:rPr>
          <w:spacing w:val="2"/>
        </w:rPr>
        <w:t>的比较</w:t>
      </w:r>
    </w:p>
    <w:p>
      <w:pPr>
        <w:pStyle w:val="BodyText"/>
        <w:ind w:left="899"/>
        <w:spacing w:before="111" w:line="219" w:lineRule="auto"/>
        <w:rPr/>
      </w:pPr>
      <w:r>
        <w:rPr>
          <w:spacing w:val="3"/>
        </w:rPr>
        <w:t>7.3.5参考文献</w:t>
      </w:r>
    </w:p>
    <w:p>
      <w:pPr>
        <w:pStyle w:val="BodyText"/>
        <w:ind w:left="899"/>
        <w:spacing w:before="91" w:line="219" w:lineRule="auto"/>
        <w:rPr/>
      </w:pPr>
      <w:r>
        <w:rPr>
          <w:spacing w:val="-1"/>
        </w:rPr>
        <w:t>7.4 肾结石开放手术取石</w:t>
      </w:r>
    </w:p>
    <w:p>
      <w:pPr>
        <w:pStyle w:val="BodyText"/>
        <w:ind w:left="899"/>
        <w:spacing w:before="91" w:line="219" w:lineRule="auto"/>
        <w:rPr/>
      </w:pPr>
      <w:r>
        <w:rPr>
          <w:spacing w:val="-4"/>
        </w:rPr>
        <w:t>7.4.1 开放性手术适应症</w:t>
      </w:r>
    </w:p>
    <w:p>
      <w:pPr>
        <w:pStyle w:val="BodyText"/>
        <w:ind w:left="899"/>
        <w:spacing w:before="91" w:line="219" w:lineRule="auto"/>
        <w:rPr/>
      </w:pPr>
      <w:r>
        <w:rPr>
          <w:spacing w:val="-7"/>
        </w:rPr>
        <w:t>7.4.2 手术操作</w:t>
      </w:r>
    </w:p>
    <w:p>
      <w:pPr>
        <w:pStyle w:val="BodyText"/>
        <w:ind w:left="902"/>
        <w:spacing w:before="87" w:line="219" w:lineRule="auto"/>
        <w:rPr/>
      </w:pPr>
      <w:r>
        <w:rPr>
          <w:b/>
          <w:bCs/>
          <w:spacing w:val="-13"/>
        </w:rPr>
        <w:t>7.4.3</w:t>
      </w:r>
      <w:r>
        <w:rPr>
          <w:spacing w:val="9"/>
        </w:rPr>
        <w:t xml:space="preserve"> </w:t>
      </w:r>
      <w:r>
        <w:rPr>
          <w:b/>
          <w:bCs/>
          <w:spacing w:val="-13"/>
        </w:rPr>
        <w:t>参考文献</w:t>
      </w:r>
    </w:p>
    <w:p>
      <w:pPr>
        <w:pStyle w:val="BodyText"/>
        <w:ind w:left="902"/>
        <w:spacing w:before="92" w:line="220" w:lineRule="auto"/>
        <w:outlineLvl w:val="4"/>
        <w:rPr/>
      </w:pPr>
      <w:r>
        <w:rPr>
          <w:b/>
          <w:bCs/>
          <w:spacing w:val="7"/>
        </w:rPr>
        <w:t>7.5药物溶石</w:t>
      </w:r>
    </w:p>
    <w:p>
      <w:pPr>
        <w:pStyle w:val="BodyText"/>
        <w:ind w:left="899"/>
        <w:spacing w:before="93" w:line="220" w:lineRule="auto"/>
        <w:rPr/>
      </w:pPr>
      <w:r>
        <w:rPr>
          <w:spacing w:val="-7"/>
        </w:rPr>
        <w:t>7.5.1 感染性结石</w:t>
      </w:r>
    </w:p>
    <w:p>
      <w:pPr>
        <w:pStyle w:val="BodyText"/>
        <w:ind w:left="899"/>
        <w:spacing w:before="69" w:line="219" w:lineRule="auto"/>
        <w:rPr/>
      </w:pPr>
      <w:r>
        <w:rPr>
          <w:spacing w:val="4"/>
        </w:rPr>
        <w:t>7.5.2磷酸氢钙结石</w:t>
      </w:r>
    </w:p>
    <w:p>
      <w:pPr>
        <w:pStyle w:val="BodyText"/>
        <w:ind w:left="899"/>
        <w:spacing w:before="111" w:line="220" w:lineRule="auto"/>
        <w:rPr/>
      </w:pPr>
      <w:r>
        <w:rPr>
          <w:spacing w:val="-10"/>
        </w:rPr>
        <w:t>7.5.3</w:t>
      </w:r>
      <w:r>
        <w:rPr>
          <w:spacing w:val="21"/>
        </w:rPr>
        <w:t xml:space="preserve"> </w:t>
      </w:r>
      <w:r>
        <w:rPr>
          <w:spacing w:val="-10"/>
        </w:rPr>
        <w:t>胱氨酸结石</w:t>
      </w:r>
    </w:p>
    <w:p>
      <w:pPr>
        <w:pStyle w:val="BodyText"/>
        <w:ind w:left="899"/>
        <w:spacing w:before="81" w:line="221" w:lineRule="auto"/>
        <w:rPr/>
      </w:pPr>
      <w:r>
        <w:rPr>
          <w:spacing w:val="3"/>
        </w:rPr>
        <w:t>7.5.4尿酸结石</w:t>
      </w:r>
    </w:p>
    <w:p>
      <w:pPr>
        <w:pStyle w:val="BodyText"/>
        <w:ind w:left="899"/>
        <w:spacing w:before="87" w:line="219" w:lineRule="auto"/>
        <w:rPr/>
      </w:pPr>
      <w:r>
        <w:rPr>
          <w:spacing w:val="3"/>
        </w:rPr>
        <w:t>7.5.5草酸钙和尿酸铵结石</w:t>
      </w:r>
    </w:p>
    <w:p>
      <w:pPr>
        <w:pStyle w:val="BodyText"/>
        <w:ind w:left="899"/>
        <w:spacing w:before="111" w:line="219" w:lineRule="auto"/>
        <w:rPr/>
      </w:pPr>
      <w:r>
        <w:rPr>
          <w:spacing w:val="3"/>
        </w:rPr>
        <w:t>7.5.6参考文献</w:t>
      </w:r>
    </w:p>
    <w:p>
      <w:pPr>
        <w:ind w:left="4849"/>
        <w:spacing w:before="27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rPr>
        <w:t>—178—</w:t>
      </w:r>
    </w:p>
    <w:p>
      <w:pPr>
        <w:spacing w:line="361" w:lineRule="auto"/>
        <w:rPr>
          <w:rFonts w:ascii="Arial"/>
          <w:sz w:val="21"/>
        </w:rPr>
      </w:pPr>
      <w:r/>
    </w:p>
    <w:p>
      <w:pPr>
        <w:spacing w:before="6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House.Allrights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reserved.   </w:t>
      </w:r>
      <w:hyperlink w:history="true" r:id="rId4">
        <w:r>
          <w:rPr>
            <w:rFonts w:ascii="Times New Roman" w:hAnsi="Times New Roman" w:eastAsia="Times New Roman" w:cs="Times New Roman"/>
            <w:sz w:val="21"/>
            <w:szCs w:val="21"/>
          </w:rPr>
          <w:t>http://www.c</w:t>
        </w:r>
        <w:r>
          <w:rPr>
            <w:rFonts w:ascii="Times New Roman" w:hAnsi="Times New Roman" w:eastAsia="Times New Roman" w:cs="Times New Roman"/>
            <w:sz w:val="21"/>
            <w:szCs w:val="21"/>
            <w:spacing w:val="-1"/>
          </w:rPr>
          <w:t>nki.net</w:t>
        </w:r>
      </w:hyperlink>
    </w:p>
    <w:p>
      <w:pPr>
        <w:spacing w:line="192" w:lineRule="auto"/>
        <w:sectPr>
          <w:headerReference w:type="default" r:id="rId5"/>
          <w:pgSz w:w="11850" w:h="16140"/>
          <w:pgMar w:top="400" w:right="1777" w:bottom="0" w:left="400" w:header="0" w:footer="0" w:gutter="0"/>
        </w:sectPr>
        <w:rPr>
          <w:rFonts w:ascii="Times New Roman" w:hAnsi="Times New Roman" w:eastAsia="Times New Roman" w:cs="Times New Roman"/>
          <w:sz w:val="21"/>
          <w:szCs w:val="21"/>
        </w:rPr>
      </w:pPr>
    </w:p>
    <w:p>
      <w:pPr>
        <w:spacing w:line="378" w:lineRule="auto"/>
        <w:rPr>
          <w:rFonts w:ascii="Arial"/>
          <w:sz w:val="21"/>
        </w:rPr>
      </w:pPr>
      <w:r/>
    </w:p>
    <w:p>
      <w:pPr>
        <w:ind w:left="7823"/>
        <w:spacing w:before="71" w:line="294" w:lineRule="exact"/>
        <w:rPr>
          <w:rFonts w:ascii="STXingkai" w:hAnsi="STXingkai" w:eastAsia="STXingkai" w:cs="STXingkai"/>
          <w:sz w:val="21"/>
          <w:szCs w:val="21"/>
        </w:rPr>
      </w:pPr>
      <w:r>
        <w:drawing>
          <wp:anchor distT="0" distB="0" distL="0" distR="0" simplePos="0" relativeHeight="251660288" behindDoc="0" locked="0" layoutInCell="1" allowOverlap="1">
            <wp:simplePos x="0" y="0"/>
            <wp:positionH relativeFrom="column">
              <wp:posOffset>4800564</wp:posOffset>
            </wp:positionH>
            <wp:positionV relativeFrom="paragraph">
              <wp:posOffset>184484</wp:posOffset>
            </wp:positionV>
            <wp:extent cx="1562138" cy="6667"/>
            <wp:effectExtent l="0" t="0" r="0" b="0"/>
            <wp:wrapNone/>
            <wp:docPr id="10" name="IM 10"/>
            <wp:cNvGraphicFramePr/>
            <a:graphic>
              <a:graphicData uri="http://schemas.openxmlformats.org/drawingml/2006/picture">
                <pic:pic>
                  <pic:nvPicPr>
                    <pic:cNvPr id="10" name="IM 10"/>
                    <pic:cNvPicPr/>
                  </pic:nvPicPr>
                  <pic:blipFill>
                    <a:blip r:embed="rId8"/>
                    <a:stretch>
                      <a:fillRect/>
                    </a:stretch>
                  </pic:blipFill>
                  <pic:spPr>
                    <a:xfrm rot="0">
                      <a:off x="0" y="0"/>
                      <a:ext cx="1562138" cy="6667"/>
                    </a:xfrm>
                    <a:prstGeom prst="rect">
                      <a:avLst/>
                    </a:prstGeom>
                  </pic:spPr>
                </pic:pic>
              </a:graphicData>
            </a:graphic>
          </wp:anchor>
        </w:drawing>
      </w:r>
      <w:r>
        <w:drawing>
          <wp:anchor distT="0" distB="0" distL="0" distR="0" simplePos="0" relativeHeight="251661312" behindDoc="0" locked="0" layoutInCell="1" allowOverlap="1">
            <wp:simplePos x="0" y="0"/>
            <wp:positionH relativeFrom="column">
              <wp:posOffset>4660905</wp:posOffset>
            </wp:positionH>
            <wp:positionV relativeFrom="paragraph">
              <wp:posOffset>95031</wp:posOffset>
            </wp:positionV>
            <wp:extent cx="215885" cy="209590"/>
            <wp:effectExtent l="0" t="0" r="0" b="0"/>
            <wp:wrapNone/>
            <wp:docPr id="12" name="IM 12"/>
            <wp:cNvGraphicFramePr/>
            <a:graphic>
              <a:graphicData uri="http://schemas.openxmlformats.org/drawingml/2006/picture">
                <pic:pic>
                  <pic:nvPicPr>
                    <pic:cNvPr id="12" name="IM 12"/>
                    <pic:cNvPicPr/>
                  </pic:nvPicPr>
                  <pic:blipFill>
                    <a:blip r:embed="rId9"/>
                    <a:stretch>
                      <a:fillRect/>
                    </a:stretch>
                  </pic:blipFill>
                  <pic:spPr>
                    <a:xfrm rot="0">
                      <a:off x="0" y="0"/>
                      <a:ext cx="215885" cy="209590"/>
                    </a:xfrm>
                    <a:prstGeom prst="rect">
                      <a:avLst/>
                    </a:prstGeom>
                  </pic:spPr>
                </pic:pic>
              </a:graphicData>
            </a:graphic>
          </wp:anchor>
        </w:drawing>
      </w:r>
      <w:r>
        <w:rPr>
          <w:rFonts w:ascii="STXingkai" w:hAnsi="STXingkai" w:eastAsia="STXingkai" w:cs="STXingkai"/>
          <w:sz w:val="21"/>
          <w:szCs w:val="21"/>
          <w:spacing w:val="-22"/>
          <w:position w:val="2"/>
        </w:rPr>
        <w:t>附</w:t>
      </w:r>
      <w:r>
        <w:rPr>
          <w:rFonts w:ascii="STXingkai" w:hAnsi="STXingkai" w:eastAsia="STXingkai" w:cs="STXingkai"/>
          <w:sz w:val="21"/>
          <w:szCs w:val="21"/>
          <w:spacing w:val="3"/>
          <w:position w:val="2"/>
        </w:rPr>
        <w:t xml:space="preserve">    </w:t>
      </w:r>
      <w:r>
        <w:rPr>
          <w:rFonts w:ascii="STXingkai" w:hAnsi="STXingkai" w:eastAsia="STXingkai" w:cs="STXingkai"/>
          <w:sz w:val="21"/>
          <w:szCs w:val="21"/>
          <w:spacing w:val="-22"/>
          <w:position w:val="2"/>
        </w:rPr>
        <w:t>录</w:t>
      </w:r>
      <w:r>
        <w:rPr>
          <w:rFonts w:ascii="STXingkai" w:hAnsi="STXingkai" w:eastAsia="STXingkai" w:cs="STXingkai"/>
          <w:sz w:val="21"/>
          <w:szCs w:val="21"/>
          <w:spacing w:val="2"/>
          <w:position w:val="2"/>
        </w:rPr>
        <w:t xml:space="preserve">     </w:t>
      </w:r>
      <w:r>
        <w:rPr>
          <w:rFonts w:ascii="STXingkai" w:hAnsi="STXingkai" w:eastAsia="STXingkai" w:cs="STXingkai"/>
          <w:sz w:val="21"/>
          <w:szCs w:val="21"/>
          <w:spacing w:val="-22"/>
          <w:position w:val="2"/>
        </w:rPr>
        <w:t>·</w:t>
      </w:r>
      <w:r>
        <w:rPr>
          <w:rFonts w:ascii="STXingkai" w:hAnsi="STXingkai" w:eastAsia="STXingkai" w:cs="STXingkai"/>
          <w:sz w:val="21"/>
          <w:szCs w:val="21"/>
          <w:spacing w:val="1"/>
          <w:position w:val="2"/>
        </w:rPr>
        <w:t xml:space="preserve">    </w:t>
      </w:r>
      <w:r>
        <w:rPr>
          <w:rFonts w:ascii="STXingkai" w:hAnsi="STXingkai" w:eastAsia="STXingkai" w:cs="STXingkai"/>
          <w:sz w:val="21"/>
          <w:szCs w:val="21"/>
          <w:spacing w:val="-22"/>
          <w:position w:val="2"/>
        </w:rPr>
        <w:t>指     南</w:t>
      </w:r>
    </w:p>
    <w:p>
      <w:pPr>
        <w:pStyle w:val="BodyText"/>
        <w:ind w:left="799" w:right="6702"/>
        <w:spacing w:before="303" w:line="259" w:lineRule="auto"/>
        <w:rPr/>
      </w:pPr>
      <w:r>
        <w:rPr>
          <w:spacing w:val="7"/>
        </w:rPr>
        <w:t>7.6肾结石治疗方法的介绍</w:t>
      </w:r>
      <w:r>
        <w:rPr>
          <w:spacing w:val="10"/>
        </w:rPr>
        <w:t xml:space="preserve"> </w:t>
      </w:r>
      <w:r>
        <w:rPr>
          <w:spacing w:val="13"/>
        </w:rPr>
        <w:t>8输尿管结石的处理方式</w:t>
      </w:r>
    </w:p>
    <w:p>
      <w:pPr>
        <w:pStyle w:val="BodyText"/>
        <w:ind w:left="799"/>
        <w:spacing w:before="70" w:line="219" w:lineRule="auto"/>
        <w:rPr/>
      </w:pPr>
      <w:r>
        <w:rPr>
          <w:rFonts w:ascii="Times New Roman" w:hAnsi="Times New Roman" w:eastAsia="Times New Roman" w:cs="Times New Roman"/>
          <w:spacing w:val="-1"/>
        </w:rPr>
        <w:t>8.1</w:t>
      </w:r>
      <w:r>
        <w:rPr>
          <w:rFonts w:ascii="Times New Roman" w:hAnsi="Times New Roman" w:eastAsia="Times New Roman" w:cs="Times New Roman"/>
          <w:spacing w:val="18"/>
        </w:rPr>
        <w:t xml:space="preserve">  </w:t>
      </w:r>
      <w:r>
        <w:rPr>
          <w:spacing w:val="-1"/>
        </w:rPr>
        <w:t>应用</w:t>
      </w:r>
      <w:r>
        <w:rPr>
          <w:rFonts w:ascii="Times New Roman" w:hAnsi="Times New Roman" w:eastAsia="Times New Roman" w:cs="Times New Roman"/>
          <w:spacing w:val="-1"/>
        </w:rPr>
        <w:t>ESWL</w:t>
      </w:r>
      <w:r>
        <w:rPr>
          <w:spacing w:val="-1"/>
        </w:rPr>
        <w:t>治疗输尿管结石</w:t>
      </w:r>
    </w:p>
    <w:p>
      <w:pPr>
        <w:pStyle w:val="BodyText"/>
        <w:ind w:left="799"/>
        <w:spacing w:before="80" w:line="219" w:lineRule="auto"/>
        <w:rPr/>
      </w:pPr>
      <w:r>
        <w:rPr>
          <w:spacing w:val="-6"/>
        </w:rPr>
        <w:t>8.1.1</w:t>
      </w:r>
      <w:r>
        <w:rPr>
          <w:spacing w:val="-19"/>
        </w:rPr>
        <w:t xml:space="preserve"> </w:t>
      </w:r>
      <w:r>
        <w:rPr>
          <w:spacing w:val="-6"/>
        </w:rPr>
        <w:t>参考文献</w:t>
      </w:r>
    </w:p>
    <w:p>
      <w:pPr>
        <w:pStyle w:val="BodyText"/>
        <w:ind w:left="799"/>
        <w:spacing w:before="80" w:line="219" w:lineRule="auto"/>
        <w:rPr/>
      </w:pPr>
      <w:r>
        <w:rPr>
          <w:spacing w:val="-1"/>
        </w:rPr>
        <w:t>8.2 结石的逆行碎石处理</w:t>
      </w:r>
    </w:p>
    <w:p>
      <w:pPr>
        <w:pStyle w:val="BodyText"/>
        <w:ind w:left="799"/>
        <w:spacing w:before="82" w:line="220" w:lineRule="auto"/>
        <w:rPr/>
      </w:pPr>
      <w:r>
        <w:rPr>
          <w:spacing w:val="-9"/>
        </w:rPr>
        <w:t>8.2.1 支架处理</w:t>
      </w:r>
    </w:p>
    <w:p>
      <w:pPr>
        <w:pStyle w:val="BodyText"/>
        <w:ind w:left="802"/>
        <w:spacing w:before="86" w:line="219" w:lineRule="auto"/>
        <w:rPr/>
      </w:pPr>
      <w:r>
        <w:rPr>
          <w:b/>
          <w:bCs/>
        </w:rPr>
        <w:t>8.2.2参考文献</w:t>
      </w:r>
    </w:p>
    <w:p>
      <w:pPr>
        <w:pStyle w:val="BodyText"/>
        <w:ind w:left="802"/>
        <w:spacing w:before="91" w:line="219" w:lineRule="auto"/>
        <w:outlineLvl w:val="4"/>
        <w:rPr/>
      </w:pPr>
      <w:r>
        <w:rPr>
          <w:b/>
          <w:bCs/>
          <w:spacing w:val="6"/>
        </w:rPr>
        <w:t>8.3输尿管镜碎石</w:t>
      </w:r>
    </w:p>
    <w:p>
      <w:pPr>
        <w:pStyle w:val="BodyText"/>
        <w:ind w:left="802"/>
        <w:spacing w:before="81" w:line="219" w:lineRule="auto"/>
        <w:rPr/>
      </w:pPr>
      <w:r>
        <w:rPr>
          <w:b/>
          <w:bCs/>
          <w:spacing w:val="-8"/>
        </w:rPr>
        <w:t>8.3.1</w:t>
      </w:r>
      <w:r>
        <w:rPr>
          <w:spacing w:val="-8"/>
        </w:rPr>
        <w:t xml:space="preserve"> </w:t>
      </w:r>
      <w:r>
        <w:rPr>
          <w:b/>
          <w:bCs/>
          <w:spacing w:val="-8"/>
        </w:rPr>
        <w:t>标准内窥镜技术</w:t>
      </w:r>
    </w:p>
    <w:p>
      <w:pPr>
        <w:pStyle w:val="BodyText"/>
        <w:ind w:left="802"/>
        <w:spacing w:before="81" w:line="220" w:lineRule="auto"/>
        <w:rPr/>
      </w:pPr>
      <w:r>
        <w:rPr>
          <w:b/>
          <w:bCs/>
          <w:spacing w:val="-16"/>
        </w:rPr>
        <w:t>8.3.2</w:t>
      </w:r>
      <w:r>
        <w:rPr>
          <w:spacing w:val="11"/>
        </w:rPr>
        <w:t xml:space="preserve"> </w:t>
      </w:r>
      <w:r>
        <w:rPr>
          <w:b/>
          <w:bCs/>
          <w:spacing w:val="-16"/>
        </w:rPr>
        <w:t>麻醉</w:t>
      </w:r>
    </w:p>
    <w:p>
      <w:pPr>
        <w:pStyle w:val="BodyText"/>
        <w:ind w:left="802"/>
        <w:spacing w:before="98" w:line="218" w:lineRule="auto"/>
        <w:rPr/>
      </w:pPr>
      <w:r>
        <w:rPr>
          <w:b/>
          <w:bCs/>
          <w:spacing w:val="-6"/>
        </w:rPr>
        <w:t>8.3.3</w:t>
      </w:r>
      <w:r>
        <w:rPr>
          <w:spacing w:val="-6"/>
        </w:rPr>
        <w:t xml:space="preserve"> </w:t>
      </w:r>
      <w:r>
        <w:rPr>
          <w:b/>
          <w:bCs/>
          <w:spacing w:val="-6"/>
        </w:rPr>
        <w:t>各种不同碎石设备的评估</w:t>
      </w:r>
    </w:p>
    <w:p>
      <w:pPr>
        <w:pStyle w:val="BodyText"/>
        <w:ind w:left="802"/>
        <w:spacing w:before="84" w:line="219" w:lineRule="auto"/>
        <w:rPr/>
      </w:pPr>
      <w:r>
        <w:rPr>
          <w:b/>
          <w:bCs/>
          <w:spacing w:val="-3"/>
        </w:rPr>
        <w:t>8.3.3.1输尿管镜</w:t>
      </w:r>
    </w:p>
    <w:p>
      <w:pPr>
        <w:pStyle w:val="BodyText"/>
        <w:ind w:left="802"/>
        <w:spacing w:before="70" w:line="219" w:lineRule="auto"/>
        <w:rPr/>
      </w:pPr>
      <w:r>
        <w:rPr>
          <w:b/>
          <w:bCs/>
          <w:spacing w:val="-12"/>
        </w:rPr>
        <w:t>8.3.3.2</w:t>
      </w:r>
      <w:r>
        <w:rPr>
          <w:spacing w:val="-12"/>
        </w:rPr>
        <w:t xml:space="preserve"> </w:t>
      </w:r>
      <w:r>
        <w:rPr>
          <w:b/>
          <w:bCs/>
          <w:spacing w:val="-12"/>
        </w:rPr>
        <w:t>碎石设备</w:t>
      </w:r>
    </w:p>
    <w:p>
      <w:pPr>
        <w:pStyle w:val="BodyText"/>
        <w:ind w:left="802"/>
        <w:spacing w:before="82" w:line="220" w:lineRule="auto"/>
        <w:rPr/>
      </w:pPr>
      <w:r>
        <w:rPr>
          <w:b/>
          <w:bCs/>
          <w:spacing w:val="-3"/>
        </w:rPr>
        <w:t>8.3.3.3套石篮</w:t>
      </w:r>
    </w:p>
    <w:p>
      <w:pPr>
        <w:pStyle w:val="BodyText"/>
        <w:ind w:left="802"/>
        <w:spacing w:before="99" w:line="219" w:lineRule="auto"/>
        <w:rPr/>
      </w:pPr>
      <w:r>
        <w:rPr>
          <w:b/>
          <w:bCs/>
          <w:spacing w:val="-11"/>
        </w:rPr>
        <w:t>8.3.3.4</w:t>
      </w:r>
      <w:r>
        <w:rPr>
          <w:spacing w:val="-11"/>
        </w:rPr>
        <w:t xml:space="preserve"> </w:t>
      </w:r>
      <w:r>
        <w:rPr>
          <w:b/>
          <w:bCs/>
          <w:spacing w:val="-11"/>
        </w:rPr>
        <w:t>扩张和置管</w:t>
      </w:r>
    </w:p>
    <w:p>
      <w:pPr>
        <w:pStyle w:val="BodyText"/>
        <w:ind w:left="799"/>
        <w:spacing w:before="94" w:line="219" w:lineRule="auto"/>
        <w:rPr/>
      </w:pPr>
      <w:r>
        <w:rPr>
          <w:spacing w:val="-9"/>
        </w:rPr>
        <w:t>8.3.3.5 临床效果</w:t>
      </w:r>
    </w:p>
    <w:p>
      <w:pPr>
        <w:pStyle w:val="BodyText"/>
        <w:ind w:left="799"/>
        <w:spacing w:before="71" w:line="219" w:lineRule="auto"/>
        <w:rPr/>
      </w:pPr>
      <w:r>
        <w:rPr>
          <w:spacing w:val="-1"/>
        </w:rPr>
        <w:t>8.3.3.6并发症</w:t>
      </w:r>
    </w:p>
    <w:p>
      <w:pPr>
        <w:pStyle w:val="BodyText"/>
        <w:ind w:left="799"/>
        <w:spacing w:before="92" w:line="221" w:lineRule="auto"/>
        <w:rPr/>
      </w:pPr>
      <w:r>
        <w:rPr>
          <w:spacing w:val="-13"/>
        </w:rPr>
        <w:t>8.3.3.7 结论</w:t>
      </w:r>
    </w:p>
    <w:p>
      <w:pPr>
        <w:pStyle w:val="BodyText"/>
        <w:ind w:left="799"/>
        <w:spacing w:before="97" w:line="219" w:lineRule="auto"/>
        <w:rPr/>
      </w:pPr>
      <w:r>
        <w:rPr>
          <w:spacing w:val="-8"/>
        </w:rPr>
        <w:t>8.3.4 参考文献</w:t>
      </w:r>
    </w:p>
    <w:p>
      <w:pPr>
        <w:pStyle w:val="BodyText"/>
        <w:ind w:left="799"/>
        <w:spacing w:before="81" w:line="219" w:lineRule="auto"/>
        <w:rPr/>
      </w:pPr>
      <w:r>
        <w:rPr>
          <w:rFonts w:ascii="Times New Roman" w:hAnsi="Times New Roman" w:eastAsia="Times New Roman" w:cs="Times New Roman"/>
          <w:spacing w:val="2"/>
        </w:rPr>
        <w:t>8.4  </w:t>
      </w:r>
      <w:r>
        <w:rPr>
          <w:rFonts w:ascii="Times New Roman" w:hAnsi="Times New Roman" w:eastAsia="Times New Roman" w:cs="Times New Roman"/>
        </w:rPr>
        <w:t>ESWL</w:t>
      </w:r>
      <w:r>
        <w:rPr>
          <w:spacing w:val="2"/>
        </w:rPr>
        <w:t>或输尿管镜能用于取石吗?</w:t>
      </w:r>
    </w:p>
    <w:p>
      <w:pPr>
        <w:pStyle w:val="BodyText"/>
        <w:ind w:left="799"/>
        <w:spacing w:before="91" w:line="219" w:lineRule="auto"/>
        <w:rPr/>
      </w:pPr>
      <w:r>
        <w:rPr>
          <w:spacing w:val="-9"/>
        </w:rPr>
        <w:t>8.4.1 参考文献</w:t>
      </w:r>
    </w:p>
    <w:p>
      <w:pPr>
        <w:pStyle w:val="BodyText"/>
        <w:ind w:left="799" w:right="6250"/>
        <w:spacing w:before="90" w:line="260" w:lineRule="auto"/>
        <w:rPr/>
      </w:pPr>
      <w:r>
        <w:rPr>
          <w:spacing w:val="8"/>
        </w:rPr>
        <w:t>8.5输尿管结石积极治疗的建议</w:t>
      </w:r>
      <w:r>
        <w:rPr>
          <w:spacing w:val="13"/>
        </w:rPr>
        <w:t xml:space="preserve"> </w:t>
      </w:r>
      <w:r>
        <w:rPr>
          <w:spacing w:val="13"/>
        </w:rPr>
        <w:t>9结石的治疗原则和注意事项</w:t>
      </w:r>
    </w:p>
    <w:p>
      <w:pPr>
        <w:pStyle w:val="BodyText"/>
        <w:ind w:left="799"/>
        <w:spacing w:before="81" w:line="224" w:lineRule="auto"/>
        <w:rPr>
          <w:rFonts w:ascii="SimHei" w:hAnsi="SimHei" w:eastAsia="SimHei" w:cs="SimHei"/>
        </w:rPr>
      </w:pPr>
      <w:r>
        <w:rPr>
          <w:spacing w:val="-3"/>
        </w:rPr>
        <w:t>9.1</w:t>
      </w:r>
      <w:r>
        <w:rPr>
          <w:spacing w:val="-31"/>
        </w:rPr>
        <w:t xml:space="preserve"> </w:t>
      </w:r>
      <w:r>
        <w:rPr>
          <w:rFonts w:ascii="SimHei" w:hAnsi="SimHei" w:eastAsia="SimHei" w:cs="SimHei"/>
          <w:spacing w:val="-3"/>
        </w:rPr>
        <w:t>感染</w:t>
      </w:r>
    </w:p>
    <w:p>
      <w:pPr>
        <w:pStyle w:val="BodyText"/>
        <w:ind w:left="799"/>
        <w:spacing w:before="77" w:line="223" w:lineRule="auto"/>
        <w:rPr/>
      </w:pPr>
      <w:r>
        <w:rPr>
          <w:spacing w:val="-5"/>
        </w:rPr>
        <w:t>9.2</w:t>
      </w:r>
      <w:r>
        <w:rPr>
          <w:spacing w:val="-10"/>
        </w:rPr>
        <w:t xml:space="preserve"> </w:t>
      </w:r>
      <w:r>
        <w:rPr>
          <w:spacing w:val="-5"/>
        </w:rPr>
        <w:t>出血</w:t>
      </w:r>
    </w:p>
    <w:p>
      <w:pPr>
        <w:pStyle w:val="BodyText"/>
        <w:ind w:left="799"/>
        <w:spacing w:before="106" w:line="221" w:lineRule="auto"/>
        <w:rPr/>
      </w:pPr>
      <w:r>
        <w:rPr>
          <w:spacing w:val="-8"/>
        </w:rPr>
        <w:t>9.3 妊娠</w:t>
      </w:r>
    </w:p>
    <w:p>
      <w:pPr>
        <w:pStyle w:val="BodyText"/>
        <w:ind w:left="799"/>
        <w:spacing w:before="86" w:line="220" w:lineRule="auto"/>
        <w:rPr/>
      </w:pPr>
      <w:r>
        <w:rPr>
          <w:spacing w:val="9"/>
        </w:rPr>
        <w:t>9.4安装心脏起博器</w:t>
      </w:r>
    </w:p>
    <w:p>
      <w:pPr>
        <w:pStyle w:val="BodyText"/>
        <w:ind w:left="799"/>
        <w:spacing w:before="80" w:line="220" w:lineRule="auto"/>
        <w:rPr/>
      </w:pPr>
      <w:r>
        <w:rPr>
          <w:spacing w:val="12"/>
        </w:rPr>
        <w:t>9.5结石硬度</w:t>
      </w:r>
    </w:p>
    <w:p>
      <w:pPr>
        <w:pStyle w:val="BodyText"/>
        <w:ind w:left="799"/>
        <w:spacing w:before="90" w:line="220" w:lineRule="auto"/>
        <w:rPr/>
      </w:pPr>
      <w:r>
        <w:rPr>
          <w:spacing w:val="10"/>
        </w:rPr>
        <w:t>9</w:t>
      </w:r>
      <w:r>
        <w:rPr>
          <w:spacing w:val="-56"/>
        </w:rPr>
        <w:t xml:space="preserve"> </w:t>
      </w:r>
      <w:r>
        <w:rPr>
          <w:spacing w:val="10"/>
        </w:rPr>
        <w:t>.6透X线的结石</w:t>
      </w:r>
    </w:p>
    <w:p>
      <w:pPr>
        <w:pStyle w:val="BodyText"/>
        <w:ind w:left="799"/>
        <w:spacing w:before="99" w:line="219" w:lineRule="auto"/>
        <w:rPr/>
      </w:pPr>
      <w:r>
        <w:rPr>
          <w:spacing w:val="11"/>
        </w:rPr>
        <w:t>9.7参考文献</w:t>
      </w:r>
    </w:p>
    <w:p>
      <w:pPr>
        <w:pStyle w:val="BodyText"/>
        <w:ind w:left="799"/>
        <w:spacing w:before="69" w:line="219" w:lineRule="auto"/>
        <w:rPr/>
      </w:pPr>
      <w:r>
        <w:rPr>
          <w:spacing w:val="1"/>
        </w:rPr>
        <w:t>10</w:t>
      </w:r>
      <w:r>
        <w:rPr>
          <w:spacing w:val="40"/>
        </w:rPr>
        <w:t xml:space="preserve"> </w:t>
      </w:r>
      <w:r>
        <w:rPr>
          <w:spacing w:val="1"/>
        </w:rPr>
        <w:t>完全性或部分性鹿角形结石</w:t>
      </w:r>
    </w:p>
    <w:p>
      <w:pPr>
        <w:pStyle w:val="BodyText"/>
        <w:ind w:left="799"/>
        <w:spacing w:before="93" w:line="219" w:lineRule="auto"/>
        <w:rPr/>
      </w:pPr>
      <w:r>
        <w:rPr>
          <w:spacing w:val="2"/>
        </w:rPr>
        <w:t>11 特殊问题的处理</w:t>
      </w:r>
    </w:p>
    <w:p>
      <w:pPr>
        <w:pStyle w:val="BodyText"/>
        <w:ind w:left="799" w:right="7909"/>
        <w:spacing w:before="91" w:line="263" w:lineRule="auto"/>
        <w:rPr/>
      </w:pPr>
      <w:r>
        <w:rPr>
          <w:spacing w:val="-5"/>
        </w:rPr>
        <w:t>11.1</w:t>
      </w:r>
      <w:r>
        <w:rPr>
          <w:spacing w:val="-16"/>
        </w:rPr>
        <w:t xml:space="preserve"> </w:t>
      </w:r>
      <w:r>
        <w:rPr>
          <w:spacing w:val="-5"/>
        </w:rPr>
        <w:t>参考文献</w:t>
      </w:r>
      <w:r>
        <w:rPr/>
        <w:t xml:space="preserve"> </w:t>
      </w:r>
      <w:r>
        <w:rPr>
          <w:spacing w:val="19"/>
        </w:rPr>
        <w:t>12残石碎片</w:t>
      </w:r>
    </w:p>
    <w:p>
      <w:pPr>
        <w:pStyle w:val="BodyText"/>
        <w:ind w:left="799" w:right="7919"/>
        <w:spacing w:before="91" w:line="260" w:lineRule="auto"/>
        <w:rPr>
          <w:rFonts w:ascii="SimHei" w:hAnsi="SimHei" w:eastAsia="SimHei" w:cs="SimHei"/>
        </w:rPr>
      </w:pPr>
      <w:r>
        <w:rPr>
          <w:spacing w:val="-5"/>
        </w:rPr>
        <w:t>12.1</w:t>
      </w:r>
      <w:r>
        <w:rPr>
          <w:spacing w:val="-26"/>
        </w:rPr>
        <w:t xml:space="preserve"> </w:t>
      </w:r>
      <w:r>
        <w:rPr>
          <w:spacing w:val="-5"/>
        </w:rPr>
        <w:t>参考文献</w:t>
      </w:r>
      <w:r>
        <w:rPr/>
        <w:t xml:space="preserve"> </w:t>
      </w:r>
      <w:r>
        <w:rPr>
          <w:rFonts w:ascii="SimHei" w:hAnsi="SimHei" w:eastAsia="SimHei" w:cs="SimHei"/>
          <w:spacing w:val="27"/>
        </w:rPr>
        <w:t>13石街</w:t>
      </w:r>
    </w:p>
    <w:p>
      <w:pPr>
        <w:pStyle w:val="BodyText"/>
        <w:ind w:left="799"/>
        <w:spacing w:before="79" w:line="219" w:lineRule="auto"/>
        <w:rPr/>
      </w:pPr>
      <w:r>
        <w:rPr>
          <w:spacing w:val="-1"/>
        </w:rPr>
        <w:t>13.1</w:t>
      </w:r>
      <w:r>
        <w:rPr>
          <w:spacing w:val="-40"/>
        </w:rPr>
        <w:t xml:space="preserve"> </w:t>
      </w:r>
      <w:r>
        <w:rPr>
          <w:spacing w:val="-1"/>
        </w:rPr>
        <w:t>参考文献</w:t>
      </w:r>
    </w:p>
    <w:p>
      <w:pPr>
        <w:pStyle w:val="BodyText"/>
        <w:ind w:left="799"/>
        <w:spacing w:before="81" w:line="220" w:lineRule="auto"/>
        <w:rPr/>
      </w:pPr>
      <w:r>
        <w:rPr/>
        <w:t>14</w:t>
      </w:r>
      <w:r>
        <w:rPr>
          <w:spacing w:val="33"/>
        </w:rPr>
        <w:t xml:space="preserve"> </w:t>
      </w:r>
      <w:r>
        <w:rPr/>
        <w:t>钙结石的预防措施</w:t>
      </w:r>
    </w:p>
    <w:p>
      <w:pPr>
        <w:pStyle w:val="BodyText"/>
        <w:ind w:left="799"/>
        <w:spacing w:before="98" w:line="219" w:lineRule="auto"/>
        <w:rPr/>
      </w:pPr>
      <w:r>
        <w:rPr>
          <w:spacing w:val="-2"/>
        </w:rPr>
        <w:t>14.1</w:t>
      </w:r>
      <w:r>
        <w:rPr>
          <w:spacing w:val="-30"/>
        </w:rPr>
        <w:t xml:space="preserve"> </w:t>
      </w:r>
      <w:r>
        <w:rPr>
          <w:spacing w:val="-2"/>
        </w:rPr>
        <w:t>常规推荐</w:t>
      </w:r>
    </w:p>
    <w:p>
      <w:pPr>
        <w:pStyle w:val="BodyText"/>
        <w:ind w:left="802"/>
        <w:spacing w:before="69" w:line="219" w:lineRule="auto"/>
        <w:outlineLvl w:val="4"/>
        <w:rPr/>
      </w:pPr>
      <w:r>
        <w:rPr>
          <w:b/>
          <w:bCs/>
          <w:spacing w:val="-11"/>
        </w:rPr>
        <w:t>14.1.1</w:t>
      </w:r>
      <w:r>
        <w:rPr>
          <w:spacing w:val="-11"/>
        </w:rPr>
        <w:t xml:space="preserve"> </w:t>
      </w:r>
      <w:r>
        <w:rPr>
          <w:b/>
          <w:bCs/>
          <w:spacing w:val="-11"/>
        </w:rPr>
        <w:t>参考文献</w:t>
      </w:r>
    </w:p>
    <w:p>
      <w:pPr>
        <w:spacing w:line="275" w:lineRule="auto"/>
        <w:rPr>
          <w:rFonts w:ascii="Arial"/>
          <w:sz w:val="21"/>
        </w:rPr>
      </w:pPr>
      <w:r/>
    </w:p>
    <w:p>
      <w:pPr>
        <w:ind w:left="4909"/>
        <w:spacing w:before="5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6"/>
        </w:rPr>
        <w:t>—179—</w:t>
      </w:r>
    </w:p>
    <w:p>
      <w:pPr>
        <w:spacing w:line="250"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4">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pgSz w:w="11850" w:h="16140"/>
          <w:pgMar w:top="400" w:right="1449" w:bottom="0" w:left="380" w:header="0" w:footer="0" w:gutter="0"/>
        </w:sectPr>
        <w:rPr>
          <w:rFonts w:ascii="Times New Roman" w:hAnsi="Times New Roman" w:eastAsia="Times New Roman" w:cs="Times New Roman"/>
          <w:sz w:val="21"/>
          <w:szCs w:val="21"/>
        </w:rPr>
      </w:pPr>
    </w:p>
    <w:p>
      <w:pPr>
        <w:pStyle w:val="BodyText"/>
        <w:ind w:left="992"/>
        <w:spacing w:before="206" w:line="220" w:lineRule="auto"/>
        <w:outlineLvl w:val="4"/>
        <w:rPr/>
      </w:pPr>
      <w:r>
        <w:rPr>
          <w:b/>
          <w:bCs/>
          <w:spacing w:val="-5"/>
        </w:rPr>
        <w:t>14.2</w:t>
      </w:r>
      <w:r>
        <w:rPr>
          <w:spacing w:val="-5"/>
        </w:rPr>
        <w:t xml:space="preserve"> </w:t>
      </w:r>
      <w:r>
        <w:rPr>
          <w:b/>
          <w:bCs/>
          <w:spacing w:val="-5"/>
        </w:rPr>
        <w:t>预防钙结石复发的药物</w:t>
      </w:r>
    </w:p>
    <w:p>
      <w:pPr>
        <w:pStyle w:val="BodyText"/>
        <w:ind w:left="992"/>
        <w:spacing w:before="89" w:line="219" w:lineRule="auto"/>
        <w:rPr/>
      </w:pPr>
      <w:r>
        <w:rPr>
          <w:b/>
          <w:bCs/>
          <w:spacing w:val="-10"/>
        </w:rPr>
        <w:t>14.2.1</w:t>
      </w:r>
      <w:r>
        <w:rPr>
          <w:spacing w:val="-10"/>
        </w:rPr>
        <w:t xml:space="preserve"> </w:t>
      </w:r>
      <w:r>
        <w:rPr>
          <w:b/>
          <w:bCs/>
          <w:spacing w:val="-10"/>
        </w:rPr>
        <w:t>噻嗪类药物</w:t>
      </w:r>
    </w:p>
    <w:p>
      <w:pPr>
        <w:pStyle w:val="BodyText"/>
        <w:ind w:left="992"/>
        <w:spacing w:before="81" w:line="220" w:lineRule="auto"/>
        <w:rPr/>
      </w:pPr>
      <w:r>
        <w:rPr>
          <w:b/>
          <w:bCs/>
          <w:spacing w:val="-9"/>
        </w:rPr>
        <w:t>14.2.2</w:t>
      </w:r>
      <w:r>
        <w:rPr>
          <w:spacing w:val="-9"/>
        </w:rPr>
        <w:t xml:space="preserve"> </w:t>
      </w:r>
      <w:r>
        <w:rPr>
          <w:b/>
          <w:bCs/>
          <w:spacing w:val="-9"/>
        </w:rPr>
        <w:t>碱性枸橼酸盐</w:t>
      </w:r>
    </w:p>
    <w:p>
      <w:pPr>
        <w:pStyle w:val="BodyText"/>
        <w:ind w:left="989"/>
        <w:spacing w:before="82" w:line="219" w:lineRule="auto"/>
        <w:rPr/>
      </w:pPr>
      <w:r>
        <w:rPr>
          <w:spacing w:val="-10"/>
        </w:rPr>
        <w:t>14.2.3 正磷酸盐</w:t>
      </w:r>
    </w:p>
    <w:p>
      <w:pPr>
        <w:pStyle w:val="BodyText"/>
        <w:ind w:left="992"/>
        <w:spacing w:before="76" w:line="219" w:lineRule="auto"/>
        <w:rPr/>
      </w:pPr>
      <w:r>
        <w:rPr>
          <w:b/>
          <w:bCs/>
          <w:spacing w:val="-17"/>
        </w:rPr>
        <w:t>14.2.4</w:t>
      </w:r>
      <w:r>
        <w:rPr>
          <w:spacing w:val="9"/>
        </w:rPr>
        <w:t xml:space="preserve"> </w:t>
      </w:r>
      <w:r>
        <w:rPr>
          <w:b/>
          <w:bCs/>
          <w:spacing w:val="-17"/>
        </w:rPr>
        <w:t>镁剂</w:t>
      </w:r>
    </w:p>
    <w:p>
      <w:pPr>
        <w:pStyle w:val="BodyText"/>
        <w:ind w:left="989"/>
        <w:spacing w:before="95" w:line="220" w:lineRule="auto"/>
        <w:rPr/>
      </w:pPr>
      <w:r>
        <w:rPr/>
        <w:t>14.2.5别嘌呤醇</w:t>
      </w:r>
    </w:p>
    <w:p>
      <w:pPr>
        <w:pStyle w:val="BodyText"/>
        <w:ind w:left="989"/>
        <w:spacing w:before="79" w:line="219" w:lineRule="auto"/>
        <w:rPr/>
      </w:pPr>
      <w:r>
        <w:rPr>
          <w:spacing w:val="-1"/>
        </w:rPr>
        <w:t>14.2.6磷酸纤维素</w:t>
      </w:r>
    </w:p>
    <w:p>
      <w:pPr>
        <w:pStyle w:val="BodyText"/>
        <w:ind w:left="989"/>
        <w:spacing w:before="67" w:line="212" w:lineRule="auto"/>
        <w:rPr>
          <w:rFonts w:ascii="Times New Roman" w:hAnsi="Times New Roman" w:eastAsia="Times New Roman" w:cs="Times New Roman"/>
        </w:rPr>
      </w:pPr>
      <w:r>
        <w:rPr>
          <w:rFonts w:ascii="Times New Roman" w:hAnsi="Times New Roman" w:eastAsia="Times New Roman" w:cs="Times New Roman"/>
          <w:spacing w:val="6"/>
        </w:rPr>
        <w:t>14.2.7  </w:t>
      </w:r>
      <w:r>
        <w:rPr>
          <w:spacing w:val="6"/>
        </w:rPr>
        <w:t>吡哆醇(维生素</w:t>
      </w:r>
      <w:r>
        <w:rPr>
          <w:rFonts w:ascii="Times New Roman" w:hAnsi="Times New Roman" w:eastAsia="Times New Roman" w:cs="Times New Roman"/>
          <w:spacing w:val="6"/>
        </w:rPr>
        <w:t>B6)</w:t>
      </w:r>
    </w:p>
    <w:p>
      <w:pPr>
        <w:pStyle w:val="BodyText"/>
        <w:ind w:left="989"/>
        <w:spacing w:before="111" w:line="219" w:lineRule="auto"/>
        <w:rPr/>
      </w:pPr>
      <w:r>
        <w:rPr>
          <w:spacing w:val="-11"/>
        </w:rPr>
        <w:t>14.2.8</w:t>
      </w:r>
      <w:r>
        <w:rPr>
          <w:spacing w:val="17"/>
        </w:rPr>
        <w:t xml:space="preserve"> </w:t>
      </w:r>
      <w:r>
        <w:rPr>
          <w:spacing w:val="-11"/>
        </w:rPr>
        <w:t>推荐意见</w:t>
      </w:r>
    </w:p>
    <w:p>
      <w:pPr>
        <w:pStyle w:val="BodyText"/>
        <w:ind w:left="989"/>
        <w:spacing w:before="83" w:line="219" w:lineRule="auto"/>
        <w:rPr/>
      </w:pPr>
      <w:r>
        <w:rPr/>
        <w:t>14.2.9参考文献</w:t>
      </w:r>
    </w:p>
    <w:p>
      <w:pPr>
        <w:pStyle w:val="BodyText"/>
        <w:ind w:left="989"/>
        <w:spacing w:before="91" w:line="220" w:lineRule="auto"/>
        <w:rPr/>
      </w:pPr>
      <w:r>
        <w:rPr>
          <w:spacing w:val="-3"/>
        </w:rPr>
        <w:t>14.3 尿酸结石的药物治疗</w:t>
      </w:r>
    </w:p>
    <w:p>
      <w:pPr>
        <w:pStyle w:val="BodyText"/>
        <w:ind w:left="989"/>
        <w:spacing w:before="79" w:line="219" w:lineRule="auto"/>
        <w:rPr/>
      </w:pPr>
      <w:r>
        <w:rPr>
          <w:spacing w:val="-11"/>
        </w:rPr>
        <w:t>14.3.1 参考文献</w:t>
      </w:r>
    </w:p>
    <w:p>
      <w:pPr>
        <w:pStyle w:val="BodyText"/>
        <w:ind w:left="989"/>
        <w:spacing w:before="82" w:line="220" w:lineRule="auto"/>
        <w:rPr/>
      </w:pPr>
      <w:r>
        <w:rPr>
          <w:spacing w:val="-3"/>
        </w:rPr>
        <w:t>14.4 胱氨酸结石的药物治疗</w:t>
      </w:r>
    </w:p>
    <w:p>
      <w:pPr>
        <w:pStyle w:val="BodyText"/>
        <w:ind w:left="992"/>
        <w:spacing w:before="86" w:line="219" w:lineRule="auto"/>
        <w:outlineLvl w:val="4"/>
        <w:rPr/>
      </w:pPr>
      <w:r>
        <w:rPr>
          <w:b/>
          <w:bCs/>
          <w:spacing w:val="-13"/>
        </w:rPr>
        <w:t>14.4.1</w:t>
      </w:r>
      <w:r>
        <w:rPr>
          <w:spacing w:val="-13"/>
        </w:rPr>
        <w:t xml:space="preserve"> </w:t>
      </w:r>
      <w:r>
        <w:rPr>
          <w:b/>
          <w:bCs/>
          <w:spacing w:val="-13"/>
        </w:rPr>
        <w:t>参考文献</w:t>
      </w:r>
    </w:p>
    <w:p>
      <w:pPr>
        <w:pStyle w:val="BodyText"/>
        <w:ind w:left="992"/>
        <w:spacing w:before="82" w:line="220" w:lineRule="auto"/>
        <w:outlineLvl w:val="4"/>
        <w:rPr/>
      </w:pPr>
      <w:r>
        <w:rPr>
          <w:b/>
          <w:bCs/>
          <w:spacing w:val="-5"/>
        </w:rPr>
        <w:t>14.5</w:t>
      </w:r>
      <w:r>
        <w:rPr>
          <w:spacing w:val="-5"/>
        </w:rPr>
        <w:t xml:space="preserve"> </w:t>
      </w:r>
      <w:r>
        <w:rPr>
          <w:b/>
          <w:bCs/>
          <w:spacing w:val="-5"/>
        </w:rPr>
        <w:t>感染性结石的药物治疗</w:t>
      </w:r>
    </w:p>
    <w:p>
      <w:pPr>
        <w:pStyle w:val="BodyText"/>
        <w:ind w:left="992"/>
        <w:spacing w:before="89" w:line="219" w:lineRule="auto"/>
        <w:outlineLvl w:val="4"/>
        <w:rPr/>
      </w:pPr>
      <w:r>
        <w:rPr>
          <w:b/>
          <w:bCs/>
          <w:spacing w:val="-13"/>
        </w:rPr>
        <w:t>14.5.1</w:t>
      </w:r>
      <w:r>
        <w:rPr>
          <w:spacing w:val="-13"/>
        </w:rPr>
        <w:t xml:space="preserve"> </w:t>
      </w:r>
      <w:r>
        <w:rPr>
          <w:b/>
          <w:bCs/>
          <w:spacing w:val="-13"/>
        </w:rPr>
        <w:t>参考文献</w:t>
      </w:r>
    </w:p>
    <w:p>
      <w:pPr>
        <w:pStyle w:val="BodyText"/>
        <w:ind w:left="992"/>
        <w:spacing w:before="79" w:line="219" w:lineRule="auto"/>
        <w:rPr/>
      </w:pPr>
      <w:r>
        <w:rPr>
          <w:b/>
          <w:bCs/>
          <w:spacing w:val="-4"/>
        </w:rPr>
        <w:t>15</w:t>
      </w:r>
      <w:r>
        <w:rPr>
          <w:spacing w:val="25"/>
        </w:rPr>
        <w:t xml:space="preserve"> </w:t>
      </w:r>
      <w:r>
        <w:rPr>
          <w:b/>
          <w:bCs/>
          <w:spacing w:val="-4"/>
        </w:rPr>
        <w:t>指南中所用缩略语</w:t>
      </w:r>
    </w:p>
    <w:p>
      <w:pPr>
        <w:pStyle w:val="BodyText"/>
        <w:ind w:left="992"/>
        <w:spacing w:before="81" w:line="219" w:lineRule="auto"/>
        <w:rPr/>
      </w:pPr>
      <w:r>
        <w:rPr>
          <w:b/>
          <w:bCs/>
          <w:spacing w:val="-12"/>
        </w:rPr>
        <w:t>16</w:t>
      </w:r>
      <w:r>
        <w:rPr>
          <w:spacing w:val="40"/>
        </w:rPr>
        <w:t xml:space="preserve"> </w:t>
      </w:r>
      <w:r>
        <w:rPr>
          <w:b/>
          <w:bCs/>
          <w:spacing w:val="-12"/>
        </w:rPr>
        <w:t>附录</w:t>
      </w:r>
    </w:p>
    <w:p>
      <w:pPr>
        <w:pStyle w:val="BodyText"/>
        <w:ind w:left="992"/>
        <w:spacing w:before="102" w:line="219" w:lineRule="auto"/>
        <w:rPr/>
      </w:pPr>
      <w:r>
        <w:rPr>
          <w:b/>
          <w:bCs/>
        </w:rPr>
        <w:t>A1</w:t>
      </w:r>
      <w:r>
        <w:rPr>
          <w:spacing w:val="47"/>
        </w:rPr>
        <w:t xml:space="preserve"> </w:t>
      </w:r>
      <w:r>
        <w:rPr>
          <w:b/>
          <w:bCs/>
        </w:rPr>
        <w:t>由已知的结石直径推算结石的近似表面积</w:t>
      </w:r>
    </w:p>
    <w:p>
      <w:pPr>
        <w:pStyle w:val="BodyText"/>
        <w:ind w:left="989"/>
        <w:spacing w:before="91" w:line="219" w:lineRule="auto"/>
        <w:rPr/>
      </w:pPr>
      <w:r>
        <w:rPr>
          <w:rFonts w:ascii="Times New Roman" w:hAnsi="Times New Roman" w:eastAsia="Times New Roman" w:cs="Times New Roman"/>
          <w:b/>
          <w:bCs/>
          <w:spacing w:val="-1"/>
        </w:rPr>
        <w:t>A2  </w:t>
      </w:r>
      <w:r>
        <w:rPr>
          <w:b/>
          <w:bCs/>
          <w:spacing w:val="-1"/>
        </w:rPr>
        <w:t>内窥镜碎石设备</w:t>
      </w:r>
    </w:p>
    <w:p>
      <w:pPr>
        <w:pStyle w:val="BodyText"/>
        <w:ind w:left="989"/>
        <w:spacing w:before="91" w:line="219" w:lineRule="auto"/>
        <w:rPr/>
      </w:pPr>
      <w:r>
        <w:rPr>
          <w:rFonts w:ascii="Times New Roman" w:hAnsi="Times New Roman" w:eastAsia="Times New Roman" w:cs="Times New Roman"/>
          <w:b/>
          <w:bCs/>
        </w:rPr>
        <w:t>A3</w:t>
      </w:r>
      <w:r>
        <w:rPr>
          <w:rFonts w:ascii="Times New Roman" w:hAnsi="Times New Roman" w:eastAsia="Times New Roman" w:cs="Times New Roman"/>
          <w:b/>
          <w:bCs/>
          <w:spacing w:val="46"/>
        </w:rPr>
        <w:t xml:space="preserve"> </w:t>
      </w:r>
      <w:r>
        <w:rPr>
          <w:b/>
          <w:bCs/>
        </w:rPr>
        <w:t>参考文献</w:t>
      </w:r>
    </w:p>
    <w:p>
      <w:pPr>
        <w:pStyle w:val="BodyText"/>
        <w:ind w:left="992"/>
        <w:spacing w:before="89" w:line="221" w:lineRule="auto"/>
        <w:outlineLvl w:val="4"/>
        <w:rPr>
          <w:rFonts w:ascii="SimHei" w:hAnsi="SimHei" w:eastAsia="SimHei" w:cs="SimHei"/>
        </w:rPr>
      </w:pPr>
      <w:r>
        <w:rPr>
          <w:b/>
          <w:bCs/>
          <w:spacing w:val="-1"/>
        </w:rPr>
        <w:t>1.</w:t>
      </w:r>
      <w:r>
        <w:rPr>
          <w:rFonts w:ascii="SimHei" w:hAnsi="SimHei" w:eastAsia="SimHei" w:cs="SimHei"/>
          <w:b/>
          <w:bCs/>
          <w:spacing w:val="-1"/>
        </w:rPr>
        <w:t>背景</w:t>
      </w:r>
    </w:p>
    <w:p>
      <w:pPr>
        <w:pStyle w:val="BodyText"/>
        <w:ind w:left="579" w:firstLine="410"/>
        <w:spacing w:before="72" w:line="302" w:lineRule="auto"/>
        <w:jc w:val="both"/>
        <w:rPr/>
      </w:pPr>
      <w:r>
        <w:rPr>
          <w:spacing w:val="2"/>
        </w:rPr>
        <w:t>处理泌尿系结石患者是泌尿外科日常的主要工作之一。对结石患者作出最佳的临床</w:t>
      </w:r>
      <w:r>
        <w:rPr>
          <w:spacing w:val="1"/>
        </w:rPr>
        <w:t>处理需要对该病</w:t>
      </w:r>
      <w:r>
        <w:rPr/>
        <w:t xml:space="preserve"> </w:t>
      </w:r>
      <w:r>
        <w:rPr>
          <w:spacing w:val="7"/>
        </w:rPr>
        <w:t>的诊断流程、急性肾绞痛的合理处理和去除结石的现代原则有</w:t>
      </w:r>
      <w:r>
        <w:rPr>
          <w:spacing w:val="6"/>
        </w:rPr>
        <w:t>充分的认识。同时，为了找到可靠的依</w:t>
      </w:r>
      <w:r>
        <w:rPr/>
        <w:t xml:space="preserve"> </w:t>
      </w:r>
      <w:r>
        <w:rPr>
          <w:spacing w:val="2"/>
        </w:rPr>
        <w:t>据以制定合理的预防复发的措施，必须对结石形成的病因学因素和代谢危险有一个基本的认识。</w:t>
      </w:r>
    </w:p>
    <w:p>
      <w:pPr>
        <w:pStyle w:val="BodyText"/>
        <w:ind w:left="579" w:firstLine="410"/>
        <w:spacing w:before="1" w:line="293" w:lineRule="auto"/>
        <w:rPr/>
      </w:pPr>
      <w:r>
        <w:rPr>
          <w:spacing w:val="2"/>
        </w:rPr>
        <w:t>在过去的几十年里，因技术上的巨大进步、结石</w:t>
      </w:r>
      <w:r>
        <w:rPr>
          <w:spacing w:val="1"/>
        </w:rPr>
        <w:t>形成机制的不断深入认识和药物治疗结石的进展，</w:t>
      </w:r>
      <w:r>
        <w:rPr/>
        <w:t xml:space="preserve"> </w:t>
      </w:r>
      <w:r>
        <w:rPr>
          <w:spacing w:val="6"/>
        </w:rPr>
        <w:t>整个泌尿系结石治疗领域出现了鲜明的特点。下面给出的“指南”和“推荐”是基于近年来的文献。</w:t>
      </w:r>
      <w:r>
        <w:rPr/>
        <w:t xml:space="preserve"> </w:t>
      </w:r>
      <w:r>
        <w:rPr>
          <w:spacing w:val="7"/>
        </w:rPr>
        <w:t>某些治疗原则来自随机或对照研究的结果，有些“结论”来</w:t>
      </w:r>
      <w:r>
        <w:rPr>
          <w:spacing w:val="6"/>
        </w:rPr>
        <w:t>自实际的临床经验。按照欧洲泌尿外科学</w:t>
      </w:r>
      <w:r>
        <w:rPr/>
        <w:t xml:space="preserve"> </w:t>
      </w:r>
      <w:r>
        <w:rPr>
          <w:spacing w:val="6"/>
        </w:rPr>
        <w:t>会指南制定办公室制定的原则，各种“推荐”和“结论”根据其科学可信性被分成不同等级的证据和</w:t>
      </w:r>
      <w:r>
        <w:rPr>
          <w:spacing w:val="12"/>
        </w:rPr>
        <w:t xml:space="preserve"> </w:t>
      </w:r>
      <w:r>
        <w:rPr>
          <w:spacing w:val="-1"/>
        </w:rPr>
        <w:t>不同级别的“推荐”。</w:t>
      </w:r>
    </w:p>
    <w:p>
      <w:pPr>
        <w:pStyle w:val="BodyText"/>
        <w:ind w:left="579" w:right="2" w:firstLine="400"/>
        <w:spacing w:line="312" w:lineRule="auto"/>
        <w:rPr/>
      </w:pPr>
      <w:r>
        <w:rPr>
          <w:spacing w:val="7"/>
        </w:rPr>
        <w:t>证据级别</w:t>
      </w:r>
      <w:r>
        <w:rPr>
          <w:spacing w:val="-47"/>
        </w:rPr>
        <w:t xml:space="preserve"> </w:t>
      </w:r>
      <w:r>
        <w:rPr>
          <w:rFonts w:ascii="Times New Roman" w:hAnsi="Times New Roman" w:eastAsia="Times New Roman" w:cs="Times New Roman"/>
          <w:spacing w:val="7"/>
        </w:rPr>
        <w:t>(</w:t>
      </w:r>
      <w:r>
        <w:rPr>
          <w:rFonts w:ascii="Times New Roman" w:hAnsi="Times New Roman" w:eastAsia="Times New Roman" w:cs="Times New Roman"/>
        </w:rPr>
        <w:t>LE</w:t>
      </w:r>
      <w:r>
        <w:rPr>
          <w:rFonts w:ascii="Times New Roman" w:hAnsi="Times New Roman" w:eastAsia="Times New Roman" w:cs="Times New Roman"/>
          <w:spacing w:val="7"/>
        </w:rPr>
        <w:t>)     </w:t>
      </w:r>
      <w:r>
        <w:rPr>
          <w:spacing w:val="7"/>
        </w:rPr>
        <w:t>(表1)和“推荐”等级</w:t>
      </w:r>
      <w:r>
        <w:rPr>
          <w:rFonts w:ascii="Times New Roman" w:hAnsi="Times New Roman" w:eastAsia="Times New Roman" w:cs="Times New Roman"/>
          <w:spacing w:val="7"/>
        </w:rPr>
        <w:t>(</w:t>
      </w:r>
      <w:r>
        <w:rPr>
          <w:rFonts w:ascii="Times New Roman" w:hAnsi="Times New Roman" w:eastAsia="Times New Roman" w:cs="Times New Roman"/>
        </w:rPr>
        <w:t>GR</w:t>
      </w:r>
      <w:r>
        <w:rPr>
          <w:rFonts w:ascii="Times New Roman" w:hAnsi="Times New Roman" w:eastAsia="Times New Roman" w:cs="Times New Roman"/>
          <w:spacing w:val="7"/>
        </w:rPr>
        <w:t>)     </w:t>
      </w:r>
      <w:r>
        <w:rPr>
          <w:spacing w:val="7"/>
        </w:rPr>
        <w:t>(表2)的标准如下</w:t>
      </w:r>
      <w:r>
        <w:rPr>
          <w:spacing w:val="6"/>
        </w:rPr>
        <w:t>[1]。缩略语</w:t>
      </w:r>
      <w:r>
        <w:rPr>
          <w:rFonts w:ascii="Times New Roman" w:hAnsi="Times New Roman" w:eastAsia="Times New Roman" w:cs="Times New Roman"/>
        </w:rPr>
        <w:t>LE</w:t>
      </w:r>
      <w:r>
        <w:rPr>
          <w:spacing w:val="6"/>
        </w:rPr>
        <w:t>和</w:t>
      </w:r>
      <w:r>
        <w:rPr>
          <w:rFonts w:ascii="Times New Roman" w:hAnsi="Times New Roman" w:eastAsia="Times New Roman" w:cs="Times New Roman"/>
        </w:rPr>
        <w:t>GR</w:t>
      </w:r>
      <w:r>
        <w:rPr>
          <w:spacing w:val="6"/>
        </w:rPr>
        <w:t>用于后面的</w:t>
      </w:r>
      <w:r>
        <w:rPr/>
        <w:t xml:space="preserve"> </w:t>
      </w:r>
      <w:r>
        <w:rPr>
          <w:spacing w:val="-1"/>
        </w:rPr>
        <w:t>表格和“推荐”中。</w:t>
      </w:r>
    </w:p>
    <w:p>
      <w:pPr>
        <w:ind w:left="4383"/>
        <w:spacing w:before="29" w:line="221" w:lineRule="auto"/>
        <w:rPr>
          <w:rFonts w:ascii="Times New Roman" w:hAnsi="Times New Roman" w:eastAsia="Times New Roman" w:cs="Times New Roman"/>
          <w:sz w:val="21"/>
          <w:szCs w:val="21"/>
        </w:rPr>
      </w:pPr>
      <w:r>
        <w:rPr>
          <w:rFonts w:ascii="SimHei" w:hAnsi="SimHei" w:eastAsia="SimHei" w:cs="SimHei"/>
          <w:sz w:val="21"/>
          <w:szCs w:val="21"/>
          <w:b/>
          <w:bCs/>
          <w:spacing w:val="-3"/>
        </w:rPr>
        <w:t>表1</w:t>
      </w:r>
      <w:r>
        <w:rPr>
          <w:rFonts w:ascii="SimHei" w:hAnsi="SimHei" w:eastAsia="SimHei" w:cs="SimHei"/>
          <w:sz w:val="21"/>
          <w:szCs w:val="21"/>
          <w:spacing w:val="56"/>
        </w:rPr>
        <w:t xml:space="preserve"> </w:t>
      </w:r>
      <w:r>
        <w:rPr>
          <w:rFonts w:ascii="SimHei" w:hAnsi="SimHei" w:eastAsia="SimHei" w:cs="SimHei"/>
          <w:sz w:val="21"/>
          <w:szCs w:val="21"/>
          <w:b/>
          <w:bCs/>
          <w:spacing w:val="-3"/>
        </w:rPr>
        <w:t>证据的级别</w:t>
      </w:r>
      <w:r>
        <w:rPr>
          <w:rFonts w:ascii="SimHei" w:hAnsi="SimHei" w:eastAsia="SimHei" w:cs="SimHei"/>
          <w:sz w:val="21"/>
          <w:szCs w:val="21"/>
          <w:spacing w:val="-3"/>
        </w:rPr>
        <w:t xml:space="preserve"> </w:t>
      </w:r>
      <w:r>
        <w:rPr>
          <w:rFonts w:ascii="Times New Roman" w:hAnsi="Times New Roman" w:eastAsia="Times New Roman" w:cs="Times New Roman"/>
          <w:sz w:val="21"/>
          <w:szCs w:val="21"/>
          <w:b/>
          <w:bCs/>
          <w:spacing w:val="-3"/>
        </w:rPr>
        <w:t>ILE.</w:t>
      </w:r>
    </w:p>
    <w:p>
      <w:pPr>
        <w:spacing w:before="108"/>
        <w:rPr/>
      </w:pPr>
      <w:r/>
    </w:p>
    <w:tbl>
      <w:tblPr>
        <w:tblStyle w:val="TableNormal"/>
        <w:tblW w:w="8010" w:type="dxa"/>
        <w:tblInd w:w="13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30"/>
        <w:gridCol w:w="7280"/>
      </w:tblGrid>
      <w:tr>
        <w:trPr>
          <w:trHeight w:val="263" w:hRule="atLeast"/>
        </w:trPr>
        <w:tc>
          <w:tcPr>
            <w:tcW w:w="730" w:type="dxa"/>
            <w:vAlign w:val="top"/>
            <w:tcBorders>
              <w:bottom w:val="single" w:color="000000" w:sz="4" w:space="0"/>
              <w:top w:val="single" w:color="000000" w:sz="4" w:space="0"/>
            </w:tcBorders>
          </w:tcPr>
          <w:p>
            <w:pPr>
              <w:pStyle w:val="TableText"/>
              <w:ind w:left="92"/>
              <w:spacing w:before="31" w:line="195" w:lineRule="auto"/>
              <w:rPr/>
            </w:pPr>
            <w:r>
              <w:rPr>
                <w:b/>
                <w:bCs/>
                <w:spacing w:val="6"/>
              </w:rPr>
              <w:t>级别</w:t>
            </w:r>
            <w:r>
              <w:rPr>
                <w:spacing w:val="-52"/>
              </w:rPr>
              <w:t xml:space="preserve"> </w:t>
            </w:r>
            <w:r>
              <w:rPr>
                <w:b/>
                <w:bCs/>
                <w:spacing w:val="6"/>
              </w:rPr>
              <w:t>.</w:t>
            </w:r>
          </w:p>
        </w:tc>
        <w:tc>
          <w:tcPr>
            <w:tcW w:w="7280" w:type="dxa"/>
            <w:vAlign w:val="top"/>
            <w:tcBorders>
              <w:bottom w:val="single" w:color="000000" w:sz="4" w:space="0"/>
              <w:top w:val="single" w:color="000000" w:sz="4" w:space="0"/>
            </w:tcBorders>
          </w:tcPr>
          <w:p>
            <w:pPr>
              <w:pStyle w:val="TableText"/>
              <w:ind w:left="232"/>
              <w:spacing w:before="30" w:line="196" w:lineRule="auto"/>
              <w:rPr/>
            </w:pPr>
            <w:r>
              <w:rPr>
                <w:b/>
                <w:bCs/>
                <w:spacing w:val="-4"/>
              </w:rPr>
              <w:t>证据的类型</w:t>
            </w:r>
          </w:p>
        </w:tc>
      </w:tr>
      <w:tr>
        <w:trPr>
          <w:trHeight w:val="239" w:hRule="atLeast"/>
        </w:trPr>
        <w:tc>
          <w:tcPr>
            <w:tcW w:w="730" w:type="dxa"/>
            <w:vAlign w:val="top"/>
            <w:tcBorders>
              <w:bottom w:val="single" w:color="000000" w:sz="4" w:space="0"/>
              <w:top w:val="single" w:color="000000" w:sz="4" w:space="0"/>
            </w:tcBorders>
          </w:tcPr>
          <w:p>
            <w:pPr>
              <w:pStyle w:val="TableText"/>
              <w:ind w:left="89"/>
              <w:spacing w:before="41" w:line="165" w:lineRule="auto"/>
              <w:rPr/>
            </w:pPr>
            <w:r>
              <w:rPr>
                <w:spacing w:val="-6"/>
              </w:rPr>
              <w:t>la</w:t>
            </w:r>
          </w:p>
        </w:tc>
        <w:tc>
          <w:tcPr>
            <w:tcW w:w="7280" w:type="dxa"/>
            <w:vAlign w:val="top"/>
            <w:tcBorders>
              <w:bottom w:val="single" w:color="000000" w:sz="4" w:space="0"/>
              <w:top w:val="single" w:color="000000" w:sz="4" w:space="0"/>
            </w:tcBorders>
          </w:tcPr>
          <w:p>
            <w:pPr>
              <w:pStyle w:val="TableText"/>
              <w:ind w:left="229"/>
              <w:spacing w:before="19" w:line="184" w:lineRule="auto"/>
              <w:rPr/>
            </w:pPr>
            <w:r>
              <w:rPr>
                <w:spacing w:val="1"/>
              </w:rPr>
              <w:t>来自于多个随机试验的证据</w:t>
            </w:r>
          </w:p>
        </w:tc>
      </w:tr>
      <w:tr>
        <w:trPr>
          <w:trHeight w:val="239" w:hRule="atLeast"/>
        </w:trPr>
        <w:tc>
          <w:tcPr>
            <w:tcW w:w="730" w:type="dxa"/>
            <w:vAlign w:val="top"/>
            <w:tcBorders>
              <w:bottom w:val="single" w:color="000000" w:sz="4" w:space="0"/>
              <w:top w:val="single" w:color="000000" w:sz="4" w:space="0"/>
            </w:tcBorders>
          </w:tcPr>
          <w:p>
            <w:pPr>
              <w:pStyle w:val="TableText"/>
              <w:ind w:left="89"/>
              <w:spacing w:before="42" w:line="164" w:lineRule="auto"/>
              <w:rPr/>
            </w:pPr>
            <w:r>
              <w:rPr>
                <w:spacing w:val="-8"/>
              </w:rPr>
              <w:t>1b.</w:t>
            </w:r>
          </w:p>
        </w:tc>
        <w:tc>
          <w:tcPr>
            <w:tcW w:w="7280" w:type="dxa"/>
            <w:vAlign w:val="top"/>
            <w:tcBorders>
              <w:bottom w:val="single" w:color="000000" w:sz="4" w:space="0"/>
              <w:top w:val="single" w:color="000000" w:sz="4" w:space="0"/>
            </w:tcBorders>
          </w:tcPr>
          <w:p>
            <w:pPr>
              <w:pStyle w:val="TableText"/>
              <w:ind w:left="229"/>
              <w:spacing w:before="20" w:line="183" w:lineRule="auto"/>
              <w:rPr/>
            </w:pPr>
            <w:r>
              <w:rPr/>
              <w:t>来自于至少一个随机试验的证据</w:t>
            </w:r>
          </w:p>
        </w:tc>
      </w:tr>
      <w:tr>
        <w:trPr>
          <w:trHeight w:val="248" w:hRule="atLeast"/>
        </w:trPr>
        <w:tc>
          <w:tcPr>
            <w:tcW w:w="730" w:type="dxa"/>
            <w:vAlign w:val="top"/>
            <w:tcBorders>
              <w:bottom w:val="single" w:color="000000" w:sz="4" w:space="0"/>
              <w:top w:val="single" w:color="000000" w:sz="4" w:space="0"/>
            </w:tcBorders>
          </w:tcPr>
          <w:p>
            <w:pPr>
              <w:pStyle w:val="TableText"/>
              <w:ind w:left="89"/>
              <w:spacing w:before="43" w:line="171" w:lineRule="auto"/>
              <w:rPr/>
            </w:pPr>
            <w:r>
              <w:rPr>
                <w:spacing w:val="-4"/>
              </w:rPr>
              <w:t>2a</w:t>
            </w:r>
            <w:r>
              <w:rPr>
                <w:spacing w:val="-25"/>
              </w:rPr>
              <w:t xml:space="preserve"> </w:t>
            </w:r>
            <w:r>
              <w:rPr>
                <w:spacing w:val="-4"/>
              </w:rPr>
              <w:t>·</w:t>
            </w:r>
          </w:p>
        </w:tc>
        <w:tc>
          <w:tcPr>
            <w:tcW w:w="7280" w:type="dxa"/>
            <w:vAlign w:val="top"/>
            <w:tcBorders>
              <w:bottom w:val="single" w:color="000000" w:sz="4" w:space="0"/>
              <w:top w:val="single" w:color="000000" w:sz="4" w:space="0"/>
            </w:tcBorders>
          </w:tcPr>
          <w:p>
            <w:pPr>
              <w:pStyle w:val="TableText"/>
              <w:ind w:left="229"/>
              <w:spacing w:before="21" w:line="190" w:lineRule="auto"/>
              <w:rPr/>
            </w:pPr>
            <w:r>
              <w:rPr>
                <w:spacing w:val="3"/>
              </w:rPr>
              <w:t>来自于一个合理设计的非随机的对照研究的证据.</w:t>
            </w:r>
          </w:p>
        </w:tc>
      </w:tr>
      <w:tr>
        <w:trPr>
          <w:trHeight w:val="229" w:hRule="atLeast"/>
        </w:trPr>
        <w:tc>
          <w:tcPr>
            <w:tcW w:w="730" w:type="dxa"/>
            <w:vAlign w:val="top"/>
            <w:tcBorders>
              <w:bottom w:val="single" w:color="000000" w:sz="4" w:space="0"/>
              <w:top w:val="single" w:color="000000" w:sz="4" w:space="0"/>
            </w:tcBorders>
          </w:tcPr>
          <w:p>
            <w:pPr>
              <w:pStyle w:val="TableText"/>
              <w:ind w:left="89"/>
              <w:spacing w:before="55" w:line="163" w:lineRule="exact"/>
              <w:rPr/>
            </w:pPr>
            <w:r>
              <w:rPr>
                <w:spacing w:val="-4"/>
                <w:position w:val="-3"/>
              </w:rPr>
              <w:t>2b</w:t>
            </w:r>
            <w:r>
              <w:rPr>
                <w:spacing w:val="-25"/>
                <w:position w:val="-3"/>
              </w:rPr>
              <w:t xml:space="preserve"> </w:t>
            </w:r>
            <w:r>
              <w:rPr>
                <w:spacing w:val="-4"/>
                <w:position w:val="-3"/>
              </w:rPr>
              <w:t>·</w:t>
            </w:r>
          </w:p>
        </w:tc>
        <w:tc>
          <w:tcPr>
            <w:tcW w:w="7280" w:type="dxa"/>
            <w:vAlign w:val="top"/>
            <w:tcBorders>
              <w:bottom w:val="single" w:color="000000" w:sz="4" w:space="0"/>
              <w:top w:val="single" w:color="000000" w:sz="4" w:space="0"/>
            </w:tcBorders>
          </w:tcPr>
          <w:p>
            <w:pPr>
              <w:pStyle w:val="TableText"/>
              <w:ind w:left="229"/>
              <w:spacing w:before="33" w:line="163" w:lineRule="auto"/>
              <w:rPr/>
            </w:pPr>
            <w:r>
              <w:rPr/>
              <w:t>来自于至少一个其它类型的合理设计的准试验研究的证据。</w:t>
            </w:r>
          </w:p>
        </w:tc>
      </w:tr>
      <w:tr>
        <w:trPr>
          <w:trHeight w:val="249" w:hRule="atLeast"/>
        </w:trPr>
        <w:tc>
          <w:tcPr>
            <w:tcW w:w="730" w:type="dxa"/>
            <w:vAlign w:val="top"/>
            <w:tcBorders>
              <w:bottom w:val="single" w:color="000000" w:sz="4" w:space="0"/>
              <w:top w:val="single" w:color="000000" w:sz="4" w:space="0"/>
            </w:tcBorders>
          </w:tcPr>
          <w:p>
            <w:pPr>
              <w:pStyle w:val="TableText"/>
              <w:ind w:left="89"/>
              <w:spacing w:before="46" w:line="169" w:lineRule="auto"/>
              <w:rPr/>
            </w:pPr>
            <w:r>
              <w:rPr>
                <w:spacing w:val="-7"/>
              </w:rPr>
              <w:t>3</w:t>
            </w:r>
            <w:r>
              <w:rPr>
                <w:spacing w:val="-24"/>
              </w:rPr>
              <w:t xml:space="preserve"> </w:t>
            </w:r>
            <w:r>
              <w:rPr>
                <w:spacing w:val="-7"/>
              </w:rPr>
              <w:t>·</w:t>
            </w:r>
          </w:p>
        </w:tc>
        <w:tc>
          <w:tcPr>
            <w:tcW w:w="7280" w:type="dxa"/>
            <w:vAlign w:val="top"/>
            <w:tcBorders>
              <w:bottom w:val="single" w:color="000000" w:sz="4" w:space="0"/>
              <w:top w:val="single" w:color="000000" w:sz="4" w:space="0"/>
            </w:tcBorders>
          </w:tcPr>
          <w:p>
            <w:pPr>
              <w:pStyle w:val="TableText"/>
              <w:spacing w:before="24" w:line="189" w:lineRule="auto"/>
              <w:jc w:val="right"/>
              <w:rPr/>
            </w:pPr>
            <w:r>
              <w:rPr>
                <w:spacing w:val="-9"/>
              </w:rPr>
              <w:t>来自于合理设计的非试验性研究的证据，例如比较研究，相关研究和病例报告、</w:t>
            </w:r>
          </w:p>
        </w:tc>
      </w:tr>
      <w:tr>
        <w:trPr>
          <w:trHeight w:val="273" w:hRule="atLeast"/>
        </w:trPr>
        <w:tc>
          <w:tcPr>
            <w:tcW w:w="730" w:type="dxa"/>
            <w:vAlign w:val="top"/>
            <w:tcBorders>
              <w:bottom w:val="single" w:color="000000" w:sz="4" w:space="0"/>
              <w:top w:val="single" w:color="000000" w:sz="4" w:space="0"/>
            </w:tcBorders>
          </w:tcPr>
          <w:p>
            <w:pPr>
              <w:pStyle w:val="TableText"/>
              <w:ind w:left="89"/>
              <w:spacing w:before="58" w:line="180" w:lineRule="auto"/>
              <w:rPr/>
            </w:pPr>
            <w:r>
              <w:rPr/>
              <w:t>4</w:t>
            </w:r>
          </w:p>
        </w:tc>
        <w:tc>
          <w:tcPr>
            <w:tcW w:w="7280" w:type="dxa"/>
            <w:vAlign w:val="top"/>
            <w:tcBorders>
              <w:bottom w:val="single" w:color="000000" w:sz="4" w:space="0"/>
              <w:top w:val="single" w:color="000000" w:sz="4" w:space="0"/>
            </w:tcBorders>
          </w:tcPr>
          <w:p>
            <w:pPr>
              <w:pStyle w:val="TableText"/>
              <w:ind w:left="229"/>
              <w:spacing w:before="35" w:line="200" w:lineRule="auto"/>
              <w:rPr/>
            </w:pPr>
            <w:r>
              <w:rPr>
                <w:spacing w:val="3"/>
              </w:rPr>
              <w:t>来自于专家委员会的报告、意见或是权威的临床经验的证据.</w:t>
            </w:r>
          </w:p>
        </w:tc>
      </w:tr>
    </w:tbl>
    <w:p>
      <w:pPr>
        <w:spacing w:line="385" w:lineRule="auto"/>
        <w:rPr>
          <w:rFonts w:ascii="Arial"/>
          <w:sz w:val="21"/>
        </w:rPr>
      </w:pPr>
      <w:r/>
    </w:p>
    <w:p>
      <w:pPr>
        <w:ind w:left="5079"/>
        <w:spacing w:before="49"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rPr>
        <w:t>—180—</w:t>
      </w:r>
    </w:p>
    <w:p>
      <w:pPr>
        <w:spacing w:line="379"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House.Allrights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reserved.   </w:t>
      </w:r>
      <w:hyperlink w:history="true" r:id="rId4">
        <w:r>
          <w:rPr>
            <w:rFonts w:ascii="Times New Roman" w:hAnsi="Times New Roman" w:eastAsia="Times New Roman" w:cs="Times New Roman"/>
            <w:sz w:val="21"/>
            <w:szCs w:val="21"/>
          </w:rPr>
          <w:t>http://www.c</w:t>
        </w:r>
        <w:r>
          <w:rPr>
            <w:rFonts w:ascii="Times New Roman" w:hAnsi="Times New Roman" w:eastAsia="Times New Roman" w:cs="Times New Roman"/>
            <w:sz w:val="21"/>
            <w:szCs w:val="21"/>
            <w:spacing w:val="-1"/>
          </w:rPr>
          <w:t>nki.net</w:t>
        </w:r>
      </w:hyperlink>
    </w:p>
    <w:p>
      <w:pPr>
        <w:spacing w:line="192" w:lineRule="auto"/>
        <w:sectPr>
          <w:headerReference w:type="default" r:id="rId10"/>
          <w:pgSz w:w="11850" w:h="16140"/>
          <w:pgMar w:top="1139" w:right="1337" w:bottom="0" w:left="400" w:header="810" w:footer="0" w:gutter="0"/>
        </w:sectPr>
        <w:rPr>
          <w:rFonts w:ascii="Times New Roman" w:hAnsi="Times New Roman" w:eastAsia="Times New Roman" w:cs="Times New Roman"/>
          <w:sz w:val="21"/>
          <w:szCs w:val="21"/>
        </w:rPr>
      </w:pPr>
    </w:p>
    <w:p>
      <w:pPr>
        <w:spacing w:line="241" w:lineRule="auto"/>
        <w:rPr>
          <w:rFonts w:ascii="Arial"/>
          <w:sz w:val="21"/>
        </w:rPr>
      </w:pPr>
      <w:r/>
    </w:p>
    <w:p>
      <w:pPr>
        <w:spacing w:line="241" w:lineRule="auto"/>
        <w:rPr>
          <w:rFonts w:ascii="Arial"/>
          <w:sz w:val="21"/>
        </w:rPr>
      </w:pPr>
      <w:r>
        <w:drawing>
          <wp:anchor distT="0" distB="0" distL="0" distR="0" simplePos="0" relativeHeight="251665408" behindDoc="0" locked="0" layoutInCell="1" allowOverlap="1">
            <wp:simplePos x="0" y="0"/>
            <wp:positionH relativeFrom="column">
              <wp:posOffset>4654509</wp:posOffset>
            </wp:positionH>
            <wp:positionV relativeFrom="paragraph">
              <wp:posOffset>119088</wp:posOffset>
            </wp:positionV>
            <wp:extent cx="215885" cy="209487"/>
            <wp:effectExtent l="0" t="0" r="0" b="0"/>
            <wp:wrapNone/>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215885" cy="209487"/>
                    </a:xfrm>
                    <a:prstGeom prst="rect">
                      <a:avLst/>
                    </a:prstGeom>
                  </pic:spPr>
                </pic:pic>
              </a:graphicData>
            </a:graphic>
          </wp:anchor>
        </w:drawing>
      </w:r>
      <w:r/>
    </w:p>
    <w:p>
      <w:pPr>
        <w:ind w:left="8342"/>
        <w:spacing w:before="34" w:line="211" w:lineRule="auto"/>
        <w:rPr>
          <w:rFonts w:ascii="STXingkai" w:hAnsi="STXingkai" w:eastAsia="STXingkai" w:cs="STXingkai"/>
          <w:sz w:val="10"/>
          <w:szCs w:val="10"/>
        </w:rPr>
      </w:pPr>
      <w:r>
        <w:drawing>
          <wp:anchor distT="0" distB="0" distL="0" distR="0" simplePos="0" relativeHeight="251664384" behindDoc="0" locked="0" layoutInCell="1" allowOverlap="1">
            <wp:simplePos x="0" y="0"/>
            <wp:positionH relativeFrom="column">
              <wp:posOffset>4787848</wp:posOffset>
            </wp:positionH>
            <wp:positionV relativeFrom="paragraph">
              <wp:posOffset>83619</wp:posOffset>
            </wp:positionV>
            <wp:extent cx="1562137" cy="6350"/>
            <wp:effectExtent l="0" t="0" r="0" b="0"/>
            <wp:wrapNone/>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1562137" cy="6350"/>
                    </a:xfrm>
                    <a:prstGeom prst="rect">
                      <a:avLst/>
                    </a:prstGeom>
                  </pic:spPr>
                </pic:pic>
              </a:graphicData>
            </a:graphic>
          </wp:anchor>
        </w:drawing>
      </w:r>
      <w:r>
        <w:pict>
          <v:shape id="_x0000_s2" style="position:absolute;margin-left:459.084pt;margin-top:0.989147pt;mso-position-vertical-relative:text;mso-position-horizontal-relative:text;width:6.4pt;height:7.8pt;z-index:251667456;" filled="false" stroked="false" type="#_x0000_t202">
            <v:fill on="false"/>
            <v:stroke on="false"/>
            <v:path/>
            <v:imagedata o:title=""/>
            <o:lock v:ext="edit" aspectratio="false"/>
            <v:textbox inset="0mm,0mm,0mm,0mm">
              <w:txbxContent>
                <w:p>
                  <w:pPr>
                    <w:ind w:left="20"/>
                    <w:spacing w:before="20" w:line="202" w:lineRule="auto"/>
                    <w:rPr>
                      <w:rFonts w:ascii="STXingkai" w:hAnsi="STXingkai" w:eastAsia="STXingkai" w:cs="STXingkai"/>
                      <w:sz w:val="10"/>
                      <w:szCs w:val="10"/>
                    </w:rPr>
                  </w:pPr>
                  <w:r>
                    <w:rPr>
                      <w:rFonts w:ascii="STXingkai" w:hAnsi="STXingkai" w:eastAsia="STXingkai" w:cs="STXingkai"/>
                      <w:sz w:val="10"/>
                      <w:szCs w:val="10"/>
                      <w:b/>
                      <w:bCs/>
                      <w:spacing w:val="-2"/>
                    </w:rPr>
                    <w:t>指</w:t>
                  </w:r>
                </w:p>
              </w:txbxContent>
            </v:textbox>
          </v:shape>
        </w:pict>
      </w:r>
      <w:r>
        <w:pict>
          <v:shape id="_x0000_s4" style="position:absolute;margin-left:394.548pt;margin-top:1.1042pt;mso-position-vertical-relative:text;mso-position-horizontal-relative:text;width:6.25pt;height:7.65pt;z-index:251666432;" filled="false" stroked="false" type="#_x0000_t202">
            <v:fill on="false"/>
            <v:stroke on="false"/>
            <v:path/>
            <v:imagedata o:title=""/>
            <o:lock v:ext="edit" aspectratio="false"/>
            <v:textbox inset="0mm,0mm,0mm,0mm">
              <w:txbxContent>
                <w:p>
                  <w:pPr>
                    <w:ind w:left="20"/>
                    <w:spacing w:before="20" w:line="198" w:lineRule="auto"/>
                    <w:rPr>
                      <w:rFonts w:ascii="STXingkai" w:hAnsi="STXingkai" w:eastAsia="STXingkai" w:cs="STXingkai"/>
                      <w:sz w:val="10"/>
                      <w:szCs w:val="10"/>
                    </w:rPr>
                  </w:pPr>
                  <w:r>
                    <w:rPr>
                      <w:rFonts w:ascii="STXingkai" w:hAnsi="STXingkai" w:eastAsia="STXingkai" w:cs="STXingkai"/>
                      <w:sz w:val="10"/>
                      <w:szCs w:val="10"/>
                      <w:b/>
                      <w:bCs/>
                      <w:spacing w:val="-2"/>
                    </w:rPr>
                    <w:t>附</w:t>
                  </w:r>
                </w:p>
              </w:txbxContent>
            </v:textbox>
          </v:shape>
        </w:pict>
      </w:r>
      <w:r>
        <w:pict>
          <v:shape id="_x0000_s6" style="position:absolute;margin-left:439.017pt;margin-top:2.62416pt;mso-position-vertical-relative:text;mso-position-horizontal-relative:text;width:4.9pt;height:6.15pt;z-index:251668480;" filled="false" stroked="false" type="#_x0000_t202">
            <v:fill on="false"/>
            <v:stroke on="false"/>
            <v:path/>
            <v:imagedata o:title=""/>
            <o:lock v:ext="edit" aspectratio="false"/>
            <v:textbox inset="0mm,0mm,0mm,0mm">
              <w:txbxContent>
                <w:p>
                  <w:pPr>
                    <w:spacing w:before="20" w:line="82" w:lineRule="exact"/>
                    <w:jc w:val="right"/>
                    <w:rPr>
                      <w:rFonts w:ascii="STXingkai" w:hAnsi="STXingkai" w:eastAsia="STXingkai" w:cs="STXingkai"/>
                      <w:sz w:val="10"/>
                      <w:szCs w:val="10"/>
                    </w:rPr>
                  </w:pPr>
                  <w:r>
                    <w:rPr>
                      <w:rFonts w:ascii="STXingkai" w:hAnsi="STXingkai" w:eastAsia="STXingkai" w:cs="STXingkai"/>
                      <w:sz w:val="10"/>
                      <w:szCs w:val="10"/>
                      <w:b/>
                      <w:bCs/>
                      <w:spacing w:val="-44"/>
                      <w:position w:val="-1"/>
                    </w:rPr>
                    <w:t>·</w:t>
                  </w:r>
                </w:p>
              </w:txbxContent>
            </v:textbox>
          </v:shape>
        </w:pict>
      </w:r>
      <w:r>
        <w:rPr>
          <w:rFonts w:ascii="STXingkai" w:hAnsi="STXingkai" w:eastAsia="STXingkai" w:cs="STXingkai"/>
          <w:sz w:val="10"/>
          <w:szCs w:val="10"/>
          <w:b/>
          <w:bCs/>
          <w:spacing w:val="-2"/>
        </w:rPr>
        <w:t>泉</w:t>
      </w:r>
    </w:p>
    <w:p>
      <w:pPr>
        <w:spacing w:line="444" w:lineRule="auto"/>
        <w:rPr>
          <w:rFonts w:ascii="Arial"/>
          <w:sz w:val="21"/>
        </w:rPr>
      </w:pPr>
      <w:r/>
    </w:p>
    <w:p>
      <w:pPr>
        <w:pStyle w:val="BodyText"/>
        <w:ind w:left="4062"/>
        <w:spacing w:before="68" w:line="212" w:lineRule="auto"/>
        <w:rPr>
          <w:rFonts w:ascii="Times New Roman" w:hAnsi="Times New Roman" w:eastAsia="Times New Roman" w:cs="Times New Roman"/>
        </w:rPr>
      </w:pPr>
      <w:r>
        <w:rPr>
          <w:b/>
          <w:bCs/>
          <w:spacing w:val="13"/>
        </w:rPr>
        <w:t>表?推荐的等级</w:t>
      </w:r>
      <w:r>
        <w:rPr>
          <w:spacing w:val="13"/>
        </w:rPr>
        <w:t xml:space="preserve"> </w:t>
      </w:r>
      <w:r>
        <w:rPr>
          <w:rFonts w:ascii="Times New Roman" w:hAnsi="Times New Roman" w:eastAsia="Times New Roman" w:cs="Times New Roman"/>
        </w:rPr>
        <w:t>GR</w:t>
      </w:r>
      <w:r>
        <w:rPr>
          <w:rFonts w:ascii="Times New Roman" w:hAnsi="Times New Roman" w:eastAsia="Times New Roman" w:cs="Times New Roman"/>
          <w:spacing w:val="13"/>
        </w:rPr>
        <w:t>).</w:t>
      </w:r>
    </w:p>
    <w:p>
      <w:pPr>
        <w:spacing w:line="244" w:lineRule="auto"/>
        <w:rPr>
          <w:rFonts w:ascii="Arial"/>
          <w:sz w:val="21"/>
        </w:rPr>
      </w:pPr>
      <w:r/>
    </w:p>
    <w:p>
      <w:pPr>
        <w:pStyle w:val="BodyText"/>
        <w:ind w:left="1930"/>
        <w:spacing w:before="71" w:line="177" w:lineRule="auto"/>
        <w:rPr>
          <w:sz w:val="22"/>
          <w:szCs w:val="22"/>
        </w:rPr>
      </w:pPr>
      <w:r>
        <w:rPr>
          <w:sz w:val="22"/>
          <w:szCs w:val="22"/>
        </w:rPr>
        <w:t>刃</w:t>
      </w:r>
    </w:p>
    <w:tbl>
      <w:tblPr>
        <w:tblStyle w:val="TableNormal"/>
        <w:tblW w:w="8340" w:type="dxa"/>
        <w:tblInd w:w="83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65"/>
        <w:gridCol w:w="7575"/>
      </w:tblGrid>
      <w:tr>
        <w:trPr>
          <w:trHeight w:val="310" w:hRule="atLeast"/>
        </w:trPr>
        <w:tc>
          <w:tcPr>
            <w:tcW w:w="8340" w:type="dxa"/>
            <w:vAlign w:val="top"/>
            <w:gridSpan w:val="2"/>
            <w:tcBorders>
              <w:bottom w:val="single" w:color="000000" w:sz="4" w:space="0"/>
              <w:top w:val="single" w:color="000000" w:sz="4" w:space="0"/>
            </w:tcBorders>
          </w:tcPr>
          <w:p>
            <w:pPr>
              <w:pStyle w:val="TableText"/>
              <w:ind w:left="1093"/>
              <w:spacing w:before="40" w:line="218" w:lineRule="auto"/>
              <w:rPr>
                <w:sz w:val="22"/>
                <w:szCs w:val="22"/>
              </w:rPr>
            </w:pPr>
            <w:r>
              <w:rPr>
                <w:sz w:val="22"/>
                <w:szCs w:val="22"/>
                <w:b/>
                <w:bCs/>
                <w:spacing w:val="-3"/>
              </w:rPr>
              <w:t>分级</w:t>
            </w:r>
            <w:r>
              <w:rPr>
                <w:sz w:val="22"/>
                <w:szCs w:val="22"/>
                <w:spacing w:val="22"/>
              </w:rPr>
              <w:t xml:space="preserve"> </w:t>
            </w:r>
            <w:r>
              <w:rPr>
                <w:sz w:val="22"/>
                <w:szCs w:val="22"/>
                <w:b/>
                <w:bCs/>
                <w:spacing w:val="-3"/>
              </w:rPr>
              <w:t>推荐的性质</w:t>
            </w:r>
          </w:p>
        </w:tc>
      </w:tr>
      <w:tr>
        <w:trPr>
          <w:trHeight w:val="315" w:hRule="atLeast"/>
        </w:trPr>
        <w:tc>
          <w:tcPr>
            <w:tcW w:w="765" w:type="dxa"/>
            <w:vAlign w:val="top"/>
            <w:tcBorders>
              <w:bottom w:val="single" w:color="000000" w:sz="4" w:space="0"/>
              <w:top w:val="single" w:color="000000" w:sz="4" w:space="0"/>
            </w:tcBorders>
          </w:tcPr>
          <w:p>
            <w:pPr>
              <w:pStyle w:val="TableText"/>
              <w:ind w:left="290"/>
              <w:spacing w:before="94" w:line="177" w:lineRule="auto"/>
              <w:rPr>
                <w:sz w:val="22"/>
                <w:szCs w:val="22"/>
              </w:rPr>
            </w:pPr>
            <w:r>
              <w:rPr>
                <w:sz w:val="22"/>
                <w:szCs w:val="22"/>
                <w:spacing w:val="-1"/>
              </w:rPr>
              <w:t>A,</w:t>
            </w:r>
          </w:p>
        </w:tc>
        <w:tc>
          <w:tcPr>
            <w:tcW w:w="7575" w:type="dxa"/>
            <w:vAlign w:val="top"/>
            <w:tcBorders>
              <w:bottom w:val="single" w:color="000000" w:sz="4" w:space="0"/>
              <w:top w:val="single" w:color="000000" w:sz="4" w:space="0"/>
            </w:tcBorders>
          </w:tcPr>
          <w:p>
            <w:pPr>
              <w:pStyle w:val="TableText"/>
              <w:ind w:left="335"/>
              <w:spacing w:before="64" w:line="202" w:lineRule="auto"/>
              <w:rPr>
                <w:sz w:val="22"/>
                <w:szCs w:val="22"/>
              </w:rPr>
            </w:pPr>
            <w:r>
              <w:rPr>
                <w:sz w:val="22"/>
                <w:szCs w:val="22"/>
              </w:rPr>
              <w:t>基于高品质的临床研究，受到一致的推荐，</w:t>
            </w:r>
            <w:r>
              <w:rPr>
                <w:sz w:val="22"/>
                <w:szCs w:val="22"/>
                <w:spacing w:val="-1"/>
              </w:rPr>
              <w:t>包括至少一个随机试验</w:t>
            </w:r>
          </w:p>
        </w:tc>
      </w:tr>
      <w:tr>
        <w:trPr>
          <w:trHeight w:val="275" w:hRule="atLeast"/>
        </w:trPr>
        <w:tc>
          <w:tcPr>
            <w:tcW w:w="765" w:type="dxa"/>
            <w:vAlign w:val="top"/>
            <w:tcBorders>
              <w:bottom w:val="single" w:color="000000" w:sz="4" w:space="0"/>
              <w:top w:val="single" w:color="000000" w:sz="4" w:space="0"/>
            </w:tcBorders>
          </w:tcPr>
          <w:p>
            <w:pPr>
              <w:pStyle w:val="TableText"/>
              <w:ind w:left="250"/>
              <w:spacing w:before="97" w:line="167" w:lineRule="exact"/>
              <w:rPr>
                <w:sz w:val="22"/>
                <w:szCs w:val="22"/>
              </w:rPr>
            </w:pPr>
            <w:r>
              <w:rPr>
                <w:sz w:val="22"/>
                <w:szCs w:val="22"/>
                <w:spacing w:val="-2"/>
                <w:position w:val="-3"/>
              </w:rPr>
              <w:t>B.</w:t>
            </w:r>
          </w:p>
        </w:tc>
        <w:tc>
          <w:tcPr>
            <w:tcW w:w="7575" w:type="dxa"/>
            <w:vAlign w:val="top"/>
            <w:tcBorders>
              <w:bottom w:val="single" w:color="000000" w:sz="4" w:space="0"/>
              <w:top w:val="single" w:color="000000" w:sz="4" w:space="0"/>
            </w:tcBorders>
          </w:tcPr>
          <w:p>
            <w:pPr>
              <w:pStyle w:val="TableText"/>
              <w:ind w:left="325"/>
              <w:spacing w:before="29" w:line="198" w:lineRule="auto"/>
              <w:rPr>
                <w:sz w:val="22"/>
                <w:szCs w:val="22"/>
              </w:rPr>
            </w:pPr>
            <w:r>
              <w:rPr>
                <w:sz w:val="22"/>
                <w:szCs w:val="22"/>
                <w:spacing w:val="-1"/>
              </w:rPr>
              <w:t>基于高品质的临床研究，但没有随机的临床试验的支持</w:t>
            </w:r>
          </w:p>
        </w:tc>
      </w:tr>
      <w:tr>
        <w:trPr>
          <w:trHeight w:val="330" w:hRule="atLeast"/>
        </w:trPr>
        <w:tc>
          <w:tcPr>
            <w:tcW w:w="765" w:type="dxa"/>
            <w:vAlign w:val="top"/>
            <w:tcBorders>
              <w:bottom w:val="single" w:color="000000" w:sz="4" w:space="0"/>
              <w:top w:val="single" w:color="000000" w:sz="4" w:space="0"/>
            </w:tcBorders>
          </w:tcPr>
          <w:p>
            <w:pPr>
              <w:pStyle w:val="TableText"/>
              <w:ind w:left="259"/>
              <w:spacing w:before="131" w:line="158" w:lineRule="auto"/>
              <w:rPr>
                <w:sz w:val="22"/>
                <w:szCs w:val="22"/>
              </w:rPr>
            </w:pPr>
            <w:r>
              <w:rPr>
                <w:sz w:val="22"/>
                <w:szCs w:val="22"/>
              </w:rPr>
              <w:t>C</w:t>
            </w:r>
          </w:p>
        </w:tc>
        <w:tc>
          <w:tcPr>
            <w:tcW w:w="7575" w:type="dxa"/>
            <w:vAlign w:val="top"/>
            <w:tcBorders>
              <w:bottom w:val="single" w:color="000000" w:sz="4" w:space="0"/>
              <w:top w:val="single" w:color="000000" w:sz="4" w:space="0"/>
            </w:tcBorders>
          </w:tcPr>
          <w:p>
            <w:pPr>
              <w:pStyle w:val="TableText"/>
              <w:ind w:left="335"/>
              <w:spacing w:before="84" w:line="198" w:lineRule="auto"/>
              <w:rPr>
                <w:sz w:val="22"/>
                <w:szCs w:val="22"/>
              </w:rPr>
            </w:pPr>
            <w:r>
              <w:rPr>
                <w:sz w:val="22"/>
                <w:szCs w:val="22"/>
                <w:spacing w:val="-1"/>
              </w:rPr>
              <w:t>缺乏直接的高品质的临床研究的支持</w:t>
            </w:r>
          </w:p>
        </w:tc>
      </w:tr>
    </w:tbl>
    <w:p>
      <w:pPr>
        <w:pStyle w:val="BodyText"/>
        <w:ind w:left="449" w:right="30" w:firstLine="389"/>
        <w:spacing w:before="103" w:line="290" w:lineRule="auto"/>
        <w:rPr/>
      </w:pPr>
      <w:r>
        <w:rPr>
          <w:spacing w:val="3"/>
        </w:rPr>
        <w:t>各个“推荐”引用了来自最重要的相关出版物的文献。不过需要强调的是，我们的工作没有试图要</w:t>
      </w:r>
      <w:r>
        <w:rPr>
          <w:spacing w:val="10"/>
        </w:rPr>
        <w:t xml:space="preserve"> </w:t>
      </w:r>
      <w:r>
        <w:rPr>
          <w:spacing w:val="2"/>
        </w:rPr>
        <w:t>包涵所有的文献，这对实际工作来说是不可能的。</w:t>
      </w:r>
    </w:p>
    <w:p>
      <w:pPr>
        <w:pStyle w:val="BodyText"/>
        <w:ind w:left="449" w:firstLine="389"/>
        <w:spacing w:before="3" w:line="299" w:lineRule="auto"/>
        <w:jc w:val="both"/>
        <w:rPr/>
      </w:pPr>
      <w:r>
        <w:rPr>
          <w:spacing w:val="4"/>
        </w:rPr>
        <w:t>在制定过程中，我们将“推荐”主要集中在</w:t>
      </w:r>
      <w:r>
        <w:rPr>
          <w:spacing w:val="3"/>
        </w:rPr>
        <w:t>医药方面。考虑到在卫生保健部门的财务系统上存在多</w:t>
      </w:r>
      <w:r>
        <w:rPr/>
        <w:t xml:space="preserve"> </w:t>
      </w:r>
      <w:r>
        <w:rPr>
          <w:spacing w:val="7"/>
        </w:rPr>
        <w:t>方面的地域差异，讨论相关的经济问题远超出了欧洲指南文件的范畴。虽然不同的治疗方法和技术设</w:t>
      </w:r>
      <w:r>
        <w:rPr>
          <w:spacing w:val="10"/>
        </w:rPr>
        <w:t xml:space="preserve"> </w:t>
      </w:r>
      <w:r>
        <w:rPr>
          <w:spacing w:val="8"/>
        </w:rPr>
        <w:t>备在使用上具有地域差异性，但我们强调要选择对患者来说最合适、损伤最小、并发症风险最</w:t>
      </w:r>
      <w:r>
        <w:rPr>
          <w:spacing w:val="7"/>
        </w:rPr>
        <w:t>小的诊</w:t>
      </w:r>
      <w:r>
        <w:rPr/>
        <w:t xml:space="preserve"> </w:t>
      </w:r>
      <w:r>
        <w:rPr>
          <w:spacing w:val="3"/>
        </w:rPr>
        <w:t>疗方法。这并不是说其他的方法是不能用的，如果某一治疗方法不推荐使用，我们将会</w:t>
      </w:r>
      <w:r>
        <w:rPr>
          <w:spacing w:val="2"/>
        </w:rPr>
        <w:t>特别说明。</w:t>
      </w:r>
    </w:p>
    <w:p>
      <w:pPr>
        <w:pStyle w:val="BodyText"/>
        <w:ind w:left="839"/>
        <w:spacing w:before="14" w:line="216" w:lineRule="auto"/>
        <w:rPr/>
      </w:pPr>
      <w:r>
        <w:rPr/>
        <w:t>这次出版的《泌尿系结石诊疗指南》是对我们以前版本[2,3]的修订本。</w:t>
      </w:r>
    </w:p>
    <w:p>
      <w:pPr>
        <w:pStyle w:val="BodyText"/>
        <w:ind w:left="449"/>
        <w:spacing w:before="58" w:line="219" w:lineRule="auto"/>
        <w:rPr/>
      </w:pPr>
      <w:r>
        <w:rPr>
          <w:spacing w:val="-5"/>
        </w:rPr>
        <w:t>1.1</w:t>
      </w:r>
      <w:r>
        <w:rPr>
          <w:spacing w:val="-34"/>
        </w:rPr>
        <w:t xml:space="preserve"> </w:t>
      </w:r>
      <w:r>
        <w:rPr>
          <w:spacing w:val="-5"/>
        </w:rPr>
        <w:t>参考文献</w:t>
      </w:r>
    </w:p>
    <w:p>
      <w:pPr>
        <w:ind w:left="449" w:right="40"/>
        <w:spacing w:before="109" w:line="32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1.US</w:t>
      </w:r>
      <w:r>
        <w:rPr>
          <w:rFonts w:ascii="Times New Roman" w:hAnsi="Times New Roman" w:eastAsia="Times New Roman" w:cs="Times New Roman"/>
          <w:sz w:val="21"/>
          <w:szCs w:val="21"/>
          <w:spacing w:val="62"/>
          <w:w w:val="101"/>
        </w:rPr>
        <w:t xml:space="preserve"> </w:t>
      </w:r>
      <w:r>
        <w:rPr>
          <w:rFonts w:ascii="Times New Roman" w:hAnsi="Times New Roman" w:eastAsia="Times New Roman" w:cs="Times New Roman"/>
          <w:sz w:val="21"/>
          <w:szCs w:val="21"/>
          <w:spacing w:val="-1"/>
        </w:rPr>
        <w:t>Department  of</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Health  and</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Human  Services.Public  Health  Service,Agency  for  Health  Care  Policy  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Research,1992,pp      115-127.</w:t>
      </w:r>
    </w:p>
    <w:p>
      <w:pPr>
        <w:ind w:left="449"/>
        <w:spacing w:before="31" w:line="192" w:lineRule="auto"/>
        <w:rPr>
          <w:rFonts w:ascii="Times New Roman" w:hAnsi="Times New Roman" w:eastAsia="Times New Roman" w:cs="Times New Roman"/>
          <w:sz w:val="21"/>
          <w:szCs w:val="21"/>
        </w:rPr>
      </w:pPr>
      <w:hyperlink w:history="true" r:id="rId13">
        <w:r>
          <w:rPr>
            <w:rFonts w:ascii="Times New Roman" w:hAnsi="Times New Roman" w:eastAsia="Times New Roman" w:cs="Times New Roman"/>
            <w:sz w:val="21"/>
            <w:szCs w:val="21"/>
            <w:spacing w:val="-3"/>
          </w:rPr>
          <w:t>http://www.ahcpr.gov/</w:t>
        </w:r>
      </w:hyperlink>
    </w:p>
    <w:p>
      <w:pPr>
        <w:ind w:left="449" w:right="8"/>
        <w:spacing w:before="147" w:line="2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2.Tiselius   HG,Ackermann    D,Alken   P,Buck    C,Conort   P,Gallucci </w:t>
      </w:r>
      <w:r>
        <w:rPr>
          <w:rFonts w:ascii="Times New Roman" w:hAnsi="Times New Roman" w:eastAsia="Times New Roman" w:cs="Times New Roman"/>
          <w:sz w:val="21"/>
          <w:szCs w:val="21"/>
          <w:spacing w:val="-1"/>
        </w:rPr>
        <w:t xml:space="preserve">   M.Guidelines   on    urolithiasis.In:EAU</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guidelines.Edition  presented  at  the   16th  EAU</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Congress,Geneva,Swit</w:t>
      </w:r>
      <w:r>
        <w:rPr>
          <w:rFonts w:ascii="Times New Roman" w:hAnsi="Times New Roman" w:eastAsia="Times New Roman" w:cs="Times New Roman"/>
          <w:sz w:val="21"/>
          <w:szCs w:val="21"/>
          <w:spacing w:val="-1"/>
        </w:rPr>
        <w:t>zerland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2001(ISBN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90-806179-3-9)</w:t>
      </w:r>
    </w:p>
    <w:p>
      <w:pPr>
        <w:ind w:left="449"/>
        <w:spacing w:before="147" w:line="192" w:lineRule="auto"/>
        <w:rPr>
          <w:rFonts w:ascii="Times New Roman" w:hAnsi="Times New Roman" w:eastAsia="Times New Roman" w:cs="Times New Roman"/>
          <w:sz w:val="21"/>
          <w:szCs w:val="21"/>
        </w:rPr>
      </w:pPr>
      <w:hyperlink w:history="true" r:id="rId14">
        <w:r>
          <w:rPr>
            <w:rFonts w:ascii="Times New Roman" w:hAnsi="Times New Roman" w:eastAsia="Times New Roman" w:cs="Times New Roman"/>
            <w:sz w:val="21"/>
            <w:szCs w:val="21"/>
          </w:rPr>
          <w:t>http</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www</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uroweb</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org</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files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uploaded</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files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urolithiasis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pdf</w:t>
        </w:r>
      </w:hyperlink>
    </w:p>
    <w:p>
      <w:pPr>
        <w:ind w:left="449"/>
        <w:spacing w:before="14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3.Tiselius   HG,Ackermann   D,Alken   P,Buck   C,Conort   P,Gallucci   M</w:t>
      </w:r>
      <w:r>
        <w:rPr>
          <w:rFonts w:ascii="Times New Roman" w:hAnsi="Times New Roman" w:eastAsia="Times New Roman" w:cs="Times New Roman"/>
          <w:sz w:val="21"/>
          <w:szCs w:val="21"/>
          <w:spacing w:val="-1"/>
        </w:rPr>
        <w:t>.Guidelines   on   urolithiasis.Eur   Urol</w:t>
      </w:r>
    </w:p>
    <w:p>
      <w:pPr>
        <w:ind w:left="449"/>
        <w:spacing w:before="13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2001;40:362-371.</w:t>
      </w:r>
    </w:p>
    <w:p>
      <w:pPr>
        <w:ind w:left="449" w:right="98"/>
        <w:spacing w:before="54" w:line="293" w:lineRule="auto"/>
        <w:rPr>
          <w:rFonts w:ascii="Times New Roman" w:hAnsi="Times New Roman" w:eastAsia="Times New Roman" w:cs="Times New Roman"/>
          <w:sz w:val="21"/>
          <w:szCs w:val="21"/>
        </w:rPr>
      </w:pPr>
      <w:hyperlink w:history="true" r:id="rId15">
        <w:r>
          <w:rPr>
            <w:rFonts w:ascii="Times New Roman" w:hAnsi="Times New Roman" w:eastAsia="Times New Roman" w:cs="Times New Roman"/>
            <w:sz w:val="32"/>
            <w:szCs w:val="32"/>
            <w:spacing w:val="-1"/>
          </w:rPr>
          <w:t>h  t  t  p:/1</w:t>
        </w:r>
        <w:r>
          <w:rPr>
            <w:rFonts w:ascii="Times New Roman" w:hAnsi="Times New Roman" w:eastAsia="Times New Roman" w:cs="Times New Roman"/>
            <w:sz w:val="32"/>
            <w:szCs w:val="32"/>
            <w:spacing w:val="8"/>
          </w:rPr>
          <w:t xml:space="preserve">  </w:t>
        </w:r>
        <w:r>
          <w:rPr>
            <w:rFonts w:ascii="Times New Roman" w:hAnsi="Times New Roman" w:eastAsia="Times New Roman" w:cs="Times New Roman"/>
            <w:sz w:val="32"/>
            <w:szCs w:val="32"/>
            <w:spacing w:val="-1"/>
          </w:rPr>
          <w:t>w</w:t>
        </w:r>
        <w:r>
          <w:rPr>
            <w:rFonts w:ascii="Times New Roman" w:hAnsi="Times New Roman" w:eastAsia="Times New Roman" w:cs="Times New Roman"/>
            <w:sz w:val="32"/>
            <w:szCs w:val="32"/>
            <w:spacing w:val="9"/>
          </w:rPr>
          <w:t xml:space="preserve">  </w:t>
        </w:r>
        <w:r>
          <w:rPr>
            <w:rFonts w:ascii="Times New Roman" w:hAnsi="Times New Roman" w:eastAsia="Times New Roman" w:cs="Times New Roman"/>
            <w:sz w:val="32"/>
            <w:szCs w:val="32"/>
            <w:spacing w:val="-1"/>
          </w:rPr>
          <w:t>w</w:t>
        </w:r>
        <w:r>
          <w:rPr>
            <w:rFonts w:ascii="Times New Roman" w:hAnsi="Times New Roman" w:eastAsia="Times New Roman" w:cs="Times New Roman"/>
            <w:sz w:val="32"/>
            <w:szCs w:val="32"/>
            <w:spacing w:val="9"/>
          </w:rPr>
          <w:t xml:space="preserve">  </w:t>
        </w:r>
        <w:r>
          <w:rPr>
            <w:rFonts w:ascii="Times New Roman" w:hAnsi="Times New Roman" w:eastAsia="Times New Roman" w:cs="Times New Roman"/>
            <w:sz w:val="32"/>
            <w:szCs w:val="32"/>
            <w:spacing w:val="-1"/>
          </w:rPr>
          <w:t>w   .n  cbi.n   1m.</w:t>
        </w:r>
        <w:r>
          <w:rPr>
            <w:rFonts w:ascii="Times New Roman" w:hAnsi="Times New Roman" w:eastAsia="Times New Roman" w:cs="Times New Roman"/>
            <w:sz w:val="32"/>
            <w:szCs w:val="32"/>
            <w:spacing w:val="-2"/>
          </w:rPr>
          <w:t>n  ih.g</w:t>
        </w:r>
        <w:r>
          <w:rPr>
            <w:rFonts w:ascii="Times New Roman" w:hAnsi="Times New Roman" w:eastAsia="Times New Roman" w:cs="Times New Roman"/>
            <w:sz w:val="32"/>
            <w:szCs w:val="32"/>
            <w:spacing w:val="13"/>
          </w:rPr>
          <w:t xml:space="preserve">  </w:t>
        </w:r>
        <w:r>
          <w:rPr>
            <w:rFonts w:ascii="Times New Roman" w:hAnsi="Times New Roman" w:eastAsia="Times New Roman" w:cs="Times New Roman"/>
            <w:sz w:val="32"/>
            <w:szCs w:val="32"/>
            <w:spacing w:val="-2"/>
          </w:rPr>
          <w:t>ov/e</w:t>
        </w:r>
        <w:r>
          <w:rPr>
            <w:rFonts w:ascii="Times New Roman" w:hAnsi="Times New Roman" w:eastAsia="Times New Roman" w:cs="Times New Roman"/>
            <w:sz w:val="32"/>
            <w:szCs w:val="32"/>
            <w:spacing w:val="9"/>
          </w:rPr>
          <w:t xml:space="preserve">  </w:t>
        </w:r>
        <w:r>
          <w:rPr>
            <w:rFonts w:ascii="Times New Roman" w:hAnsi="Times New Roman" w:eastAsia="Times New Roman" w:cs="Times New Roman"/>
            <w:sz w:val="32"/>
            <w:szCs w:val="32"/>
            <w:spacing w:val="-2"/>
          </w:rPr>
          <w:t>n</w:t>
        </w:r>
        <w:r>
          <w:rPr>
            <w:rFonts w:ascii="Times New Roman" w:hAnsi="Times New Roman" w:eastAsia="Times New Roman" w:cs="Times New Roman"/>
            <w:sz w:val="32"/>
            <w:szCs w:val="32"/>
            <w:spacing w:val="10"/>
          </w:rPr>
          <w:t xml:space="preserve">  </w:t>
        </w:r>
        <w:r>
          <w:rPr>
            <w:rFonts w:ascii="Times New Roman" w:hAnsi="Times New Roman" w:eastAsia="Times New Roman" w:cs="Times New Roman"/>
            <w:sz w:val="32"/>
            <w:szCs w:val="32"/>
            <w:spacing w:val="-2"/>
          </w:rPr>
          <w:t>t</w:t>
        </w:r>
        <w:r>
          <w:rPr>
            <w:rFonts w:ascii="Times New Roman" w:hAnsi="Times New Roman" w:eastAsia="Times New Roman" w:cs="Times New Roman"/>
            <w:sz w:val="32"/>
            <w:szCs w:val="32"/>
            <w:spacing w:val="8"/>
          </w:rPr>
          <w:t xml:space="preserve">  </w:t>
        </w:r>
        <w:r>
          <w:rPr>
            <w:rFonts w:ascii="Times New Roman" w:hAnsi="Times New Roman" w:eastAsia="Times New Roman" w:cs="Times New Roman"/>
            <w:sz w:val="32"/>
            <w:szCs w:val="32"/>
            <w:spacing w:val="-2"/>
          </w:rPr>
          <w:t>re</w:t>
        </w:r>
        <w:r>
          <w:rPr>
            <w:rFonts w:ascii="Times New Roman" w:hAnsi="Times New Roman" w:eastAsia="Times New Roman" w:cs="Times New Roman"/>
            <w:sz w:val="32"/>
            <w:szCs w:val="32"/>
            <w:spacing w:val="11"/>
          </w:rPr>
          <w:t xml:space="preserve">  </w:t>
        </w:r>
        <w:r>
          <w:rPr>
            <w:rFonts w:ascii="Times New Roman" w:hAnsi="Times New Roman" w:eastAsia="Times New Roman" w:cs="Times New Roman"/>
            <w:sz w:val="32"/>
            <w:szCs w:val="32"/>
            <w:spacing w:val="-2"/>
          </w:rPr>
          <w:t>z1</w:t>
        </w:r>
        <w:r>
          <w:rPr>
            <w:rFonts w:ascii="Times New Roman" w:hAnsi="Times New Roman" w:eastAsia="Times New Roman" w:cs="Times New Roman"/>
            <w:sz w:val="32"/>
            <w:szCs w:val="32"/>
            <w:spacing w:val="13"/>
          </w:rPr>
          <w:t xml:space="preserve">  </w:t>
        </w:r>
        <w:r>
          <w:rPr>
            <w:rFonts w:ascii="Times New Roman" w:hAnsi="Times New Roman" w:eastAsia="Times New Roman" w:cs="Times New Roman"/>
            <w:sz w:val="32"/>
            <w:szCs w:val="32"/>
            <w:spacing w:val="-2"/>
          </w:rPr>
          <w:t>qu</w:t>
        </w:r>
        <w:r>
          <w:rPr>
            <w:rFonts w:ascii="Times New Roman" w:hAnsi="Times New Roman" w:eastAsia="Times New Roman" w:cs="Times New Roman"/>
            <w:sz w:val="32"/>
            <w:szCs w:val="32"/>
            <w:spacing w:val="14"/>
          </w:rPr>
          <w:t xml:space="preserve">  </w:t>
        </w:r>
        <w:r>
          <w:rPr>
            <w:rFonts w:ascii="Times New Roman" w:hAnsi="Times New Roman" w:eastAsia="Times New Roman" w:cs="Times New Roman"/>
            <w:sz w:val="32"/>
            <w:szCs w:val="32"/>
            <w:spacing w:val="-2"/>
          </w:rPr>
          <w:t>ery.f  cgi?</w:t>
        </w:r>
      </w:hyperlink>
      <w:r>
        <w:rPr>
          <w:rFonts w:ascii="Times New Roman" w:hAnsi="Times New Roman" w:eastAsia="Times New Roman" w:cs="Times New Roman"/>
          <w:sz w:val="32"/>
          <w:szCs w:val="32"/>
          <w:spacing w:val="1"/>
        </w:rPr>
        <w:t xml:space="preserve"> </w:t>
      </w:r>
      <w:r>
        <w:rPr>
          <w:rFonts w:ascii="Times New Roman" w:hAnsi="Times New Roman" w:eastAsia="Times New Roman" w:cs="Times New Roman"/>
          <w:sz w:val="21"/>
          <w:szCs w:val="21"/>
        </w:rPr>
        <w:t>cmd=Retrieve&amp;db=pubmed&amp;dopt=Abstract&amp;list_</w:t>
      </w:r>
      <w:r>
        <w:rPr>
          <w:rFonts w:ascii="Times New Roman" w:hAnsi="Times New Roman" w:eastAsia="Times New Roman" w:cs="Times New Roman"/>
          <w:sz w:val="21"/>
          <w:szCs w:val="21"/>
          <w:spacing w:val="-1"/>
        </w:rPr>
        <w:t>uids=11713390</w:t>
      </w:r>
    </w:p>
    <w:p>
      <w:pPr>
        <w:pStyle w:val="BodyText"/>
        <w:ind w:left="449"/>
        <w:spacing w:before="18" w:line="221" w:lineRule="auto"/>
        <w:rPr>
          <w:rFonts w:ascii="SimHei" w:hAnsi="SimHei" w:eastAsia="SimHei" w:cs="SimHei"/>
        </w:rPr>
      </w:pPr>
      <w:r>
        <w:rPr>
          <w:spacing w:val="5"/>
        </w:rPr>
        <w:t>2.</w:t>
      </w:r>
      <w:r>
        <w:rPr>
          <w:rFonts w:ascii="SimHei" w:hAnsi="SimHei" w:eastAsia="SimHei" w:cs="SimHei"/>
          <w:spacing w:val="5"/>
        </w:rPr>
        <w:t>分类</w:t>
      </w:r>
    </w:p>
    <w:p>
      <w:pPr>
        <w:pStyle w:val="BodyText"/>
        <w:ind w:left="449"/>
        <w:spacing w:before="81" w:line="219" w:lineRule="auto"/>
        <w:rPr/>
      </w:pPr>
      <w:r>
        <w:rPr>
          <w:spacing w:val="-4"/>
        </w:rPr>
        <w:t>2.1 结石患者分类</w:t>
      </w:r>
    </w:p>
    <w:p>
      <w:pPr>
        <w:pStyle w:val="BodyText"/>
        <w:ind w:left="839"/>
        <w:spacing w:before="98" w:line="216" w:lineRule="auto"/>
        <w:rPr/>
      </w:pPr>
      <w:r>
        <w:rPr>
          <w:spacing w:val="1"/>
        </w:rPr>
        <w:t>表3为结石患者分类的系统。有助于决定患者是否需要代谢评估和医学处理[1,2,3]。</w:t>
      </w:r>
    </w:p>
    <w:p>
      <w:pPr>
        <w:spacing w:line="254" w:lineRule="auto"/>
        <w:rPr>
          <w:rFonts w:ascii="Arial"/>
          <w:sz w:val="21"/>
        </w:rPr>
      </w:pPr>
      <w:r/>
    </w:p>
    <w:p>
      <w:pPr>
        <w:pStyle w:val="BodyText"/>
        <w:ind w:left="3872"/>
        <w:spacing w:before="69" w:line="219" w:lineRule="auto"/>
        <w:rPr/>
      </w:pPr>
      <w:r>
        <w:rPr>
          <w:b/>
          <w:bCs/>
          <w:spacing w:val="3"/>
        </w:rPr>
        <w:t>表3</w:t>
      </w:r>
      <w:r>
        <w:rPr>
          <w:spacing w:val="101"/>
        </w:rPr>
        <w:t xml:space="preserve"> </w:t>
      </w:r>
      <w:r>
        <w:rPr>
          <w:b/>
          <w:bCs/>
          <w:spacing w:val="3"/>
        </w:rPr>
        <w:t>结石患者分类.</w:t>
      </w:r>
    </w:p>
    <w:p>
      <w:pPr>
        <w:spacing w:before="188"/>
        <w:rPr/>
      </w:pPr>
      <w:r/>
    </w:p>
    <w:tbl>
      <w:tblPr>
        <w:tblStyle w:val="TableNormal"/>
        <w:tblW w:w="7509" w:type="dxa"/>
        <w:tblInd w:w="100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70"/>
        <w:gridCol w:w="5443"/>
        <w:gridCol w:w="896"/>
      </w:tblGrid>
      <w:tr>
        <w:trPr>
          <w:trHeight w:val="294" w:hRule="atLeast"/>
        </w:trPr>
        <w:tc>
          <w:tcPr>
            <w:tcW w:w="1170" w:type="dxa"/>
            <w:vAlign w:val="top"/>
            <w:tcBorders>
              <w:bottom w:val="single" w:color="000000" w:sz="4" w:space="0"/>
              <w:top w:val="single" w:color="000000" w:sz="4" w:space="0"/>
            </w:tcBorders>
          </w:tcPr>
          <w:p>
            <w:pPr>
              <w:pStyle w:val="TableText"/>
              <w:ind w:left="93"/>
              <w:spacing w:before="65" w:line="183" w:lineRule="auto"/>
              <w:rPr>
                <w:sz w:val="22"/>
                <w:szCs w:val="22"/>
              </w:rPr>
            </w:pPr>
            <w:r>
              <w:rPr>
                <w:sz w:val="22"/>
                <w:szCs w:val="22"/>
                <w:b/>
                <w:bCs/>
                <w:spacing w:val="-3"/>
              </w:rPr>
              <w:t>2</w:t>
            </w:r>
          </w:p>
        </w:tc>
        <w:tc>
          <w:tcPr>
            <w:tcW w:w="5443" w:type="dxa"/>
            <w:vAlign w:val="top"/>
            <w:tcBorders>
              <w:bottom w:val="single" w:color="000000" w:sz="4" w:space="0"/>
              <w:top w:val="single" w:color="000000" w:sz="4" w:space="0"/>
            </w:tcBorders>
          </w:tcPr>
          <w:p>
            <w:pPr>
              <w:pStyle w:val="TableText"/>
              <w:ind w:left="123"/>
              <w:spacing w:before="31" w:line="212" w:lineRule="auto"/>
              <w:rPr>
                <w:sz w:val="22"/>
                <w:szCs w:val="22"/>
              </w:rPr>
            </w:pPr>
            <w:r>
              <w:rPr>
                <w:sz w:val="22"/>
                <w:szCs w:val="22"/>
                <w:b/>
                <w:bCs/>
                <w:spacing w:val="5"/>
              </w:rPr>
              <w:t>定义</w:t>
            </w:r>
            <w:r>
              <w:rPr>
                <w:sz w:val="22"/>
                <w:szCs w:val="22"/>
                <w:spacing w:val="-56"/>
              </w:rPr>
              <w:t xml:space="preserve"> </w:t>
            </w:r>
            <w:r>
              <w:rPr>
                <w:sz w:val="22"/>
                <w:szCs w:val="22"/>
                <w:b/>
                <w:bCs/>
                <w:spacing w:val="5"/>
              </w:rPr>
              <w:t>.</w:t>
            </w:r>
          </w:p>
        </w:tc>
        <w:tc>
          <w:tcPr>
            <w:tcW w:w="896" w:type="dxa"/>
            <w:vAlign w:val="top"/>
            <w:tcBorders>
              <w:bottom w:val="single" w:color="000000" w:sz="4" w:space="0"/>
              <w:top w:val="single" w:color="000000" w:sz="4" w:space="0"/>
            </w:tcBorders>
          </w:tcPr>
          <w:p>
            <w:pPr>
              <w:pStyle w:val="TableText"/>
              <w:ind w:left="50"/>
              <w:spacing w:before="11" w:line="219" w:lineRule="auto"/>
              <w:rPr>
                <w:sz w:val="22"/>
                <w:szCs w:val="22"/>
              </w:rPr>
            </w:pPr>
            <w:r>
              <w:rPr>
                <w:sz w:val="22"/>
                <w:szCs w:val="22"/>
                <w:b/>
                <w:bCs/>
                <w:spacing w:val="6"/>
              </w:rPr>
              <w:t>分类</w:t>
            </w:r>
            <w:r>
              <w:rPr>
                <w:sz w:val="22"/>
                <w:szCs w:val="22"/>
                <w:spacing w:val="-59"/>
              </w:rPr>
              <w:t xml:space="preserve"> </w:t>
            </w:r>
            <w:r>
              <w:rPr>
                <w:sz w:val="22"/>
                <w:szCs w:val="22"/>
                <w:b/>
                <w:bCs/>
                <w:spacing w:val="6"/>
              </w:rPr>
              <w:t>.</w:t>
            </w:r>
          </w:p>
        </w:tc>
      </w:tr>
      <w:tr>
        <w:trPr>
          <w:trHeight w:val="289" w:hRule="atLeast"/>
        </w:trPr>
        <w:tc>
          <w:tcPr>
            <w:tcW w:w="1170" w:type="dxa"/>
            <w:vAlign w:val="top"/>
            <w:vMerge w:val="restart"/>
            <w:tcBorders>
              <w:bottom w:val="nil"/>
              <w:top w:val="single" w:color="000000" w:sz="4" w:space="0"/>
            </w:tcBorders>
          </w:tcPr>
          <w:p>
            <w:pPr>
              <w:spacing w:line="244" w:lineRule="auto"/>
              <w:rPr>
                <w:rFonts w:ascii="Arial"/>
                <w:sz w:val="21"/>
              </w:rPr>
            </w:pPr>
            <w:r/>
          </w:p>
          <w:p>
            <w:pPr>
              <w:pStyle w:val="TableText"/>
              <w:spacing w:before="72" w:line="220" w:lineRule="auto"/>
              <w:jc w:val="right"/>
              <w:rPr>
                <w:sz w:val="22"/>
                <w:szCs w:val="22"/>
              </w:rPr>
            </w:pPr>
            <w:r>
              <w:rPr>
                <w:sz w:val="22"/>
                <w:szCs w:val="22"/>
                <w:b/>
                <w:bCs/>
                <w:spacing w:val="-26"/>
              </w:rPr>
              <w:t>非钙结石</w:t>
            </w:r>
            <w:r>
              <w:rPr>
                <w:sz w:val="22"/>
                <w:szCs w:val="22"/>
                <w:spacing w:val="-26"/>
              </w:rPr>
              <w:t>·</w:t>
            </w:r>
          </w:p>
        </w:tc>
        <w:tc>
          <w:tcPr>
            <w:tcW w:w="5443" w:type="dxa"/>
            <w:vAlign w:val="top"/>
            <w:tcBorders>
              <w:bottom w:val="single" w:color="000000" w:sz="4" w:space="0"/>
              <w:top w:val="single" w:color="000000" w:sz="4" w:space="0"/>
            </w:tcBorders>
          </w:tcPr>
          <w:p>
            <w:pPr>
              <w:pStyle w:val="TableText"/>
              <w:ind w:left="129"/>
              <w:spacing w:before="10" w:line="220" w:lineRule="auto"/>
              <w:rPr>
                <w:sz w:val="22"/>
                <w:szCs w:val="22"/>
              </w:rPr>
            </w:pPr>
            <w:r>
              <w:rPr>
                <w:sz w:val="22"/>
                <w:szCs w:val="22"/>
                <w:spacing w:val="-1"/>
              </w:rPr>
              <w:t>感染性结石，</w:t>
            </w:r>
          </w:p>
        </w:tc>
        <w:tc>
          <w:tcPr>
            <w:tcW w:w="896" w:type="dxa"/>
            <w:vAlign w:val="top"/>
            <w:tcBorders>
              <w:bottom w:val="single" w:color="000000" w:sz="4" w:space="0"/>
              <w:top w:val="single" w:color="000000" w:sz="4" w:space="0"/>
            </w:tcBorders>
          </w:tcPr>
          <w:p>
            <w:pPr>
              <w:pStyle w:val="TableText"/>
              <w:ind w:left="46"/>
              <w:spacing w:before="68" w:line="177" w:lineRule="auto"/>
              <w:rPr>
                <w:sz w:val="22"/>
                <w:szCs w:val="22"/>
              </w:rPr>
            </w:pPr>
            <w:r>
              <w:rPr>
                <w:sz w:val="22"/>
                <w:szCs w:val="22"/>
                <w:spacing w:val="-5"/>
              </w:rPr>
              <w:t>INF</w:t>
            </w:r>
          </w:p>
        </w:tc>
      </w:tr>
      <w:tr>
        <w:trPr>
          <w:trHeight w:val="259" w:hRule="atLeast"/>
        </w:trPr>
        <w:tc>
          <w:tcPr>
            <w:tcW w:w="1170" w:type="dxa"/>
            <w:vAlign w:val="top"/>
            <w:vMerge w:val="continue"/>
            <w:tcBorders>
              <w:bottom w:val="nil"/>
              <w:top w:val="nil"/>
            </w:tcBorders>
          </w:tcPr>
          <w:p>
            <w:pPr>
              <w:rPr>
                <w:rFonts w:ascii="Arial"/>
                <w:sz w:val="21"/>
              </w:rPr>
            </w:pPr>
            <w:r/>
          </w:p>
        </w:tc>
        <w:tc>
          <w:tcPr>
            <w:tcW w:w="5443" w:type="dxa"/>
            <w:vAlign w:val="top"/>
            <w:tcBorders>
              <w:bottom w:val="single" w:color="000000" w:sz="4" w:space="0"/>
              <w:top w:val="single" w:color="000000" w:sz="4" w:space="0"/>
            </w:tcBorders>
          </w:tcPr>
          <w:p>
            <w:pPr>
              <w:pStyle w:val="TableText"/>
              <w:ind w:left="89"/>
              <w:spacing w:before="22" w:line="190" w:lineRule="auto"/>
              <w:rPr>
                <w:sz w:val="22"/>
                <w:szCs w:val="22"/>
              </w:rPr>
            </w:pPr>
            <w:r>
              <w:rPr>
                <w:sz w:val="22"/>
                <w:szCs w:val="22"/>
                <w:spacing w:val="6"/>
              </w:rPr>
              <w:t>尿酸/尿酸钠/尿酸铵结石.</w:t>
            </w:r>
          </w:p>
        </w:tc>
        <w:tc>
          <w:tcPr>
            <w:tcW w:w="896" w:type="dxa"/>
            <w:vAlign w:val="top"/>
            <w:tcBorders>
              <w:bottom w:val="single" w:color="000000" w:sz="4" w:space="0"/>
              <w:top w:val="single" w:color="000000" w:sz="4" w:space="0"/>
            </w:tcBorders>
          </w:tcPr>
          <w:p>
            <w:pPr>
              <w:pStyle w:val="TableText"/>
              <w:ind w:left="46"/>
              <w:spacing w:before="69" w:line="179" w:lineRule="exact"/>
              <w:rPr>
                <w:sz w:val="22"/>
                <w:szCs w:val="22"/>
              </w:rPr>
            </w:pPr>
            <w:r>
              <w:rPr>
                <w:sz w:val="22"/>
                <w:szCs w:val="22"/>
                <w:spacing w:val="-2"/>
                <w:position w:val="-2"/>
              </w:rPr>
              <w:t>UR.</w:t>
            </w:r>
          </w:p>
        </w:tc>
      </w:tr>
      <w:tr>
        <w:trPr>
          <w:trHeight w:val="289" w:hRule="atLeast"/>
        </w:trPr>
        <w:tc>
          <w:tcPr>
            <w:tcW w:w="1170" w:type="dxa"/>
            <w:vAlign w:val="top"/>
            <w:vMerge w:val="continue"/>
            <w:tcBorders>
              <w:bottom w:val="single" w:color="000000" w:sz="4" w:space="0"/>
              <w:top w:val="nil"/>
            </w:tcBorders>
          </w:tcPr>
          <w:p>
            <w:pPr>
              <w:rPr>
                <w:rFonts w:ascii="Arial"/>
                <w:sz w:val="21"/>
              </w:rPr>
            </w:pPr>
            <w:r/>
          </w:p>
        </w:tc>
        <w:tc>
          <w:tcPr>
            <w:tcW w:w="5443" w:type="dxa"/>
            <w:vAlign w:val="top"/>
            <w:tcBorders>
              <w:bottom w:val="single" w:color="000000" w:sz="4" w:space="0"/>
              <w:top w:val="single" w:color="000000" w:sz="4" w:space="0"/>
            </w:tcBorders>
          </w:tcPr>
          <w:p>
            <w:pPr>
              <w:pStyle w:val="TableText"/>
              <w:ind w:left="129"/>
              <w:spacing w:before="32" w:line="207" w:lineRule="auto"/>
              <w:rPr>
                <w:sz w:val="22"/>
                <w:szCs w:val="22"/>
              </w:rPr>
            </w:pPr>
            <w:r>
              <w:rPr>
                <w:sz w:val="22"/>
                <w:szCs w:val="22"/>
                <w:spacing w:val="2"/>
              </w:rPr>
              <w:t>胱氨酸结石</w:t>
            </w:r>
          </w:p>
        </w:tc>
        <w:tc>
          <w:tcPr>
            <w:tcW w:w="896" w:type="dxa"/>
            <w:vAlign w:val="top"/>
            <w:tcBorders>
              <w:bottom w:val="single" w:color="000000" w:sz="4" w:space="0"/>
              <w:top w:val="single" w:color="000000" w:sz="4" w:space="0"/>
            </w:tcBorders>
          </w:tcPr>
          <w:p>
            <w:pPr>
              <w:pStyle w:val="TableText"/>
              <w:ind w:left="66"/>
              <w:spacing w:before="78" w:line="168" w:lineRule="auto"/>
              <w:rPr>
                <w:sz w:val="22"/>
                <w:szCs w:val="22"/>
              </w:rPr>
            </w:pPr>
            <w:r>
              <w:rPr>
                <w:sz w:val="22"/>
                <w:szCs w:val="22"/>
                <w:spacing w:val="-3"/>
              </w:rPr>
              <w:t>CY.</w:t>
            </w:r>
          </w:p>
        </w:tc>
      </w:tr>
      <w:tr>
        <w:trPr>
          <w:trHeight w:val="289" w:hRule="atLeast"/>
        </w:trPr>
        <w:tc>
          <w:tcPr>
            <w:tcW w:w="1170" w:type="dxa"/>
            <w:vAlign w:val="top"/>
            <w:vMerge w:val="restart"/>
            <w:tcBorders>
              <w:bottom w:val="nil"/>
              <w:top w:val="single" w:color="000000" w:sz="4" w:space="0"/>
            </w:tcBorders>
          </w:tcPr>
          <w:p>
            <w:pPr>
              <w:spacing w:line="327" w:lineRule="auto"/>
              <w:rPr>
                <w:rFonts w:ascii="Arial"/>
                <w:sz w:val="21"/>
              </w:rPr>
            </w:pPr>
            <w:r/>
          </w:p>
          <w:p>
            <w:pPr>
              <w:spacing w:line="328" w:lineRule="auto"/>
              <w:rPr>
                <w:rFonts w:ascii="Arial"/>
                <w:sz w:val="21"/>
              </w:rPr>
            </w:pPr>
            <w:r/>
          </w:p>
          <w:p>
            <w:pPr>
              <w:pStyle w:val="TableText"/>
              <w:ind w:left="93"/>
              <w:spacing w:before="72" w:line="221" w:lineRule="auto"/>
              <w:rPr>
                <w:sz w:val="22"/>
                <w:szCs w:val="22"/>
              </w:rPr>
            </w:pPr>
            <w:r>
              <w:rPr>
                <w:sz w:val="22"/>
                <w:szCs w:val="22"/>
                <w:b/>
                <w:bCs/>
                <w:spacing w:val="-5"/>
              </w:rPr>
              <w:t>钙结石</w:t>
            </w:r>
          </w:p>
        </w:tc>
        <w:tc>
          <w:tcPr>
            <w:tcW w:w="5443" w:type="dxa"/>
            <w:vAlign w:val="top"/>
            <w:tcBorders>
              <w:bottom w:val="single" w:color="000000" w:sz="4" w:space="0"/>
              <w:top w:val="single" w:color="000000" w:sz="4" w:space="0"/>
            </w:tcBorders>
          </w:tcPr>
          <w:p>
            <w:pPr>
              <w:pStyle w:val="TableText"/>
              <w:ind w:left="119"/>
              <w:spacing w:before="23" w:line="214" w:lineRule="auto"/>
              <w:rPr>
                <w:sz w:val="22"/>
                <w:szCs w:val="22"/>
              </w:rPr>
            </w:pPr>
            <w:r>
              <w:rPr>
                <w:sz w:val="22"/>
                <w:szCs w:val="22"/>
                <w:spacing w:val="6"/>
              </w:rPr>
              <w:t>初发结石患者、无残余结石.</w:t>
            </w:r>
          </w:p>
        </w:tc>
        <w:tc>
          <w:tcPr>
            <w:tcW w:w="896" w:type="dxa"/>
            <w:vAlign w:val="top"/>
            <w:tcBorders>
              <w:bottom w:val="single" w:color="000000" w:sz="4" w:space="0"/>
              <w:top w:val="single" w:color="000000" w:sz="4" w:space="0"/>
            </w:tcBorders>
          </w:tcPr>
          <w:p>
            <w:pPr>
              <w:pStyle w:val="TableText"/>
              <w:ind w:left="66"/>
              <w:spacing w:before="69" w:line="176" w:lineRule="auto"/>
              <w:rPr>
                <w:sz w:val="22"/>
                <w:szCs w:val="22"/>
              </w:rPr>
            </w:pPr>
            <w:r>
              <w:rPr>
                <w:sz w:val="22"/>
                <w:szCs w:val="22"/>
                <w:spacing w:val="-3"/>
              </w:rPr>
              <w:t>So</w:t>
            </w:r>
          </w:p>
        </w:tc>
      </w:tr>
      <w:tr>
        <w:trPr>
          <w:trHeight w:val="259" w:hRule="atLeast"/>
        </w:trPr>
        <w:tc>
          <w:tcPr>
            <w:tcW w:w="1170" w:type="dxa"/>
            <w:vAlign w:val="top"/>
            <w:vMerge w:val="continue"/>
            <w:tcBorders>
              <w:bottom w:val="nil"/>
              <w:top w:val="nil"/>
            </w:tcBorders>
          </w:tcPr>
          <w:p>
            <w:pPr>
              <w:rPr>
                <w:rFonts w:ascii="Arial"/>
                <w:sz w:val="21"/>
              </w:rPr>
            </w:pPr>
            <w:r/>
          </w:p>
        </w:tc>
        <w:tc>
          <w:tcPr>
            <w:tcW w:w="5443" w:type="dxa"/>
            <w:vAlign w:val="top"/>
            <w:tcBorders>
              <w:bottom w:val="single" w:color="000000" w:sz="4" w:space="0"/>
              <w:top w:val="single" w:color="000000" w:sz="4" w:space="0"/>
            </w:tcBorders>
          </w:tcPr>
          <w:p>
            <w:pPr>
              <w:pStyle w:val="TableText"/>
              <w:ind w:left="119"/>
              <w:spacing w:before="24" w:line="188" w:lineRule="auto"/>
              <w:rPr>
                <w:sz w:val="22"/>
                <w:szCs w:val="22"/>
              </w:rPr>
            </w:pPr>
            <w:r>
              <w:rPr>
                <w:sz w:val="22"/>
                <w:szCs w:val="22"/>
                <w:spacing w:val="6"/>
              </w:rPr>
              <w:t>初发结石患者，有残余结石.</w:t>
            </w:r>
          </w:p>
        </w:tc>
        <w:tc>
          <w:tcPr>
            <w:tcW w:w="896" w:type="dxa"/>
            <w:vAlign w:val="top"/>
            <w:tcBorders>
              <w:bottom w:val="single" w:color="000000" w:sz="4" w:space="0"/>
              <w:top w:val="single" w:color="000000" w:sz="4" w:space="0"/>
            </w:tcBorders>
          </w:tcPr>
          <w:p>
            <w:pPr>
              <w:pStyle w:val="TableText"/>
              <w:ind w:left="56"/>
              <w:spacing w:before="80" w:line="168" w:lineRule="exact"/>
              <w:rPr>
                <w:sz w:val="22"/>
                <w:szCs w:val="22"/>
              </w:rPr>
            </w:pPr>
            <w:r>
              <w:rPr>
                <w:sz w:val="22"/>
                <w:szCs w:val="22"/>
                <w:spacing w:val="-3"/>
                <w:position w:val="-3"/>
              </w:rPr>
              <w:t>Ses</w:t>
            </w:r>
          </w:p>
        </w:tc>
      </w:tr>
      <w:tr>
        <w:trPr>
          <w:trHeight w:val="269" w:hRule="atLeast"/>
        </w:trPr>
        <w:tc>
          <w:tcPr>
            <w:tcW w:w="1170" w:type="dxa"/>
            <w:vAlign w:val="top"/>
            <w:vMerge w:val="continue"/>
            <w:tcBorders>
              <w:bottom w:val="nil"/>
              <w:top w:val="nil"/>
            </w:tcBorders>
          </w:tcPr>
          <w:p>
            <w:pPr>
              <w:rPr>
                <w:rFonts w:ascii="Arial"/>
                <w:sz w:val="21"/>
              </w:rPr>
            </w:pPr>
            <w:r/>
          </w:p>
        </w:tc>
        <w:tc>
          <w:tcPr>
            <w:tcW w:w="5443" w:type="dxa"/>
            <w:vAlign w:val="top"/>
            <w:tcBorders>
              <w:bottom w:val="single" w:color="000000" w:sz="4" w:space="0"/>
              <w:top w:val="single" w:color="000000" w:sz="4" w:space="0"/>
            </w:tcBorders>
          </w:tcPr>
          <w:p>
            <w:pPr>
              <w:pStyle w:val="TableText"/>
              <w:ind w:left="129"/>
              <w:spacing w:before="34" w:line="188" w:lineRule="auto"/>
              <w:rPr>
                <w:sz w:val="22"/>
                <w:szCs w:val="22"/>
              </w:rPr>
            </w:pPr>
            <w:r>
              <w:rPr>
                <w:sz w:val="22"/>
                <w:szCs w:val="22"/>
              </w:rPr>
              <w:t>复发结石患者，病情轻度，无残余结石</w:t>
            </w:r>
          </w:p>
        </w:tc>
        <w:tc>
          <w:tcPr>
            <w:tcW w:w="896" w:type="dxa"/>
            <w:vAlign w:val="top"/>
            <w:tcBorders>
              <w:bottom w:val="single" w:color="000000" w:sz="4" w:space="0"/>
              <w:top w:val="single" w:color="000000" w:sz="4" w:space="0"/>
            </w:tcBorders>
          </w:tcPr>
          <w:p>
            <w:pPr>
              <w:pStyle w:val="TableText"/>
              <w:ind w:left="66"/>
              <w:spacing w:before="93" w:line="165" w:lineRule="exact"/>
              <w:rPr>
                <w:sz w:val="22"/>
                <w:szCs w:val="22"/>
              </w:rPr>
            </w:pPr>
            <w:r>
              <w:rPr>
                <w:sz w:val="22"/>
                <w:szCs w:val="22"/>
                <w:spacing w:val="-2"/>
                <w:position w:val="-3"/>
              </w:rPr>
              <w:t>Rmo-</w:t>
            </w:r>
          </w:p>
        </w:tc>
      </w:tr>
      <w:tr>
        <w:trPr>
          <w:trHeight w:val="279" w:hRule="atLeast"/>
        </w:trPr>
        <w:tc>
          <w:tcPr>
            <w:tcW w:w="1170" w:type="dxa"/>
            <w:vAlign w:val="top"/>
            <w:vMerge w:val="continue"/>
            <w:tcBorders>
              <w:bottom w:val="nil"/>
              <w:top w:val="nil"/>
            </w:tcBorders>
          </w:tcPr>
          <w:p>
            <w:pPr>
              <w:rPr>
                <w:rFonts w:ascii="Arial"/>
                <w:sz w:val="21"/>
              </w:rPr>
            </w:pPr>
            <w:r/>
          </w:p>
        </w:tc>
        <w:tc>
          <w:tcPr>
            <w:tcW w:w="5443" w:type="dxa"/>
            <w:vAlign w:val="top"/>
            <w:tcBorders>
              <w:bottom w:val="single" w:color="000000" w:sz="4" w:space="0"/>
              <w:top w:val="single" w:color="000000" w:sz="4" w:space="0"/>
            </w:tcBorders>
          </w:tcPr>
          <w:p>
            <w:pPr>
              <w:pStyle w:val="TableText"/>
              <w:ind w:left="129"/>
              <w:spacing w:before="42" w:line="190" w:lineRule="auto"/>
              <w:rPr>
                <w:sz w:val="22"/>
                <w:szCs w:val="22"/>
              </w:rPr>
            </w:pPr>
            <w:r>
              <w:rPr>
                <w:sz w:val="22"/>
                <w:szCs w:val="22"/>
                <w:spacing w:val="-1"/>
              </w:rPr>
              <w:t>复发结石患者，病</w:t>
            </w:r>
            <w:r>
              <w:rPr>
                <w:sz w:val="22"/>
                <w:szCs w:val="22"/>
                <w:b/>
                <w:bCs/>
                <w:spacing w:val="-1"/>
              </w:rPr>
              <w:t>情轻度</w:t>
            </w:r>
            <w:r>
              <w:rPr>
                <w:sz w:val="22"/>
                <w:szCs w:val="22"/>
                <w:spacing w:val="-1"/>
              </w:rPr>
              <w:t>，有残余结石</w:t>
            </w:r>
          </w:p>
        </w:tc>
        <w:tc>
          <w:tcPr>
            <w:tcW w:w="896" w:type="dxa"/>
            <w:vAlign w:val="top"/>
            <w:tcBorders>
              <w:bottom w:val="single" w:color="000000" w:sz="4" w:space="0"/>
              <w:top w:val="single" w:color="000000" w:sz="4" w:space="0"/>
            </w:tcBorders>
          </w:tcPr>
          <w:p>
            <w:pPr>
              <w:pStyle w:val="TableText"/>
              <w:ind w:left="66"/>
              <w:spacing w:before="37" w:line="194" w:lineRule="auto"/>
              <w:rPr>
                <w:sz w:val="22"/>
                <w:szCs w:val="22"/>
              </w:rPr>
            </w:pPr>
            <w:r>
              <w:rPr>
                <w:sz w:val="22"/>
                <w:szCs w:val="22"/>
                <w:spacing w:val="-1"/>
              </w:rPr>
              <w:t>Rm~1es</w:t>
            </w:r>
          </w:p>
        </w:tc>
      </w:tr>
      <w:tr>
        <w:trPr>
          <w:trHeight w:val="543" w:hRule="atLeast"/>
        </w:trPr>
        <w:tc>
          <w:tcPr>
            <w:tcW w:w="1170" w:type="dxa"/>
            <w:vAlign w:val="top"/>
            <w:vMerge w:val="continue"/>
            <w:tcBorders>
              <w:bottom w:val="single" w:color="000000" w:sz="4" w:space="0"/>
              <w:top w:val="nil"/>
            </w:tcBorders>
          </w:tcPr>
          <w:p>
            <w:pPr>
              <w:rPr>
                <w:rFonts w:ascii="Arial"/>
                <w:sz w:val="21"/>
              </w:rPr>
            </w:pPr>
            <w:r/>
          </w:p>
        </w:tc>
        <w:tc>
          <w:tcPr>
            <w:tcW w:w="5443" w:type="dxa"/>
            <w:vAlign w:val="top"/>
            <w:tcBorders>
              <w:bottom w:val="single" w:color="000000" w:sz="4" w:space="0"/>
              <w:top w:val="single" w:color="000000" w:sz="4" w:space="0"/>
            </w:tcBorders>
          </w:tcPr>
          <w:p>
            <w:pPr>
              <w:pStyle w:val="TableText"/>
              <w:ind w:left="152" w:right="38" w:firstLine="6"/>
              <w:spacing w:before="14" w:line="228" w:lineRule="auto"/>
              <w:rPr/>
            </w:pPr>
            <w:r>
              <w:rPr>
                <w:spacing w:val="-1"/>
              </w:rPr>
              <w:t>复发结石患者，病情重度，有或无残余结石，或者有</w:t>
            </w:r>
            <w:r>
              <w:rPr>
                <w:b/>
                <w:bCs/>
                <w:spacing w:val="-1"/>
              </w:rPr>
              <w:t>特殊</w:t>
            </w:r>
            <w:r>
              <w:rPr>
                <w:spacing w:val="14"/>
              </w:rPr>
              <w:t xml:space="preserve"> </w:t>
            </w:r>
            <w:r>
              <w:rPr>
                <w:b/>
                <w:bCs/>
                <w:spacing w:val="1"/>
              </w:rPr>
              <w:t>危险因素</w:t>
            </w:r>
            <w:r>
              <w:rPr>
                <w:spacing w:val="1"/>
              </w:rPr>
              <w:t>的结石患者，不考虑其他已定义类别(表4)</w:t>
            </w:r>
          </w:p>
        </w:tc>
        <w:tc>
          <w:tcPr>
            <w:tcW w:w="896" w:type="dxa"/>
            <w:vAlign w:val="top"/>
            <w:tcBorders>
              <w:bottom w:val="single" w:color="000000" w:sz="4" w:space="0"/>
              <w:top w:val="single" w:color="000000" w:sz="4" w:space="0"/>
            </w:tcBorders>
          </w:tcPr>
          <w:p>
            <w:pPr>
              <w:pStyle w:val="TableText"/>
              <w:ind w:left="76"/>
              <w:spacing w:before="209" w:line="182" w:lineRule="auto"/>
              <w:rPr>
                <w:rFonts w:ascii="Calibri" w:hAnsi="Calibri" w:eastAsia="Calibri" w:cs="Calibri"/>
              </w:rPr>
            </w:pPr>
            <w:r>
              <w:rPr>
                <w:spacing w:val="-4"/>
              </w:rPr>
              <w:t>R</w:t>
            </w:r>
            <w:r>
              <w:rPr>
                <w:rFonts w:ascii="Calibri" w:hAnsi="Calibri" w:eastAsia="Calibri" w:cs="Calibri"/>
                <w:spacing w:val="-4"/>
              </w:rPr>
              <w:t>₃</w:t>
            </w:r>
          </w:p>
        </w:tc>
      </w:tr>
    </w:tbl>
    <w:p>
      <w:pPr>
        <w:spacing w:line="395" w:lineRule="auto"/>
        <w:rPr>
          <w:rFonts w:ascii="Arial"/>
          <w:sz w:val="21"/>
        </w:rPr>
      </w:pPr>
      <w:r/>
    </w:p>
    <w:p>
      <w:pPr>
        <w:ind w:left="5059"/>
        <w:spacing w:before="49"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rPr>
        <w:t>—181—</w:t>
      </w:r>
    </w:p>
    <w:p>
      <w:pPr>
        <w:spacing w:line="369"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4">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headerReference w:type="default" r:id="rId5"/>
          <w:pgSz w:w="11850" w:h="16140"/>
          <w:pgMar w:top="400" w:right="1429" w:bottom="0" w:left="380" w:header="0" w:footer="0" w:gutter="0"/>
        </w:sectPr>
        <w:rPr>
          <w:rFonts w:ascii="Times New Roman" w:hAnsi="Times New Roman" w:eastAsia="Times New Roman" w:cs="Times New Roman"/>
          <w:sz w:val="21"/>
          <w:szCs w:val="21"/>
        </w:rPr>
      </w:pPr>
    </w:p>
    <w:p>
      <w:pPr>
        <w:spacing w:line="276" w:lineRule="auto"/>
        <w:rPr>
          <w:rFonts w:ascii="Arial"/>
          <w:sz w:val="21"/>
        </w:rPr>
      </w:pPr>
      <w:r/>
    </w:p>
    <w:p>
      <w:pPr>
        <w:ind w:left="640"/>
        <w:spacing w:before="72" w:line="221" w:lineRule="auto"/>
        <w:rPr>
          <w:sz w:val="21"/>
          <w:szCs w:val="21"/>
        </w:rPr>
      </w:pPr>
      <w:r>
        <w:drawing>
          <wp:anchor distT="0" distB="0" distL="0" distR="0" simplePos="0" relativeHeight="251670528" behindDoc="0" locked="0" layoutInCell="1" allowOverlap="1">
            <wp:simplePos x="0" y="0"/>
            <wp:positionH relativeFrom="column">
              <wp:posOffset>215884</wp:posOffset>
            </wp:positionH>
            <wp:positionV relativeFrom="paragraph">
              <wp:posOffset>184564</wp:posOffset>
            </wp:positionV>
            <wp:extent cx="1555742" cy="6667"/>
            <wp:effectExtent l="0" t="0" r="0" b="0"/>
            <wp:wrapNone/>
            <wp:docPr id="22" name="IM 22"/>
            <wp:cNvGraphicFramePr/>
            <a:graphic>
              <a:graphicData uri="http://schemas.openxmlformats.org/drawingml/2006/picture">
                <pic:pic>
                  <pic:nvPicPr>
                    <pic:cNvPr id="22" name="IM 22"/>
                    <pic:cNvPicPr/>
                  </pic:nvPicPr>
                  <pic:blipFill>
                    <a:blip r:embed="rId16"/>
                    <a:stretch>
                      <a:fillRect/>
                    </a:stretch>
                  </pic:blipFill>
                  <pic:spPr>
                    <a:xfrm rot="0">
                      <a:off x="0" y="0"/>
                      <a:ext cx="1555742" cy="6667"/>
                    </a:xfrm>
                    <a:prstGeom prst="rect">
                      <a:avLst/>
                    </a:prstGeom>
                  </pic:spPr>
                </pic:pic>
              </a:graphicData>
            </a:graphic>
          </wp:anchor>
        </w:drawing>
      </w:r>
      <w:r>
        <w:rPr>
          <w:rFonts w:ascii="STXingkai" w:hAnsi="STXingkai" w:eastAsia="STXingkai" w:cs="STXingkai"/>
          <w:sz w:val="21"/>
          <w:szCs w:val="21"/>
          <w:b/>
          <w:bCs/>
          <w:spacing w:val="-22"/>
        </w:rPr>
        <w:t>附</w:t>
      </w:r>
      <w:r>
        <w:rPr>
          <w:rFonts w:ascii="STXingkai" w:hAnsi="STXingkai" w:eastAsia="STXingkai" w:cs="STXingkai"/>
          <w:sz w:val="21"/>
          <w:szCs w:val="21"/>
          <w:spacing w:val="-22"/>
        </w:rPr>
        <w:t xml:space="preserve">      </w:t>
      </w:r>
      <w:r>
        <w:rPr>
          <w:rFonts w:ascii="STXingkai" w:hAnsi="STXingkai" w:eastAsia="STXingkai" w:cs="STXingkai"/>
          <w:sz w:val="21"/>
          <w:szCs w:val="21"/>
          <w:b/>
          <w:bCs/>
          <w:spacing w:val="-22"/>
        </w:rPr>
        <w:t>录</w:t>
      </w:r>
      <w:r>
        <w:rPr>
          <w:rFonts w:ascii="STXingkai" w:hAnsi="STXingkai" w:eastAsia="STXingkai" w:cs="STXingkai"/>
          <w:sz w:val="21"/>
          <w:szCs w:val="21"/>
          <w:spacing w:val="12"/>
        </w:rPr>
        <w:t xml:space="preserve">     </w:t>
      </w:r>
      <w:r>
        <w:rPr>
          <w:rFonts w:ascii="STXingkai" w:hAnsi="STXingkai" w:eastAsia="STXingkai" w:cs="STXingkai"/>
          <w:sz w:val="21"/>
          <w:szCs w:val="21"/>
          <w:b/>
          <w:bCs/>
          <w:spacing w:val="-22"/>
        </w:rPr>
        <w:t>·</w:t>
      </w:r>
      <w:r>
        <w:rPr>
          <w:rFonts w:ascii="STXingkai" w:hAnsi="STXingkai" w:eastAsia="STXingkai" w:cs="STXingkai"/>
          <w:sz w:val="21"/>
          <w:szCs w:val="21"/>
          <w:spacing w:val="10"/>
        </w:rPr>
        <w:t xml:space="preserve">    </w:t>
      </w:r>
      <w:r>
        <w:rPr>
          <w:rFonts w:ascii="STXingkai" w:hAnsi="STXingkai" w:eastAsia="STXingkai" w:cs="STXingkai"/>
          <w:sz w:val="21"/>
          <w:szCs w:val="21"/>
          <w:b/>
          <w:bCs/>
          <w:spacing w:val="-22"/>
        </w:rPr>
        <w:t>指</w:t>
      </w:r>
      <w:r>
        <w:rPr>
          <w:rFonts w:ascii="STXingkai" w:hAnsi="STXingkai" w:eastAsia="STXingkai" w:cs="STXingkai"/>
          <w:sz w:val="21"/>
          <w:szCs w:val="21"/>
          <w:spacing w:val="9"/>
        </w:rPr>
        <w:t xml:space="preserve">    </w:t>
      </w:r>
      <w:r>
        <w:rPr>
          <w:rFonts w:ascii="STXingkai" w:hAnsi="STXingkai" w:eastAsia="STXingkai" w:cs="STXingkai"/>
          <w:sz w:val="21"/>
          <w:szCs w:val="21"/>
          <w:b/>
          <w:bCs/>
          <w:spacing w:val="-22"/>
        </w:rPr>
        <w:t>直</w:t>
      </w:r>
      <w:r>
        <w:rPr>
          <w:rFonts w:ascii="STXingkai" w:hAnsi="STXingkai" w:eastAsia="STXingkai" w:cs="STXingkai"/>
          <w:sz w:val="21"/>
          <w:szCs w:val="21"/>
          <w:spacing w:val="-22"/>
        </w:rPr>
        <w:t xml:space="preserve">    </w:t>
      </w:r>
      <w:r>
        <w:rPr>
          <w:sz w:val="21"/>
          <w:szCs w:val="21"/>
          <w:position w:val="-17"/>
        </w:rPr>
        <w:drawing>
          <wp:inline distT="0" distB="0" distL="0" distR="0">
            <wp:extent cx="228601" cy="209487"/>
            <wp:effectExtent l="0" t="0" r="0" b="0"/>
            <wp:docPr id="24" name="IM 24"/>
            <wp:cNvGraphicFramePr/>
            <a:graphic>
              <a:graphicData uri="http://schemas.openxmlformats.org/drawingml/2006/picture">
                <pic:pic>
                  <pic:nvPicPr>
                    <pic:cNvPr id="24" name="IM 24"/>
                    <pic:cNvPicPr/>
                  </pic:nvPicPr>
                  <pic:blipFill>
                    <a:blip r:embed="rId17"/>
                    <a:stretch>
                      <a:fillRect/>
                    </a:stretch>
                  </pic:blipFill>
                  <pic:spPr>
                    <a:xfrm rot="0">
                      <a:off x="0" y="0"/>
                      <a:ext cx="228601" cy="209487"/>
                    </a:xfrm>
                    <a:prstGeom prst="rect">
                      <a:avLst/>
                    </a:prstGeom>
                  </pic:spPr>
                </pic:pic>
              </a:graphicData>
            </a:graphic>
          </wp:inline>
        </w:drawing>
      </w:r>
    </w:p>
    <w:p>
      <w:pPr>
        <w:pStyle w:val="BodyText"/>
        <w:ind w:left="342"/>
        <w:spacing w:before="215" w:line="219" w:lineRule="auto"/>
        <w:outlineLvl w:val="4"/>
        <w:rPr/>
      </w:pPr>
      <w:r>
        <w:rPr>
          <w:b/>
          <w:bCs/>
          <w:spacing w:val="4"/>
        </w:rPr>
        <w:t>2.2结石形成的危险因素</w:t>
      </w:r>
    </w:p>
    <w:p>
      <w:pPr>
        <w:pStyle w:val="BodyText"/>
        <w:ind w:left="802"/>
        <w:spacing w:before="80" w:line="219" w:lineRule="auto"/>
        <w:rPr/>
      </w:pPr>
      <w:r>
        <w:rPr>
          <w:b/>
          <w:bCs/>
          <w:spacing w:val="-2"/>
        </w:rPr>
        <w:t>表4列出了结石形成的危险因素。</w:t>
      </w:r>
    </w:p>
    <w:p>
      <w:pPr>
        <w:pStyle w:val="BodyText"/>
        <w:ind w:left="3633"/>
        <w:spacing w:before="92" w:line="219" w:lineRule="auto"/>
        <w:rPr>
          <w:sz w:val="26"/>
          <w:szCs w:val="26"/>
        </w:rPr>
      </w:pPr>
      <w:r>
        <w:pict>
          <v:shape id="_x0000_s8" style="position:absolute;margin-left:43.4236pt;margin-top:17.3348pt;mso-position-vertical-relative:text;mso-position-horizontal-relative:text;width:9.35pt;height:9.5pt;z-index:251669504;" filled="false" stroked="false" type="#_x0000_t202">
            <v:fill on="false"/>
            <v:stroke on="false"/>
            <v:path/>
            <v:imagedata o:title=""/>
            <o:lock v:ext="edit" aspectratio="false"/>
            <v:textbox inset="0mm,0mm,0mm,0mm" style="layout-flow:vertical-ideographic;">
              <w:txbxContent>
                <w:p>
                  <w:pPr>
                    <w:pStyle w:val="BodyText"/>
                    <w:ind w:left="20"/>
                    <w:spacing w:before="19" w:line="175" w:lineRule="auto"/>
                    <w:rPr>
                      <w:sz w:val="15"/>
                      <w:szCs w:val="15"/>
                    </w:rPr>
                  </w:pPr>
                  <w:r>
                    <w:rPr>
                      <w:sz w:val="15"/>
                      <w:szCs w:val="15"/>
                    </w:rPr>
                    <w:t>国</w:t>
                  </w:r>
                </w:p>
              </w:txbxContent>
            </v:textbox>
          </v:shape>
        </w:pict>
      </w:r>
      <w:r>
        <w:rPr>
          <w:sz w:val="26"/>
          <w:szCs w:val="26"/>
          <w:b/>
          <w:bCs/>
          <w:spacing w:val="-4"/>
        </w:rPr>
        <w:t>表4结石复发的危险因素</w:t>
      </w:r>
    </w:p>
    <w:p>
      <w:pPr>
        <w:spacing w:line="219" w:lineRule="exact"/>
        <w:rPr/>
      </w:pPr>
      <w:r/>
    </w:p>
    <w:tbl>
      <w:tblPr>
        <w:tblStyle w:val="TableNormal"/>
        <w:tblW w:w="8080" w:type="dxa"/>
        <w:tblInd w:w="106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43"/>
        <w:gridCol w:w="6637"/>
      </w:tblGrid>
      <w:tr>
        <w:trPr>
          <w:trHeight w:val="365" w:hRule="atLeast"/>
        </w:trPr>
        <w:tc>
          <w:tcPr>
            <w:tcW w:w="8080" w:type="dxa"/>
            <w:vAlign w:val="top"/>
            <w:gridSpan w:val="2"/>
          </w:tcPr>
          <w:p>
            <w:pPr>
              <w:pStyle w:val="TableText"/>
              <w:ind w:left="124"/>
              <w:spacing w:before="45" w:line="204" w:lineRule="auto"/>
              <w:rPr>
                <w:sz w:val="28"/>
                <w:szCs w:val="28"/>
              </w:rPr>
            </w:pPr>
            <w:r>
              <w:rPr>
                <w:sz w:val="28"/>
                <w:szCs w:val="28"/>
                <w:spacing w:val="2"/>
              </w:rPr>
              <w:t>·</w:t>
            </w:r>
            <w:r>
              <w:rPr>
                <w:sz w:val="28"/>
                <w:szCs w:val="28"/>
                <w:spacing w:val="-108"/>
              </w:rPr>
              <w:t xml:space="preserve"> </w:t>
            </w:r>
            <w:r>
              <w:rPr>
                <w:sz w:val="28"/>
                <w:szCs w:val="28"/>
                <w:spacing w:val="2"/>
              </w:rPr>
              <w:t>结石发生年龄早(&lt;25岁)</w:t>
            </w:r>
          </w:p>
        </w:tc>
      </w:tr>
      <w:tr>
        <w:trPr>
          <w:trHeight w:val="499" w:hRule="atLeast"/>
        </w:trPr>
        <w:tc>
          <w:tcPr>
            <w:tcW w:w="8080" w:type="dxa"/>
            <w:vAlign w:val="top"/>
            <w:gridSpan w:val="2"/>
          </w:tcPr>
          <w:p>
            <w:pPr>
              <w:pStyle w:val="TableText"/>
              <w:ind w:left="124"/>
              <w:spacing w:before="111" w:line="219" w:lineRule="auto"/>
              <w:rPr>
                <w:sz w:val="28"/>
                <w:szCs w:val="28"/>
              </w:rPr>
            </w:pPr>
            <w:r>
              <w:rPr>
                <w:sz w:val="28"/>
                <w:szCs w:val="28"/>
                <w:spacing w:val="1"/>
              </w:rPr>
              <w:t>结石含有二水磷酸氢钙</w:t>
            </w:r>
          </w:p>
        </w:tc>
      </w:tr>
      <w:tr>
        <w:trPr>
          <w:trHeight w:val="499" w:hRule="atLeast"/>
        </w:trPr>
        <w:tc>
          <w:tcPr>
            <w:tcW w:w="8080" w:type="dxa"/>
            <w:vAlign w:val="top"/>
            <w:gridSpan w:val="2"/>
          </w:tcPr>
          <w:p>
            <w:pPr>
              <w:pStyle w:val="TableText"/>
              <w:ind w:left="124"/>
              <w:spacing w:before="113" w:line="220" w:lineRule="auto"/>
              <w:rPr>
                <w:sz w:val="28"/>
                <w:szCs w:val="28"/>
              </w:rPr>
            </w:pPr>
            <w:r>
              <w:rPr>
                <w:sz w:val="28"/>
                <w:szCs w:val="28"/>
                <w:spacing w:val="-2"/>
              </w:rPr>
              <w:t>·</w:t>
            </w:r>
            <w:r>
              <w:rPr>
                <w:sz w:val="28"/>
                <w:szCs w:val="28"/>
                <w:spacing w:val="-109"/>
              </w:rPr>
              <w:t xml:space="preserve"> </w:t>
            </w:r>
            <w:r>
              <w:rPr>
                <w:sz w:val="28"/>
                <w:szCs w:val="28"/>
                <w:spacing w:val="-2"/>
              </w:rPr>
              <w:t>泌尿系结石的家族史</w:t>
            </w:r>
          </w:p>
        </w:tc>
      </w:tr>
      <w:tr>
        <w:trPr>
          <w:trHeight w:val="779" w:hRule="atLeast"/>
        </w:trPr>
        <w:tc>
          <w:tcPr>
            <w:tcW w:w="8080" w:type="dxa"/>
            <w:vAlign w:val="top"/>
            <w:gridSpan w:val="2"/>
          </w:tcPr>
          <w:p>
            <w:pPr>
              <w:pStyle w:val="TableText"/>
              <w:ind w:left="124" w:hanging="39"/>
              <w:spacing w:before="54" w:line="225" w:lineRule="auto"/>
              <w:rPr>
                <w:sz w:val="28"/>
                <w:szCs w:val="28"/>
              </w:rPr>
            </w:pPr>
            <w:r>
              <w:rPr>
                <w:sz w:val="28"/>
                <w:szCs w:val="28"/>
                <w:spacing w:val="-20"/>
              </w:rPr>
              <w:t>·</w:t>
            </w:r>
            <w:r>
              <w:rPr>
                <w:sz w:val="28"/>
                <w:szCs w:val="28"/>
                <w:spacing w:val="-108"/>
              </w:rPr>
              <w:t xml:space="preserve"> </w:t>
            </w:r>
            <w:r>
              <w:rPr>
                <w:sz w:val="28"/>
                <w:szCs w:val="28"/>
                <w:spacing w:val="-20"/>
              </w:rPr>
              <w:t>只有一个</w:t>
            </w:r>
            <w:r>
              <w:rPr>
                <w:sz w:val="28"/>
                <w:szCs w:val="28"/>
                <w:spacing w:val="-19"/>
              </w:rPr>
              <w:t>肾脏有功能(只有一个肾脏有功能并不意味着结石形成的</w:t>
            </w:r>
            <w:r>
              <w:rPr>
                <w:sz w:val="28"/>
                <w:szCs w:val="28"/>
                <w:spacing w:val="-14"/>
              </w:rPr>
              <w:t>风</w:t>
            </w:r>
            <w:r>
              <w:rPr>
                <w:sz w:val="28"/>
                <w:szCs w:val="28"/>
              </w:rPr>
              <w:t xml:space="preserve"> </w:t>
            </w:r>
            <w:r>
              <w:rPr>
                <w:sz w:val="28"/>
                <w:szCs w:val="28"/>
                <w:spacing w:val="2"/>
              </w:rPr>
              <w:t>险增加，但此类患者更需要考虑预防结石复发的措施)</w:t>
            </w:r>
          </w:p>
        </w:tc>
      </w:tr>
      <w:tr>
        <w:trPr>
          <w:trHeight w:val="360" w:hRule="atLeast"/>
        </w:trPr>
        <w:tc>
          <w:tcPr>
            <w:tcW w:w="8080" w:type="dxa"/>
            <w:vAlign w:val="top"/>
            <w:gridSpan w:val="2"/>
          </w:tcPr>
          <w:p>
            <w:pPr>
              <w:pStyle w:val="TableText"/>
              <w:ind w:left="124"/>
              <w:spacing w:before="45" w:line="201" w:lineRule="auto"/>
              <w:rPr>
                <w:sz w:val="28"/>
                <w:szCs w:val="28"/>
              </w:rPr>
            </w:pPr>
            <w:r>
              <w:rPr>
                <w:sz w:val="28"/>
                <w:szCs w:val="28"/>
                <w:spacing w:val="-3"/>
              </w:rPr>
              <w:t>·</w:t>
            </w:r>
            <w:r>
              <w:rPr>
                <w:sz w:val="28"/>
                <w:szCs w:val="28"/>
                <w:spacing w:val="-106"/>
              </w:rPr>
              <w:t xml:space="preserve"> </w:t>
            </w:r>
            <w:r>
              <w:rPr>
                <w:sz w:val="28"/>
                <w:szCs w:val="28"/>
                <w:spacing w:val="-3"/>
              </w:rPr>
              <w:t>与结石形成有关的疾病：</w:t>
            </w:r>
          </w:p>
        </w:tc>
      </w:tr>
      <w:tr>
        <w:trPr>
          <w:trHeight w:val="310" w:hRule="atLeast"/>
        </w:trPr>
        <w:tc>
          <w:tcPr>
            <w:tcW w:w="1443" w:type="dxa"/>
            <w:vAlign w:val="top"/>
          </w:tcPr>
          <w:p>
            <w:pPr>
              <w:pStyle w:val="TableText"/>
              <w:ind w:left="614"/>
              <w:spacing w:before="79" w:line="214" w:lineRule="auto"/>
              <w:rPr>
                <w:sz w:val="19"/>
                <w:szCs w:val="19"/>
              </w:rPr>
            </w:pPr>
            <w:r>
              <w:rPr>
                <w:sz w:val="19"/>
                <w:szCs w:val="19"/>
              </w:rPr>
              <w:t>□</w:t>
            </w:r>
          </w:p>
        </w:tc>
        <w:tc>
          <w:tcPr>
            <w:tcW w:w="6637" w:type="dxa"/>
            <w:vAlign w:val="top"/>
          </w:tcPr>
          <w:p>
            <w:pPr>
              <w:pStyle w:val="TableText"/>
              <w:ind w:left="101"/>
              <w:spacing w:before="61" w:line="219" w:lineRule="auto"/>
              <w:rPr>
                <w:sz w:val="19"/>
                <w:szCs w:val="19"/>
              </w:rPr>
            </w:pPr>
            <w:r>
              <w:rPr>
                <w:sz w:val="19"/>
                <w:szCs w:val="19"/>
                <w:spacing w:val="-12"/>
              </w:rPr>
              <w:t>甲</w:t>
            </w:r>
            <w:r>
              <w:rPr>
                <w:sz w:val="19"/>
                <w:szCs w:val="19"/>
                <w:spacing w:val="54"/>
              </w:rPr>
              <w:t xml:space="preserve"> </w:t>
            </w:r>
            <w:r>
              <w:rPr>
                <w:sz w:val="19"/>
                <w:szCs w:val="19"/>
                <w:spacing w:val="-12"/>
              </w:rPr>
              <w:t>旁</w:t>
            </w:r>
            <w:r>
              <w:rPr>
                <w:sz w:val="19"/>
                <w:szCs w:val="19"/>
                <w:spacing w:val="55"/>
              </w:rPr>
              <w:t xml:space="preserve"> </w:t>
            </w:r>
            <w:r>
              <w:rPr>
                <w:sz w:val="19"/>
                <w:szCs w:val="19"/>
                <w:spacing w:val="-12"/>
              </w:rPr>
              <w:t>亢  (</w:t>
            </w:r>
            <w:r>
              <w:rPr>
                <w:sz w:val="19"/>
                <w:szCs w:val="19"/>
                <w:spacing w:val="47"/>
              </w:rPr>
              <w:t xml:space="preserve"> </w:t>
            </w:r>
            <w:r>
              <w:rPr>
                <w:sz w:val="19"/>
                <w:szCs w:val="19"/>
                <w:spacing w:val="-12"/>
              </w:rPr>
              <w:t>H</w:t>
            </w:r>
            <w:r>
              <w:rPr>
                <w:sz w:val="19"/>
                <w:szCs w:val="19"/>
                <w:spacing w:val="47"/>
              </w:rPr>
              <w:t xml:space="preserve"> </w:t>
            </w:r>
            <w:r>
              <w:rPr>
                <w:sz w:val="19"/>
                <w:szCs w:val="19"/>
                <w:spacing w:val="-12"/>
              </w:rPr>
              <w:t>P</w:t>
            </w:r>
            <w:r>
              <w:rPr>
                <w:sz w:val="19"/>
                <w:szCs w:val="19"/>
                <w:spacing w:val="49"/>
              </w:rPr>
              <w:t xml:space="preserve"> </w:t>
            </w:r>
            <w:r>
              <w:rPr>
                <w:sz w:val="19"/>
                <w:szCs w:val="19"/>
                <w:spacing w:val="-12"/>
              </w:rPr>
              <w:t>T</w:t>
            </w:r>
            <w:r>
              <w:rPr>
                <w:sz w:val="19"/>
                <w:szCs w:val="19"/>
                <w:spacing w:val="51"/>
              </w:rPr>
              <w:t xml:space="preserve"> </w:t>
            </w:r>
            <w:r>
              <w:rPr>
                <w:sz w:val="19"/>
                <w:szCs w:val="19"/>
                <w:spacing w:val="-12"/>
              </w:rPr>
              <w:t>)</w:t>
            </w:r>
          </w:p>
        </w:tc>
      </w:tr>
      <w:tr>
        <w:trPr>
          <w:trHeight w:val="320" w:hRule="atLeast"/>
        </w:trPr>
        <w:tc>
          <w:tcPr>
            <w:tcW w:w="1443" w:type="dxa"/>
            <w:vAlign w:val="top"/>
          </w:tcPr>
          <w:p>
            <w:pPr>
              <w:pStyle w:val="TableText"/>
              <w:ind w:left="614"/>
              <w:spacing w:before="89" w:line="214" w:lineRule="auto"/>
              <w:rPr>
                <w:sz w:val="19"/>
                <w:szCs w:val="19"/>
              </w:rPr>
            </w:pPr>
            <w:r>
              <w:rPr>
                <w:sz w:val="19"/>
                <w:szCs w:val="19"/>
              </w:rPr>
              <w:t>□</w:t>
            </w:r>
          </w:p>
        </w:tc>
        <w:tc>
          <w:tcPr>
            <w:tcW w:w="6637" w:type="dxa"/>
            <w:vAlign w:val="top"/>
          </w:tcPr>
          <w:p>
            <w:pPr>
              <w:pStyle w:val="TableText"/>
              <w:ind w:left="101"/>
              <w:spacing w:before="24" w:line="188" w:lineRule="auto"/>
              <w:rPr>
                <w:sz w:val="28"/>
                <w:szCs w:val="28"/>
              </w:rPr>
            </w:pPr>
            <w:r>
              <w:rPr>
                <w:sz w:val="28"/>
                <w:szCs w:val="28"/>
                <w:spacing w:val="3"/>
              </w:rPr>
              <w:t>肾小管酸中毒(</w:t>
            </w:r>
            <w:r>
              <w:rPr>
                <w:sz w:val="28"/>
                <w:szCs w:val="28"/>
              </w:rPr>
              <w:t>RTA</w:t>
            </w:r>
            <w:r>
              <w:rPr>
                <w:sz w:val="28"/>
                <w:szCs w:val="28"/>
                <w:spacing w:val="3"/>
              </w:rPr>
              <w:t>)(部分性或完全性)</w:t>
            </w:r>
          </w:p>
        </w:tc>
      </w:tr>
      <w:tr>
        <w:trPr>
          <w:trHeight w:val="330" w:hRule="atLeast"/>
        </w:trPr>
        <w:tc>
          <w:tcPr>
            <w:tcW w:w="1443" w:type="dxa"/>
            <w:vAlign w:val="top"/>
          </w:tcPr>
          <w:p>
            <w:pPr>
              <w:pStyle w:val="TableText"/>
              <w:ind w:left="614"/>
              <w:spacing w:before="89" w:line="224" w:lineRule="auto"/>
              <w:rPr>
                <w:sz w:val="19"/>
                <w:szCs w:val="19"/>
              </w:rPr>
            </w:pPr>
            <w:r>
              <w:rPr>
                <w:sz w:val="19"/>
                <w:szCs w:val="19"/>
              </w:rPr>
              <w:t>□</w:t>
            </w:r>
          </w:p>
        </w:tc>
        <w:tc>
          <w:tcPr>
            <w:tcW w:w="6637" w:type="dxa"/>
            <w:vAlign w:val="top"/>
          </w:tcPr>
          <w:p>
            <w:pPr>
              <w:pStyle w:val="TableText"/>
              <w:ind w:left="101"/>
              <w:spacing w:before="34" w:line="188" w:lineRule="auto"/>
              <w:rPr>
                <w:sz w:val="28"/>
                <w:szCs w:val="28"/>
              </w:rPr>
            </w:pPr>
            <w:r>
              <w:rPr>
                <w:sz w:val="28"/>
                <w:szCs w:val="28"/>
                <w:spacing w:val="2"/>
              </w:rPr>
              <w:t>胱氨酸尿</w:t>
            </w:r>
          </w:p>
        </w:tc>
      </w:tr>
      <w:tr>
        <w:trPr>
          <w:trHeight w:val="300" w:hRule="atLeast"/>
        </w:trPr>
        <w:tc>
          <w:tcPr>
            <w:tcW w:w="1443" w:type="dxa"/>
            <w:vAlign w:val="top"/>
          </w:tcPr>
          <w:p>
            <w:pPr>
              <w:rPr>
                <w:rFonts w:ascii="Arial"/>
                <w:sz w:val="21"/>
              </w:rPr>
            </w:pPr>
            <w:r/>
          </w:p>
        </w:tc>
        <w:tc>
          <w:tcPr>
            <w:tcW w:w="6637" w:type="dxa"/>
            <w:vAlign w:val="top"/>
          </w:tcPr>
          <w:p>
            <w:pPr>
              <w:pStyle w:val="TableText"/>
              <w:ind w:left="101"/>
              <w:spacing w:before="33" w:line="169" w:lineRule="auto"/>
              <w:rPr>
                <w:sz w:val="28"/>
                <w:szCs w:val="28"/>
              </w:rPr>
            </w:pPr>
            <w:r>
              <w:rPr>
                <w:sz w:val="28"/>
                <w:szCs w:val="28"/>
                <w:spacing w:val="1"/>
              </w:rPr>
              <w:t>原发性高草酸尿</w:t>
            </w:r>
          </w:p>
        </w:tc>
      </w:tr>
      <w:tr>
        <w:trPr>
          <w:trHeight w:val="330" w:hRule="atLeast"/>
        </w:trPr>
        <w:tc>
          <w:tcPr>
            <w:tcW w:w="1443" w:type="dxa"/>
            <w:vAlign w:val="top"/>
          </w:tcPr>
          <w:p>
            <w:pPr>
              <w:pStyle w:val="TableText"/>
              <w:ind w:left="664"/>
              <w:spacing w:before="25" w:line="247" w:lineRule="exact"/>
              <w:rPr>
                <w:sz w:val="16"/>
                <w:szCs w:val="16"/>
              </w:rPr>
            </w:pPr>
            <w:r>
              <w:rPr>
                <w:sz w:val="16"/>
                <w:szCs w:val="16"/>
                <w:color w:val="405060"/>
                <w:spacing w:val="-12"/>
                <w:position w:val="2"/>
              </w:rPr>
              <w:t>□</w:t>
            </w:r>
            <w:r>
              <w:rPr>
                <w:sz w:val="16"/>
                <w:szCs w:val="16"/>
                <w:spacing w:val="-12"/>
                <w:position w:val="2"/>
              </w:rPr>
              <w:t>4</w:t>
            </w:r>
          </w:p>
        </w:tc>
        <w:tc>
          <w:tcPr>
            <w:tcW w:w="6637" w:type="dxa"/>
            <w:vAlign w:val="top"/>
          </w:tcPr>
          <w:p>
            <w:pPr>
              <w:pStyle w:val="TableText"/>
              <w:ind w:left="101"/>
              <w:spacing w:before="34" w:line="188" w:lineRule="auto"/>
              <w:rPr>
                <w:sz w:val="28"/>
                <w:szCs w:val="28"/>
              </w:rPr>
            </w:pPr>
            <w:r>
              <w:rPr>
                <w:sz w:val="28"/>
                <w:szCs w:val="28"/>
                <w:spacing w:val="2"/>
              </w:rPr>
              <w:t>空回肠旁路</w:t>
            </w:r>
          </w:p>
        </w:tc>
      </w:tr>
      <w:tr>
        <w:trPr>
          <w:trHeight w:val="310" w:hRule="atLeast"/>
        </w:trPr>
        <w:tc>
          <w:tcPr>
            <w:tcW w:w="1443" w:type="dxa"/>
            <w:vAlign w:val="top"/>
          </w:tcPr>
          <w:p>
            <w:pPr>
              <w:rPr>
                <w:rFonts w:ascii="Arial"/>
                <w:sz w:val="21"/>
              </w:rPr>
            </w:pPr>
            <w:r/>
          </w:p>
        </w:tc>
        <w:tc>
          <w:tcPr>
            <w:tcW w:w="6637" w:type="dxa"/>
            <w:vAlign w:val="top"/>
          </w:tcPr>
          <w:p>
            <w:pPr>
              <w:pStyle w:val="TableText"/>
              <w:ind w:left="101"/>
              <w:spacing w:before="23" w:line="182" w:lineRule="auto"/>
              <w:rPr>
                <w:sz w:val="28"/>
                <w:szCs w:val="28"/>
              </w:rPr>
            </w:pPr>
            <w:r>
              <w:rPr>
                <w:sz w:val="28"/>
                <w:szCs w:val="28"/>
                <w:spacing w:val="4"/>
              </w:rPr>
              <w:t>克隆氏病</w:t>
            </w:r>
          </w:p>
        </w:tc>
      </w:tr>
      <w:tr>
        <w:trPr>
          <w:trHeight w:val="320" w:hRule="atLeast"/>
        </w:trPr>
        <w:tc>
          <w:tcPr>
            <w:tcW w:w="1443" w:type="dxa"/>
            <w:vAlign w:val="top"/>
          </w:tcPr>
          <w:p>
            <w:pPr>
              <w:pStyle w:val="TableText"/>
              <w:ind w:left="614"/>
              <w:spacing w:before="59" w:line="251" w:lineRule="exact"/>
              <w:rPr>
                <w:sz w:val="19"/>
                <w:szCs w:val="19"/>
              </w:rPr>
            </w:pPr>
            <w:r>
              <w:rPr>
                <w:sz w:val="19"/>
                <w:szCs w:val="19"/>
                <w:color w:val="404040"/>
                <w:spacing w:val="-14"/>
                <w:position w:val="1"/>
              </w:rPr>
              <w:t>□</w:t>
            </w:r>
            <w:r>
              <w:rPr>
                <w:sz w:val="19"/>
                <w:szCs w:val="19"/>
                <w:color w:val="404040"/>
                <w:spacing w:val="-49"/>
                <w:position w:val="1"/>
              </w:rPr>
              <w:t xml:space="preserve"> </w:t>
            </w:r>
            <w:r>
              <w:rPr>
                <w:sz w:val="19"/>
                <w:szCs w:val="19"/>
                <w:spacing w:val="-14"/>
                <w:position w:val="1"/>
              </w:rPr>
              <w:t>4</w:t>
            </w:r>
          </w:p>
        </w:tc>
        <w:tc>
          <w:tcPr>
            <w:tcW w:w="6637" w:type="dxa"/>
            <w:vAlign w:val="top"/>
          </w:tcPr>
          <w:p>
            <w:pPr>
              <w:pStyle w:val="TableText"/>
              <w:ind w:left="101"/>
              <w:spacing w:before="24" w:line="188" w:lineRule="auto"/>
              <w:rPr>
                <w:sz w:val="28"/>
                <w:szCs w:val="28"/>
              </w:rPr>
            </w:pPr>
            <w:r>
              <w:rPr>
                <w:sz w:val="28"/>
                <w:szCs w:val="28"/>
                <w:spacing w:val="4"/>
              </w:rPr>
              <w:t>肠切除</w:t>
            </w:r>
          </w:p>
        </w:tc>
      </w:tr>
      <w:tr>
        <w:trPr>
          <w:trHeight w:val="330" w:hRule="atLeast"/>
        </w:trPr>
        <w:tc>
          <w:tcPr>
            <w:tcW w:w="1443" w:type="dxa"/>
            <w:vAlign w:val="top"/>
          </w:tcPr>
          <w:p>
            <w:pPr>
              <w:pStyle w:val="TableText"/>
              <w:ind w:left="614"/>
              <w:spacing w:before="89" w:line="224" w:lineRule="auto"/>
              <w:rPr>
                <w:sz w:val="19"/>
                <w:szCs w:val="19"/>
              </w:rPr>
            </w:pPr>
            <w:r>
              <w:rPr>
                <w:sz w:val="19"/>
                <w:szCs w:val="19"/>
                <w:color w:val="404040"/>
              </w:rPr>
              <w:t>□</w:t>
            </w:r>
          </w:p>
        </w:tc>
        <w:tc>
          <w:tcPr>
            <w:tcW w:w="6637" w:type="dxa"/>
            <w:vAlign w:val="top"/>
          </w:tcPr>
          <w:p>
            <w:pPr>
              <w:pStyle w:val="TableText"/>
              <w:ind w:left="101"/>
              <w:spacing w:before="34" w:line="188" w:lineRule="auto"/>
              <w:rPr>
                <w:sz w:val="28"/>
                <w:szCs w:val="28"/>
              </w:rPr>
            </w:pPr>
            <w:r>
              <w:rPr>
                <w:sz w:val="28"/>
                <w:szCs w:val="28"/>
                <w:spacing w:val="2"/>
              </w:rPr>
              <w:t>肠道吸收功能不良</w:t>
            </w:r>
          </w:p>
        </w:tc>
      </w:tr>
      <w:tr>
        <w:trPr>
          <w:trHeight w:val="309" w:hRule="atLeast"/>
        </w:trPr>
        <w:tc>
          <w:tcPr>
            <w:tcW w:w="1443" w:type="dxa"/>
            <w:vAlign w:val="top"/>
          </w:tcPr>
          <w:p>
            <w:pPr>
              <w:pStyle w:val="TableText"/>
              <w:ind w:left="614"/>
              <w:spacing w:before="79" w:line="213" w:lineRule="auto"/>
              <w:rPr>
                <w:sz w:val="19"/>
                <w:szCs w:val="19"/>
              </w:rPr>
            </w:pPr>
            <w:r>
              <w:rPr>
                <w:sz w:val="19"/>
                <w:szCs w:val="19"/>
              </w:rPr>
              <w:t>□</w:t>
            </w:r>
          </w:p>
        </w:tc>
        <w:tc>
          <w:tcPr>
            <w:tcW w:w="6637" w:type="dxa"/>
            <w:vAlign w:val="top"/>
          </w:tcPr>
          <w:p>
            <w:pPr>
              <w:pStyle w:val="TableText"/>
              <w:ind w:left="101"/>
              <w:spacing w:before="24" w:line="181" w:lineRule="auto"/>
              <w:rPr>
                <w:sz w:val="28"/>
                <w:szCs w:val="28"/>
              </w:rPr>
            </w:pPr>
            <w:r>
              <w:rPr>
                <w:sz w:val="28"/>
                <w:szCs w:val="28"/>
                <w:spacing w:val="4"/>
              </w:rPr>
              <w:t>类肉瘤病</w:t>
            </w:r>
          </w:p>
        </w:tc>
      </w:tr>
      <w:tr>
        <w:trPr>
          <w:trHeight w:val="390" w:hRule="atLeast"/>
        </w:trPr>
        <w:tc>
          <w:tcPr>
            <w:tcW w:w="1443" w:type="dxa"/>
            <w:vAlign w:val="top"/>
          </w:tcPr>
          <w:p>
            <w:pPr>
              <w:pStyle w:val="TableText"/>
              <w:ind w:left="614"/>
              <w:spacing w:before="80" w:line="296" w:lineRule="exact"/>
              <w:rPr>
                <w:sz w:val="19"/>
                <w:szCs w:val="19"/>
              </w:rPr>
            </w:pPr>
            <w:r>
              <w:rPr>
                <w:sz w:val="19"/>
                <w:szCs w:val="19"/>
                <w:spacing w:val="-14"/>
              </w:rPr>
              <w:t>□</w:t>
            </w:r>
            <w:r>
              <w:rPr>
                <w:sz w:val="19"/>
                <w:szCs w:val="19"/>
                <w:spacing w:val="-58"/>
              </w:rPr>
              <w:t xml:space="preserve"> </w:t>
            </w:r>
            <w:r>
              <w:rPr>
                <w:sz w:val="19"/>
                <w:szCs w:val="19"/>
                <w:spacing w:val="-14"/>
                <w:position w:val="4"/>
              </w:rPr>
              <w:t>4</w:t>
            </w:r>
          </w:p>
        </w:tc>
        <w:tc>
          <w:tcPr>
            <w:tcW w:w="6637" w:type="dxa"/>
            <w:vAlign w:val="top"/>
          </w:tcPr>
          <w:p>
            <w:pPr>
              <w:pStyle w:val="TableText"/>
              <w:ind w:left="101"/>
              <w:spacing w:before="66" w:line="207" w:lineRule="auto"/>
              <w:rPr>
                <w:sz w:val="28"/>
                <w:szCs w:val="28"/>
              </w:rPr>
            </w:pPr>
            <w:r>
              <w:rPr>
                <w:sz w:val="28"/>
                <w:szCs w:val="28"/>
                <w:spacing w:val="5"/>
              </w:rPr>
              <w:t>甲亢</w:t>
            </w:r>
          </w:p>
        </w:tc>
      </w:tr>
      <w:tr>
        <w:trPr>
          <w:trHeight w:val="369" w:hRule="atLeast"/>
        </w:trPr>
        <w:tc>
          <w:tcPr>
            <w:tcW w:w="1443" w:type="dxa"/>
            <w:vAlign w:val="top"/>
          </w:tcPr>
          <w:p>
            <w:pPr>
              <w:pStyle w:val="TableText"/>
              <w:ind w:left="95"/>
              <w:spacing w:before="92" w:line="221" w:lineRule="auto"/>
              <w:rPr>
                <w:sz w:val="19"/>
                <w:szCs w:val="19"/>
              </w:rPr>
            </w:pPr>
            <w:r>
              <w:rPr>
                <w:sz w:val="19"/>
                <w:szCs w:val="19"/>
                <w:spacing w:val="-21"/>
              </w:rPr>
              <w:t>·</w:t>
            </w:r>
            <w:r>
              <w:rPr>
                <w:sz w:val="19"/>
                <w:szCs w:val="19"/>
                <w:spacing w:val="9"/>
              </w:rPr>
              <w:t xml:space="preserve"> </w:t>
            </w:r>
            <w:r>
              <w:rPr>
                <w:sz w:val="19"/>
                <w:szCs w:val="19"/>
                <w:spacing w:val="-21"/>
              </w:rPr>
              <w:t>与</w:t>
            </w:r>
            <w:r>
              <w:rPr>
                <w:sz w:val="19"/>
                <w:szCs w:val="19"/>
                <w:spacing w:val="9"/>
              </w:rPr>
              <w:t xml:space="preserve"> </w:t>
            </w:r>
            <w:r>
              <w:rPr>
                <w:sz w:val="19"/>
                <w:szCs w:val="19"/>
                <w:spacing w:val="-21"/>
              </w:rPr>
              <w:t>结</w:t>
            </w:r>
            <w:r>
              <w:rPr>
                <w:sz w:val="19"/>
                <w:szCs w:val="19"/>
                <w:spacing w:val="6"/>
              </w:rPr>
              <w:t xml:space="preserve"> </w:t>
            </w:r>
            <w:r>
              <w:rPr>
                <w:sz w:val="19"/>
                <w:szCs w:val="19"/>
                <w:spacing w:val="-21"/>
              </w:rPr>
              <w:t>石</w:t>
            </w:r>
            <w:r>
              <w:rPr>
                <w:sz w:val="19"/>
                <w:szCs w:val="19"/>
                <w:spacing w:val="8"/>
              </w:rPr>
              <w:t xml:space="preserve"> </w:t>
            </w:r>
            <w:r>
              <w:rPr>
                <w:sz w:val="19"/>
                <w:szCs w:val="19"/>
                <w:spacing w:val="-21"/>
              </w:rPr>
              <w:t>形</w:t>
            </w:r>
          </w:p>
        </w:tc>
        <w:tc>
          <w:tcPr>
            <w:tcW w:w="6637" w:type="dxa"/>
            <w:vAlign w:val="top"/>
          </w:tcPr>
          <w:p>
            <w:pPr>
              <w:pStyle w:val="TableText"/>
              <w:ind w:left="101"/>
              <w:spacing w:before="55" w:line="200" w:lineRule="auto"/>
              <w:rPr>
                <w:sz w:val="28"/>
                <w:szCs w:val="28"/>
              </w:rPr>
            </w:pPr>
            <w:r>
              <w:rPr>
                <w:sz w:val="28"/>
                <w:szCs w:val="28"/>
              </w:rPr>
              <w:t>成有关的药物治疗：</w:t>
            </w:r>
          </w:p>
        </w:tc>
      </w:tr>
      <w:tr>
        <w:trPr>
          <w:trHeight w:val="300" w:hRule="atLeast"/>
        </w:trPr>
        <w:tc>
          <w:tcPr>
            <w:tcW w:w="1443" w:type="dxa"/>
            <w:vAlign w:val="top"/>
          </w:tcPr>
          <w:p>
            <w:pPr>
              <w:pStyle w:val="TableText"/>
              <w:ind w:left="614"/>
              <w:spacing w:before="82" w:line="202" w:lineRule="auto"/>
              <w:rPr>
                <w:sz w:val="19"/>
                <w:szCs w:val="19"/>
              </w:rPr>
            </w:pPr>
            <w:r>
              <w:rPr>
                <w:sz w:val="19"/>
                <w:szCs w:val="19"/>
              </w:rPr>
              <w:t>□</w:t>
            </w:r>
          </w:p>
        </w:tc>
        <w:tc>
          <w:tcPr>
            <w:tcW w:w="6637" w:type="dxa"/>
            <w:vAlign w:val="top"/>
          </w:tcPr>
          <w:p>
            <w:pPr>
              <w:pStyle w:val="TableText"/>
              <w:ind w:left="101"/>
              <w:spacing w:before="36" w:line="167" w:lineRule="auto"/>
              <w:rPr>
                <w:sz w:val="28"/>
                <w:szCs w:val="28"/>
              </w:rPr>
            </w:pPr>
            <w:r>
              <w:rPr>
                <w:sz w:val="28"/>
                <w:szCs w:val="28"/>
                <w:spacing w:val="3"/>
              </w:rPr>
              <w:t>补钙治疗</w:t>
            </w:r>
          </w:p>
        </w:tc>
      </w:tr>
      <w:tr>
        <w:trPr>
          <w:trHeight w:val="329" w:hRule="atLeast"/>
        </w:trPr>
        <w:tc>
          <w:tcPr>
            <w:tcW w:w="1443" w:type="dxa"/>
            <w:vAlign w:val="top"/>
          </w:tcPr>
          <w:p>
            <w:pPr>
              <w:pStyle w:val="TableText"/>
              <w:ind w:left="614"/>
              <w:spacing w:before="91" w:line="221" w:lineRule="auto"/>
              <w:rPr>
                <w:sz w:val="19"/>
                <w:szCs w:val="19"/>
              </w:rPr>
            </w:pPr>
            <w:r>
              <w:rPr>
                <w:sz w:val="19"/>
                <w:szCs w:val="19"/>
              </w:rPr>
              <w:t>□</w:t>
            </w:r>
          </w:p>
        </w:tc>
        <w:tc>
          <w:tcPr>
            <w:tcW w:w="6637" w:type="dxa"/>
            <w:vAlign w:val="top"/>
          </w:tcPr>
          <w:p>
            <w:pPr>
              <w:pStyle w:val="TableText"/>
              <w:ind w:left="101"/>
              <w:spacing w:before="36" w:line="186" w:lineRule="auto"/>
              <w:rPr>
                <w:sz w:val="28"/>
                <w:szCs w:val="28"/>
              </w:rPr>
            </w:pPr>
            <w:r>
              <w:rPr>
                <w:sz w:val="28"/>
                <w:szCs w:val="28"/>
                <w:spacing w:val="1"/>
              </w:rPr>
              <w:t>补充维生素D治疗</w:t>
            </w:r>
          </w:p>
        </w:tc>
      </w:tr>
      <w:tr>
        <w:trPr>
          <w:trHeight w:val="330" w:hRule="atLeast"/>
        </w:trPr>
        <w:tc>
          <w:tcPr>
            <w:tcW w:w="1443" w:type="dxa"/>
            <w:vAlign w:val="top"/>
          </w:tcPr>
          <w:p>
            <w:pPr>
              <w:pStyle w:val="TableText"/>
              <w:ind w:left="614"/>
              <w:spacing w:before="92" w:line="221" w:lineRule="auto"/>
              <w:rPr>
                <w:sz w:val="19"/>
                <w:szCs w:val="19"/>
              </w:rPr>
            </w:pPr>
            <w:r>
              <w:rPr>
                <w:sz w:val="19"/>
                <w:szCs w:val="19"/>
              </w:rPr>
              <w:t>□</w:t>
            </w:r>
          </w:p>
        </w:tc>
        <w:tc>
          <w:tcPr>
            <w:tcW w:w="6637" w:type="dxa"/>
            <w:vAlign w:val="top"/>
          </w:tcPr>
          <w:p>
            <w:pPr>
              <w:pStyle w:val="TableText"/>
              <w:ind w:left="101"/>
              <w:spacing w:before="37" w:line="186" w:lineRule="auto"/>
              <w:rPr>
                <w:sz w:val="28"/>
                <w:szCs w:val="28"/>
              </w:rPr>
            </w:pPr>
            <w:r>
              <w:rPr>
                <w:sz w:val="28"/>
                <w:szCs w:val="28"/>
                <w:spacing w:val="2"/>
              </w:rPr>
              <w:t>乙酰唑胺治疗</w:t>
            </w:r>
          </w:p>
        </w:tc>
      </w:tr>
      <w:tr>
        <w:trPr>
          <w:trHeight w:val="310" w:hRule="atLeast"/>
        </w:trPr>
        <w:tc>
          <w:tcPr>
            <w:tcW w:w="1443" w:type="dxa"/>
            <w:vAlign w:val="top"/>
          </w:tcPr>
          <w:p>
            <w:pPr>
              <w:pStyle w:val="TableText"/>
              <w:ind w:left="605"/>
              <w:spacing w:before="33"/>
              <w:rPr>
                <w:rFonts w:ascii="MS Gothic" w:hAnsi="MS Gothic" w:eastAsia="MS Gothic" w:cs="MS Gothic"/>
                <w:sz w:val="19"/>
                <w:szCs w:val="19"/>
              </w:rPr>
            </w:pPr>
            <w:r>
              <w:rPr>
                <w:sz w:val="19"/>
                <w:szCs w:val="19"/>
                <w:spacing w:val="-14"/>
                <w:position w:val="-1"/>
              </w:rPr>
              <w:t>□</w:t>
            </w:r>
            <w:r>
              <w:rPr>
                <w:sz w:val="19"/>
                <w:szCs w:val="19"/>
                <w:spacing w:val="-58"/>
                <w:position w:val="-1"/>
              </w:rPr>
              <w:t xml:space="preserve"> </w:t>
            </w:r>
            <w:r>
              <w:rPr>
                <w:rFonts w:ascii="MS Gothic" w:hAnsi="MS Gothic" w:eastAsia="MS Gothic" w:cs="MS Gothic"/>
                <w:sz w:val="19"/>
                <w:szCs w:val="19"/>
                <w:spacing w:val="-14"/>
                <w:position w:val="1"/>
              </w:rPr>
              <w:t>↵</w:t>
            </w:r>
          </w:p>
        </w:tc>
        <w:tc>
          <w:tcPr>
            <w:tcW w:w="6637" w:type="dxa"/>
            <w:vAlign w:val="top"/>
          </w:tcPr>
          <w:p>
            <w:pPr>
              <w:pStyle w:val="TableText"/>
              <w:ind w:left="101"/>
              <w:spacing w:before="19" w:line="185" w:lineRule="auto"/>
              <w:rPr>
                <w:sz w:val="28"/>
                <w:szCs w:val="28"/>
              </w:rPr>
            </w:pPr>
            <w:r>
              <w:rPr>
                <w:sz w:val="28"/>
                <w:szCs w:val="28"/>
              </w:rPr>
              <w:t>大剂量维生素C(&gt;4g/天)治疗</w:t>
            </w:r>
          </w:p>
        </w:tc>
      </w:tr>
      <w:tr>
        <w:trPr>
          <w:trHeight w:val="340" w:hRule="atLeast"/>
        </w:trPr>
        <w:tc>
          <w:tcPr>
            <w:tcW w:w="1443" w:type="dxa"/>
            <w:vAlign w:val="top"/>
          </w:tcPr>
          <w:p>
            <w:pPr>
              <w:pStyle w:val="TableText"/>
              <w:ind w:left="614"/>
              <w:spacing w:before="102" w:line="221" w:lineRule="auto"/>
              <w:rPr>
                <w:sz w:val="19"/>
                <w:szCs w:val="19"/>
              </w:rPr>
            </w:pPr>
            <w:r>
              <w:rPr>
                <w:sz w:val="19"/>
                <w:szCs w:val="19"/>
              </w:rPr>
              <w:t>□</w:t>
            </w:r>
          </w:p>
        </w:tc>
        <w:tc>
          <w:tcPr>
            <w:tcW w:w="6637" w:type="dxa"/>
            <w:vAlign w:val="top"/>
          </w:tcPr>
          <w:p>
            <w:pPr>
              <w:pStyle w:val="TableText"/>
              <w:ind w:left="101"/>
              <w:spacing w:before="37" w:line="193" w:lineRule="auto"/>
              <w:rPr>
                <w:sz w:val="28"/>
                <w:szCs w:val="28"/>
              </w:rPr>
            </w:pPr>
            <w:r>
              <w:rPr>
                <w:sz w:val="28"/>
                <w:szCs w:val="28"/>
                <w:spacing w:val="1"/>
              </w:rPr>
              <w:t>磺胺类药物治疗</w:t>
            </w:r>
          </w:p>
        </w:tc>
      </w:tr>
      <w:tr>
        <w:trPr>
          <w:trHeight w:val="320" w:hRule="atLeast"/>
        </w:trPr>
        <w:tc>
          <w:tcPr>
            <w:tcW w:w="1443" w:type="dxa"/>
            <w:vAlign w:val="top"/>
          </w:tcPr>
          <w:p>
            <w:pPr>
              <w:pStyle w:val="TableText"/>
              <w:ind w:left="614"/>
              <w:spacing w:before="92" w:line="211" w:lineRule="auto"/>
              <w:rPr>
                <w:sz w:val="19"/>
                <w:szCs w:val="19"/>
              </w:rPr>
            </w:pPr>
            <w:r>
              <w:rPr>
                <w:sz w:val="19"/>
                <w:szCs w:val="19"/>
              </w:rPr>
              <w:t>□</w:t>
            </w:r>
          </w:p>
        </w:tc>
        <w:tc>
          <w:tcPr>
            <w:tcW w:w="6637" w:type="dxa"/>
            <w:vAlign w:val="top"/>
          </w:tcPr>
          <w:p>
            <w:pPr>
              <w:pStyle w:val="TableText"/>
              <w:ind w:left="101"/>
              <w:spacing w:before="26" w:line="187" w:lineRule="auto"/>
              <w:rPr>
                <w:sz w:val="28"/>
                <w:szCs w:val="28"/>
              </w:rPr>
            </w:pPr>
            <w:r>
              <w:rPr>
                <w:sz w:val="28"/>
                <w:szCs w:val="28"/>
                <w:spacing w:val="4"/>
              </w:rPr>
              <w:t>氨苯蝶啶</w:t>
            </w:r>
          </w:p>
        </w:tc>
      </w:tr>
      <w:tr>
        <w:trPr>
          <w:trHeight w:val="389" w:hRule="atLeast"/>
        </w:trPr>
        <w:tc>
          <w:tcPr>
            <w:tcW w:w="1443" w:type="dxa"/>
            <w:vAlign w:val="top"/>
          </w:tcPr>
          <w:p>
            <w:pPr>
              <w:pStyle w:val="TableText"/>
              <w:ind w:left="614"/>
              <w:spacing w:before="122" w:line="239" w:lineRule="auto"/>
              <w:rPr>
                <w:sz w:val="19"/>
                <w:szCs w:val="19"/>
              </w:rPr>
            </w:pPr>
            <w:r>
              <w:rPr>
                <w:sz w:val="19"/>
                <w:szCs w:val="19"/>
              </w:rPr>
              <w:t>□</w:t>
            </w:r>
          </w:p>
        </w:tc>
        <w:tc>
          <w:tcPr>
            <w:tcW w:w="6637" w:type="dxa"/>
            <w:vAlign w:val="top"/>
          </w:tcPr>
          <w:p>
            <w:pPr>
              <w:pStyle w:val="TableText"/>
              <w:ind w:left="101"/>
              <w:spacing w:before="66" w:line="206" w:lineRule="auto"/>
              <w:rPr>
                <w:sz w:val="28"/>
                <w:szCs w:val="28"/>
              </w:rPr>
            </w:pPr>
            <w:r>
              <w:rPr>
                <w:sz w:val="28"/>
                <w:szCs w:val="28"/>
                <w:spacing w:val="5"/>
              </w:rPr>
              <w:t>印地那韦</w:t>
            </w:r>
          </w:p>
        </w:tc>
      </w:tr>
      <w:tr>
        <w:trPr>
          <w:trHeight w:val="349" w:hRule="atLeast"/>
        </w:trPr>
        <w:tc>
          <w:tcPr>
            <w:tcW w:w="1443" w:type="dxa"/>
            <w:vAlign w:val="top"/>
          </w:tcPr>
          <w:p>
            <w:pPr>
              <w:pStyle w:val="TableText"/>
              <w:ind w:left="85"/>
              <w:spacing w:before="82" w:line="216" w:lineRule="auto"/>
              <w:rPr>
                <w:sz w:val="19"/>
                <w:szCs w:val="19"/>
              </w:rPr>
            </w:pPr>
            <w:r>
              <w:rPr>
                <w:sz w:val="19"/>
                <w:szCs w:val="19"/>
                <w:spacing w:val="-9"/>
              </w:rPr>
              <w:t>,</w:t>
            </w:r>
            <w:r>
              <w:rPr>
                <w:sz w:val="19"/>
                <w:szCs w:val="19"/>
                <w:spacing w:val="24"/>
              </w:rPr>
              <w:t xml:space="preserve"> </w:t>
            </w:r>
            <w:r>
              <w:rPr>
                <w:sz w:val="19"/>
                <w:szCs w:val="19"/>
                <w:spacing w:val="-9"/>
              </w:rPr>
              <w:t>与</w:t>
            </w:r>
            <w:r>
              <w:rPr>
                <w:sz w:val="19"/>
                <w:szCs w:val="19"/>
                <w:spacing w:val="23"/>
              </w:rPr>
              <w:t xml:space="preserve"> </w:t>
            </w:r>
            <w:r>
              <w:rPr>
                <w:sz w:val="19"/>
                <w:szCs w:val="19"/>
                <w:spacing w:val="-9"/>
              </w:rPr>
              <w:t>结</w:t>
            </w:r>
            <w:r>
              <w:rPr>
                <w:sz w:val="19"/>
                <w:szCs w:val="19"/>
                <w:spacing w:val="19"/>
              </w:rPr>
              <w:t xml:space="preserve"> </w:t>
            </w:r>
            <w:r>
              <w:rPr>
                <w:sz w:val="19"/>
                <w:szCs w:val="19"/>
                <w:spacing w:val="-9"/>
              </w:rPr>
              <w:t>石</w:t>
            </w:r>
            <w:r>
              <w:rPr>
                <w:sz w:val="19"/>
                <w:szCs w:val="19"/>
                <w:spacing w:val="21"/>
              </w:rPr>
              <w:t xml:space="preserve"> </w:t>
            </w:r>
            <w:r>
              <w:rPr>
                <w:sz w:val="19"/>
                <w:szCs w:val="19"/>
                <w:spacing w:val="-9"/>
              </w:rPr>
              <w:t>形</w:t>
            </w:r>
          </w:p>
        </w:tc>
        <w:tc>
          <w:tcPr>
            <w:tcW w:w="6637" w:type="dxa"/>
            <w:vAlign w:val="top"/>
          </w:tcPr>
          <w:p>
            <w:pPr>
              <w:pStyle w:val="TableText"/>
              <w:ind w:left="101"/>
              <w:spacing w:before="47" w:line="192" w:lineRule="auto"/>
              <w:rPr>
                <w:sz w:val="28"/>
                <w:szCs w:val="28"/>
              </w:rPr>
            </w:pPr>
            <w:r>
              <w:rPr>
                <w:sz w:val="28"/>
                <w:szCs w:val="28"/>
              </w:rPr>
              <w:t>成有关的解剖异常：</w:t>
            </w:r>
          </w:p>
        </w:tc>
      </w:tr>
      <w:tr>
        <w:trPr>
          <w:trHeight w:val="340" w:hRule="atLeast"/>
        </w:trPr>
        <w:tc>
          <w:tcPr>
            <w:tcW w:w="1443" w:type="dxa"/>
            <w:vAlign w:val="top"/>
          </w:tcPr>
          <w:p>
            <w:pPr>
              <w:pStyle w:val="TableText"/>
              <w:ind w:left="614"/>
              <w:spacing w:before="104" w:line="219" w:lineRule="auto"/>
              <w:rPr>
                <w:sz w:val="19"/>
                <w:szCs w:val="19"/>
              </w:rPr>
            </w:pPr>
            <w:r>
              <w:rPr>
                <w:sz w:val="19"/>
                <w:szCs w:val="19"/>
              </w:rPr>
              <w:t>□</w:t>
            </w:r>
          </w:p>
        </w:tc>
        <w:tc>
          <w:tcPr>
            <w:tcW w:w="6637" w:type="dxa"/>
            <w:vAlign w:val="top"/>
          </w:tcPr>
          <w:p>
            <w:pPr>
              <w:pStyle w:val="TableText"/>
              <w:ind w:left="101"/>
              <w:spacing w:before="38" w:line="192" w:lineRule="auto"/>
              <w:rPr>
                <w:sz w:val="28"/>
                <w:szCs w:val="28"/>
              </w:rPr>
            </w:pPr>
            <w:r>
              <w:rPr>
                <w:sz w:val="28"/>
                <w:szCs w:val="28"/>
                <w:spacing w:val="5"/>
              </w:rPr>
              <w:t>肾小管扩张(髓质海绵肾)</w:t>
            </w:r>
          </w:p>
        </w:tc>
      </w:tr>
      <w:tr>
        <w:trPr>
          <w:trHeight w:val="310" w:hRule="atLeast"/>
        </w:trPr>
        <w:tc>
          <w:tcPr>
            <w:tcW w:w="1443" w:type="dxa"/>
            <w:vAlign w:val="top"/>
          </w:tcPr>
          <w:p>
            <w:pPr>
              <w:pStyle w:val="TableText"/>
              <w:ind w:left="614"/>
              <w:spacing w:before="84" w:line="209" w:lineRule="auto"/>
              <w:rPr>
                <w:sz w:val="19"/>
                <w:szCs w:val="19"/>
              </w:rPr>
            </w:pPr>
            <w:r>
              <w:rPr>
                <w:sz w:val="19"/>
                <w:szCs w:val="19"/>
              </w:rPr>
              <w:t>□</w:t>
            </w:r>
          </w:p>
        </w:tc>
        <w:tc>
          <w:tcPr>
            <w:tcW w:w="6637" w:type="dxa"/>
            <w:vAlign w:val="top"/>
          </w:tcPr>
          <w:p>
            <w:pPr>
              <w:pStyle w:val="TableText"/>
              <w:ind w:left="101"/>
              <w:spacing w:before="30" w:line="178" w:lineRule="auto"/>
              <w:rPr>
                <w:sz w:val="28"/>
                <w:szCs w:val="28"/>
              </w:rPr>
            </w:pPr>
            <w:r>
              <w:rPr>
                <w:sz w:val="28"/>
                <w:szCs w:val="28"/>
              </w:rPr>
              <w:t>肾盂输尿管连接部梗阻</w:t>
            </w:r>
          </w:p>
        </w:tc>
      </w:tr>
      <w:tr>
        <w:trPr>
          <w:trHeight w:val="319" w:hRule="atLeast"/>
        </w:trPr>
        <w:tc>
          <w:tcPr>
            <w:tcW w:w="1443" w:type="dxa"/>
            <w:vAlign w:val="top"/>
          </w:tcPr>
          <w:p>
            <w:pPr>
              <w:pStyle w:val="TableText"/>
              <w:ind w:left="614"/>
              <w:spacing w:before="94" w:line="208" w:lineRule="auto"/>
              <w:rPr>
                <w:sz w:val="19"/>
                <w:szCs w:val="19"/>
              </w:rPr>
            </w:pPr>
            <w:r>
              <w:rPr>
                <w:sz w:val="19"/>
                <w:szCs w:val="19"/>
              </w:rPr>
              <w:t>□</w:t>
            </w:r>
          </w:p>
        </w:tc>
        <w:tc>
          <w:tcPr>
            <w:tcW w:w="6637" w:type="dxa"/>
            <w:vAlign w:val="top"/>
          </w:tcPr>
          <w:p>
            <w:pPr>
              <w:pStyle w:val="TableText"/>
              <w:ind w:left="101"/>
              <w:spacing w:before="29" w:line="184" w:lineRule="auto"/>
              <w:rPr>
                <w:sz w:val="28"/>
                <w:szCs w:val="28"/>
              </w:rPr>
            </w:pPr>
            <w:r>
              <w:rPr>
                <w:sz w:val="28"/>
                <w:szCs w:val="28"/>
                <w:spacing w:val="3"/>
              </w:rPr>
              <w:t>肾盏憩室肾盏囊肿</w:t>
            </w:r>
          </w:p>
        </w:tc>
      </w:tr>
      <w:tr>
        <w:trPr>
          <w:trHeight w:val="320" w:hRule="atLeast"/>
        </w:trPr>
        <w:tc>
          <w:tcPr>
            <w:tcW w:w="1443" w:type="dxa"/>
            <w:vAlign w:val="top"/>
          </w:tcPr>
          <w:p>
            <w:pPr>
              <w:pStyle w:val="TableText"/>
              <w:ind w:left="614"/>
              <w:spacing w:before="95" w:line="208" w:lineRule="auto"/>
              <w:rPr>
                <w:sz w:val="19"/>
                <w:szCs w:val="19"/>
              </w:rPr>
            </w:pPr>
            <w:r>
              <w:rPr>
                <w:sz w:val="19"/>
                <w:szCs w:val="19"/>
              </w:rPr>
              <w:t>□</w:t>
            </w:r>
          </w:p>
        </w:tc>
        <w:tc>
          <w:tcPr>
            <w:tcW w:w="6637" w:type="dxa"/>
            <w:vAlign w:val="top"/>
          </w:tcPr>
          <w:p>
            <w:pPr>
              <w:pStyle w:val="TableText"/>
              <w:ind w:left="101"/>
              <w:spacing w:before="30" w:line="184" w:lineRule="auto"/>
              <w:rPr>
                <w:sz w:val="28"/>
                <w:szCs w:val="28"/>
              </w:rPr>
            </w:pPr>
            <w:r>
              <w:rPr>
                <w:sz w:val="28"/>
                <w:szCs w:val="28"/>
                <w:spacing w:val="4"/>
              </w:rPr>
              <w:t>输尿管狭窄</w:t>
            </w:r>
          </w:p>
        </w:tc>
      </w:tr>
      <w:tr>
        <w:trPr>
          <w:trHeight w:val="319" w:hRule="atLeast"/>
        </w:trPr>
        <w:tc>
          <w:tcPr>
            <w:tcW w:w="1443" w:type="dxa"/>
            <w:vAlign w:val="top"/>
          </w:tcPr>
          <w:p>
            <w:pPr>
              <w:pStyle w:val="TableText"/>
              <w:ind w:left="614"/>
              <w:spacing w:before="95" w:line="207" w:lineRule="auto"/>
              <w:rPr>
                <w:sz w:val="19"/>
                <w:szCs w:val="19"/>
              </w:rPr>
            </w:pPr>
            <w:r>
              <w:rPr>
                <w:sz w:val="19"/>
                <w:szCs w:val="19"/>
              </w:rPr>
              <w:t>□</w:t>
            </w:r>
          </w:p>
        </w:tc>
        <w:tc>
          <w:tcPr>
            <w:tcW w:w="6637" w:type="dxa"/>
            <w:vAlign w:val="top"/>
          </w:tcPr>
          <w:p>
            <w:pPr>
              <w:pStyle w:val="TableText"/>
              <w:ind w:left="101"/>
              <w:spacing w:before="29" w:line="184" w:lineRule="auto"/>
              <w:rPr>
                <w:sz w:val="28"/>
                <w:szCs w:val="28"/>
              </w:rPr>
            </w:pPr>
            <w:r>
              <w:rPr>
                <w:sz w:val="28"/>
                <w:szCs w:val="28"/>
                <w:spacing w:val="1"/>
              </w:rPr>
              <w:t>膀胱输尿管返流</w:t>
            </w:r>
          </w:p>
        </w:tc>
      </w:tr>
      <w:tr>
        <w:trPr>
          <w:trHeight w:val="330" w:hRule="atLeast"/>
        </w:trPr>
        <w:tc>
          <w:tcPr>
            <w:tcW w:w="1443" w:type="dxa"/>
            <w:vAlign w:val="top"/>
          </w:tcPr>
          <w:p>
            <w:pPr>
              <w:pStyle w:val="TableText"/>
              <w:ind w:left="614"/>
              <w:spacing w:before="96" w:line="217" w:lineRule="auto"/>
              <w:rPr>
                <w:sz w:val="19"/>
                <w:szCs w:val="19"/>
              </w:rPr>
            </w:pPr>
            <w:r>
              <w:rPr>
                <w:sz w:val="19"/>
                <w:szCs w:val="19"/>
              </w:rPr>
              <w:t>□</w:t>
            </w:r>
          </w:p>
        </w:tc>
        <w:tc>
          <w:tcPr>
            <w:tcW w:w="6637" w:type="dxa"/>
            <w:vAlign w:val="top"/>
          </w:tcPr>
          <w:p>
            <w:pPr>
              <w:pStyle w:val="TableText"/>
              <w:ind w:left="101"/>
              <w:spacing w:before="40" w:line="184" w:lineRule="auto"/>
              <w:rPr>
                <w:sz w:val="28"/>
                <w:szCs w:val="28"/>
              </w:rPr>
            </w:pPr>
            <w:r>
              <w:rPr>
                <w:sz w:val="28"/>
                <w:szCs w:val="28"/>
                <w:spacing w:val="5"/>
              </w:rPr>
              <w:t>马蹄肾</w:t>
            </w:r>
          </w:p>
        </w:tc>
      </w:tr>
      <w:tr>
        <w:trPr>
          <w:trHeight w:val="315" w:hRule="atLeast"/>
        </w:trPr>
        <w:tc>
          <w:tcPr>
            <w:tcW w:w="1443" w:type="dxa"/>
            <w:vAlign w:val="top"/>
          </w:tcPr>
          <w:p>
            <w:pPr>
              <w:pStyle w:val="TableText"/>
              <w:ind w:left="614"/>
              <w:spacing w:before="86" w:line="212" w:lineRule="auto"/>
              <w:rPr>
                <w:sz w:val="19"/>
                <w:szCs w:val="19"/>
              </w:rPr>
            </w:pPr>
            <w:r>
              <w:rPr>
                <w:sz w:val="19"/>
                <w:szCs w:val="19"/>
              </w:rPr>
              <w:t>□</w:t>
            </w:r>
          </w:p>
        </w:tc>
        <w:tc>
          <w:tcPr>
            <w:tcW w:w="6637" w:type="dxa"/>
            <w:vAlign w:val="top"/>
          </w:tcPr>
          <w:p>
            <w:pPr>
              <w:pStyle w:val="TableText"/>
              <w:ind w:left="101"/>
              <w:spacing w:before="32" w:line="180" w:lineRule="auto"/>
              <w:rPr>
                <w:sz w:val="28"/>
                <w:szCs w:val="28"/>
              </w:rPr>
            </w:pPr>
            <w:r>
              <w:rPr>
                <w:sz w:val="28"/>
                <w:szCs w:val="28"/>
                <w:spacing w:val="5"/>
              </w:rPr>
              <w:t>输尿管囊肿</w:t>
            </w:r>
          </w:p>
        </w:tc>
      </w:tr>
    </w:tbl>
    <w:p>
      <w:pPr>
        <w:pStyle w:val="BodyText"/>
        <w:ind w:left="342"/>
        <w:spacing w:before="241" w:line="219" w:lineRule="auto"/>
        <w:outlineLvl w:val="4"/>
        <w:rPr/>
      </w:pPr>
      <w:r>
        <w:rPr>
          <w:b/>
          <w:bCs/>
          <w:spacing w:val="-5"/>
        </w:rPr>
        <w:t>2.3</w:t>
      </w:r>
      <w:r>
        <w:rPr>
          <w:spacing w:val="-29"/>
        </w:rPr>
        <w:t xml:space="preserve"> </w:t>
      </w:r>
      <w:r>
        <w:rPr>
          <w:b/>
          <w:bCs/>
          <w:spacing w:val="-5"/>
        </w:rPr>
        <w:t>参考文献</w:t>
      </w:r>
    </w:p>
    <w:p>
      <w:pPr>
        <w:ind w:left="339"/>
        <w:spacing w:before="135"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2"/>
        </w:rPr>
        <w:t>1.Tiselius HG.Etiology and investiga</w:t>
      </w:r>
      <w:r>
        <w:rPr>
          <w:rFonts w:ascii="Times New Roman" w:hAnsi="Times New Roman" w:eastAsia="Times New Roman" w:cs="Times New Roman"/>
          <w:sz w:val="21"/>
          <w:szCs w:val="21"/>
          <w:b/>
          <w:bCs/>
          <w:spacing w:val="-3"/>
        </w:rPr>
        <w:t>tion of stone disease.Curriculum in Urology.Eur Urol</w:t>
      </w:r>
      <w:r>
        <w:rPr>
          <w:rFonts w:ascii="Times New Roman" w:hAnsi="Times New Roman" w:eastAsia="Times New Roman" w:cs="Times New Roman"/>
          <w:sz w:val="21"/>
          <w:szCs w:val="21"/>
          <w:b/>
          <w:bCs/>
          <w:spacing w:val="12"/>
        </w:rPr>
        <w:t xml:space="preserve"> </w:t>
      </w:r>
      <w:r>
        <w:rPr>
          <w:rFonts w:ascii="Times New Roman" w:hAnsi="Times New Roman" w:eastAsia="Times New Roman" w:cs="Times New Roman"/>
          <w:sz w:val="21"/>
          <w:szCs w:val="21"/>
          <w:b/>
          <w:bCs/>
          <w:spacing w:val="-3"/>
        </w:rPr>
        <w:t>1998;33:1-7</w:t>
      </w:r>
      <w:r>
        <w:rPr>
          <w:rFonts w:ascii="Times New Roman" w:hAnsi="Times New Roman" w:eastAsia="Times New Roman" w:cs="Times New Roman"/>
          <w:sz w:val="21"/>
          <w:szCs w:val="21"/>
          <w:spacing w:val="-3"/>
        </w:rPr>
        <w:t>.</w:t>
      </w:r>
    </w:p>
    <w:p>
      <w:pPr>
        <w:ind w:left="4759"/>
        <w:spacing w:before="23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—182—</w:t>
      </w:r>
    </w:p>
    <w:p>
      <w:pPr>
        <w:spacing w:line="471" w:lineRule="auto"/>
        <w:rPr>
          <w:rFonts w:ascii="Arial"/>
          <w:sz w:val="21"/>
        </w:rPr>
      </w:pPr>
      <w:r/>
    </w:p>
    <w:p>
      <w:pPr>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House.Allrights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reserved.   </w:t>
      </w:r>
      <w:hyperlink w:history="true" r:id="rId4">
        <w:r>
          <w:rPr>
            <w:rFonts w:ascii="Times New Roman" w:hAnsi="Times New Roman" w:eastAsia="Times New Roman" w:cs="Times New Roman"/>
            <w:sz w:val="21"/>
            <w:szCs w:val="21"/>
          </w:rPr>
          <w:t>http://www.c</w:t>
        </w:r>
        <w:r>
          <w:rPr>
            <w:rFonts w:ascii="Times New Roman" w:hAnsi="Times New Roman" w:eastAsia="Times New Roman" w:cs="Times New Roman"/>
            <w:sz w:val="21"/>
            <w:szCs w:val="21"/>
            <w:spacing w:val="-1"/>
          </w:rPr>
          <w:t>nki.net</w:t>
        </w:r>
      </w:hyperlink>
    </w:p>
    <w:p>
      <w:pPr>
        <w:spacing w:line="192" w:lineRule="auto"/>
        <w:sectPr>
          <w:pgSz w:w="11850" w:h="16140"/>
          <w:pgMar w:top="400" w:right="1777" w:bottom="0" w:left="400" w:header="0" w:footer="0" w:gutter="0"/>
        </w:sectPr>
        <w:rPr>
          <w:rFonts w:ascii="Times New Roman" w:hAnsi="Times New Roman" w:eastAsia="Times New Roman" w:cs="Times New Roman"/>
          <w:sz w:val="21"/>
          <w:szCs w:val="21"/>
        </w:rPr>
      </w:pPr>
    </w:p>
    <w:p>
      <w:pPr>
        <w:spacing w:line="288" w:lineRule="auto"/>
        <w:rPr>
          <w:rFonts w:ascii="Arial"/>
          <w:sz w:val="21"/>
        </w:rPr>
      </w:pPr>
      <w:r/>
    </w:p>
    <w:p>
      <w:pPr>
        <w:ind w:left="7310"/>
        <w:spacing w:before="72" w:line="219" w:lineRule="auto"/>
        <w:rPr>
          <w:rFonts w:ascii="STXingkai" w:hAnsi="STXingkai" w:eastAsia="STXingkai" w:cs="STXingkai"/>
          <w:sz w:val="21"/>
          <w:szCs w:val="21"/>
        </w:rPr>
      </w:pPr>
      <w:r>
        <w:drawing>
          <wp:anchor distT="0" distB="0" distL="0" distR="0" simplePos="0" relativeHeight="251674624" behindDoc="0" locked="0" layoutInCell="1" allowOverlap="1">
            <wp:simplePos x="0" y="0"/>
            <wp:positionH relativeFrom="column">
              <wp:posOffset>4775206</wp:posOffset>
            </wp:positionH>
            <wp:positionV relativeFrom="paragraph">
              <wp:posOffset>184776</wp:posOffset>
            </wp:positionV>
            <wp:extent cx="1562062" cy="6667"/>
            <wp:effectExtent l="0" t="0" r="0" b="0"/>
            <wp:wrapNone/>
            <wp:docPr id="26" name="IM 26"/>
            <wp:cNvGraphicFramePr/>
            <a:graphic>
              <a:graphicData uri="http://schemas.openxmlformats.org/drawingml/2006/picture">
                <pic:pic>
                  <pic:nvPicPr>
                    <pic:cNvPr id="26" name="IM 26"/>
                    <pic:cNvPicPr/>
                  </pic:nvPicPr>
                  <pic:blipFill>
                    <a:blip r:embed="rId18"/>
                    <a:stretch>
                      <a:fillRect/>
                    </a:stretch>
                  </pic:blipFill>
                  <pic:spPr>
                    <a:xfrm rot="0">
                      <a:off x="0" y="0"/>
                      <a:ext cx="1562062" cy="6667"/>
                    </a:xfrm>
                    <a:prstGeom prst="rect">
                      <a:avLst/>
                    </a:prstGeom>
                  </pic:spPr>
                </pic:pic>
              </a:graphicData>
            </a:graphic>
          </wp:anchor>
        </w:drawing>
      </w:r>
      <w:r>
        <w:rPr>
          <w:rFonts w:ascii="STXingkai" w:hAnsi="STXingkai" w:eastAsia="STXingkai" w:cs="STXingkai"/>
          <w:sz w:val="21"/>
          <w:szCs w:val="21"/>
          <w:position w:val="-19"/>
        </w:rPr>
        <w:drawing>
          <wp:inline distT="0" distB="0" distL="0" distR="0">
            <wp:extent cx="215885" cy="215841"/>
            <wp:effectExtent l="0" t="0" r="0" b="0"/>
            <wp:docPr id="28" name="IM 28"/>
            <wp:cNvGraphicFramePr/>
            <a:graphic>
              <a:graphicData uri="http://schemas.openxmlformats.org/drawingml/2006/picture">
                <pic:pic>
                  <pic:nvPicPr>
                    <pic:cNvPr id="28" name="IM 28"/>
                    <pic:cNvPicPr/>
                  </pic:nvPicPr>
                  <pic:blipFill>
                    <a:blip r:embed="rId19"/>
                    <a:stretch>
                      <a:fillRect/>
                    </a:stretch>
                  </pic:blipFill>
                  <pic:spPr>
                    <a:xfrm rot="0">
                      <a:off x="0" y="0"/>
                      <a:ext cx="215885" cy="215841"/>
                    </a:xfrm>
                    <a:prstGeom prst="rect">
                      <a:avLst/>
                    </a:prstGeom>
                  </pic:spPr>
                </pic:pic>
              </a:graphicData>
            </a:graphic>
          </wp:inline>
        </w:drawing>
      </w:r>
      <w:r>
        <w:rPr>
          <w:rFonts w:ascii="STXingkai" w:hAnsi="STXingkai" w:eastAsia="STXingkai" w:cs="STXingkai"/>
          <w:sz w:val="21"/>
          <w:szCs w:val="21"/>
          <w:spacing w:val="16"/>
          <w:w w:val="101"/>
        </w:rPr>
        <w:t xml:space="preserve">  </w:t>
      </w:r>
      <w:r>
        <w:rPr>
          <w:rFonts w:ascii="STXingkai" w:hAnsi="STXingkai" w:eastAsia="STXingkai" w:cs="STXingkai"/>
          <w:sz w:val="21"/>
          <w:szCs w:val="21"/>
          <w:spacing w:val="-37"/>
        </w:rPr>
        <w:t>附</w:t>
      </w:r>
      <w:r>
        <w:rPr>
          <w:rFonts w:ascii="STXingkai" w:hAnsi="STXingkai" w:eastAsia="STXingkai" w:cs="STXingkai"/>
          <w:sz w:val="21"/>
          <w:szCs w:val="21"/>
          <w:spacing w:val="1"/>
        </w:rPr>
        <w:t xml:space="preserve">    </w:t>
      </w:r>
      <w:r>
        <w:rPr>
          <w:rFonts w:ascii="STXingkai" w:hAnsi="STXingkai" w:eastAsia="STXingkai" w:cs="STXingkai"/>
          <w:sz w:val="21"/>
          <w:szCs w:val="21"/>
          <w:spacing w:val="-37"/>
        </w:rPr>
        <w:t>录</w:t>
      </w:r>
      <w:r>
        <w:rPr>
          <w:rFonts w:ascii="STXingkai" w:hAnsi="STXingkai" w:eastAsia="STXingkai" w:cs="STXingkai"/>
          <w:sz w:val="21"/>
          <w:szCs w:val="21"/>
          <w:spacing w:val="3"/>
        </w:rPr>
        <w:t xml:space="preserve">     </w:t>
      </w:r>
      <w:r>
        <w:rPr>
          <w:rFonts w:ascii="STXingkai" w:hAnsi="STXingkai" w:eastAsia="STXingkai" w:cs="STXingkai"/>
          <w:sz w:val="21"/>
          <w:szCs w:val="21"/>
          <w:spacing w:val="-37"/>
        </w:rPr>
        <w:t>·</w:t>
      </w:r>
      <w:r>
        <w:rPr>
          <w:rFonts w:ascii="STXingkai" w:hAnsi="STXingkai" w:eastAsia="STXingkai" w:cs="STXingkai"/>
          <w:sz w:val="21"/>
          <w:szCs w:val="21"/>
        </w:rPr>
        <w:t xml:space="preserve">    </w:t>
      </w:r>
      <w:r>
        <w:rPr>
          <w:rFonts w:ascii="STXingkai" w:hAnsi="STXingkai" w:eastAsia="STXingkai" w:cs="STXingkai"/>
          <w:sz w:val="21"/>
          <w:szCs w:val="21"/>
          <w:spacing w:val="-37"/>
        </w:rPr>
        <w:t>指</w:t>
      </w:r>
      <w:r>
        <w:rPr>
          <w:rFonts w:ascii="STXingkai" w:hAnsi="STXingkai" w:eastAsia="STXingkai" w:cs="STXingkai"/>
          <w:sz w:val="21"/>
          <w:szCs w:val="21"/>
          <w:spacing w:val="16"/>
        </w:rPr>
        <w:t xml:space="preserve">   </w:t>
      </w:r>
      <w:r>
        <w:rPr>
          <w:rFonts w:ascii="STXingkai" w:hAnsi="STXingkai" w:eastAsia="STXingkai" w:cs="STXingkai"/>
          <w:sz w:val="21"/>
          <w:szCs w:val="21"/>
          <w:spacing w:val="-37"/>
        </w:rPr>
        <w:t>古</w:t>
      </w:r>
    </w:p>
    <w:p>
      <w:pPr>
        <w:ind w:left="389"/>
        <w:spacing w:before="236" w:line="514" w:lineRule="exact"/>
        <w:rPr>
          <w:rFonts w:ascii="Times New Roman" w:hAnsi="Times New Roman" w:eastAsia="Times New Roman" w:cs="Times New Roman"/>
          <w:sz w:val="35"/>
          <w:szCs w:val="35"/>
        </w:rPr>
      </w:pPr>
      <w:r>
        <w:ruby>
          <w:rubyPr>
            <w:rubyAlign w:val="left"/>
            <w:hpsRaise w:val="16"/>
            <w:hps w:val="21"/>
            <w:hpsBaseText w:val="35"/>
          </w:rubyPr>
          <w:rt>
            <w:r>
              <w:rPr>
                <w:rFonts w:ascii="Times New Roman" w:hAnsi="Times New Roman" w:eastAsia="Times New Roman" w:cs="Times New Roman"/>
                <w:sz w:val="21"/>
                <w:szCs w:val="21"/>
                <w:w w:val="95"/>
                <w:position w:val="9"/>
              </w:rPr>
              <w:t>2</w:t>
            </w:r>
          </w:rt>
          <w:rubyBase>
            <w:r>
              <w:rPr>
                <w:rFonts w:ascii="Times New Roman" w:hAnsi="Times New Roman" w:eastAsia="Times New Roman" w:cs="Times New Roman"/>
                <w:sz w:val="35"/>
                <w:szCs w:val="35"/>
                <w:w w:val="98"/>
                <w:position w:val="-3"/>
              </w:rPr>
              <w:t>h</w:t>
            </w:r>
          </w:rubyBase>
        </w:ruby>
      </w:r>
      <w:r>
        <w:rPr>
          <w:rFonts w:ascii="Times New Roman" w:hAnsi="Times New Roman" w:eastAsia="Times New Roman" w:cs="Times New Roman"/>
          <w:sz w:val="21"/>
          <w:szCs w:val="21"/>
          <w:spacing w:val="-16"/>
          <w:position w:val="25"/>
        </w:rPr>
        <w:t>.Ti</w:t>
      </w:r>
      <w:r>
        <w:ruby>
          <w:rubyPr>
            <w:rubyAlign w:val="left"/>
            <w:hpsRaise w:val="16"/>
            <w:hps w:val="21"/>
            <w:hpsBaseText w:val="35"/>
          </w:rubyPr>
          <w:rt>
            <w:r>
              <w:rPr>
                <w:rFonts w:ascii="Times New Roman" w:hAnsi="Times New Roman" w:eastAsia="Times New Roman" w:cs="Times New Roman"/>
                <w:sz w:val="21"/>
                <w:szCs w:val="21"/>
                <w:w w:val="99"/>
                <w:position w:val="9"/>
              </w:rPr>
              <w:t>se</w:t>
            </w:r>
          </w:rt>
          <w:rubyBase>
            <w:r>
              <w:rPr>
                <w:rFonts w:ascii="Times New Roman" w:hAnsi="Times New Roman" w:eastAsia="Times New Roman" w:cs="Times New Roman"/>
                <w:sz w:val="35"/>
                <w:szCs w:val="35"/>
                <w:w w:val="133"/>
                <w:position w:val="-3"/>
              </w:rPr>
              <w:t>t</w:t>
            </w:r>
          </w:rubyBase>
        </w:ruby>
      </w:r>
      <w:r>
        <w:rPr>
          <w:rFonts w:ascii="Times New Roman" w:hAnsi="Times New Roman" w:eastAsia="Times New Roman" w:cs="Times New Roman"/>
          <w:sz w:val="21"/>
          <w:szCs w:val="21"/>
          <w:spacing w:val="-16"/>
          <w:position w:val="25"/>
        </w:rPr>
        <w:t>li</w:t>
      </w:r>
      <w:r>
        <w:rPr>
          <w:sz w:val="21"/>
          <w:szCs w:val="21"/>
          <w:position w:val="-1"/>
        </w:rPr>
        <w:drawing>
          <wp:inline distT="0" distB="0" distL="0" distR="0">
            <wp:extent cx="79802" cy="245861"/>
            <wp:effectExtent l="0" t="0" r="0" b="0"/>
            <wp:docPr id="30" name="IM 30"/>
            <wp:cNvGraphicFramePr/>
            <a:graphic>
              <a:graphicData uri="http://schemas.openxmlformats.org/drawingml/2006/picture">
                <pic:pic>
                  <pic:nvPicPr>
                    <pic:cNvPr id="30" name="IM 30"/>
                    <pic:cNvPicPr/>
                  </pic:nvPicPr>
                  <pic:blipFill>
                    <a:blip r:embed="rId20"/>
                    <a:stretch>
                      <a:fillRect/>
                    </a:stretch>
                  </pic:blipFill>
                  <pic:spPr>
                    <a:xfrm rot="0">
                      <a:off x="0" y="0"/>
                      <a:ext cx="79802" cy="245861"/>
                    </a:xfrm>
                    <a:prstGeom prst="rect">
                      <a:avLst/>
                    </a:prstGeom>
                  </pic:spPr>
                </pic:pic>
              </a:graphicData>
            </a:graphic>
          </wp:inline>
        </w:drawing>
      </w:r>
      <w:r>
        <w:rPr>
          <w:rFonts w:ascii="Times New Roman" w:hAnsi="Times New Roman" w:eastAsia="Times New Roman" w:cs="Times New Roman"/>
          <w:sz w:val="21"/>
          <w:szCs w:val="21"/>
          <w:spacing w:val="-16"/>
          <w:position w:val="25"/>
        </w:rPr>
        <w:t>s  </w:t>
      </w:r>
      <w:r>
        <w:ruby>
          <w:rubyPr>
            <w:rubyAlign w:val="left"/>
            <w:hpsRaise w:val="16"/>
            <w:hps w:val="21"/>
            <w:hpsBaseText w:val="35"/>
          </w:rubyPr>
          <w:rt>
            <w:r>
              <w:rPr>
                <w:rFonts w:ascii="Times New Roman" w:hAnsi="Times New Roman" w:eastAsia="Times New Roman" w:cs="Times New Roman"/>
                <w:sz w:val="21"/>
                <w:szCs w:val="21"/>
                <w:w w:val="98"/>
                <w:position w:val="9"/>
              </w:rPr>
              <w:t>HG</w:t>
            </w:r>
          </w:rt>
          <w:rubyBase>
            <w:r>
              <w:rPr>
                <w:rFonts w:ascii="Times New Roman" w:hAnsi="Times New Roman" w:eastAsia="Times New Roman" w:cs="Times New Roman"/>
                <w:sz w:val="35"/>
                <w:szCs w:val="35"/>
                <w:w w:val="135"/>
                <w:position w:val="-3"/>
              </w:rPr>
              <w:t>p</w:t>
            </w:r>
          </w:rubyBase>
        </w:ruby>
      </w:r>
      <w:r>
        <w:rPr>
          <w:rFonts w:ascii="Times New Roman" w:hAnsi="Times New Roman" w:eastAsia="Times New Roman" w:cs="Times New Roman"/>
          <w:sz w:val="35"/>
          <w:szCs w:val="35"/>
          <w:spacing w:val="-53"/>
          <w:w w:val="93"/>
          <w:position w:val="-3"/>
        </w:rPr>
        <w:t>:</w:t>
      </w:r>
      <w:r>
        <w:rPr>
          <w:rFonts w:ascii="Times New Roman" w:hAnsi="Times New Roman" w:eastAsia="Times New Roman" w:cs="Times New Roman"/>
          <w:sz w:val="21"/>
          <w:szCs w:val="21"/>
          <w:spacing w:val="-11"/>
          <w:w w:val="91"/>
          <w:position w:val="25"/>
        </w:rPr>
        <w:t>.</w:t>
      </w:r>
      <w:r>
        <w:rPr>
          <w:sz w:val="21"/>
          <w:szCs w:val="21"/>
          <w:position w:val="-1"/>
        </w:rPr>
        <w:drawing>
          <wp:inline distT="0" distB="0" distL="0" distR="0">
            <wp:extent cx="86896" cy="276621"/>
            <wp:effectExtent l="0" t="0" r="0" b="0"/>
            <wp:docPr id="32" name="IM 32"/>
            <wp:cNvGraphicFramePr/>
            <a:graphic>
              <a:graphicData uri="http://schemas.openxmlformats.org/drawingml/2006/picture">
                <pic:pic>
                  <pic:nvPicPr>
                    <pic:cNvPr id="32" name="IM 32"/>
                    <pic:cNvPicPr/>
                  </pic:nvPicPr>
                  <pic:blipFill>
                    <a:blip r:embed="rId21"/>
                    <a:stretch>
                      <a:fillRect/>
                    </a:stretch>
                  </pic:blipFill>
                  <pic:spPr>
                    <a:xfrm rot="0">
                      <a:off x="0" y="0"/>
                      <a:ext cx="86896" cy="276621"/>
                    </a:xfrm>
                    <a:prstGeom prst="rect">
                      <a:avLst/>
                    </a:prstGeom>
                  </pic:spPr>
                </pic:pic>
              </a:graphicData>
            </a:graphic>
          </wp:inline>
        </w:drawing>
      </w:r>
      <w:r>
        <w:rPr>
          <w:rFonts w:ascii="Times New Roman" w:hAnsi="Times New Roman" w:eastAsia="Times New Roman" w:cs="Times New Roman"/>
          <w:sz w:val="35"/>
          <w:szCs w:val="35"/>
          <w:spacing w:val="-11"/>
          <w:w w:val="91"/>
          <w:position w:val="5"/>
        </w:rPr>
        <w:t>/</w:t>
      </w:r>
      <w:r>
        <w:rPr>
          <w:rFonts w:ascii="Times New Roman" w:hAnsi="Times New Roman" w:eastAsia="Times New Roman" w:cs="Times New Roman"/>
          <w:sz w:val="21"/>
          <w:szCs w:val="21"/>
          <w:spacing w:val="-11"/>
          <w:w w:val="91"/>
          <w:position w:val="5"/>
        </w:rPr>
        <w:t>p</w:t>
      </w:r>
      <w:r>
        <w:ruby>
          <w:rubyPr>
            <w:rubyAlign w:val="left"/>
            <w:hpsRaise w:val="16"/>
            <w:hps w:val="21"/>
            <w:hpsBaseText w:val="35"/>
          </w:rubyPr>
          <w:rt>
            <w:r>
              <w:rPr>
                <w:rFonts w:ascii="Times New Roman" w:hAnsi="Times New Roman" w:eastAsia="Times New Roman" w:cs="Times New Roman"/>
                <w:sz w:val="21"/>
                <w:szCs w:val="21"/>
                <w:position w:val="9"/>
              </w:rPr>
              <w:t>id</w:t>
            </w:r>
          </w:rt>
          <w:rubyBase>
            <w:r>
              <w:rPr>
                <w:rFonts w:ascii="Times New Roman" w:hAnsi="Times New Roman" w:eastAsia="Times New Roman" w:cs="Times New Roman"/>
                <w:sz w:val="35"/>
                <w:szCs w:val="35"/>
                <w:w w:val="76"/>
                <w:position w:val="-3"/>
              </w:rPr>
              <w:t>w</w:t>
            </w:r>
          </w:rubyBase>
        </w:ruby>
      </w:r>
      <w:r>
        <w:rPr>
          <w:rFonts w:ascii="Times New Roman" w:hAnsi="Times New Roman" w:eastAsia="Times New Roman" w:cs="Times New Roman"/>
          <w:sz w:val="21"/>
          <w:szCs w:val="21"/>
          <w:spacing w:val="-11"/>
          <w:w w:val="91"/>
          <w:position w:val="25"/>
        </w:rPr>
        <w:t>em</w:t>
      </w:r>
      <w:r>
        <w:ruby>
          <w:rubyPr>
            <w:rubyAlign w:val="left"/>
            <w:hpsRaise w:val="16"/>
            <w:hps w:val="21"/>
            <w:hpsBaseText w:val="35"/>
          </w:rubyPr>
          <w:rt>
            <w:r>
              <w:rPr>
                <w:rFonts w:ascii="Times New Roman" w:hAnsi="Times New Roman" w:eastAsia="Times New Roman" w:cs="Times New Roman"/>
                <w:sz w:val="21"/>
                <w:szCs w:val="21"/>
                <w:w w:val="99"/>
                <w:position w:val="9"/>
              </w:rPr>
              <w:t>iol</w:t>
            </w:r>
          </w:rt>
          <w:rubyBase>
            <w:r>
              <w:rPr>
                <w:rFonts w:ascii="Times New Roman" w:hAnsi="Times New Roman" w:eastAsia="Times New Roman" w:cs="Times New Roman"/>
                <w:sz w:val="35"/>
                <w:szCs w:val="35"/>
                <w:w w:val="89"/>
                <w:position w:val="-3"/>
              </w:rPr>
              <w:t>w</w:t>
            </w:r>
          </w:rubyBase>
        </w:ruby>
      </w:r>
      <w:r>
        <w:rPr>
          <w:rFonts w:ascii="Times New Roman" w:hAnsi="Times New Roman" w:eastAsia="Times New Roman" w:cs="Times New Roman"/>
          <w:sz w:val="21"/>
          <w:szCs w:val="21"/>
          <w:spacing w:val="-11"/>
          <w:w w:val="91"/>
          <w:position w:val="25"/>
        </w:rPr>
        <w:t>og</w:t>
      </w:r>
      <w:r>
        <w:ruby>
          <w:rubyPr>
            <w:rubyAlign w:val="left"/>
            <w:hpsRaise w:val="16"/>
            <w:hps w:val="21"/>
            <w:hpsBaseText w:val="35"/>
          </w:rubyPr>
          <w:rt>
            <w:r>
              <w:rPr>
                <w:rFonts w:ascii="Times New Roman" w:hAnsi="Times New Roman" w:eastAsia="Times New Roman" w:cs="Times New Roman"/>
                <w:sz w:val="21"/>
                <w:szCs w:val="21"/>
                <w:w w:val="97"/>
                <w:position w:val="9"/>
              </w:rPr>
              <w:t>y</w:t>
            </w:r>
            <w:r>
              <w:rPr>
                <w:rFonts w:ascii="Times New Roman" w:hAnsi="Times New Roman" w:eastAsia="Times New Roman" w:cs="Times New Roman"/>
                <w:sz w:val="21"/>
                <w:szCs w:val="21"/>
                <w:w w:val="170"/>
                <w:position w:val="9"/>
              </w:rPr>
              <w:t xml:space="preserve"> </w:t>
            </w:r>
            <w:r>
              <w:rPr>
                <w:rFonts w:ascii="Times New Roman" w:hAnsi="Times New Roman" w:eastAsia="Times New Roman" w:cs="Times New Roman"/>
                <w:sz w:val="21"/>
                <w:szCs w:val="21"/>
                <w:w w:val="97"/>
                <w:position w:val="9"/>
              </w:rPr>
              <w:t>an</w:t>
            </w:r>
          </w:rt>
          <w:rubyBase>
            <w:r>
              <w:rPr>
                <w:rFonts w:ascii="Times New Roman" w:hAnsi="Times New Roman" w:eastAsia="Times New Roman" w:cs="Times New Roman"/>
                <w:sz w:val="35"/>
                <w:szCs w:val="35"/>
                <w:w w:val="97"/>
                <w:position w:val="-3"/>
              </w:rPr>
              <w:t>w</w:t>
            </w:r>
          </w:rubyBase>
        </w:ruby>
      </w:r>
      <w:r>
        <w:rPr>
          <w:rFonts w:ascii="Times New Roman" w:hAnsi="Times New Roman" w:eastAsia="Times New Roman" w:cs="Times New Roman"/>
          <w:sz w:val="21"/>
          <w:szCs w:val="21"/>
          <w:em w:val="dot"/>
          <w:spacing w:val="-11"/>
          <w:w w:val="91"/>
          <w:position w:val="25"/>
        </w:rPr>
        <w:t>d</w:t>
      </w:r>
      <w:r>
        <w:rPr>
          <w:rFonts w:ascii="Times New Roman" w:hAnsi="Times New Roman" w:eastAsia="Times New Roman" w:cs="Times New Roman"/>
          <w:sz w:val="21"/>
          <w:szCs w:val="21"/>
          <w:spacing w:val="-11"/>
          <w:w w:val="91"/>
          <w:position w:val="25"/>
        </w:rPr>
        <w:t xml:space="preserve"> </w:t>
      </w:r>
      <w:r>
        <w:ruby>
          <w:rubyPr>
            <w:rubyAlign w:val="left"/>
            <w:hpsRaise w:val="16"/>
            <w:hps w:val="21"/>
            <w:hpsBaseText w:val="35"/>
          </w:rubyPr>
          <w:rt>
            <w:r>
              <w:rPr>
                <w:rFonts w:ascii="Times New Roman" w:hAnsi="Times New Roman" w:eastAsia="Times New Roman" w:cs="Times New Roman"/>
                <w:sz w:val="21"/>
                <w:szCs w:val="21"/>
                <w:w w:val="109"/>
                <w:position w:val="9"/>
              </w:rPr>
              <w:t>med</w:t>
            </w:r>
          </w:rt>
          <w:rubyBase>
            <w:r>
              <w:rPr>
                <w:rFonts w:ascii="Times New Roman" w:hAnsi="Times New Roman" w:eastAsia="Times New Roman" w:cs="Times New Roman"/>
                <w:sz w:val="35"/>
                <w:szCs w:val="35"/>
                <w:w w:val="98"/>
                <w:position w:val="-3"/>
              </w:rPr>
              <w:t>n</w:t>
            </w:r>
          </w:rubyBase>
        </w:ruby>
      </w:r>
      <w:r>
        <w:ruby>
          <w:rubyPr>
            <w:rubyAlign w:val="left"/>
            <w:hpsRaise w:val="16"/>
            <w:hps w:val="21"/>
            <w:hpsBaseText w:val="35"/>
          </w:rubyPr>
          <w:rt>
            <w:r>
              <w:rPr>
                <w:rFonts w:ascii="Times New Roman" w:hAnsi="Times New Roman" w:eastAsia="Times New Roman" w:cs="Times New Roman"/>
                <w:sz w:val="21"/>
                <w:szCs w:val="21"/>
                <w:w w:val="99"/>
                <w:position w:val="9"/>
              </w:rPr>
              <w:t>ical</w:t>
            </w:r>
          </w:rt>
          <w:rubyBase>
            <w:r>
              <w:rPr>
                <w:rFonts w:ascii="Times New Roman" w:hAnsi="Times New Roman" w:eastAsia="Times New Roman" w:cs="Times New Roman"/>
                <w:sz w:val="35"/>
                <w:szCs w:val="35"/>
                <w:w w:val="92"/>
                <w:position w:val="-3"/>
              </w:rPr>
              <w:t>cb</w:t>
            </w:r>
          </w:rubyBase>
        </w:ruby>
      </w:r>
      <w:r>
        <w:rPr>
          <w:rFonts w:ascii="Times New Roman" w:hAnsi="Times New Roman" w:eastAsia="Times New Roman" w:cs="Times New Roman"/>
          <w:sz w:val="35"/>
          <w:szCs w:val="35"/>
          <w:spacing w:val="-12"/>
          <w:position w:val="-3"/>
        </w:rPr>
        <w:t>i</w:t>
      </w:r>
      <w:r>
        <w:ruby>
          <w:rubyPr>
            <w:rubyAlign w:val="left"/>
            <w:hpsRaise w:val="16"/>
            <w:hps w:val="21"/>
            <w:hpsBaseText w:val="35"/>
          </w:rubyPr>
          <w:rt>
            <w:r>
              <w:rPr>
                <w:rFonts w:ascii="Times New Roman" w:hAnsi="Times New Roman" w:eastAsia="Times New Roman" w:cs="Times New Roman"/>
                <w:sz w:val="21"/>
                <w:szCs w:val="21"/>
                <w:em w:val="dot"/>
                <w:w w:val="99"/>
                <w:position w:val="9"/>
              </w:rPr>
              <w:t>m</w:t>
            </w:r>
            <w:r>
              <w:rPr>
                <w:rFonts w:ascii="Times New Roman" w:hAnsi="Times New Roman" w:eastAsia="Times New Roman" w:cs="Times New Roman"/>
                <w:sz w:val="21"/>
                <w:szCs w:val="21"/>
                <w:w w:val="99"/>
                <w:position w:val="9"/>
              </w:rPr>
              <w:t>anage</w:t>
            </w:r>
            <w:r>
              <w:rPr>
                <w:rFonts w:ascii="Times New Roman" w:hAnsi="Times New Roman" w:eastAsia="Times New Roman" w:cs="Times New Roman"/>
                <w:sz w:val="21"/>
                <w:szCs w:val="21"/>
                <w:em w:val="dot"/>
                <w:w w:val="99"/>
                <w:position w:val="9"/>
              </w:rPr>
              <w:t>m</w:t>
            </w:r>
            <w:r>
              <w:rPr>
                <w:rFonts w:ascii="Times New Roman" w:hAnsi="Times New Roman" w:eastAsia="Times New Roman" w:cs="Times New Roman"/>
                <w:sz w:val="21"/>
                <w:szCs w:val="21"/>
                <w:w w:val="99"/>
                <w:position w:val="9"/>
              </w:rPr>
              <w:t>ent</w:t>
            </w:r>
            <w:r>
              <w:rPr>
                <w:rFonts w:ascii="Times New Roman" w:hAnsi="Times New Roman" w:eastAsia="Times New Roman" w:cs="Times New Roman"/>
                <w:sz w:val="21"/>
                <w:szCs w:val="21"/>
                <w:w w:val="175"/>
                <w:position w:val="9"/>
              </w:rPr>
              <w:t xml:space="preserve"> </w:t>
            </w:r>
            <w:r>
              <w:rPr>
                <w:rFonts w:ascii="Times New Roman" w:hAnsi="Times New Roman" w:eastAsia="Times New Roman" w:cs="Times New Roman"/>
                <w:sz w:val="21"/>
                <w:szCs w:val="21"/>
                <w:w w:val="99"/>
                <w:position w:val="9"/>
              </w:rPr>
              <w:t>of</w:t>
            </w:r>
          </w:rt>
          <w:rubyBase>
            <w:r>
              <w:rPr>
                <w:rFonts w:ascii="Times New Roman" w:hAnsi="Times New Roman" w:eastAsia="Times New Roman" w:cs="Times New Roman"/>
                <w:sz w:val="35"/>
                <w:szCs w:val="35"/>
                <w:w w:val="107"/>
                <w:position w:val="-3"/>
              </w:rPr>
              <w:t>nlm n</w:t>
            </w:r>
            <w:r>
              <w:rPr>
                <w:rFonts w:ascii="Times New Roman" w:hAnsi="Times New Roman" w:eastAsia="Times New Roman" w:cs="Times New Roman"/>
                <w:sz w:val="35"/>
                <w:szCs w:val="35"/>
                <w:spacing w:val="1"/>
                <w:w w:val="175"/>
                <w:position w:val="-3"/>
              </w:rPr>
              <w:t xml:space="preserve"> </w:t>
            </w:r>
            <w:r>
              <w:rPr>
                <w:rFonts w:ascii="Times New Roman" w:hAnsi="Times New Roman" w:eastAsia="Times New Roman" w:cs="Times New Roman"/>
                <w:sz w:val="35"/>
                <w:szCs w:val="35"/>
                <w:w w:val="107"/>
                <w:position w:val="-3"/>
              </w:rPr>
              <w:t>ih</w:t>
            </w:r>
          </w:rubyBase>
        </w:ruby>
      </w:r>
      <w:r>
        <w:rPr>
          <w:rFonts w:ascii="Times New Roman" w:hAnsi="Times New Roman" w:eastAsia="Times New Roman" w:cs="Times New Roman"/>
          <w:sz w:val="35"/>
          <w:szCs w:val="35"/>
          <w:spacing w:val="-45"/>
          <w:position w:val="-3"/>
        </w:rPr>
        <w:t xml:space="preserve"> </w:t>
      </w:r>
      <w:r>
        <w:rPr>
          <w:rFonts w:ascii="Times New Roman" w:hAnsi="Times New Roman" w:eastAsia="Times New Roman" w:cs="Times New Roman"/>
          <w:sz w:val="21"/>
          <w:szCs w:val="21"/>
          <w:em w:val="dot"/>
          <w:spacing w:val="-12"/>
          <w:position w:val="25"/>
        </w:rPr>
        <w:t>s</w:t>
      </w:r>
      <w:r>
        <w:ruby>
          <w:rubyPr>
            <w:rubyAlign w:val="left"/>
            <w:hpsRaise w:val="16"/>
            <w:hps w:val="21"/>
            <w:hpsBaseText w:val="35"/>
          </w:rubyPr>
          <w:rt>
            <w:r>
              <w:rPr>
                <w:rFonts w:ascii="Times New Roman" w:hAnsi="Times New Roman" w:eastAsia="Times New Roman" w:cs="Times New Roman"/>
                <w:sz w:val="21"/>
                <w:szCs w:val="21"/>
                <w:w w:val="99"/>
                <w:position w:val="9"/>
              </w:rPr>
              <w:t>tone</w:t>
            </w:r>
          </w:rt>
          <w:rubyBase>
            <w:r>
              <w:rPr>
                <w:rFonts w:ascii="Times New Roman" w:hAnsi="Times New Roman" w:eastAsia="Times New Roman" w:cs="Times New Roman"/>
                <w:sz w:val="35"/>
                <w:szCs w:val="35"/>
                <w:w w:val="88"/>
                <w:position w:val="-3"/>
              </w:rPr>
              <w:t>g</w:t>
            </w:r>
          </w:rubyBase>
        </w:ruby>
      </w:r>
      <w:r>
        <w:ruby>
          <w:rubyPr>
            <w:rubyAlign w:val="left"/>
            <w:hpsRaise w:val="16"/>
            <w:hps w:val="21"/>
            <w:hpsBaseText w:val="35"/>
          </w:rubyPr>
          <w:rt>
            <w:r>
              <w:rPr>
                <w:rFonts w:ascii="Times New Roman" w:hAnsi="Times New Roman" w:eastAsia="Times New Roman" w:cs="Times New Roman"/>
                <w:sz w:val="21"/>
                <w:szCs w:val="21"/>
                <w:w w:val="175"/>
                <w:position w:val="9"/>
              </w:rPr>
              <w:t>d</w:t>
            </w:r>
          </w:rt>
          <w:rubyBase>
            <w:r>
              <w:rPr>
                <w:rFonts w:ascii="Times New Roman" w:hAnsi="Times New Roman" w:eastAsia="Times New Roman" w:cs="Times New Roman"/>
                <w:sz w:val="35"/>
                <w:szCs w:val="35"/>
                <w:w w:val="95"/>
                <w:position w:val="-3"/>
              </w:rPr>
              <w:t>o</w:t>
            </w:r>
          </w:rubyBase>
        </w:ruby>
      </w:r>
      <w:r>
        <w:ruby>
          <w:rubyPr>
            <w:rubyAlign w:val="left"/>
            <w:hpsRaise w:val="16"/>
            <w:hps w:val="21"/>
            <w:hpsBaseText w:val="35"/>
          </w:rubyPr>
          <w:rt>
            <w:r>
              <w:rPr>
                <w:rFonts w:ascii="Times New Roman" w:hAnsi="Times New Roman" w:eastAsia="Times New Roman" w:cs="Times New Roman"/>
                <w:sz w:val="21"/>
                <w:szCs w:val="21"/>
                <w:w w:val="99"/>
                <w:position w:val="9"/>
              </w:rPr>
              <w:t>is</w:t>
            </w:r>
          </w:rt>
          <w:rubyBase>
            <w:r>
              <w:rPr>
                <w:rFonts w:ascii="Times New Roman" w:hAnsi="Times New Roman" w:eastAsia="Times New Roman" w:cs="Times New Roman"/>
                <w:sz w:val="35"/>
                <w:szCs w:val="35"/>
                <w:w w:val="88"/>
                <w:position w:val="-3"/>
              </w:rPr>
              <w:t>v</w:t>
            </w:r>
          </w:rubyBase>
        </w:ruby>
      </w:r>
      <w:r>
        <w:rPr>
          <w:sz w:val="21"/>
          <w:szCs w:val="21"/>
          <w:position w:val="-1"/>
        </w:rPr>
        <w:drawing>
          <wp:inline distT="0" distB="0" distL="0" distR="0">
            <wp:extent cx="62539" cy="249418"/>
            <wp:effectExtent l="0" t="0" r="0" b="0"/>
            <wp:docPr id="34" name="IM 34"/>
            <wp:cNvGraphicFramePr/>
            <a:graphic>
              <a:graphicData uri="http://schemas.openxmlformats.org/drawingml/2006/picture">
                <pic:pic>
                  <pic:nvPicPr>
                    <pic:cNvPr id="34" name="IM 34"/>
                    <pic:cNvPicPr/>
                  </pic:nvPicPr>
                  <pic:blipFill>
                    <a:blip r:embed="rId22"/>
                    <a:stretch>
                      <a:fillRect/>
                    </a:stretch>
                  </pic:blipFill>
                  <pic:spPr>
                    <a:xfrm rot="0">
                      <a:off x="0" y="0"/>
                      <a:ext cx="62539" cy="249418"/>
                    </a:xfrm>
                    <a:prstGeom prst="rect">
                      <a:avLst/>
                    </a:prstGeom>
                  </pic:spPr>
                </pic:pic>
              </a:graphicData>
            </a:graphic>
          </wp:inline>
        </w:drawing>
      </w:r>
      <w:r>
        <w:ruby>
          <w:rubyPr>
            <w:rubyAlign w:val="left"/>
            <w:hpsRaise w:val="16"/>
            <w:hps w:val="21"/>
            <w:hpsBaseText w:val="35"/>
          </w:rubyPr>
          <w:rt>
            <w:r>
              <w:rPr>
                <w:rFonts w:ascii="Times New Roman" w:hAnsi="Times New Roman" w:eastAsia="Times New Roman" w:cs="Times New Roman"/>
                <w:sz w:val="21"/>
                <w:szCs w:val="21"/>
                <w:w w:val="92"/>
                <w:position w:val="9"/>
              </w:rPr>
              <w:t>ase</w:t>
            </w:r>
          </w:rt>
          <w:rubyBase>
            <w:r>
              <w:rPr>
                <w:rFonts w:ascii="Times New Roman" w:hAnsi="Times New Roman" w:eastAsia="Times New Roman" w:cs="Times New Roman"/>
                <w:sz w:val="35"/>
                <w:szCs w:val="35"/>
                <w:w w:val="99"/>
                <w:position w:val="-3"/>
              </w:rPr>
              <w:t>en</w:t>
            </w:r>
          </w:rubyBase>
        </w:ruby>
      </w:r>
      <w:r>
        <w:rPr>
          <w:rFonts w:ascii="Times New Roman" w:hAnsi="Times New Roman" w:eastAsia="Times New Roman" w:cs="Times New Roman"/>
          <w:sz w:val="21"/>
          <w:szCs w:val="21"/>
          <w:spacing w:val="-12"/>
          <w:position w:val="25"/>
        </w:rPr>
        <w:t>.BJ</w:t>
      </w:r>
      <w:r>
        <w:ruby>
          <w:rubyPr>
            <w:rubyAlign w:val="left"/>
            <w:hpsRaise w:val="16"/>
            <w:hps w:val="21"/>
            <w:hpsBaseText w:val="35"/>
          </w:rubyPr>
          <w:rt>
            <w:r>
              <w:rPr>
                <w:rFonts w:ascii="Times New Roman" w:hAnsi="Times New Roman" w:eastAsia="Times New Roman" w:cs="Times New Roman"/>
                <w:sz w:val="21"/>
                <w:szCs w:val="21"/>
                <w:w w:val="99"/>
                <w:position w:val="9"/>
              </w:rPr>
              <w:t>U</w:t>
            </w:r>
          </w:rt>
          <w:rubyBase>
            <w:r>
              <w:rPr>
                <w:rFonts w:ascii="Times New Roman" w:hAnsi="Times New Roman" w:eastAsia="Times New Roman" w:cs="Times New Roman"/>
                <w:sz w:val="35"/>
                <w:szCs w:val="35"/>
                <w:w w:val="103"/>
                <w:position w:val="-3"/>
              </w:rPr>
              <w:t>tr</w:t>
            </w:r>
          </w:rubyBase>
        </w:ruby>
      </w:r>
      <w:r>
        <w:rPr>
          <w:rFonts w:ascii="Times New Roman" w:hAnsi="Times New Roman" w:eastAsia="Times New Roman" w:cs="Times New Roman"/>
          <w:sz w:val="21"/>
          <w:szCs w:val="21"/>
          <w:spacing w:val="-12"/>
          <w:position w:val="25"/>
        </w:rPr>
        <w:t>In</w:t>
      </w:r>
      <w:r>
        <w:ruby>
          <w:rubyPr>
            <w:rubyAlign w:val="left"/>
            <w:hpsRaise w:val="16"/>
            <w:hps w:val="21"/>
            <w:hpsBaseText w:val="35"/>
          </w:rubyPr>
          <w:rt>
            <w:r>
              <w:rPr>
                <w:rFonts w:ascii="Times New Roman" w:hAnsi="Times New Roman" w:eastAsia="Times New Roman" w:cs="Times New Roman"/>
                <w:sz w:val="21"/>
                <w:szCs w:val="21"/>
                <w:position w:val="9"/>
              </w:rPr>
              <w:t>t</w:t>
            </w:r>
          </w:rt>
          <w:rubyBase>
            <w:r>
              <w:rPr>
                <w:rFonts w:ascii="Times New Roman" w:hAnsi="Times New Roman" w:eastAsia="Times New Roman" w:cs="Times New Roman"/>
                <w:sz w:val="35"/>
                <w:szCs w:val="35"/>
                <w:w w:val="106"/>
                <w:position w:val="-3"/>
              </w:rPr>
              <w:t>e</w:t>
            </w:r>
          </w:rubyBase>
        </w:ruby>
      </w:r>
      <w:r>
        <w:rPr>
          <w:rFonts w:ascii="Times New Roman" w:hAnsi="Times New Roman" w:eastAsia="Times New Roman" w:cs="Times New Roman"/>
          <w:sz w:val="21"/>
          <w:szCs w:val="21"/>
          <w:spacing w:val="-12"/>
          <w:position w:val="25"/>
        </w:rPr>
        <w:t>20</w:t>
      </w:r>
      <w:r>
        <w:ruby>
          <w:rubyPr>
            <w:rubyAlign w:val="left"/>
            <w:hpsRaise w:val="16"/>
            <w:hps w:val="21"/>
            <w:hpsBaseText w:val="35"/>
          </w:rubyPr>
          <w:rt>
            <w:r>
              <w:rPr>
                <w:rFonts w:ascii="Times New Roman" w:hAnsi="Times New Roman" w:eastAsia="Times New Roman" w:cs="Times New Roman"/>
                <w:sz w:val="21"/>
                <w:szCs w:val="21"/>
                <w:position w:val="9"/>
              </w:rPr>
              <w:t>03</w:t>
            </w:r>
          </w:rt>
          <w:rubyBase>
            <w:r>
              <w:rPr>
                <w:rFonts w:ascii="Times New Roman" w:hAnsi="Times New Roman" w:eastAsia="Times New Roman" w:cs="Times New Roman"/>
                <w:sz w:val="35"/>
                <w:szCs w:val="35"/>
                <w:w w:val="109"/>
                <w:position w:val="-3"/>
              </w:rPr>
              <w:t>z</w:t>
            </w:r>
          </w:rubyBase>
        </w:ruby>
      </w:r>
      <w:r>
        <w:rPr>
          <w:rFonts w:ascii="Times New Roman" w:hAnsi="Times New Roman" w:eastAsia="Times New Roman" w:cs="Times New Roman"/>
          <w:sz w:val="35"/>
          <w:szCs w:val="35"/>
          <w:spacing w:val="-6"/>
          <w:w w:val="70"/>
          <w:position w:val="-3"/>
        </w:rPr>
        <w:t>/</w:t>
      </w:r>
      <w:r>
        <w:rPr>
          <w:rFonts w:ascii="Times New Roman" w:hAnsi="Times New Roman" w:eastAsia="Times New Roman" w:cs="Times New Roman"/>
          <w:sz w:val="21"/>
          <w:szCs w:val="21"/>
          <w:spacing w:val="-18"/>
          <w:w w:val="82"/>
          <w:position w:val="25"/>
        </w:rPr>
        <w:t>;</w:t>
      </w:r>
      <w:r>
        <w:ruby>
          <w:rubyPr>
            <w:rubyAlign w:val="left"/>
            <w:hpsRaise w:val="16"/>
            <w:hps w:val="21"/>
            <w:hpsBaseText w:val="35"/>
          </w:rubyPr>
          <w:rt>
            <w:r>
              <w:rPr>
                <w:rFonts w:ascii="Times New Roman" w:hAnsi="Times New Roman" w:eastAsia="Times New Roman" w:cs="Times New Roman"/>
                <w:sz w:val="21"/>
                <w:szCs w:val="21"/>
                <w:w w:val="99"/>
                <w:position w:val="9"/>
              </w:rPr>
              <w:t>91:758</w:t>
            </w:r>
          </w:rt>
          <w:rubyBase>
            <w:r>
              <w:rPr>
                <w:rFonts w:ascii="Times New Roman" w:hAnsi="Times New Roman" w:eastAsia="Times New Roman" w:cs="Times New Roman"/>
                <w:sz w:val="35"/>
                <w:szCs w:val="35"/>
                <w:position w:val="-3"/>
              </w:rPr>
              <w:t>quer</w:t>
            </w:r>
          </w:rubyBase>
        </w:ruby>
      </w:r>
      <w:r>
        <w:rPr>
          <w:rFonts w:ascii="Times New Roman" w:hAnsi="Times New Roman" w:eastAsia="Times New Roman" w:cs="Times New Roman"/>
          <w:sz w:val="21"/>
          <w:szCs w:val="21"/>
          <w:spacing w:val="-18"/>
          <w:w w:val="82"/>
          <w:position w:val="25"/>
        </w:rPr>
        <w:t>-7</w:t>
      </w:r>
      <w:r>
        <w:ruby>
          <w:rubyPr>
            <w:rubyAlign w:val="left"/>
            <w:hpsRaise w:val="16"/>
            <w:hps w:val="21"/>
            <w:hpsBaseText w:val="35"/>
          </w:rubyPr>
          <w:rt>
            <w:r>
              <w:rPr>
                <w:rFonts w:ascii="Times New Roman" w:hAnsi="Times New Roman" w:eastAsia="Times New Roman" w:cs="Times New Roman"/>
                <w:sz w:val="21"/>
                <w:szCs w:val="21"/>
                <w:position w:val="9"/>
              </w:rPr>
              <w:t>67</w:t>
            </w:r>
          </w:rt>
          <w:rubyBase>
            <w:r>
              <w:rPr>
                <w:rFonts w:ascii="Times New Roman" w:hAnsi="Times New Roman" w:eastAsia="Times New Roman" w:cs="Times New Roman"/>
                <w:sz w:val="35"/>
                <w:szCs w:val="35"/>
                <w:w w:val="134"/>
                <w:position w:val="-3"/>
              </w:rPr>
              <w:t>y</w:t>
            </w:r>
          </w:rubyBase>
        </w:ruby>
      </w:r>
      <w:r>
        <w:rPr>
          <w:rFonts w:ascii="Times New Roman" w:hAnsi="Times New Roman" w:eastAsia="Times New Roman" w:cs="Times New Roman"/>
          <w:sz w:val="21"/>
          <w:szCs w:val="21"/>
          <w:spacing w:val="-18"/>
          <w:w w:val="82"/>
          <w:position w:val="25"/>
        </w:rPr>
        <w:t>.</w:t>
      </w:r>
      <w:r>
        <w:rPr>
          <w:rFonts w:ascii="Times New Roman" w:hAnsi="Times New Roman" w:eastAsia="Times New Roman" w:cs="Times New Roman"/>
          <w:sz w:val="35"/>
          <w:szCs w:val="35"/>
          <w:spacing w:val="-6"/>
          <w:position w:val="-3"/>
        </w:rPr>
        <w:t>.fcg</w:t>
      </w:r>
      <w:r>
        <w:rPr>
          <w:rFonts w:ascii="Times New Roman" w:hAnsi="Times New Roman" w:eastAsia="Times New Roman" w:cs="Times New Roman"/>
          <w:sz w:val="35"/>
          <w:szCs w:val="35"/>
          <w:spacing w:val="17"/>
          <w:position w:val="-3"/>
        </w:rPr>
        <w:t xml:space="preserve">  </w:t>
      </w:r>
      <w:r>
        <w:rPr>
          <w:rFonts w:ascii="Times New Roman" w:hAnsi="Times New Roman" w:eastAsia="Times New Roman" w:cs="Times New Roman"/>
          <w:sz w:val="35"/>
          <w:szCs w:val="35"/>
          <w:spacing w:val="-6"/>
          <w:position w:val="-3"/>
        </w:rPr>
        <w:t>i?</w:t>
      </w:r>
    </w:p>
    <w:p>
      <w:pPr>
        <w:ind w:left="389"/>
        <w:spacing w:before="15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cmd=Retrieve&amp;db=pubmed&amp;dopt=Abstract&amp;list_</w:t>
      </w:r>
      <w:r>
        <w:rPr>
          <w:rFonts w:ascii="Times New Roman" w:hAnsi="Times New Roman" w:eastAsia="Times New Roman" w:cs="Times New Roman"/>
          <w:sz w:val="21"/>
          <w:szCs w:val="21"/>
          <w:spacing w:val="-1"/>
        </w:rPr>
        <w:t>uids=12709088</w:t>
      </w:r>
    </w:p>
    <w:p>
      <w:pPr>
        <w:ind w:left="389" w:right="125"/>
        <w:spacing w:before="126" w:line="31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3.Tiselius   HG,Ackermann   D,Alken   P,Buck   C,Conort   P,Gallucci   M</w:t>
      </w:r>
      <w:r>
        <w:rPr>
          <w:rFonts w:ascii="Times New Roman" w:hAnsi="Times New Roman" w:eastAsia="Times New Roman" w:cs="Times New Roman"/>
          <w:sz w:val="21"/>
          <w:szCs w:val="21"/>
          <w:spacing w:val="-1"/>
        </w:rPr>
        <w:t>.Guidelines   on   urolithiasis.Eur   Urol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2001;40:362-371.</w:t>
      </w:r>
    </w:p>
    <w:p>
      <w:pPr>
        <w:ind w:left="389" w:right="211"/>
        <w:spacing w:before="36" w:line="319" w:lineRule="auto"/>
        <w:rPr>
          <w:rFonts w:ascii="Times New Roman" w:hAnsi="Times New Roman" w:eastAsia="Times New Roman" w:cs="Times New Roman"/>
          <w:sz w:val="21"/>
          <w:szCs w:val="21"/>
        </w:rPr>
      </w:pPr>
      <w:hyperlink w:history="true" r:id="rId23">
        <w:r>
          <w:rPr>
            <w:rFonts w:ascii="Times New Roman" w:hAnsi="Times New Roman" w:eastAsia="Times New Roman" w:cs="Times New Roman"/>
            <w:sz w:val="21"/>
            <w:szCs w:val="21"/>
            <w:spacing w:val="-1"/>
          </w:rPr>
          <w:t>h      t      t      p://w      w       w      .n      cbi.n       1m.n      ih.g       ov/en      tr      e      z/q       u      ery.f     </w:t>
        </w:r>
        <w:r>
          <w:rPr>
            <w:rFonts w:ascii="Times New Roman" w:hAnsi="Times New Roman" w:eastAsia="Times New Roman" w:cs="Times New Roman"/>
            <w:sz w:val="21"/>
            <w:szCs w:val="21"/>
            <w:spacing w:val="-2"/>
          </w:rPr>
          <w:t xml:space="preserve"> cg      i?</w:t>
        </w:r>
      </w:hyperlink>
      <w:r>
        <w:rPr>
          <w:rFonts w:ascii="Times New Roman" w:hAnsi="Times New Roman" w:eastAsia="Times New Roman" w:cs="Times New Roman"/>
          <w:sz w:val="21"/>
          <w:szCs w:val="21"/>
        </w:rPr>
        <w:t xml:space="preserve"> </w:t>
      </w:r>
      <w:hyperlink w:history="true" r:id="rId23">
        <w:r>
          <w:rPr>
            <w:rFonts w:ascii="Times New Roman" w:hAnsi="Times New Roman" w:eastAsia="Times New Roman" w:cs="Times New Roman"/>
            <w:sz w:val="21"/>
            <w:szCs w:val="21"/>
          </w:rPr>
          <w:t>cmd=Retrieve&amp;db=pubmed&amp;dopt=Abstract&amp;list_</w:t>
        </w:r>
        <w:r>
          <w:rPr>
            <w:rFonts w:ascii="Times New Roman" w:hAnsi="Times New Roman" w:eastAsia="Times New Roman" w:cs="Times New Roman"/>
            <w:sz w:val="21"/>
            <w:szCs w:val="21"/>
            <w:spacing w:val="-1"/>
          </w:rPr>
          <w:t>uids=11713390</w:t>
        </w:r>
      </w:hyperlink>
    </w:p>
    <w:p>
      <w:pPr>
        <w:pStyle w:val="BodyText"/>
        <w:ind w:left="829"/>
        <w:spacing w:line="219" w:lineRule="auto"/>
        <w:rPr/>
      </w:pPr>
      <w:r>
        <w:rPr>
          <w:spacing w:val="1"/>
        </w:rPr>
        <w:t>3.诊断</w:t>
      </w:r>
    </w:p>
    <w:p>
      <w:pPr>
        <w:pStyle w:val="BodyText"/>
        <w:ind w:left="829"/>
        <w:spacing w:before="91" w:line="219" w:lineRule="auto"/>
        <w:rPr/>
      </w:pPr>
      <w:r>
        <w:rPr>
          <w:spacing w:val="3"/>
        </w:rPr>
        <w:t>3.1影像学检查</w:t>
      </w:r>
    </w:p>
    <w:p>
      <w:pPr>
        <w:pStyle w:val="BodyText"/>
        <w:ind w:left="389" w:right="78" w:firstLine="439"/>
        <w:spacing w:before="81" w:line="291" w:lineRule="auto"/>
        <w:rPr/>
      </w:pPr>
      <w:r>
        <w:rPr>
          <w:spacing w:val="3"/>
        </w:rPr>
        <w:t>结石患者常常表现为急性肾绞痛发作。肾绞痛发作的结石患者一般会出现特征性的腰痛、呕吐以及</w:t>
      </w:r>
      <w:r>
        <w:rPr>
          <w:spacing w:val="1"/>
        </w:rPr>
        <w:t xml:space="preserve"> </w:t>
      </w:r>
      <w:r>
        <w:rPr>
          <w:spacing w:val="7"/>
        </w:rPr>
        <w:t>低热等症状，既往可能有结石病史。临床诊断需要依靠适宜的影像学检查方法。通过影像学检查，我</w:t>
      </w:r>
      <w:r>
        <w:rPr>
          <w:spacing w:val="9"/>
        </w:rPr>
        <w:t xml:space="preserve"> </w:t>
      </w:r>
      <w:r>
        <w:rPr>
          <w:spacing w:val="7"/>
        </w:rPr>
        <w:t>们可以立即决定对患者进行保守治疗还是考虑其他治疗方法。对于发热或孤立肾患者，或者尿石诊断</w:t>
      </w:r>
      <w:r>
        <w:rPr>
          <w:spacing w:val="10"/>
        </w:rPr>
        <w:t xml:space="preserve"> </w:t>
      </w:r>
      <w:r>
        <w:rPr>
          <w:spacing w:val="2"/>
        </w:rPr>
        <w:t>不能肯定时，影像学检查是必不可少的。</w:t>
      </w:r>
    </w:p>
    <w:p>
      <w:pPr>
        <w:pStyle w:val="BodyText"/>
        <w:ind w:left="389" w:right="74" w:firstLine="439"/>
        <w:spacing w:before="48" w:line="288" w:lineRule="auto"/>
        <w:jc w:val="both"/>
        <w:rPr/>
      </w:pPr>
      <w:r>
        <w:rPr>
          <w:spacing w:val="5"/>
        </w:rPr>
        <w:t>对所有具有泌尿系结石症状的患者的诊断性检查需要可靠的影像学技术(表5)。对于结石引起的急</w:t>
      </w:r>
      <w:r>
        <w:rPr>
          <w:spacing w:val="18"/>
        </w:rPr>
        <w:t xml:space="preserve"> </w:t>
      </w:r>
      <w:r>
        <w:rPr>
          <w:spacing w:val="3"/>
        </w:rPr>
        <w:t>性肾绞痛的患者，排泄性尿路造影(静脉肾盂造影，</w:t>
      </w:r>
      <w:r>
        <w:rPr>
          <w:spacing w:val="-19"/>
        </w:rPr>
        <w:t xml:space="preserve"> </w:t>
      </w:r>
      <w:r>
        <w:rPr>
          <w:rFonts w:ascii="Times New Roman" w:hAnsi="Times New Roman" w:eastAsia="Times New Roman" w:cs="Times New Roman"/>
        </w:rPr>
        <w:t>IVP</w:t>
      </w:r>
      <w:r>
        <w:rPr>
          <w:rFonts w:ascii="Times New Roman" w:hAnsi="Times New Roman" w:eastAsia="Times New Roman" w:cs="Times New Roman"/>
          <w:spacing w:val="3"/>
        </w:rPr>
        <w:t>)   </w:t>
      </w:r>
      <w:r>
        <w:rPr>
          <w:spacing w:val="3"/>
        </w:rPr>
        <w:t>是“金标准”。近年来，非增强的螺旋</w:t>
      </w:r>
      <w:r>
        <w:rPr>
          <w:rFonts w:ascii="Times New Roman" w:hAnsi="Times New Roman" w:eastAsia="Times New Roman" w:cs="Times New Roman"/>
        </w:rPr>
        <w:t>CT</w:t>
      </w:r>
      <w:r>
        <w:rPr>
          <w:spacing w:val="3"/>
        </w:rPr>
        <w:t>检</w:t>
      </w:r>
      <w:r>
        <w:rPr/>
        <w:t xml:space="preserve"> </w:t>
      </w:r>
      <w:r>
        <w:rPr>
          <w:spacing w:val="5"/>
        </w:rPr>
        <w:t>查因为其快速而且无需造影剂的优点而成为另一选择[1,</w:t>
      </w:r>
      <w:r>
        <w:rPr>
          <w:spacing w:val="4"/>
        </w:rPr>
        <w:t>2,3]。在随机的前瞻性研究中，对于急性腰肋</w:t>
      </w:r>
      <w:r>
        <w:rPr/>
        <w:t xml:space="preserve"> </w:t>
      </w:r>
      <w:r>
        <w:rPr>
          <w:spacing w:val="3"/>
        </w:rPr>
        <w:t>部疼痛的患者非增强的螺旋</w:t>
      </w:r>
      <w:r>
        <w:rPr>
          <w:rFonts w:ascii="Times New Roman" w:hAnsi="Times New Roman" w:eastAsia="Times New Roman" w:cs="Times New Roman"/>
        </w:rPr>
        <w:t>CT</w:t>
      </w:r>
      <w:r>
        <w:rPr>
          <w:spacing w:val="3"/>
        </w:rPr>
        <w:t>诊断的特异性和敏感性与排泄性尿路造影相似[4,5-9]。在某些病例中，</w:t>
      </w:r>
      <w:r>
        <w:rPr/>
        <w:t xml:space="preserve"> </w:t>
      </w:r>
      <w:r>
        <w:rPr>
          <w:spacing w:val="4"/>
        </w:rPr>
        <w:t>增强</w:t>
      </w:r>
      <w:r>
        <w:rPr>
          <w:rFonts w:ascii="Times New Roman" w:hAnsi="Times New Roman" w:eastAsia="Times New Roman" w:cs="Times New Roman"/>
        </w:rPr>
        <w:t>CT</w:t>
      </w:r>
      <w:r>
        <w:rPr>
          <w:spacing w:val="4"/>
        </w:rPr>
        <w:t>检查可获取肾脏功能的有关信息。</w:t>
      </w:r>
      <w:r>
        <w:rPr>
          <w:spacing w:val="-12"/>
        </w:rPr>
        <w:t xml:space="preserve"> </w:t>
      </w:r>
      <w:r>
        <w:rPr>
          <w:rFonts w:ascii="Times New Roman" w:hAnsi="Times New Roman" w:eastAsia="Times New Roman" w:cs="Times New Roman"/>
        </w:rPr>
        <w:t>CT</w:t>
      </w:r>
      <w:r>
        <w:rPr>
          <w:spacing w:val="4"/>
        </w:rPr>
        <w:t>的一个优势是可以显示在普通平片上可透</w:t>
      </w:r>
      <w:r>
        <w:rPr>
          <w:rFonts w:ascii="Times New Roman" w:hAnsi="Times New Roman" w:eastAsia="Times New Roman" w:cs="Times New Roman"/>
          <w:spacing w:val="4"/>
        </w:rPr>
        <w:t>X</w:t>
      </w:r>
      <w:r>
        <w:rPr>
          <w:spacing w:val="4"/>
        </w:rPr>
        <w:t>线的尿酸结石</w:t>
      </w:r>
      <w:r>
        <w:rPr/>
        <w:t xml:space="preserve"> </w:t>
      </w:r>
      <w:r>
        <w:rPr>
          <w:spacing w:val="3"/>
        </w:rPr>
        <w:t>和黄嘌呤结石。</w:t>
      </w:r>
      <w:r>
        <w:rPr>
          <w:rFonts w:ascii="Times New Roman" w:hAnsi="Times New Roman" w:eastAsia="Times New Roman" w:cs="Times New Roman"/>
        </w:rPr>
        <w:t>CT</w:t>
      </w:r>
      <w:r>
        <w:rPr>
          <w:spacing w:val="3"/>
        </w:rPr>
        <w:t>的另一个优势是可以同时进行鉴别诊断[7,10]。</w:t>
      </w:r>
      <w:r>
        <w:rPr>
          <w:spacing w:val="-25"/>
        </w:rPr>
        <w:t xml:space="preserve"> </w:t>
      </w:r>
      <w:r>
        <w:rPr>
          <w:rFonts w:ascii="Times New Roman" w:hAnsi="Times New Roman" w:eastAsia="Times New Roman" w:cs="Times New Roman"/>
        </w:rPr>
        <w:t>CT</w:t>
      </w:r>
      <w:r>
        <w:rPr>
          <w:spacing w:val="2"/>
        </w:rPr>
        <w:t>的检查虽然具有无须造影剂的优</w:t>
      </w:r>
      <w:r>
        <w:rPr/>
        <w:t xml:space="preserve"> </w:t>
      </w:r>
      <w:r>
        <w:rPr>
          <w:spacing w:val="-1"/>
        </w:rPr>
        <w:t>点，但检查中患者必须接受更大剂量的放射线[3,5,11]。</w:t>
      </w:r>
    </w:p>
    <w:p>
      <w:pPr>
        <w:pStyle w:val="BodyText"/>
        <w:ind w:left="389" w:right="78" w:firstLine="439"/>
        <w:spacing w:line="330" w:lineRule="auto"/>
        <w:rPr/>
      </w:pPr>
      <w:r>
        <w:rPr>
          <w:spacing w:val="5"/>
        </w:rPr>
        <w:t>腹部平片</w:t>
      </w:r>
      <w:r>
        <w:rPr>
          <w:rFonts w:ascii="Times New Roman" w:hAnsi="Times New Roman" w:eastAsia="Times New Roman" w:cs="Times New Roman"/>
          <w:spacing w:val="5"/>
        </w:rPr>
        <w:t>(</w:t>
      </w:r>
      <w:r>
        <w:rPr>
          <w:rFonts w:ascii="Times New Roman" w:hAnsi="Times New Roman" w:eastAsia="Times New Roman" w:cs="Times New Roman"/>
        </w:rPr>
        <w:t>KUB</w:t>
      </w:r>
      <w:r>
        <w:rPr>
          <w:rFonts w:ascii="Times New Roman" w:hAnsi="Times New Roman" w:eastAsia="Times New Roman" w:cs="Times New Roman"/>
          <w:spacing w:val="5"/>
        </w:rPr>
        <w:t>)</w:t>
      </w:r>
      <w:r>
        <w:rPr>
          <w:rFonts w:ascii="Times New Roman" w:hAnsi="Times New Roman" w:eastAsia="Times New Roman" w:cs="Times New Roman"/>
          <w:spacing w:val="16"/>
        </w:rPr>
        <w:t xml:space="preserve">   </w:t>
      </w:r>
      <w:r>
        <w:rPr>
          <w:spacing w:val="5"/>
        </w:rPr>
        <w:t>联用超声检查</w:t>
      </w:r>
      <w:r>
        <w:rPr>
          <w:spacing w:val="-55"/>
        </w:rPr>
        <w:t xml:space="preserve"> </w:t>
      </w:r>
      <w:r>
        <w:rPr>
          <w:rFonts w:ascii="Times New Roman" w:hAnsi="Times New Roman" w:eastAsia="Times New Roman" w:cs="Times New Roman"/>
          <w:spacing w:val="5"/>
        </w:rPr>
        <w:t>(</w:t>
      </w:r>
      <w:r>
        <w:rPr>
          <w:rFonts w:ascii="Times New Roman" w:hAnsi="Times New Roman" w:eastAsia="Times New Roman" w:cs="Times New Roman"/>
        </w:rPr>
        <w:t>US</w:t>
      </w:r>
      <w:r>
        <w:rPr>
          <w:rFonts w:ascii="Times New Roman" w:hAnsi="Times New Roman" w:eastAsia="Times New Roman" w:cs="Times New Roman"/>
          <w:spacing w:val="5"/>
        </w:rPr>
        <w:t>)   </w:t>
      </w:r>
      <w:r>
        <w:rPr>
          <w:spacing w:val="5"/>
        </w:rPr>
        <w:t>是诊断急性腰</w:t>
      </w:r>
      <w:r>
        <w:rPr>
          <w:spacing w:val="4"/>
        </w:rPr>
        <w:t>肋部疼痛患者的另一常用检查。大量的临床实</w:t>
      </w:r>
      <w:r>
        <w:rPr/>
        <w:t xml:space="preserve"> </w:t>
      </w:r>
      <w:r>
        <w:rPr>
          <w:spacing w:val="-1"/>
        </w:rPr>
        <w:t>践显示</w:t>
      </w:r>
      <w:r>
        <w:rPr>
          <w:rFonts w:ascii="Times New Roman" w:hAnsi="Times New Roman" w:eastAsia="Times New Roman" w:cs="Times New Roman"/>
          <w:spacing w:val="-1"/>
        </w:rPr>
        <w:t>KUB+US</w:t>
      </w:r>
      <w:r>
        <w:rPr>
          <w:spacing w:val="-1"/>
        </w:rPr>
        <w:t>足以诊断绝大多数输尿管结石患者。</w:t>
      </w:r>
    </w:p>
    <w:p>
      <w:pPr>
        <w:pStyle w:val="BodyText"/>
        <w:ind w:left="829"/>
        <w:spacing w:before="3" w:line="219" w:lineRule="auto"/>
        <w:rPr/>
      </w:pPr>
      <w:r>
        <w:rPr>
          <w:spacing w:val="8"/>
        </w:rPr>
        <w:t>某些病例需要特殊的检查如逆性肾盂造影、(经皮)顺行肾盂造影和放射性核素扫描。</w:t>
      </w:r>
    </w:p>
    <w:p>
      <w:pPr>
        <w:ind w:left="2662"/>
        <w:spacing w:before="166" w:line="221" w:lineRule="auto"/>
        <w:rPr>
          <w:rFonts w:ascii="SimHei" w:hAnsi="SimHei" w:eastAsia="SimHei" w:cs="SimHei"/>
          <w:sz w:val="21"/>
          <w:szCs w:val="21"/>
        </w:rPr>
      </w:pPr>
      <w:r>
        <w:rPr>
          <w:rFonts w:ascii="SimHei" w:hAnsi="SimHei" w:eastAsia="SimHei" w:cs="SimHei"/>
          <w:sz w:val="21"/>
          <w:szCs w:val="21"/>
          <w:b/>
          <w:bCs/>
          <w:spacing w:val="-12"/>
        </w:rPr>
        <w:t>表</w:t>
      </w:r>
      <w:r>
        <w:rPr>
          <w:rFonts w:ascii="SimHei" w:hAnsi="SimHei" w:eastAsia="SimHei" w:cs="SimHei"/>
          <w:sz w:val="21"/>
          <w:szCs w:val="21"/>
          <w:spacing w:val="-20"/>
        </w:rPr>
        <w:t xml:space="preserve"> </w:t>
      </w:r>
      <w:r>
        <w:rPr>
          <w:rFonts w:ascii="SimHei" w:hAnsi="SimHei" w:eastAsia="SimHei" w:cs="SimHei"/>
          <w:sz w:val="21"/>
          <w:szCs w:val="21"/>
          <w:b/>
          <w:bCs/>
          <w:spacing w:val="-12"/>
        </w:rPr>
        <w:t>5</w:t>
      </w:r>
      <w:r>
        <w:rPr>
          <w:rFonts w:ascii="SimHei" w:hAnsi="SimHei" w:eastAsia="SimHei" w:cs="SimHei"/>
          <w:sz w:val="21"/>
          <w:szCs w:val="21"/>
          <w:spacing w:val="69"/>
        </w:rPr>
        <w:t xml:space="preserve"> </w:t>
      </w:r>
      <w:r>
        <w:rPr>
          <w:rFonts w:ascii="SimHei" w:hAnsi="SimHei" w:eastAsia="SimHei" w:cs="SimHei"/>
          <w:sz w:val="21"/>
          <w:szCs w:val="21"/>
          <w:b/>
          <w:bCs/>
          <w:spacing w:val="-12"/>
        </w:rPr>
        <w:t>用于急性腰助部疼痛患者诊断的影像学检查方式</w:t>
      </w:r>
      <w:r>
        <w:rPr>
          <w:rFonts w:ascii="SimHei" w:hAnsi="SimHei" w:eastAsia="SimHei" w:cs="SimHei"/>
          <w:sz w:val="21"/>
          <w:szCs w:val="21"/>
          <w:spacing w:val="-12"/>
        </w:rPr>
        <w:t xml:space="preserve"> </w:t>
      </w:r>
      <w:r>
        <w:rPr>
          <w:rFonts w:ascii="SimHei" w:hAnsi="SimHei" w:eastAsia="SimHei" w:cs="SimHei"/>
          <w:sz w:val="21"/>
          <w:szCs w:val="21"/>
          <w:b/>
          <w:bCs/>
          <w:spacing w:val="-12"/>
        </w:rPr>
        <w:t>·</w:t>
      </w:r>
    </w:p>
    <w:p>
      <w:pPr>
        <w:spacing w:before="4"/>
        <w:rPr/>
      </w:pPr>
      <w:r/>
    </w:p>
    <w:p>
      <w:pPr>
        <w:spacing w:before="3"/>
        <w:rPr/>
      </w:pPr>
      <w:r/>
    </w:p>
    <w:tbl>
      <w:tblPr>
        <w:tblStyle w:val="TableNormal"/>
        <w:tblW w:w="7839" w:type="dxa"/>
        <w:tblInd w:w="95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18"/>
        <w:gridCol w:w="1268"/>
        <w:gridCol w:w="1714"/>
        <w:gridCol w:w="2939"/>
      </w:tblGrid>
      <w:tr>
        <w:trPr>
          <w:trHeight w:val="363" w:hRule="atLeast"/>
        </w:trPr>
        <w:tc>
          <w:tcPr>
            <w:tcW w:w="1918" w:type="dxa"/>
            <w:vAlign w:val="top"/>
            <w:tcBorders>
              <w:bottom w:val="single" w:color="000000" w:sz="4" w:space="0"/>
              <w:top w:val="single" w:color="000000" w:sz="4" w:space="0"/>
            </w:tcBorders>
          </w:tcPr>
          <w:p>
            <w:pPr>
              <w:pStyle w:val="TableText"/>
              <w:ind w:left="103"/>
              <w:spacing w:before="61" w:line="215" w:lineRule="auto"/>
              <w:rPr>
                <w:sz w:val="25"/>
                <w:szCs w:val="25"/>
              </w:rPr>
            </w:pPr>
            <w:r>
              <w:rPr>
                <w:sz w:val="25"/>
                <w:szCs w:val="25"/>
                <w:b/>
                <w:bCs/>
                <w:spacing w:val="-6"/>
              </w:rPr>
              <w:t>检查</w:t>
            </w:r>
          </w:p>
        </w:tc>
        <w:tc>
          <w:tcPr>
            <w:tcW w:w="1268" w:type="dxa"/>
            <w:vAlign w:val="top"/>
            <w:tcBorders>
              <w:bottom w:val="single" w:color="000000" w:sz="4" w:space="0"/>
              <w:top w:val="single" w:color="000000" w:sz="4" w:space="0"/>
            </w:tcBorders>
          </w:tcPr>
          <w:p>
            <w:pPr>
              <w:pStyle w:val="TableText"/>
              <w:ind w:left="85"/>
              <w:spacing w:before="101" w:line="186" w:lineRule="auto"/>
              <w:rPr>
                <w:sz w:val="25"/>
                <w:szCs w:val="25"/>
              </w:rPr>
            </w:pPr>
            <w:r>
              <w:rPr>
                <w:sz w:val="25"/>
                <w:szCs w:val="25"/>
                <w:b/>
                <w:bCs/>
                <w:spacing w:val="-4"/>
              </w:rPr>
              <w:t>GR和或LE</w:t>
            </w:r>
          </w:p>
        </w:tc>
        <w:tc>
          <w:tcPr>
            <w:tcW w:w="1714" w:type="dxa"/>
            <w:vAlign w:val="top"/>
            <w:tcBorders>
              <w:bottom w:val="single" w:color="000000" w:sz="4" w:space="0"/>
              <w:top w:val="single" w:color="000000" w:sz="4" w:space="0"/>
            </w:tcBorders>
          </w:tcPr>
          <w:p>
            <w:pPr>
              <w:pStyle w:val="TableText"/>
              <w:ind w:left="197"/>
              <w:spacing w:before="101" w:line="186" w:lineRule="auto"/>
              <w:rPr>
                <w:sz w:val="25"/>
                <w:szCs w:val="25"/>
              </w:rPr>
            </w:pPr>
            <w:r>
              <w:rPr>
                <w:sz w:val="25"/>
                <w:szCs w:val="25"/>
                <w:b/>
                <w:bCs/>
                <w:spacing w:val="-5"/>
              </w:rPr>
              <w:t>参考文献</w:t>
            </w:r>
          </w:p>
        </w:tc>
        <w:tc>
          <w:tcPr>
            <w:tcW w:w="2939" w:type="dxa"/>
            <w:vAlign w:val="top"/>
            <w:tcBorders>
              <w:bottom w:val="single" w:color="000000" w:sz="4" w:space="0"/>
              <w:top w:val="single" w:color="000000" w:sz="4" w:space="0"/>
            </w:tcBorders>
          </w:tcPr>
          <w:p>
            <w:pPr>
              <w:pStyle w:val="TableText"/>
              <w:ind w:left="539"/>
              <w:spacing w:before="64" w:line="213" w:lineRule="auto"/>
              <w:rPr>
                <w:sz w:val="25"/>
                <w:szCs w:val="25"/>
              </w:rPr>
            </w:pPr>
            <w:r>
              <w:rPr>
                <w:sz w:val="25"/>
                <w:szCs w:val="25"/>
                <w:spacing w:val="6"/>
              </w:rPr>
              <w:t>参见</w:t>
            </w:r>
          </w:p>
        </w:tc>
      </w:tr>
      <w:tr>
        <w:trPr>
          <w:trHeight w:val="875" w:hRule="atLeast"/>
        </w:trPr>
        <w:tc>
          <w:tcPr>
            <w:tcW w:w="1918" w:type="dxa"/>
            <w:vAlign w:val="top"/>
            <w:tcBorders>
              <w:bottom w:val="single" w:color="000000" w:sz="4" w:space="0"/>
              <w:top w:val="single" w:color="000000" w:sz="4" w:space="0"/>
            </w:tcBorders>
          </w:tcPr>
          <w:p>
            <w:pPr>
              <w:pStyle w:val="TableText"/>
              <w:ind w:left="109"/>
              <w:spacing w:before="49" w:line="179" w:lineRule="auto"/>
              <w:rPr>
                <w:sz w:val="25"/>
                <w:szCs w:val="25"/>
              </w:rPr>
            </w:pPr>
            <w:r>
              <w:rPr>
                <w:sz w:val="25"/>
                <w:szCs w:val="25"/>
                <w:spacing w:val="-1"/>
              </w:rPr>
              <w:t>KTJE+US</w:t>
            </w:r>
          </w:p>
          <w:p>
            <w:pPr>
              <w:pStyle w:val="TableText"/>
              <w:ind w:left="109" w:right="30" w:firstLine="10"/>
              <w:spacing w:before="1" w:line="211" w:lineRule="auto"/>
              <w:rPr>
                <w:sz w:val="25"/>
                <w:szCs w:val="25"/>
              </w:rPr>
            </w:pPr>
            <w:r>
              <w:rPr>
                <w:sz w:val="25"/>
                <w:szCs w:val="25"/>
                <w:spacing w:val="2"/>
              </w:rPr>
              <w:t>排泄性尿路造影 </w:t>
            </w:r>
            <w:r>
              <w:rPr>
                <w:sz w:val="25"/>
                <w:szCs w:val="25"/>
                <w:spacing w:val="1"/>
              </w:rPr>
              <w:t>非增强的螺旋</w:t>
            </w:r>
            <w:r>
              <w:rPr>
                <w:sz w:val="25"/>
                <w:szCs w:val="25"/>
              </w:rPr>
              <w:t>CT</w:t>
            </w:r>
          </w:p>
        </w:tc>
        <w:tc>
          <w:tcPr>
            <w:tcW w:w="1268" w:type="dxa"/>
            <w:vAlign w:val="top"/>
            <w:tcBorders>
              <w:bottom w:val="single" w:color="000000" w:sz="4" w:space="0"/>
              <w:top w:val="single" w:color="000000" w:sz="4" w:space="0"/>
            </w:tcBorders>
          </w:tcPr>
          <w:p>
            <w:pPr>
              <w:pStyle w:val="TableText"/>
              <w:ind w:left="113" w:right="440" w:hanging="72"/>
              <w:spacing w:before="18" w:line="211" w:lineRule="auto"/>
              <w:rPr>
                <w:sz w:val="25"/>
                <w:szCs w:val="25"/>
              </w:rPr>
            </w:pPr>
            <w:r>
              <w:rPr>
                <w:sz w:val="25"/>
                <w:szCs w:val="25"/>
                <w:spacing w:val="-20"/>
              </w:rPr>
              <w:t>B/2a</w:t>
            </w:r>
            <w:r>
              <w:rPr>
                <w:sz w:val="25"/>
                <w:szCs w:val="25"/>
                <w:spacing w:val="-30"/>
              </w:rPr>
              <w:t xml:space="preserve"> </w:t>
            </w:r>
            <w:r>
              <w:rPr>
                <w:sz w:val="25"/>
                <w:szCs w:val="25"/>
                <w:spacing w:val="-20"/>
              </w:rPr>
              <w:t>·</w:t>
            </w:r>
            <w:r>
              <w:rPr>
                <w:sz w:val="25"/>
                <w:szCs w:val="25"/>
              </w:rPr>
              <w:t xml:space="preserve"> </w:t>
            </w:r>
            <w:r>
              <w:rPr>
                <w:sz w:val="25"/>
                <w:szCs w:val="25"/>
                <w:spacing w:val="-13"/>
              </w:rPr>
              <w:t>标准。</w:t>
            </w:r>
          </w:p>
          <w:p>
            <w:pPr>
              <w:pStyle w:val="TableText"/>
              <w:ind w:left="48"/>
              <w:spacing w:before="13" w:line="193" w:lineRule="auto"/>
              <w:rPr>
                <w:sz w:val="25"/>
                <w:szCs w:val="25"/>
              </w:rPr>
            </w:pPr>
            <w:r>
              <w:rPr>
                <w:sz w:val="25"/>
                <w:szCs w:val="25"/>
                <w:spacing w:val="-22"/>
              </w:rPr>
              <w:t>·A/1</w:t>
            </w:r>
          </w:p>
        </w:tc>
        <w:tc>
          <w:tcPr>
            <w:tcW w:w="1714" w:type="dxa"/>
            <w:vAlign w:val="top"/>
            <w:tcBorders>
              <w:bottom w:val="single" w:color="000000" w:sz="4" w:space="0"/>
              <w:top w:val="single" w:color="000000" w:sz="4" w:space="0"/>
            </w:tcBorders>
          </w:tcPr>
          <w:p>
            <w:pPr>
              <w:pStyle w:val="TableText"/>
              <w:ind w:left="434"/>
              <w:spacing w:before="36"/>
              <w:rPr>
                <w:sz w:val="25"/>
                <w:szCs w:val="25"/>
              </w:rPr>
            </w:pPr>
            <w:r>
              <w:rPr>
                <w:sz w:val="25"/>
                <w:szCs w:val="25"/>
              </w:rPr>
              <w:t>6</w:t>
            </w:r>
          </w:p>
          <w:p>
            <w:pPr>
              <w:pStyle w:val="TableText"/>
              <w:ind w:left="464"/>
              <w:spacing w:before="285" w:line="161" w:lineRule="auto"/>
              <w:rPr>
                <w:sz w:val="25"/>
                <w:szCs w:val="25"/>
              </w:rPr>
            </w:pPr>
            <w:r>
              <w:rPr>
                <w:sz w:val="25"/>
                <w:szCs w:val="25"/>
                <w:spacing w:val="-6"/>
              </w:rPr>
              <w:t>1-10.</w:t>
            </w:r>
          </w:p>
        </w:tc>
        <w:tc>
          <w:tcPr>
            <w:tcW w:w="2939" w:type="dxa"/>
            <w:vAlign w:val="top"/>
            <w:tcBorders>
              <w:bottom w:val="single" w:color="000000" w:sz="4" w:space="0"/>
              <w:top w:val="single" w:color="000000" w:sz="4" w:space="0"/>
            </w:tcBorders>
          </w:tcPr>
          <w:p>
            <w:pPr>
              <w:pStyle w:val="TableText"/>
              <w:ind w:left="539"/>
              <w:spacing w:before="36" w:line="207" w:lineRule="auto"/>
              <w:rPr>
                <w:sz w:val="25"/>
                <w:szCs w:val="25"/>
              </w:rPr>
            </w:pPr>
            <w:r>
              <w:rPr>
                <w:sz w:val="25"/>
                <w:szCs w:val="25"/>
                <w:spacing w:val="-4"/>
              </w:rPr>
              <w:t>31</w:t>
            </w:r>
          </w:p>
          <w:p>
            <w:pPr>
              <w:pStyle w:val="TableText"/>
              <w:ind w:left="539"/>
              <w:spacing w:before="1" w:line="228" w:lineRule="auto"/>
              <w:rPr>
                <w:sz w:val="25"/>
                <w:szCs w:val="25"/>
              </w:rPr>
            </w:pPr>
            <w:r>
              <w:rPr>
                <w:sz w:val="25"/>
                <w:szCs w:val="25"/>
                <w:spacing w:val="-4"/>
              </w:rPr>
              <w:t>3.1</w:t>
            </w:r>
          </w:p>
          <w:p>
            <w:pPr>
              <w:pStyle w:val="TableText"/>
              <w:ind w:left="539"/>
              <w:spacing w:line="175" w:lineRule="auto"/>
              <w:rPr>
                <w:sz w:val="25"/>
                <w:szCs w:val="25"/>
              </w:rPr>
            </w:pPr>
            <w:r>
              <w:rPr>
                <w:sz w:val="25"/>
                <w:szCs w:val="25"/>
                <w:spacing w:val="-4"/>
              </w:rPr>
              <w:t>3.1</w:t>
            </w:r>
          </w:p>
        </w:tc>
      </w:tr>
      <w:tr>
        <w:trPr>
          <w:trHeight w:val="642" w:hRule="atLeast"/>
        </w:trPr>
        <w:tc>
          <w:tcPr>
            <w:tcW w:w="7839" w:type="dxa"/>
            <w:vAlign w:val="top"/>
            <w:gridSpan w:val="4"/>
            <w:tcBorders>
              <w:bottom w:val="single" w:color="000000" w:sz="4" w:space="0"/>
              <w:top w:val="single" w:color="000000" w:sz="4" w:space="0"/>
            </w:tcBorders>
          </w:tcPr>
          <w:p>
            <w:pPr>
              <w:pStyle w:val="TableText"/>
              <w:ind w:left="129"/>
              <w:spacing w:before="55" w:line="213" w:lineRule="auto"/>
              <w:rPr>
                <w:sz w:val="25"/>
                <w:szCs w:val="25"/>
              </w:rPr>
            </w:pPr>
            <w:r>
              <w:rPr>
                <w:sz w:val="25"/>
                <w:szCs w:val="25"/>
                <w:spacing w:val="-4"/>
              </w:rPr>
              <w:t>GR=推荐的等级：LE=证据的级别：C7=计算</w:t>
            </w:r>
            <w:r>
              <w:rPr>
                <w:sz w:val="25"/>
                <w:szCs w:val="25"/>
                <w:spacing w:val="-5"/>
              </w:rPr>
              <w:t>机断层归捞：KUB=腹部平片：</w:t>
            </w:r>
            <w:r>
              <w:rPr>
                <w:sz w:val="25"/>
                <w:szCs w:val="25"/>
              </w:rPr>
              <w:t xml:space="preserve"> </w:t>
            </w:r>
            <w:r>
              <w:rPr>
                <w:sz w:val="25"/>
                <w:szCs w:val="25"/>
              </w:rPr>
              <w:t>US</w:t>
            </w:r>
            <w:r>
              <w:rPr>
                <w:sz w:val="25"/>
                <w:szCs w:val="25"/>
                <w:spacing w:val="3"/>
              </w:rPr>
              <w:t>=超声</w:t>
            </w:r>
          </w:p>
        </w:tc>
      </w:tr>
    </w:tbl>
    <w:p>
      <w:pPr>
        <w:pStyle w:val="BodyText"/>
        <w:ind w:left="489" w:firstLine="339"/>
        <w:spacing w:before="283" w:line="299" w:lineRule="auto"/>
        <w:jc w:val="both"/>
        <w:rPr/>
      </w:pPr>
      <w:r>
        <w:rPr>
          <w:spacing w:val="3"/>
        </w:rPr>
        <w:t>虽然血管内注射造影剂通常是放射科医生的责任，但偶尔也作为体外震波碎石中结石定位的辅</w:t>
      </w:r>
      <w:r>
        <w:rPr>
          <w:spacing w:val="2"/>
        </w:rPr>
        <w:t>助检</w:t>
      </w:r>
      <w:r>
        <w:rPr/>
        <w:t xml:space="preserve"> </w:t>
      </w:r>
      <w:r>
        <w:rPr>
          <w:spacing w:val="8"/>
        </w:rPr>
        <w:t>查方法，许多泌尿外科医生也要对结石患者的放射性检查负责。因此</w:t>
      </w:r>
      <w:r>
        <w:rPr>
          <w:spacing w:val="7"/>
        </w:rPr>
        <w:t>，泌尿外科医生必须对使用造影</w:t>
      </w:r>
      <w:r>
        <w:rPr/>
        <w:t xml:space="preserve"> </w:t>
      </w:r>
      <w:r>
        <w:rPr>
          <w:spacing w:val="2"/>
        </w:rPr>
        <w:t>剂的相关风险和必要的预防措施有基本的认识。</w:t>
      </w:r>
    </w:p>
    <w:p>
      <w:pPr>
        <w:pStyle w:val="BodyText"/>
        <w:ind w:left="829"/>
        <w:spacing w:line="218" w:lineRule="auto"/>
        <w:rPr/>
      </w:pPr>
      <w:r>
        <w:rPr>
          <w:spacing w:val="-1"/>
        </w:rPr>
        <w:t>3.1.1造影剂过敏</w:t>
      </w:r>
    </w:p>
    <w:p>
      <w:pPr>
        <w:pStyle w:val="BodyText"/>
        <w:ind w:left="829" w:right="177"/>
        <w:spacing w:before="69" w:line="290" w:lineRule="auto"/>
        <w:rPr/>
      </w:pPr>
      <w:r>
        <w:rPr>
          <w:spacing w:val="-1"/>
        </w:rPr>
        <w:t>如果需要给有过敏史的患者(表7)或有过敏风险的患</w:t>
      </w:r>
      <w:r>
        <w:rPr>
          <w:spacing w:val="-2"/>
        </w:rPr>
        <w:t>者注射造影剂，必须采取下列预防措施[12,13]:</w:t>
      </w:r>
      <w:r>
        <w:rPr/>
        <w:t xml:space="preserve"> </w:t>
      </w:r>
      <w:r>
        <w:rPr>
          <w:spacing w:val="2"/>
        </w:rPr>
        <w:t>使用低分子量、非离子型造影剂。</w:t>
      </w:r>
    </w:p>
    <w:p>
      <w:pPr>
        <w:pStyle w:val="BodyText"/>
        <w:ind w:left="829"/>
        <w:spacing w:line="212" w:lineRule="auto"/>
        <w:rPr/>
      </w:pPr>
      <w:r>
        <w:rPr>
          <w:spacing w:val="6"/>
        </w:rPr>
        <w:t>注射造影剂前12</w:t>
      </w:r>
      <w:r>
        <w:rPr>
          <w:rFonts w:ascii="Times New Roman" w:hAnsi="Times New Roman" w:eastAsia="Times New Roman" w:cs="Times New Roman"/>
          <w:spacing w:val="6"/>
        </w:rPr>
        <w:t>h</w:t>
      </w:r>
      <w:r>
        <w:rPr>
          <w:spacing w:val="6"/>
        </w:rPr>
        <w:t>到2</w:t>
      </w:r>
      <w:r>
        <w:rPr>
          <w:rFonts w:ascii="Times New Roman" w:hAnsi="Times New Roman" w:eastAsia="Times New Roman" w:cs="Times New Roman"/>
          <w:spacing w:val="6"/>
        </w:rPr>
        <w:t>h</w:t>
      </w:r>
      <w:r>
        <w:rPr>
          <w:spacing w:val="6"/>
        </w:rPr>
        <w:t>给一次皮质醇激素(如强的松龙30</w:t>
      </w:r>
      <w:r>
        <w:rPr>
          <w:rFonts w:ascii="Times New Roman" w:hAnsi="Times New Roman" w:eastAsia="Times New Roman" w:cs="Times New Roman"/>
        </w:rPr>
        <w:t>mg</w:t>
      </w:r>
      <w:r>
        <w:rPr>
          <w:rFonts w:ascii="Times New Roman" w:hAnsi="Times New Roman" w:eastAsia="Times New Roman" w:cs="Times New Roman"/>
          <w:spacing w:val="6"/>
        </w:rPr>
        <w:t>)</w:t>
      </w:r>
      <w:r>
        <w:rPr>
          <w:spacing w:val="6"/>
        </w:rPr>
        <w:t>。</w:t>
      </w:r>
    </w:p>
    <w:p>
      <w:pPr>
        <w:pStyle w:val="BodyText"/>
        <w:ind w:left="829"/>
        <w:spacing w:before="119" w:line="212" w:lineRule="auto"/>
        <w:rPr>
          <w:rFonts w:ascii="Times New Roman" w:hAnsi="Times New Roman" w:eastAsia="Times New Roman" w:cs="Times New Roman"/>
        </w:rPr>
      </w:pPr>
      <w:r>
        <w:rPr>
          <w:spacing w:val="6"/>
        </w:rPr>
        <w:t>注射造影剂前1</w:t>
      </w:r>
      <w:r>
        <w:rPr>
          <w:rFonts w:ascii="Times New Roman" w:hAnsi="Times New Roman" w:eastAsia="Times New Roman" w:cs="Times New Roman"/>
          <w:spacing w:val="6"/>
        </w:rPr>
        <w:t>h</w:t>
      </w:r>
      <w:r>
        <w:rPr>
          <w:spacing w:val="6"/>
        </w:rPr>
        <w:t>肌肉注射一次抗组胺药物(如氯马斯汀2</w:t>
      </w:r>
      <w:r>
        <w:rPr>
          <w:rFonts w:ascii="Times New Roman" w:hAnsi="Times New Roman" w:eastAsia="Times New Roman" w:cs="Times New Roman"/>
        </w:rPr>
        <w:t>mg</w:t>
      </w:r>
      <w:r>
        <w:rPr>
          <w:rFonts w:ascii="Times New Roman" w:hAnsi="Times New Roman" w:eastAsia="Times New Roman" w:cs="Times New Roman"/>
          <w:spacing w:val="6"/>
        </w:rPr>
        <w:t>)</w:t>
      </w:r>
    </w:p>
    <w:p>
      <w:pPr>
        <w:ind w:left="4999"/>
        <w:spacing w:before="276"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rPr>
        <w:t>—183—</w:t>
      </w:r>
    </w:p>
    <w:p>
      <w:pPr>
        <w:spacing w:line="409" w:lineRule="auto"/>
        <w:rPr>
          <w:rFonts w:ascii="Arial"/>
          <w:sz w:val="21"/>
        </w:rPr>
      </w:pPr>
      <w:r/>
    </w:p>
    <w:p>
      <w:pPr>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4">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pgSz w:w="11850" w:h="16140"/>
          <w:pgMar w:top="400" w:right="1400" w:bottom="0" w:left="380" w:header="0" w:footer="0" w:gutter="0"/>
        </w:sectPr>
        <w:rPr>
          <w:rFonts w:ascii="Times New Roman" w:hAnsi="Times New Roman" w:eastAsia="Times New Roman" w:cs="Times New Roman"/>
          <w:sz w:val="21"/>
          <w:szCs w:val="21"/>
        </w:rPr>
      </w:pPr>
    </w:p>
    <w:p>
      <w:pPr>
        <w:pStyle w:val="BodyText"/>
        <w:ind w:left="380"/>
        <w:spacing w:before="172" w:line="221" w:lineRule="auto"/>
        <w:rPr/>
      </w:pPr>
      <w:r>
        <w:rPr>
          <w:spacing w:val="-4"/>
        </w:rPr>
        <w:t>3.1.2二甲双胍</w:t>
      </w:r>
    </w:p>
    <w:p>
      <w:pPr>
        <w:pStyle w:val="BodyText"/>
        <w:ind w:left="380" w:right="8" w:firstLine="509"/>
        <w:spacing w:before="25" w:line="270" w:lineRule="auto"/>
        <w:jc w:val="both"/>
        <w:rPr/>
      </w:pPr>
      <w:r>
        <w:rPr>
          <w:spacing w:val="3"/>
        </w:rPr>
        <w:t>造影剂诱发的无尿患者服用二甲双胍(治疗I</w:t>
      </w:r>
      <w:r>
        <w:rPr>
          <w:spacing w:val="-19"/>
        </w:rPr>
        <w:t xml:space="preserve"> </w:t>
      </w:r>
      <w:r>
        <w:rPr>
          <w:spacing w:val="3"/>
        </w:rPr>
        <w:t>型糖尿病的药物)可能导致乳酸性酸中毒[14-16]。这</w:t>
      </w:r>
      <w:r>
        <w:rPr/>
        <w:t xml:space="preserve"> </w:t>
      </w:r>
      <w:r>
        <w:rPr>
          <w:spacing w:val="6"/>
        </w:rPr>
        <w:t>是由于二甲双胍在体内的滞留而引起的一种罕见的并发症。乳酸性酸中毒的死亡率非常高，因此，正</w:t>
      </w:r>
      <w:r>
        <w:rPr>
          <w:spacing w:val="17"/>
        </w:rPr>
        <w:t xml:space="preserve"> </w:t>
      </w:r>
      <w:r>
        <w:rPr>
          <w:spacing w:val="7"/>
        </w:rPr>
        <w:t>在服用二甲双胍的患者尤其是伴有肾功能不全(即</w:t>
      </w:r>
      <w:r>
        <w:rPr>
          <w:spacing w:val="6"/>
        </w:rPr>
        <w:t>血清肌酐&gt;130μ</w:t>
      </w:r>
      <w:r>
        <w:rPr>
          <w:rFonts w:ascii="Times New Roman" w:hAnsi="Times New Roman" w:eastAsia="Times New Roman" w:cs="Times New Roman"/>
        </w:rPr>
        <w:t>mol</w:t>
      </w:r>
      <w:r>
        <w:rPr>
          <w:rFonts w:ascii="Times New Roman" w:hAnsi="Times New Roman" w:eastAsia="Times New Roman" w:cs="Times New Roman"/>
          <w:spacing w:val="6"/>
        </w:rPr>
        <w:t>/L)</w:t>
      </w:r>
      <w:r>
        <w:rPr>
          <w:rFonts w:ascii="Times New Roman" w:hAnsi="Times New Roman" w:eastAsia="Times New Roman" w:cs="Times New Roman"/>
          <w:spacing w:val="17"/>
        </w:rPr>
        <w:t xml:space="preserve">  </w:t>
      </w:r>
      <w:r>
        <w:rPr>
          <w:spacing w:val="6"/>
        </w:rPr>
        <w:t>的患者，注射造影剂要特别</w:t>
      </w:r>
      <w:r>
        <w:rPr/>
        <w:t xml:space="preserve"> </w:t>
      </w:r>
      <w:r>
        <w:rPr>
          <w:spacing w:val="-2"/>
        </w:rPr>
        <w:t>注意。</w:t>
      </w:r>
    </w:p>
    <w:p>
      <w:pPr>
        <w:pStyle w:val="BodyText"/>
        <w:ind w:left="380" w:firstLine="429"/>
        <w:spacing w:line="269" w:lineRule="auto"/>
        <w:rPr/>
      </w:pPr>
      <w:r>
        <w:rPr>
          <w:spacing w:val="2"/>
        </w:rPr>
        <w:t>按照欧洲泌尿生殖系放射学会的“推荐”[12,13],所有正在口服二甲双胍的糖尿病患者造影前都必</w:t>
      </w:r>
      <w:r>
        <w:rPr>
          <w:spacing w:val="11"/>
        </w:rPr>
        <w:t xml:space="preserve"> </w:t>
      </w:r>
      <w:r>
        <w:rPr>
          <w:spacing w:val="-1"/>
        </w:rPr>
        <w:t>须检测血清肌酐水平。</w:t>
      </w:r>
    </w:p>
    <w:p>
      <w:pPr>
        <w:pStyle w:val="BodyText"/>
        <w:ind w:left="380" w:right="7" w:firstLine="429"/>
        <w:spacing w:line="259" w:lineRule="auto"/>
        <w:rPr/>
      </w:pPr>
      <w:r>
        <w:rPr>
          <w:spacing w:val="2"/>
        </w:rPr>
        <w:t>正在二甲双胍治疗的患者如果血清肌酐正常，可以注射造影剂，但检查开始时须停服二甲双胍，检</w:t>
      </w:r>
      <w:r>
        <w:rPr>
          <w:spacing w:val="12"/>
        </w:rPr>
        <w:t xml:space="preserve"> </w:t>
      </w:r>
      <w:r>
        <w:rPr>
          <w:spacing w:val="1"/>
        </w:rPr>
        <w:t>查后48小时血清肌酐仍保持正常才可继续服药。</w:t>
      </w:r>
    </w:p>
    <w:p>
      <w:pPr>
        <w:pStyle w:val="BodyText"/>
        <w:ind w:left="380" w:right="9" w:firstLine="429"/>
        <w:spacing w:line="286" w:lineRule="auto"/>
        <w:rPr/>
      </w:pPr>
      <w:r>
        <w:rPr>
          <w:spacing w:val="2"/>
        </w:rPr>
        <w:t>对于伴有肾功能不全的患者，应该在停服二甲双胍48小时后注射造影剂。如检查后48小时血肌酐保</w:t>
      </w:r>
      <w:r>
        <w:rPr>
          <w:spacing w:val="6"/>
        </w:rPr>
        <w:t xml:space="preserve"> </w:t>
      </w:r>
      <w:r>
        <w:rPr>
          <w:spacing w:val="1"/>
        </w:rPr>
        <w:t>持在检查前水平，可继续服药。</w:t>
      </w:r>
    </w:p>
    <w:p>
      <w:pPr>
        <w:pStyle w:val="BodyText"/>
        <w:ind w:left="809"/>
        <w:spacing w:line="219" w:lineRule="auto"/>
        <w:rPr/>
      </w:pPr>
      <w:r>
        <w:rPr>
          <w:spacing w:val="1"/>
        </w:rPr>
        <w:t>如果肾功能未知，则应选择其它的影像学检查。</w:t>
      </w:r>
    </w:p>
    <w:p>
      <w:pPr>
        <w:pStyle w:val="BodyText"/>
        <w:ind w:left="380" w:right="4" w:firstLine="429"/>
        <w:spacing w:before="39" w:line="265" w:lineRule="auto"/>
        <w:rPr/>
      </w:pPr>
      <w:r>
        <w:rPr>
          <w:spacing w:val="2"/>
        </w:rPr>
        <w:t>如果肾功能未知或者肾功能不全且正在服用二甲双胍的患者已经注射了造影剂，应立即停服二甲双</w:t>
      </w:r>
      <w:r>
        <w:rPr>
          <w:spacing w:val="15"/>
        </w:rPr>
        <w:t xml:space="preserve"> </w:t>
      </w:r>
      <w:r>
        <w:rPr/>
        <w:t>胍，水化治疗使24小时内尿量≥100</w:t>
      </w:r>
      <w:r>
        <w:rPr>
          <w:rFonts w:ascii="Times New Roman" w:hAnsi="Times New Roman" w:eastAsia="Times New Roman" w:cs="Times New Roman"/>
        </w:rPr>
        <w:t>ml/h,</w:t>
      </w:r>
      <w:r>
        <w:rPr>
          <w:rFonts w:ascii="Times New Roman" w:hAnsi="Times New Roman" w:eastAsia="Times New Roman" w:cs="Times New Roman"/>
          <w:spacing w:val="52"/>
        </w:rPr>
        <w:t xml:space="preserve"> </w:t>
      </w:r>
      <w:r>
        <w:rPr/>
        <w:t>同时监测血肌酐、乳酸、血</w:t>
      </w:r>
      <w:r>
        <w:rPr>
          <w:rFonts w:ascii="Times New Roman" w:hAnsi="Times New Roman" w:eastAsia="Times New Roman" w:cs="Times New Roman"/>
        </w:rPr>
        <w:t>pH</w:t>
      </w:r>
      <w:r>
        <w:rPr/>
        <w:t>值。乳酸</w:t>
      </w:r>
      <w:r>
        <w:rPr>
          <w:spacing w:val="-1"/>
        </w:rPr>
        <w:t>性酸中毒表现为呕吐、</w:t>
      </w:r>
      <w:r>
        <w:rPr/>
        <w:t xml:space="preserve"> </w:t>
      </w:r>
      <w:r>
        <w:rPr>
          <w:spacing w:val="29"/>
        </w:rPr>
        <w:t>嗜睡、上腹痛、厌食、呼吸深快、腹泻及口渴，实验</w:t>
      </w:r>
      <w:r>
        <w:rPr>
          <w:spacing w:val="28"/>
        </w:rPr>
        <w:t>室检查血</w:t>
      </w:r>
      <w:r>
        <w:rPr>
          <w:rFonts w:ascii="Times New Roman" w:hAnsi="Times New Roman" w:eastAsia="Times New Roman" w:cs="Times New Roman"/>
        </w:rPr>
        <w:t>pH</w:t>
      </w:r>
      <w:r>
        <w:rPr>
          <w:rFonts w:ascii="Times New Roman" w:hAnsi="Times New Roman" w:eastAsia="Times New Roman" w:cs="Times New Roman"/>
          <w:spacing w:val="28"/>
        </w:rPr>
        <w:t xml:space="preserve"> </w:t>
      </w:r>
      <w:r>
        <w:rPr>
          <w:spacing w:val="28"/>
        </w:rPr>
        <w:t>值&lt;7</w:t>
      </w:r>
      <w:r>
        <w:rPr>
          <w:spacing w:val="-44"/>
        </w:rPr>
        <w:t xml:space="preserve"> </w:t>
      </w:r>
      <w:r>
        <w:rPr>
          <w:spacing w:val="28"/>
        </w:rPr>
        <w:t>.</w:t>
      </w:r>
      <w:r>
        <w:rPr>
          <w:spacing w:val="-48"/>
        </w:rPr>
        <w:t xml:space="preserve"> </w:t>
      </w:r>
      <w:r>
        <w:rPr>
          <w:spacing w:val="28"/>
        </w:rPr>
        <w:t>25,血清乳酸浓度&gt;</w:t>
      </w:r>
      <w:r>
        <w:rPr/>
        <w:t xml:space="preserve"> </w:t>
      </w:r>
      <w:r>
        <w:rPr>
          <w:rFonts w:ascii="Times New Roman" w:hAnsi="Times New Roman" w:eastAsia="Times New Roman" w:cs="Times New Roman"/>
          <w:spacing w:val="-1"/>
        </w:rPr>
        <w:t>5mmol/L[14,16]</w:t>
      </w:r>
      <w:r>
        <w:rPr>
          <w:spacing w:val="-1"/>
        </w:rPr>
        <w:t>。</w:t>
      </w:r>
    </w:p>
    <w:p>
      <w:pPr>
        <w:pStyle w:val="BodyText"/>
        <w:ind w:left="812"/>
        <w:spacing w:before="33" w:line="219" w:lineRule="auto"/>
        <w:outlineLvl w:val="4"/>
        <w:rPr/>
      </w:pPr>
      <w:r>
        <w:rPr>
          <w:b/>
          <w:bCs/>
          <w:spacing w:val="-4"/>
        </w:rPr>
        <w:t>3.1.3肾功能不全</w:t>
      </w:r>
    </w:p>
    <w:p>
      <w:pPr>
        <w:pStyle w:val="BodyText"/>
        <w:ind w:left="380" w:right="21" w:firstLine="429"/>
        <w:spacing w:before="62" w:line="270" w:lineRule="auto"/>
        <w:jc w:val="both"/>
        <w:rPr/>
      </w:pPr>
      <w:r>
        <w:rPr>
          <w:spacing w:val="2"/>
        </w:rPr>
        <w:t>静脉内注射造影剂可导致肾灌注减少，对肾小管上皮细胞有一定的毒性。肾小球入球小动脉收</w:t>
      </w:r>
      <w:r>
        <w:rPr>
          <w:spacing w:val="1"/>
        </w:rPr>
        <w:t>缩引</w:t>
      </w:r>
      <w:r>
        <w:rPr/>
        <w:t xml:space="preserve"> </w:t>
      </w:r>
      <w:r>
        <w:rPr/>
        <w:t>起</w:t>
      </w:r>
      <w:r>
        <w:rPr>
          <w:b/>
          <w:bCs/>
        </w:rPr>
        <w:t>肾小球滤过率</w:t>
      </w:r>
      <w:r>
        <w:rPr>
          <w:spacing w:val="-21"/>
        </w:rPr>
        <w:t xml:space="preserve"> </w:t>
      </w:r>
      <w:r>
        <w:rPr>
          <w:b/>
          <w:bCs/>
        </w:rPr>
        <w:t>(GFR)</w:t>
      </w:r>
      <w:r>
        <w:rPr>
          <w:spacing w:val="35"/>
        </w:rPr>
        <w:t xml:space="preserve">  </w:t>
      </w:r>
      <w:r>
        <w:rPr>
          <w:b/>
          <w:bCs/>
        </w:rPr>
        <w:t>下降，肾血管阻力增加。在静脉注射造影剂后三天内，血肌酐上升了25%或4</w:t>
      </w:r>
      <w:r>
        <w:rPr/>
        <w:t>4  </w:t>
      </w:r>
      <w:r>
        <w:rPr>
          <w:b/>
          <w:bCs/>
          <w:spacing w:val="-3"/>
        </w:rPr>
        <w:t>μmol/L,</w:t>
      </w:r>
      <w:r>
        <w:rPr>
          <w:spacing w:val="-3"/>
        </w:rPr>
        <w:t xml:space="preserve"> </w:t>
      </w:r>
      <w:r>
        <w:rPr>
          <w:b/>
          <w:bCs/>
          <w:spacing w:val="-3"/>
        </w:rPr>
        <w:t>找不到其他原因可以解释，可诊断为造</w:t>
      </w:r>
      <w:r>
        <w:rPr>
          <w:b/>
          <w:bCs/>
          <w:spacing w:val="-4"/>
        </w:rPr>
        <w:t>影剂的肾毒性。</w:t>
      </w:r>
    </w:p>
    <w:p>
      <w:pPr>
        <w:pStyle w:val="BodyText"/>
        <w:ind w:left="809"/>
        <w:spacing w:line="219" w:lineRule="auto"/>
        <w:rPr/>
      </w:pPr>
      <w:r>
        <w:rPr>
          <w:spacing w:val="2"/>
        </w:rPr>
        <w:t>发生肾功能不全的危险因素</w:t>
      </w:r>
    </w:p>
    <w:p>
      <w:pPr>
        <w:pStyle w:val="BodyText"/>
        <w:ind w:left="809"/>
        <w:spacing w:before="70" w:line="219" w:lineRule="auto"/>
        <w:rPr/>
      </w:pPr>
      <w:r>
        <w:rPr>
          <w:spacing w:val="1"/>
        </w:rPr>
        <w:t>在静脉内注射造影剂前必须留心以下的危险因素：</w:t>
      </w:r>
    </w:p>
    <w:p>
      <w:pPr>
        <w:pStyle w:val="BodyText"/>
        <w:ind w:left="809"/>
        <w:spacing w:before="52" w:line="219" w:lineRule="auto"/>
        <w:rPr/>
      </w:pPr>
      <w:r>
        <w:rPr>
          <w:spacing w:val="-2"/>
        </w:rPr>
        <w:t>血肌酐值高</w:t>
      </w:r>
    </w:p>
    <w:p>
      <w:pPr>
        <w:pStyle w:val="BodyText"/>
        <w:ind w:left="809"/>
        <w:spacing w:before="51" w:line="219" w:lineRule="auto"/>
        <w:rPr/>
      </w:pPr>
      <w:r>
        <w:rPr>
          <w:spacing w:val="9"/>
        </w:rPr>
        <w:t>脱水</w:t>
      </w:r>
    </w:p>
    <w:p>
      <w:pPr>
        <w:pStyle w:val="BodyText"/>
        <w:ind w:left="809"/>
        <w:spacing w:before="51" w:line="219" w:lineRule="auto"/>
        <w:rPr/>
      </w:pPr>
      <w:r>
        <w:rPr>
          <w:spacing w:val="4"/>
        </w:rPr>
        <w:t>年龄大于70岁</w:t>
      </w:r>
    </w:p>
    <w:p>
      <w:pPr>
        <w:pStyle w:val="BodyText"/>
        <w:ind w:left="809"/>
        <w:spacing w:before="51" w:line="220" w:lineRule="auto"/>
        <w:rPr/>
      </w:pPr>
      <w:r>
        <w:rPr>
          <w:spacing w:val="-2"/>
        </w:rPr>
        <w:t>糖尿病</w:t>
      </w:r>
    </w:p>
    <w:p>
      <w:pPr>
        <w:pStyle w:val="BodyText"/>
        <w:ind w:left="809"/>
        <w:spacing w:before="48" w:line="219" w:lineRule="auto"/>
        <w:rPr/>
      </w:pPr>
      <w:r>
        <w:rPr>
          <w:spacing w:val="1"/>
        </w:rPr>
        <w:t>充血性心力衰竭</w:t>
      </w:r>
    </w:p>
    <w:p>
      <w:pPr>
        <w:pStyle w:val="BodyText"/>
        <w:ind w:left="809" w:right="631"/>
        <w:spacing w:before="68" w:line="274" w:lineRule="auto"/>
        <w:rPr/>
      </w:pPr>
      <w:r>
        <w:rPr>
          <w:spacing w:val="8"/>
        </w:rPr>
        <w:t>同时服用肾毒性药物，如非甾体消炎药</w:t>
      </w:r>
      <w:r>
        <w:rPr>
          <w:rFonts w:ascii="Times New Roman" w:hAnsi="Times New Roman" w:eastAsia="Times New Roman" w:cs="Times New Roman"/>
          <w:spacing w:val="8"/>
        </w:rPr>
        <w:t>(</w:t>
      </w:r>
      <w:r>
        <w:rPr>
          <w:rFonts w:ascii="Times New Roman" w:hAnsi="Times New Roman" w:eastAsia="Times New Roman" w:cs="Times New Roman"/>
        </w:rPr>
        <w:t>NSAIDs</w:t>
      </w:r>
      <w:r>
        <w:rPr>
          <w:rFonts w:ascii="Times New Roman" w:hAnsi="Times New Roman" w:eastAsia="Times New Roman" w:cs="Times New Roman"/>
          <w:spacing w:val="8"/>
        </w:rPr>
        <w:t>)</w:t>
      </w:r>
      <w:r>
        <w:rPr>
          <w:rFonts w:ascii="Times New Roman" w:hAnsi="Times New Roman" w:eastAsia="Times New Roman" w:cs="Times New Roman"/>
          <w:spacing w:val="16"/>
        </w:rPr>
        <w:t xml:space="preserve">   </w:t>
      </w:r>
      <w:r>
        <w:rPr>
          <w:spacing w:val="8"/>
        </w:rPr>
        <w:t>和氨基糖苷类药(必须停</w:t>
      </w:r>
      <w:r>
        <w:rPr>
          <w:spacing w:val="7"/>
        </w:rPr>
        <w:t>服至少24小时)</w:t>
      </w:r>
      <w:r>
        <w:rPr/>
        <w:t xml:space="preserve"> </w:t>
      </w:r>
      <w:r>
        <w:rPr>
          <w:spacing w:val="2"/>
        </w:rPr>
        <w:t>伴有多发性骨髓瘤的患者最好采用其它方式检查，或在检查前充分水化。</w:t>
      </w:r>
    </w:p>
    <w:p>
      <w:pPr>
        <w:pStyle w:val="BodyText"/>
        <w:ind w:left="779"/>
        <w:spacing w:before="1" w:line="218" w:lineRule="auto"/>
        <w:rPr/>
      </w:pPr>
      <w:r>
        <w:rPr>
          <w:spacing w:val="2"/>
        </w:rPr>
        <w:t>避免在48~72小时内重复注射造影剂。</w:t>
      </w:r>
    </w:p>
    <w:p>
      <w:pPr>
        <w:pStyle w:val="BodyText"/>
        <w:ind w:left="809"/>
        <w:spacing w:before="51" w:line="219" w:lineRule="auto"/>
        <w:rPr/>
      </w:pPr>
      <w:r>
        <w:rPr>
          <w:spacing w:val="-2"/>
        </w:rPr>
        <w:t>碘的剂量</w:t>
      </w:r>
    </w:p>
    <w:p>
      <w:pPr>
        <w:pStyle w:val="BodyText"/>
        <w:ind w:left="809"/>
        <w:spacing w:before="112" w:line="219" w:lineRule="auto"/>
        <w:rPr/>
      </w:pPr>
      <w:r>
        <w:rPr>
          <w:spacing w:val="1"/>
        </w:rPr>
        <w:t>肾功能不全是指血肌酐≥140μ</w:t>
      </w:r>
      <w:r>
        <w:rPr>
          <w:rFonts w:ascii="Times New Roman" w:hAnsi="Times New Roman" w:eastAsia="Times New Roman" w:cs="Times New Roman"/>
        </w:rPr>
        <w:t>mol</w:t>
      </w:r>
      <w:r>
        <w:rPr>
          <w:rFonts w:ascii="Times New Roman" w:hAnsi="Times New Roman" w:eastAsia="Times New Roman" w:cs="Times New Roman"/>
          <w:spacing w:val="1"/>
        </w:rPr>
        <w:t>/L</w:t>
      </w:r>
      <w:r>
        <w:rPr>
          <w:spacing w:val="1"/>
        </w:rPr>
        <w:t>或者肾小球滤过率≤70</w:t>
      </w:r>
      <w:r>
        <w:rPr>
          <w:rFonts w:ascii="Times New Roman" w:hAnsi="Times New Roman" w:eastAsia="Times New Roman" w:cs="Times New Roman"/>
        </w:rPr>
        <w:t>ml/min</w:t>
      </w:r>
      <w:r>
        <w:rPr/>
        <w:t>。</w:t>
      </w:r>
    </w:p>
    <w:p>
      <w:pPr>
        <w:pStyle w:val="BodyText"/>
        <w:ind w:left="380" w:right="29" w:firstLine="429"/>
        <w:spacing w:before="55" w:line="271" w:lineRule="auto"/>
        <w:rPr/>
      </w:pPr>
      <w:r>
        <w:rPr>
          <w:spacing w:val="5"/>
        </w:rPr>
        <w:t>对于肾小球滤过率为80~120</w:t>
      </w:r>
      <w:r>
        <w:rPr>
          <w:rFonts w:ascii="Times New Roman" w:hAnsi="Times New Roman" w:eastAsia="Times New Roman" w:cs="Times New Roman"/>
        </w:rPr>
        <w:t>ml</w:t>
      </w:r>
      <w:r>
        <w:rPr>
          <w:rFonts w:ascii="Times New Roman" w:hAnsi="Times New Roman" w:eastAsia="Times New Roman" w:cs="Times New Roman"/>
          <w:spacing w:val="5"/>
        </w:rPr>
        <w:t>/</w:t>
      </w:r>
      <w:r>
        <w:rPr>
          <w:rFonts w:ascii="Times New Roman" w:hAnsi="Times New Roman" w:eastAsia="Times New Roman" w:cs="Times New Roman"/>
        </w:rPr>
        <w:t>min</w:t>
      </w:r>
      <w:r>
        <w:rPr>
          <w:spacing w:val="5"/>
        </w:rPr>
        <w:t>的患者，碘的剂量不应超过80~90</w:t>
      </w:r>
      <w:r>
        <w:rPr>
          <w:rFonts w:ascii="Times New Roman" w:hAnsi="Times New Roman" w:eastAsia="Times New Roman" w:cs="Times New Roman"/>
          <w:spacing w:val="5"/>
        </w:rPr>
        <w:t>g</w:t>
      </w:r>
      <w:r>
        <w:rPr>
          <w:rFonts w:ascii="Times New Roman" w:hAnsi="Times New Roman" w:eastAsia="Times New Roman" w:cs="Times New Roman"/>
          <w:spacing w:val="-6"/>
        </w:rPr>
        <w:t xml:space="preserve"> </w:t>
      </w:r>
      <w:r>
        <w:rPr>
          <w:spacing w:val="5"/>
        </w:rPr>
        <w:t>。如果肾小球滤过率下降到</w:t>
      </w:r>
      <w:r>
        <w:rPr/>
        <w:t xml:space="preserve"> </w:t>
      </w:r>
      <w:r>
        <w:rPr>
          <w:rFonts w:ascii="Times New Roman" w:hAnsi="Times New Roman" w:eastAsia="Times New Roman" w:cs="Times New Roman"/>
          <w:spacing w:val="3"/>
        </w:rPr>
        <w:t>50~80</w:t>
      </w:r>
      <w:r>
        <w:rPr>
          <w:rFonts w:ascii="Times New Roman" w:hAnsi="Times New Roman" w:eastAsia="Times New Roman" w:cs="Times New Roman"/>
        </w:rPr>
        <w:t>ml</w:t>
      </w:r>
      <w:r>
        <w:rPr>
          <w:rFonts w:ascii="Times New Roman" w:hAnsi="Times New Roman" w:eastAsia="Times New Roman" w:cs="Times New Roman"/>
          <w:spacing w:val="3"/>
        </w:rPr>
        <w:t>/</w:t>
      </w:r>
      <w:r>
        <w:rPr>
          <w:rFonts w:ascii="Times New Roman" w:hAnsi="Times New Roman" w:eastAsia="Times New Roman" w:cs="Times New Roman"/>
        </w:rPr>
        <w:t>min</w:t>
      </w:r>
      <w:r>
        <w:rPr>
          <w:rFonts w:ascii="Times New Roman" w:hAnsi="Times New Roman" w:eastAsia="Times New Roman" w:cs="Times New Roman"/>
          <w:spacing w:val="3"/>
        </w:rPr>
        <w:t>,   </w:t>
      </w:r>
      <w:r>
        <w:rPr>
          <w:spacing w:val="3"/>
        </w:rPr>
        <w:t>碘的剂量不应超过肾小球滤过率</w:t>
      </w:r>
      <w:r>
        <w:rPr>
          <w:spacing w:val="-55"/>
        </w:rPr>
        <w:t xml:space="preserve"> </w:t>
      </w:r>
      <w:r>
        <w:rPr>
          <w:rFonts w:ascii="Times New Roman" w:hAnsi="Times New Roman" w:eastAsia="Times New Roman" w:cs="Times New Roman"/>
          <w:spacing w:val="3"/>
        </w:rPr>
        <w:t>(</w:t>
      </w:r>
      <w:r>
        <w:rPr>
          <w:rFonts w:ascii="Times New Roman" w:hAnsi="Times New Roman" w:eastAsia="Times New Roman" w:cs="Times New Roman"/>
        </w:rPr>
        <w:t>ml</w:t>
      </w:r>
      <w:r>
        <w:rPr>
          <w:rFonts w:ascii="Times New Roman" w:hAnsi="Times New Roman" w:eastAsia="Times New Roman" w:cs="Times New Roman"/>
          <w:spacing w:val="3"/>
        </w:rPr>
        <w:t>/</w:t>
      </w:r>
      <w:r>
        <w:rPr>
          <w:rFonts w:ascii="Times New Roman" w:hAnsi="Times New Roman" w:eastAsia="Times New Roman" w:cs="Times New Roman"/>
        </w:rPr>
        <w:t>min</w:t>
      </w:r>
      <w:r>
        <w:rPr>
          <w:rFonts w:ascii="Times New Roman" w:hAnsi="Times New Roman" w:eastAsia="Times New Roman" w:cs="Times New Roman"/>
          <w:spacing w:val="3"/>
        </w:rPr>
        <w:t>)</w:t>
      </w:r>
      <w:r>
        <w:rPr>
          <w:rFonts w:ascii="Times New Roman" w:hAnsi="Times New Roman" w:eastAsia="Times New Roman" w:cs="Times New Roman"/>
          <w:spacing w:val="15"/>
        </w:rPr>
        <w:t xml:space="preserve">   </w:t>
      </w:r>
      <w:r>
        <w:rPr>
          <w:spacing w:val="3"/>
        </w:rPr>
        <w:t>除</w:t>
      </w:r>
      <w:r>
        <w:rPr>
          <w:spacing w:val="2"/>
        </w:rPr>
        <w:t>以体表面积(1.73</w:t>
      </w:r>
      <w:r>
        <w:rPr>
          <w:rFonts w:ascii="Times New Roman" w:hAnsi="Times New Roman" w:eastAsia="Times New Roman" w:cs="Times New Roman"/>
          <w:spacing w:val="2"/>
        </w:rPr>
        <w:t>m2)[12,13]</w:t>
      </w:r>
      <w:r>
        <w:rPr>
          <w:rFonts w:ascii="Times New Roman" w:hAnsi="Times New Roman" w:eastAsia="Times New Roman" w:cs="Times New Roman"/>
          <w:spacing w:val="-23"/>
        </w:rPr>
        <w:t xml:space="preserve"> </w:t>
      </w:r>
      <w:r>
        <w:rPr>
          <w:spacing w:val="2"/>
        </w:rPr>
        <w:t>。</w:t>
      </w:r>
      <w:r>
        <w:rPr>
          <w:spacing w:val="86"/>
        </w:rPr>
        <w:t xml:space="preserve"> </w:t>
      </w:r>
      <w:r>
        <w:rPr>
          <w:spacing w:val="2"/>
        </w:rPr>
        <w:t>表6列出了</w:t>
      </w:r>
      <w:r>
        <w:rPr/>
        <w:t xml:space="preserve"> </w:t>
      </w:r>
      <w:r>
        <w:rPr>
          <w:spacing w:val="-3"/>
        </w:rPr>
        <w:t>肾小球滤过率与体表面积的计算公式[17]。</w:t>
      </w:r>
    </w:p>
    <w:p>
      <w:pPr>
        <w:ind w:left="2592"/>
        <w:spacing w:before="207" w:line="222" w:lineRule="auto"/>
        <w:rPr>
          <w:rFonts w:ascii="SimHei" w:hAnsi="SimHei" w:eastAsia="SimHei" w:cs="SimHei"/>
          <w:sz w:val="21"/>
          <w:szCs w:val="21"/>
        </w:rPr>
      </w:pPr>
      <w:r>
        <w:rPr>
          <w:rFonts w:ascii="SimHei" w:hAnsi="SimHei" w:eastAsia="SimHei" w:cs="SimHei"/>
          <w:sz w:val="21"/>
          <w:szCs w:val="21"/>
          <w:b/>
          <w:bCs/>
          <w:spacing w:val="-14"/>
        </w:rPr>
        <w:t>表</w:t>
      </w:r>
      <w:r>
        <w:rPr>
          <w:rFonts w:ascii="SimHei" w:hAnsi="SimHei" w:eastAsia="SimHei" w:cs="SimHei"/>
          <w:sz w:val="21"/>
          <w:szCs w:val="21"/>
          <w:spacing w:val="-32"/>
        </w:rPr>
        <w:t xml:space="preserve"> </w:t>
      </w:r>
      <w:r>
        <w:rPr>
          <w:rFonts w:ascii="SimHei" w:hAnsi="SimHei" w:eastAsia="SimHei" w:cs="SimHei"/>
          <w:sz w:val="21"/>
          <w:szCs w:val="21"/>
          <w:b/>
          <w:bCs/>
          <w:spacing w:val="-14"/>
        </w:rPr>
        <w:t>6</w:t>
      </w:r>
      <w:r>
        <w:rPr>
          <w:rFonts w:ascii="SimHei" w:hAnsi="SimHei" w:eastAsia="SimHei" w:cs="SimHei"/>
          <w:sz w:val="21"/>
          <w:szCs w:val="21"/>
          <w:spacing w:val="86"/>
        </w:rPr>
        <w:t xml:space="preserve"> </w:t>
      </w:r>
      <w:r>
        <w:rPr>
          <w:rFonts w:ascii="SimHei" w:hAnsi="SimHei" w:eastAsia="SimHei" w:cs="SimHei"/>
          <w:sz w:val="21"/>
          <w:szCs w:val="21"/>
          <w:b/>
          <w:bCs/>
          <w:spacing w:val="-14"/>
        </w:rPr>
        <w:t>肾小球滤过率与体表面积的计算公式.</w:t>
      </w:r>
    </w:p>
    <w:p>
      <w:pPr>
        <w:spacing w:line="405" w:lineRule="auto"/>
        <w:rPr>
          <w:rFonts w:ascii="Arial"/>
          <w:sz w:val="21"/>
        </w:rPr>
      </w:pPr>
      <w:r/>
    </w:p>
    <w:p>
      <w:pPr>
        <w:pStyle w:val="BodyText"/>
        <w:ind w:firstLine="969"/>
        <w:spacing w:line="300" w:lineRule="exact"/>
        <w:rPr/>
      </w:pPr>
      <w:r>
        <w:rPr>
          <w:position w:val="-5"/>
        </w:rPr>
        <w:pict>
          <v:group id="_x0000_s16" style="mso-position-vertical-relative:line;mso-position-horizontal-relative:char;width:346.5pt;height:15pt;" filled="false" stroked="false" coordsize="6930,300" coordorigin="0,0">
            <v:shape id="_x0000_s18" style="position:absolute;left:0;top:0;width:6930;height:300;" filled="false" strokecolor="#000000" strokeweight="0.50pt" coordsize="6930,300" coordorigin="0,0" path="m0,5l6929,5m0,294l6929,294m0,294l6929,294e">
              <v:stroke joinstyle="miter" miterlimit="10"/>
            </v:shape>
            <v:shape id="_x0000_s20" style="position:absolute;left:-20;top:-20;width:6970;height:340;" filled="false" stroked="false" type="#_x0000_t202">
              <v:fill on="false"/>
              <v:stroke on="false"/>
              <v:path/>
              <v:imagedata o:title=""/>
              <o:lock v:ext="edit" aspectratio="false"/>
              <v:textbox inset="0mm,0mm,0mm,0mm">
                <w:txbxContent>
                  <w:p>
                    <w:pPr>
                      <w:ind w:left="110"/>
                      <w:spacing w:before="64" w:line="219" w:lineRule="auto"/>
                      <w:rPr>
                        <w:rFonts w:ascii="SimSun" w:hAnsi="SimSun" w:eastAsia="SimSun" w:cs="SimSun"/>
                        <w:sz w:val="22"/>
                        <w:szCs w:val="22"/>
                      </w:rPr>
                    </w:pPr>
                    <w:r>
                      <w:rPr>
                        <w:rFonts w:ascii="SimSun" w:hAnsi="SimSun" w:eastAsia="SimSun" w:cs="SimSun"/>
                        <w:sz w:val="22"/>
                        <w:szCs w:val="22"/>
                        <w:spacing w:val="3"/>
                      </w:rPr>
                      <w:t>男性：肾小球滤过率=(140-年龄)×</w:t>
                    </w:r>
                    <w:r>
                      <w:rPr>
                        <w:rFonts w:ascii="SimSun" w:hAnsi="SimSun" w:eastAsia="SimSun" w:cs="SimSun"/>
                        <w:sz w:val="22"/>
                        <w:szCs w:val="22"/>
                        <w:spacing w:val="2"/>
                      </w:rPr>
                      <w:t>体重/(082×血肌酐).</w:t>
                    </w:r>
                  </w:p>
                </w:txbxContent>
              </v:textbox>
            </v:shape>
          </v:group>
        </w:pict>
      </w:r>
    </w:p>
    <w:p>
      <w:pPr>
        <w:pStyle w:val="BodyText"/>
        <w:ind w:left="969"/>
        <w:spacing w:before="34" w:line="210" w:lineRule="auto"/>
        <w:tabs>
          <w:tab w:val="left" w:pos="1059"/>
        </w:tabs>
        <w:rPr>
          <w:sz w:val="22"/>
          <w:szCs w:val="22"/>
        </w:rPr>
      </w:pPr>
      <w:r>
        <w:rPr>
          <w:sz w:val="22"/>
          <w:szCs w:val="22"/>
          <w:u w:val="single" w:color="auto"/>
        </w:rPr>
        <w:tab/>
      </w:r>
      <w:r>
        <w:rPr>
          <w:sz w:val="22"/>
          <w:szCs w:val="22"/>
          <w:u w:val="single" w:color="auto"/>
          <w:spacing w:val="1"/>
        </w:rPr>
        <w:t>女性：肾小球滤过率=0.85×(140</w:t>
      </w:r>
      <w:r>
        <w:rPr>
          <w:sz w:val="22"/>
          <w:szCs w:val="22"/>
          <w:u w:val="single" w:color="auto"/>
        </w:rPr>
        <w:t>-年龄)×体重/(0.82×血肌酐)      </w:t>
      </w:r>
    </w:p>
    <w:p>
      <w:pPr>
        <w:pStyle w:val="BodyText"/>
        <w:ind w:left="1059"/>
        <w:spacing w:before="27" w:line="216" w:lineRule="auto"/>
        <w:rPr>
          <w:sz w:val="22"/>
          <w:szCs w:val="22"/>
        </w:rPr>
      </w:pPr>
      <w:r>
        <w:rPr>
          <w:sz w:val="22"/>
          <w:szCs w:val="22"/>
          <w:u w:val="single" w:color="auto"/>
          <w:spacing w:val="3"/>
        </w:rPr>
        <w:t>如果患者小于20岁，则使用以下公式：,</w:t>
      </w:r>
      <w:r>
        <w:rPr>
          <w:sz w:val="22"/>
          <w:szCs w:val="22"/>
          <w:u w:val="single" w:color="auto"/>
        </w:rPr>
        <w:t xml:space="preserve">                           </w:t>
      </w:r>
    </w:p>
    <w:p>
      <w:pPr>
        <w:pStyle w:val="BodyText"/>
        <w:ind w:left="969"/>
        <w:spacing w:before="35" w:line="213" w:lineRule="auto"/>
        <w:tabs>
          <w:tab w:val="left" w:pos="1059"/>
        </w:tabs>
        <w:rPr>
          <w:sz w:val="22"/>
          <w:szCs w:val="22"/>
        </w:rPr>
      </w:pPr>
      <w:r>
        <w:rPr>
          <w:sz w:val="22"/>
          <w:szCs w:val="22"/>
          <w:u w:val="single" w:color="auto"/>
        </w:rPr>
        <w:tab/>
      </w:r>
      <w:r>
        <w:rPr>
          <w:sz w:val="22"/>
          <w:szCs w:val="22"/>
          <w:u w:val="single" w:color="auto"/>
          <w:spacing w:val="2"/>
        </w:rPr>
        <w:t>肌酐清除率=425×身高(</w:t>
      </w:r>
      <w:r>
        <w:rPr>
          <w:sz w:val="22"/>
          <w:szCs w:val="22"/>
          <w:u w:val="single" w:color="auto"/>
        </w:rPr>
        <w:t>cm</w:t>
      </w:r>
      <w:r>
        <w:rPr>
          <w:sz w:val="22"/>
          <w:szCs w:val="22"/>
          <w:u w:val="single" w:color="auto"/>
          <w:spacing w:val="2"/>
        </w:rPr>
        <w:t>)/血肌酐×(体重70)007.</w:t>
      </w:r>
      <w:r>
        <w:rPr>
          <w:sz w:val="22"/>
          <w:szCs w:val="22"/>
          <w:u w:val="single" w:color="auto"/>
        </w:rPr>
        <w:t xml:space="preserve">                 </w:t>
      </w:r>
    </w:p>
    <w:p>
      <w:pPr>
        <w:pStyle w:val="BodyText"/>
        <w:ind w:left="969"/>
        <w:spacing w:before="36" w:line="213" w:lineRule="auto"/>
        <w:tabs>
          <w:tab w:val="left" w:pos="1059"/>
        </w:tabs>
        <w:rPr>
          <w:sz w:val="22"/>
          <w:szCs w:val="22"/>
        </w:rPr>
      </w:pPr>
      <w:r>
        <w:rPr>
          <w:sz w:val="22"/>
          <w:szCs w:val="22"/>
          <w:u w:val="single" w:color="auto"/>
        </w:rPr>
        <w:tab/>
      </w:r>
      <w:r>
        <w:rPr>
          <w:sz w:val="22"/>
          <w:szCs w:val="22"/>
          <w:u w:val="single" w:color="auto"/>
          <w:spacing w:val="7"/>
        </w:rPr>
        <w:t>肾小球滤过率=肌酐清除率×1.73m²</w:t>
      </w:r>
      <w:r>
        <w:rPr>
          <w:sz w:val="22"/>
          <w:szCs w:val="22"/>
          <w:u w:val="single" w:color="auto"/>
          <w:spacing w:val="-71"/>
        </w:rPr>
        <w:t xml:space="preserve"> </w:t>
      </w:r>
      <w:r>
        <w:rPr>
          <w:sz w:val="22"/>
          <w:szCs w:val="22"/>
          <w:u w:val="single" w:color="auto"/>
          <w:spacing w:val="7"/>
        </w:rPr>
        <w:t>.</w:t>
      </w:r>
      <w:r>
        <w:rPr>
          <w:sz w:val="22"/>
          <w:szCs w:val="22"/>
          <w:u w:val="single" w:color="auto"/>
        </w:rPr>
        <w:t xml:space="preserve">                             </w:t>
      </w:r>
    </w:p>
    <w:p>
      <w:pPr>
        <w:pStyle w:val="BodyText"/>
        <w:ind w:left="969"/>
        <w:spacing w:before="37" w:line="219" w:lineRule="auto"/>
        <w:tabs>
          <w:tab w:val="left" w:pos="1059"/>
        </w:tabs>
        <w:rPr>
          <w:sz w:val="22"/>
          <w:szCs w:val="22"/>
        </w:rPr>
      </w:pPr>
      <w:r>
        <w:rPr>
          <w:sz w:val="22"/>
          <w:szCs w:val="22"/>
          <w:u w:val="single" w:color="auto"/>
        </w:rPr>
        <w:tab/>
      </w:r>
      <w:r>
        <w:rPr>
          <w:sz w:val="22"/>
          <w:szCs w:val="22"/>
          <w:u w:val="single" w:color="auto"/>
          <w:spacing w:val="3"/>
        </w:rPr>
        <w:t>体表面积=体重045×身高072×00</w:t>
      </w:r>
      <w:r>
        <w:rPr>
          <w:sz w:val="22"/>
          <w:szCs w:val="22"/>
          <w:u w:val="single" w:color="auto"/>
          <w:spacing w:val="2"/>
        </w:rPr>
        <w:t>07184.</w:t>
      </w:r>
      <w:r>
        <w:rPr>
          <w:sz w:val="22"/>
          <w:szCs w:val="22"/>
          <w:u w:val="single" w:color="auto"/>
        </w:rPr>
        <w:t xml:space="preserve">                           </w:t>
      </w:r>
    </w:p>
    <w:p>
      <w:pPr>
        <w:ind w:left="4859"/>
        <w:spacing w:before="279"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—184—</w:t>
      </w:r>
    </w:p>
    <w:p>
      <w:pPr>
        <w:spacing w:line="470"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4">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headerReference w:type="default" r:id="rId24"/>
          <w:pgSz w:w="11850" w:h="16140"/>
          <w:pgMar w:top="1087" w:right="1523" w:bottom="0" w:left="380" w:header="722" w:footer="0" w:gutter="0"/>
        </w:sectPr>
        <w:rPr>
          <w:rFonts w:ascii="Times New Roman" w:hAnsi="Times New Roman" w:eastAsia="Times New Roman" w:cs="Times New Roman"/>
          <w:sz w:val="21"/>
          <w:szCs w:val="21"/>
        </w:rPr>
      </w:pPr>
    </w:p>
    <w:p>
      <w:pPr>
        <w:spacing w:line="311" w:lineRule="auto"/>
        <w:rPr>
          <w:rFonts w:ascii="Arial"/>
          <w:sz w:val="21"/>
        </w:rPr>
      </w:pPr>
      <w:r/>
    </w:p>
    <w:p>
      <w:pPr>
        <w:ind w:left="7737"/>
        <w:spacing w:before="68" w:line="209" w:lineRule="auto"/>
        <w:rPr>
          <w:rFonts w:ascii="STXingkai" w:hAnsi="STXingkai" w:eastAsia="STXingkai" w:cs="STXingkai"/>
          <w:sz w:val="20"/>
          <w:szCs w:val="20"/>
        </w:rPr>
      </w:pPr>
      <w:r>
        <w:drawing>
          <wp:anchor distT="0" distB="0" distL="0" distR="0" simplePos="0" relativeHeight="251684864" behindDoc="1" locked="0" layoutInCell="1" allowOverlap="1">
            <wp:simplePos x="0" y="0"/>
            <wp:positionH relativeFrom="column">
              <wp:posOffset>4610113</wp:posOffset>
            </wp:positionH>
            <wp:positionV relativeFrom="paragraph">
              <wp:posOffset>80499</wp:posOffset>
            </wp:positionV>
            <wp:extent cx="1695401" cy="215944"/>
            <wp:effectExtent l="0" t="0" r="0" b="0"/>
            <wp:wrapNone/>
            <wp:docPr id="40" name="IM 40"/>
            <wp:cNvGraphicFramePr/>
            <a:graphic>
              <a:graphicData uri="http://schemas.openxmlformats.org/drawingml/2006/picture">
                <pic:pic>
                  <pic:nvPicPr>
                    <pic:cNvPr id="40" name="IM 40"/>
                    <pic:cNvPicPr/>
                  </pic:nvPicPr>
                  <pic:blipFill>
                    <a:blip r:embed="rId25"/>
                    <a:stretch>
                      <a:fillRect/>
                    </a:stretch>
                  </pic:blipFill>
                  <pic:spPr>
                    <a:xfrm rot="0">
                      <a:off x="0" y="0"/>
                      <a:ext cx="1695401" cy="215944"/>
                    </a:xfrm>
                    <a:prstGeom prst="rect">
                      <a:avLst/>
                    </a:prstGeom>
                  </pic:spPr>
                </pic:pic>
              </a:graphicData>
            </a:graphic>
          </wp:anchor>
        </w:drawing>
      </w:r>
      <w:r>
        <w:rPr>
          <w:rFonts w:ascii="STXingkai" w:hAnsi="STXingkai" w:eastAsia="STXingkai" w:cs="STXingkai"/>
          <w:sz w:val="20"/>
          <w:szCs w:val="20"/>
          <w:b/>
          <w:bCs/>
          <w:spacing w:val="-22"/>
        </w:rPr>
        <w:t>附</w:t>
      </w:r>
      <w:r>
        <w:rPr>
          <w:rFonts w:ascii="STXingkai" w:hAnsi="STXingkai" w:eastAsia="STXingkai" w:cs="STXingkai"/>
          <w:sz w:val="20"/>
          <w:szCs w:val="20"/>
          <w:spacing w:val="7"/>
        </w:rPr>
        <w:t xml:space="preserve">    </w:t>
      </w:r>
      <w:r>
        <w:rPr>
          <w:rFonts w:ascii="STXingkai" w:hAnsi="STXingkai" w:eastAsia="STXingkai" w:cs="STXingkai"/>
          <w:sz w:val="20"/>
          <w:szCs w:val="20"/>
          <w:b/>
          <w:bCs/>
          <w:spacing w:val="-22"/>
        </w:rPr>
        <w:t>灵</w:t>
      </w:r>
      <w:r>
        <w:rPr>
          <w:rFonts w:ascii="STXingkai" w:hAnsi="STXingkai" w:eastAsia="STXingkai" w:cs="STXingkai"/>
          <w:sz w:val="20"/>
          <w:szCs w:val="20"/>
          <w:spacing w:val="5"/>
        </w:rPr>
        <w:t xml:space="preserve">     </w:t>
      </w:r>
      <w:r>
        <w:rPr>
          <w:rFonts w:ascii="STXingkai" w:hAnsi="STXingkai" w:eastAsia="STXingkai" w:cs="STXingkai"/>
          <w:sz w:val="20"/>
          <w:szCs w:val="20"/>
          <w:b/>
          <w:bCs/>
          <w:spacing w:val="-22"/>
        </w:rPr>
        <w:t>·</w:t>
      </w:r>
      <w:r>
        <w:rPr>
          <w:rFonts w:ascii="STXingkai" w:hAnsi="STXingkai" w:eastAsia="STXingkai" w:cs="STXingkai"/>
          <w:sz w:val="20"/>
          <w:szCs w:val="20"/>
          <w:spacing w:val="-22"/>
        </w:rPr>
        <w:t xml:space="preserve">     </w:t>
      </w:r>
      <w:r>
        <w:rPr>
          <w:rFonts w:ascii="STXingkai" w:hAnsi="STXingkai" w:eastAsia="STXingkai" w:cs="STXingkai"/>
          <w:sz w:val="20"/>
          <w:szCs w:val="20"/>
          <w:b/>
          <w:bCs/>
          <w:spacing w:val="-22"/>
        </w:rPr>
        <w:t>指</w:t>
      </w:r>
      <w:r>
        <w:rPr>
          <w:rFonts w:ascii="STXingkai" w:hAnsi="STXingkai" w:eastAsia="STXingkai" w:cs="STXingkai"/>
          <w:sz w:val="20"/>
          <w:szCs w:val="20"/>
          <w:spacing w:val="3"/>
        </w:rPr>
        <w:t xml:space="preserve">    </w:t>
      </w:r>
      <w:r>
        <w:rPr>
          <w:rFonts w:ascii="STXingkai" w:hAnsi="STXingkai" w:eastAsia="STXingkai" w:cs="STXingkai"/>
          <w:sz w:val="20"/>
          <w:szCs w:val="20"/>
          <w:b/>
          <w:bCs/>
          <w:spacing w:val="-22"/>
        </w:rPr>
        <w:t>古</w:t>
      </w:r>
    </w:p>
    <w:p>
      <w:pPr>
        <w:spacing w:line="269" w:lineRule="auto"/>
        <w:rPr>
          <w:rFonts w:ascii="Arial"/>
          <w:sz w:val="21"/>
        </w:rPr>
      </w:pPr>
      <w:r/>
    </w:p>
    <w:p>
      <w:pPr>
        <w:pStyle w:val="BodyText"/>
        <w:ind w:left="369" w:right="61" w:firstLine="360"/>
        <w:spacing w:before="65" w:line="315" w:lineRule="auto"/>
        <w:rPr>
          <w:sz w:val="20"/>
          <w:szCs w:val="20"/>
        </w:rPr>
      </w:pPr>
      <w:r>
        <w:rPr>
          <w:sz w:val="20"/>
          <w:szCs w:val="20"/>
          <w:spacing w:val="5"/>
        </w:rPr>
        <w:t>对于血清/血浆肌酐水平高于140μ</w:t>
      </w:r>
      <w:r>
        <w:rPr>
          <w:rFonts w:ascii="Times New Roman" w:hAnsi="Times New Roman" w:eastAsia="Times New Roman" w:cs="Times New Roman"/>
          <w:sz w:val="20"/>
          <w:szCs w:val="20"/>
        </w:rPr>
        <w:t>mol</w:t>
      </w:r>
      <w:r>
        <w:rPr>
          <w:rFonts w:ascii="Times New Roman" w:hAnsi="Times New Roman" w:eastAsia="Times New Roman" w:cs="Times New Roman"/>
          <w:sz w:val="20"/>
          <w:szCs w:val="20"/>
          <w:spacing w:val="5"/>
        </w:rPr>
        <w:t>/L(1.6</w:t>
      </w:r>
      <w:r>
        <w:rPr>
          <w:rFonts w:ascii="Times New Roman" w:hAnsi="Times New Roman" w:eastAsia="Times New Roman" w:cs="Times New Roman"/>
          <w:sz w:val="20"/>
          <w:szCs w:val="20"/>
        </w:rPr>
        <w:t>mg</w:t>
      </w:r>
      <w:r>
        <w:rPr>
          <w:rFonts w:ascii="Times New Roman" w:hAnsi="Times New Roman" w:eastAsia="Times New Roman" w:cs="Times New Roman"/>
          <w:sz w:val="20"/>
          <w:szCs w:val="20"/>
          <w:spacing w:val="5"/>
        </w:rPr>
        <w:t>/100</w:t>
      </w:r>
      <w:r>
        <w:rPr>
          <w:rFonts w:ascii="Times New Roman" w:hAnsi="Times New Roman" w:eastAsia="Times New Roman" w:cs="Times New Roman"/>
          <w:sz w:val="20"/>
          <w:szCs w:val="20"/>
        </w:rPr>
        <w:t>ml</w:t>
      </w:r>
      <w:r>
        <w:rPr>
          <w:rFonts w:ascii="Times New Roman" w:hAnsi="Times New Roman" w:eastAsia="Times New Roman" w:cs="Times New Roman"/>
          <w:sz w:val="20"/>
          <w:szCs w:val="20"/>
          <w:spacing w:val="5"/>
        </w:rPr>
        <w:t>)    </w:t>
      </w:r>
      <w:r>
        <w:rPr>
          <w:sz w:val="20"/>
          <w:szCs w:val="20"/>
          <w:spacing w:val="5"/>
        </w:rPr>
        <w:t>的患者，在注射造影剂前后充分水化有助于预</w:t>
      </w:r>
      <w:r>
        <w:rPr>
          <w:sz w:val="20"/>
          <w:szCs w:val="20"/>
          <w:spacing w:val="13"/>
        </w:rPr>
        <w:t xml:space="preserve"> </w:t>
      </w:r>
      <w:r>
        <w:rPr>
          <w:sz w:val="20"/>
          <w:szCs w:val="20"/>
          <w:spacing w:val="6"/>
        </w:rPr>
        <w:t>防肾脏损害。为了预防由造影剂引起的肾衰，推荐注射造影剂前日给予</w:t>
      </w:r>
      <w:r>
        <w:rPr>
          <w:rFonts w:ascii="Times New Roman" w:hAnsi="Times New Roman" w:eastAsia="Times New Roman" w:cs="Times New Roman"/>
          <w:sz w:val="20"/>
          <w:szCs w:val="20"/>
          <w:spacing w:val="6"/>
        </w:rPr>
        <w:t>N-</w:t>
      </w:r>
      <w:r>
        <w:rPr>
          <w:sz w:val="20"/>
          <w:szCs w:val="20"/>
          <w:spacing w:val="6"/>
        </w:rPr>
        <w:t>乙酰半胱氨酸600</w:t>
      </w:r>
      <w:r>
        <w:rPr>
          <w:rFonts w:ascii="Times New Roman" w:hAnsi="Times New Roman" w:eastAsia="Times New Roman" w:cs="Times New Roman"/>
          <w:sz w:val="20"/>
          <w:szCs w:val="20"/>
        </w:rPr>
        <w:t>mg</w:t>
      </w:r>
      <w:r>
        <w:rPr>
          <w:sz w:val="20"/>
          <w:szCs w:val="20"/>
          <w:spacing w:val="6"/>
        </w:rPr>
        <w:t>两次[18]。</w:t>
      </w:r>
    </w:p>
    <w:p>
      <w:pPr>
        <w:pStyle w:val="BodyText"/>
        <w:ind w:left="799"/>
        <w:spacing w:line="219" w:lineRule="auto"/>
        <w:rPr>
          <w:sz w:val="20"/>
          <w:szCs w:val="20"/>
        </w:rPr>
      </w:pPr>
      <w:r>
        <w:rPr>
          <w:sz w:val="20"/>
          <w:szCs w:val="20"/>
          <w:spacing w:val="7"/>
        </w:rPr>
        <w:t>3.1.4未治疗的甲状腺功能亢进</w:t>
      </w:r>
    </w:p>
    <w:p>
      <w:pPr>
        <w:pStyle w:val="BodyText"/>
        <w:ind w:left="369" w:right="39" w:firstLine="389"/>
        <w:spacing w:before="102" w:line="306" w:lineRule="auto"/>
        <w:rPr>
          <w:sz w:val="20"/>
          <w:szCs w:val="20"/>
        </w:rPr>
      </w:pPr>
      <w:r>
        <w:rPr>
          <w:sz w:val="20"/>
          <w:szCs w:val="20"/>
          <w:spacing w:val="12"/>
        </w:rPr>
        <w:t>怀疑甲状腺功能亢进的患者在注射造影剂前应检查</w:t>
      </w:r>
      <w:r>
        <w:rPr>
          <w:rFonts w:ascii="Times New Roman" w:hAnsi="Times New Roman" w:eastAsia="Times New Roman" w:cs="Times New Roman"/>
          <w:sz w:val="20"/>
          <w:szCs w:val="20"/>
        </w:rPr>
        <w:t>TSH</w:t>
      </w:r>
      <w:r>
        <w:rPr>
          <w:rFonts w:ascii="Times New Roman" w:hAnsi="Times New Roman" w:eastAsia="Times New Roman" w:cs="Times New Roman"/>
          <w:sz w:val="20"/>
          <w:szCs w:val="20"/>
          <w:spacing w:val="27"/>
        </w:rPr>
        <w:t xml:space="preserve"> </w:t>
      </w:r>
      <w:r>
        <w:rPr>
          <w:sz w:val="20"/>
          <w:szCs w:val="20"/>
          <w:spacing w:val="12"/>
        </w:rPr>
        <w:t>(促甲状腺激素)水平。这些患者在没有进行</w:t>
      </w:r>
      <w:r>
        <w:rPr>
          <w:sz w:val="20"/>
          <w:szCs w:val="20"/>
        </w:rPr>
        <w:t xml:space="preserve"> </w:t>
      </w:r>
      <w:r>
        <w:rPr>
          <w:sz w:val="20"/>
          <w:szCs w:val="20"/>
          <w:spacing w:val="9"/>
        </w:rPr>
        <w:t>合理的治疗前不应使用造影剂。</w:t>
      </w:r>
    </w:p>
    <w:p>
      <w:pPr>
        <w:ind w:left="3042"/>
        <w:spacing w:before="64" w:line="222" w:lineRule="auto"/>
        <w:rPr>
          <w:rFonts w:ascii="SimHei" w:hAnsi="SimHei" w:eastAsia="SimHei" w:cs="SimHei"/>
          <w:sz w:val="20"/>
          <w:szCs w:val="20"/>
        </w:rPr>
      </w:pPr>
      <w:r>
        <w:rPr>
          <w:rFonts w:ascii="SimHei" w:hAnsi="SimHei" w:eastAsia="SimHei" w:cs="SimHei"/>
          <w:sz w:val="20"/>
          <w:szCs w:val="20"/>
          <w:b/>
          <w:bCs/>
          <w:spacing w:val="26"/>
        </w:rPr>
        <w:t>表-排泄性尿路造影相关问题</w:t>
      </w:r>
    </w:p>
    <w:p>
      <w:pPr>
        <w:spacing w:before="147"/>
        <w:rPr/>
      </w:pPr>
      <w:r/>
    </w:p>
    <w:tbl>
      <w:tblPr>
        <w:tblStyle w:val="TableNormal"/>
        <w:tblW w:w="7570" w:type="dxa"/>
        <w:tblInd w:w="82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805"/>
        <w:gridCol w:w="967"/>
        <w:gridCol w:w="1456"/>
        <w:gridCol w:w="1342"/>
      </w:tblGrid>
      <w:tr>
        <w:trPr>
          <w:trHeight w:val="283" w:hRule="atLeast"/>
        </w:trPr>
        <w:tc>
          <w:tcPr>
            <w:tcW w:w="3805" w:type="dxa"/>
            <w:vAlign w:val="top"/>
            <w:tcBorders>
              <w:bottom w:val="single" w:color="000000" w:sz="4" w:space="0"/>
              <w:top w:val="single" w:color="000000" w:sz="4" w:space="0"/>
            </w:tcBorders>
          </w:tcPr>
          <w:p>
            <w:pPr>
              <w:pStyle w:val="TableText"/>
              <w:ind w:left="123"/>
              <w:spacing w:before="39" w:line="205" w:lineRule="auto"/>
              <w:rPr/>
            </w:pPr>
            <w:r>
              <w:rPr>
                <w:b/>
                <w:bCs/>
                <w:spacing w:val="-2"/>
              </w:rPr>
              <w:t>以下情况不应注射造影剂</w:t>
            </w:r>
          </w:p>
        </w:tc>
        <w:tc>
          <w:tcPr>
            <w:tcW w:w="967" w:type="dxa"/>
            <w:vAlign w:val="top"/>
            <w:tcBorders>
              <w:bottom w:val="single" w:color="000000" w:sz="4" w:space="0"/>
              <w:top w:val="single" w:color="000000" w:sz="4" w:space="0"/>
            </w:tcBorders>
          </w:tcPr>
          <w:p>
            <w:pPr>
              <w:pStyle w:val="TableText"/>
              <w:ind w:left="438"/>
              <w:spacing w:before="99" w:line="174" w:lineRule="exact"/>
              <w:rPr/>
            </w:pPr>
            <w:r>
              <w:rPr>
                <w:b/>
                <w:bCs/>
                <w:spacing w:val="-4"/>
                <w:position w:val="-2"/>
              </w:rPr>
              <w:t>LE</w:t>
            </w:r>
          </w:p>
        </w:tc>
        <w:tc>
          <w:tcPr>
            <w:tcW w:w="1456" w:type="dxa"/>
            <w:vAlign w:val="top"/>
            <w:tcBorders>
              <w:bottom w:val="single" w:color="000000" w:sz="4" w:space="0"/>
              <w:top w:val="single" w:color="000000" w:sz="4" w:space="0"/>
            </w:tcBorders>
          </w:tcPr>
          <w:p>
            <w:pPr>
              <w:pStyle w:val="TableText"/>
              <w:ind w:left="331"/>
              <w:spacing w:before="40" w:line="204" w:lineRule="auto"/>
              <w:rPr/>
            </w:pPr>
            <w:r>
              <w:rPr>
                <w:b/>
                <w:bCs/>
                <w:spacing w:val="-5"/>
              </w:rPr>
              <w:t>参考文献</w:t>
            </w:r>
          </w:p>
        </w:tc>
        <w:tc>
          <w:tcPr>
            <w:tcW w:w="1342" w:type="dxa"/>
            <w:vAlign w:val="top"/>
            <w:tcBorders>
              <w:bottom w:val="single" w:color="000000" w:sz="4" w:space="0"/>
              <w:top w:val="single" w:color="000000" w:sz="4" w:space="0"/>
            </w:tcBorders>
          </w:tcPr>
          <w:p>
            <w:pPr>
              <w:pStyle w:val="TableText"/>
              <w:ind w:left="465"/>
              <w:spacing w:before="40" w:line="204" w:lineRule="auto"/>
              <w:rPr/>
            </w:pPr>
            <w:r>
              <w:rPr>
                <w:b/>
                <w:bCs/>
                <w:spacing w:val="-5"/>
              </w:rPr>
              <w:t>参见</w:t>
            </w:r>
          </w:p>
        </w:tc>
      </w:tr>
      <w:tr>
        <w:trPr>
          <w:trHeight w:val="258" w:hRule="atLeast"/>
        </w:trPr>
        <w:tc>
          <w:tcPr>
            <w:tcW w:w="3805" w:type="dxa"/>
            <w:vAlign w:val="top"/>
            <w:tcBorders>
              <w:bottom w:val="single" w:color="000000" w:sz="4" w:space="0"/>
              <w:top w:val="single" w:color="000000" w:sz="4" w:space="0"/>
            </w:tcBorders>
          </w:tcPr>
          <w:p>
            <w:pPr>
              <w:pStyle w:val="TableText"/>
              <w:ind w:left="120"/>
              <w:spacing w:before="29" w:line="192" w:lineRule="auto"/>
              <w:rPr/>
            </w:pPr>
            <w:r>
              <w:rPr>
                <w:spacing w:val="1"/>
              </w:rPr>
              <w:t>患者对造影剂过敏</w:t>
            </w:r>
          </w:p>
        </w:tc>
        <w:tc>
          <w:tcPr>
            <w:tcW w:w="967" w:type="dxa"/>
            <w:vAlign w:val="top"/>
            <w:tcBorders>
              <w:bottom w:val="single" w:color="000000" w:sz="4" w:space="0"/>
              <w:top w:val="single" w:color="000000" w:sz="4" w:space="0"/>
            </w:tcBorders>
          </w:tcPr>
          <w:p>
            <w:pPr>
              <w:rPr>
                <w:rFonts w:ascii="Arial"/>
                <w:sz w:val="21"/>
              </w:rPr>
            </w:pPr>
            <w:r/>
          </w:p>
        </w:tc>
        <w:tc>
          <w:tcPr>
            <w:tcW w:w="1456" w:type="dxa"/>
            <w:vAlign w:val="top"/>
            <w:tcBorders>
              <w:bottom w:val="single" w:color="000000" w:sz="4" w:space="0"/>
              <w:top w:val="single" w:color="000000" w:sz="4" w:space="0"/>
            </w:tcBorders>
          </w:tcPr>
          <w:p>
            <w:pPr>
              <w:pStyle w:val="TableText"/>
              <w:ind w:left="428"/>
              <w:spacing w:before="27" w:line="194" w:lineRule="auto"/>
              <w:rPr/>
            </w:pPr>
            <w:r>
              <w:rPr>
                <w:spacing w:val="-2"/>
              </w:rPr>
              <w:t>12,13.</w:t>
            </w:r>
          </w:p>
        </w:tc>
        <w:tc>
          <w:tcPr>
            <w:tcW w:w="1342" w:type="dxa"/>
            <w:vAlign w:val="top"/>
            <w:tcBorders>
              <w:bottom w:val="single" w:color="000000" w:sz="4" w:space="0"/>
              <w:top w:val="single" w:color="000000" w:sz="4" w:space="0"/>
            </w:tcBorders>
          </w:tcPr>
          <w:p>
            <w:pPr>
              <w:pStyle w:val="TableText"/>
              <w:ind w:left="362"/>
              <w:spacing w:before="30" w:line="191" w:lineRule="auto"/>
              <w:rPr/>
            </w:pPr>
            <w:r>
              <w:rPr>
                <w:spacing w:val="16"/>
              </w:rPr>
              <w:t>见311.</w:t>
            </w:r>
          </w:p>
        </w:tc>
      </w:tr>
      <w:tr>
        <w:trPr>
          <w:trHeight w:val="258" w:hRule="atLeast"/>
        </w:trPr>
        <w:tc>
          <w:tcPr>
            <w:tcW w:w="3805" w:type="dxa"/>
            <w:vAlign w:val="top"/>
            <w:tcBorders>
              <w:bottom w:val="single" w:color="000000" w:sz="4" w:space="0"/>
              <w:top w:val="single" w:color="000000" w:sz="4" w:space="0"/>
            </w:tcBorders>
          </w:tcPr>
          <w:p>
            <w:pPr>
              <w:pStyle w:val="TableText"/>
              <w:ind w:left="120"/>
              <w:spacing w:before="33" w:line="189" w:lineRule="auto"/>
              <w:rPr/>
            </w:pPr>
            <w:r>
              <w:rPr/>
              <w:t>患者血清/血浆肌酐水平高于150μmoVL</w:t>
            </w:r>
          </w:p>
        </w:tc>
        <w:tc>
          <w:tcPr>
            <w:tcW w:w="967" w:type="dxa"/>
            <w:vAlign w:val="top"/>
            <w:tcBorders>
              <w:bottom w:val="single" w:color="000000" w:sz="4" w:space="0"/>
              <w:top w:val="single" w:color="000000" w:sz="4" w:space="0"/>
            </w:tcBorders>
          </w:tcPr>
          <w:p>
            <w:pPr>
              <w:pStyle w:val="TableText"/>
              <w:ind w:left="114"/>
              <w:spacing w:before="43" w:line="162" w:lineRule="auto"/>
              <w:rPr/>
            </w:pPr>
            <w:r>
              <w:rPr>
                <w:spacing w:val="-2"/>
                <w:position w:val="2"/>
              </w:rPr>
              <w:t>_</w:t>
            </w:r>
            <w:r>
              <w:rPr>
                <w:spacing w:val="3"/>
                <w:position w:val="2"/>
              </w:rPr>
              <w:t xml:space="preserve">  </w:t>
            </w:r>
            <w:r>
              <w:rPr>
                <w:spacing w:val="-2"/>
              </w:rPr>
              <w:t>4.</w:t>
            </w:r>
          </w:p>
        </w:tc>
        <w:tc>
          <w:tcPr>
            <w:tcW w:w="1456" w:type="dxa"/>
            <w:vAlign w:val="top"/>
            <w:tcBorders>
              <w:bottom w:val="single" w:color="000000" w:sz="4" w:space="0"/>
              <w:top w:val="single" w:color="000000" w:sz="4" w:space="0"/>
            </w:tcBorders>
          </w:tcPr>
          <w:p>
            <w:pPr>
              <w:pStyle w:val="TableText"/>
              <w:ind w:left="637"/>
              <w:spacing w:before="53" w:line="171" w:lineRule="auto"/>
              <w:rPr/>
            </w:pPr>
            <w:r>
              <w:rPr>
                <w:spacing w:val="-6"/>
              </w:rPr>
              <w:t>13</w:t>
            </w:r>
          </w:p>
        </w:tc>
        <w:tc>
          <w:tcPr>
            <w:tcW w:w="1342" w:type="dxa"/>
            <w:vAlign w:val="top"/>
            <w:tcBorders>
              <w:bottom w:val="single" w:color="000000" w:sz="4" w:space="0"/>
              <w:top w:val="single" w:color="000000" w:sz="4" w:space="0"/>
            </w:tcBorders>
          </w:tcPr>
          <w:p>
            <w:pPr>
              <w:pStyle w:val="TableText"/>
              <w:ind w:left="362"/>
              <w:spacing w:before="33" w:line="189" w:lineRule="auto"/>
              <w:rPr/>
            </w:pPr>
            <w:r>
              <w:rPr>
                <w:spacing w:val="4"/>
              </w:rPr>
              <w:t>见31.1</w:t>
            </w:r>
          </w:p>
        </w:tc>
      </w:tr>
      <w:tr>
        <w:trPr>
          <w:trHeight w:val="259" w:hRule="atLeast"/>
        </w:trPr>
        <w:tc>
          <w:tcPr>
            <w:tcW w:w="3805" w:type="dxa"/>
            <w:vAlign w:val="top"/>
            <w:tcBorders>
              <w:bottom w:val="single" w:color="000000" w:sz="4" w:space="0"/>
              <w:top w:val="single" w:color="000000" w:sz="4" w:space="0"/>
            </w:tcBorders>
          </w:tcPr>
          <w:p>
            <w:pPr>
              <w:pStyle w:val="TableText"/>
              <w:ind w:left="120"/>
              <w:spacing w:before="36" w:line="187" w:lineRule="auto"/>
              <w:rPr/>
            </w:pPr>
            <w:r>
              <w:rPr/>
              <w:t>患者正在服用二甲双胍。</w:t>
            </w:r>
          </w:p>
        </w:tc>
        <w:tc>
          <w:tcPr>
            <w:tcW w:w="967" w:type="dxa"/>
            <w:vAlign w:val="top"/>
            <w:tcBorders>
              <w:bottom w:val="single" w:color="000000" w:sz="4" w:space="0"/>
              <w:top w:val="single" w:color="000000" w:sz="4" w:space="0"/>
            </w:tcBorders>
          </w:tcPr>
          <w:p>
            <w:pPr>
              <w:pStyle w:val="TableText"/>
              <w:ind w:left="435"/>
              <w:spacing w:before="55" w:line="170" w:lineRule="auto"/>
              <w:rPr/>
            </w:pPr>
            <w:r>
              <w:rPr>
                <w:spacing w:val="-4"/>
              </w:rPr>
              <w:t>3.</w:t>
            </w:r>
          </w:p>
        </w:tc>
        <w:tc>
          <w:tcPr>
            <w:tcW w:w="1456" w:type="dxa"/>
            <w:vAlign w:val="top"/>
            <w:tcBorders>
              <w:bottom w:val="single" w:color="000000" w:sz="4" w:space="0"/>
              <w:top w:val="single" w:color="000000" w:sz="4" w:space="0"/>
            </w:tcBorders>
          </w:tcPr>
          <w:p>
            <w:pPr>
              <w:pStyle w:val="TableText"/>
              <w:ind w:left="478"/>
              <w:spacing w:before="55" w:line="170" w:lineRule="auto"/>
              <w:rPr/>
            </w:pPr>
            <w:r>
              <w:rPr>
                <w:spacing w:val="-5"/>
              </w:rPr>
              <w:t>13-16</w:t>
            </w:r>
          </w:p>
        </w:tc>
        <w:tc>
          <w:tcPr>
            <w:tcW w:w="1342" w:type="dxa"/>
            <w:vAlign w:val="top"/>
            <w:tcBorders>
              <w:bottom w:val="single" w:color="000000" w:sz="4" w:space="0"/>
              <w:top w:val="single" w:color="000000" w:sz="4" w:space="0"/>
            </w:tcBorders>
          </w:tcPr>
          <w:p>
            <w:pPr>
              <w:pStyle w:val="TableText"/>
              <w:ind w:left="301"/>
              <w:spacing w:before="34" w:line="189" w:lineRule="auto"/>
              <w:rPr/>
            </w:pPr>
            <w:r>
              <w:rPr>
                <w:spacing w:val="11"/>
              </w:rPr>
              <w:t>见31.1.</w:t>
            </w:r>
          </w:p>
        </w:tc>
      </w:tr>
      <w:tr>
        <w:trPr>
          <w:trHeight w:val="268" w:hRule="atLeast"/>
        </w:trPr>
        <w:tc>
          <w:tcPr>
            <w:tcW w:w="3805" w:type="dxa"/>
            <w:vAlign w:val="top"/>
            <w:tcBorders>
              <w:bottom w:val="single" w:color="000000" w:sz="4" w:space="0"/>
              <w:top w:val="single" w:color="000000" w:sz="4" w:space="0"/>
            </w:tcBorders>
          </w:tcPr>
          <w:p>
            <w:pPr>
              <w:pStyle w:val="TableText"/>
              <w:ind w:left="123"/>
              <w:spacing w:before="32" w:line="198" w:lineRule="auto"/>
              <w:rPr/>
            </w:pPr>
            <w:r>
              <w:rPr>
                <w:b/>
                <w:bCs/>
                <w:spacing w:val="-2"/>
              </w:rPr>
              <w:t>患者患有骨髓瘤</w:t>
            </w:r>
          </w:p>
        </w:tc>
        <w:tc>
          <w:tcPr>
            <w:tcW w:w="967" w:type="dxa"/>
            <w:vAlign w:val="top"/>
            <w:tcBorders>
              <w:bottom w:val="single" w:color="000000" w:sz="4" w:space="0"/>
              <w:top w:val="single" w:color="000000" w:sz="4" w:space="0"/>
            </w:tcBorders>
          </w:tcPr>
          <w:p>
            <w:pPr>
              <w:pStyle w:val="TableText"/>
              <w:ind w:left="435"/>
              <w:spacing w:before="56" w:line="177" w:lineRule="auto"/>
              <w:rPr/>
            </w:pPr>
            <w:r>
              <w:rPr>
                <w:spacing w:val="-4"/>
              </w:rPr>
              <w:t>3.</w:t>
            </w:r>
          </w:p>
        </w:tc>
        <w:tc>
          <w:tcPr>
            <w:tcW w:w="1456" w:type="dxa"/>
            <w:vAlign w:val="top"/>
            <w:tcBorders>
              <w:bottom w:val="single" w:color="000000" w:sz="4" w:space="0"/>
              <w:top w:val="single" w:color="000000" w:sz="4" w:space="0"/>
            </w:tcBorders>
          </w:tcPr>
          <w:p>
            <w:pPr>
              <w:pStyle w:val="TableText"/>
              <w:ind w:left="587"/>
              <w:spacing w:before="56" w:line="177" w:lineRule="auto"/>
              <w:rPr/>
            </w:pPr>
            <w:r>
              <w:rPr>
                <w:spacing w:val="-6"/>
              </w:rPr>
              <w:t>13.</w:t>
            </w:r>
          </w:p>
        </w:tc>
        <w:tc>
          <w:tcPr>
            <w:tcW w:w="1342" w:type="dxa"/>
            <w:vAlign w:val="top"/>
            <w:tcBorders>
              <w:bottom w:val="single" w:color="000000" w:sz="4" w:space="0"/>
              <w:top w:val="single" w:color="000000" w:sz="4" w:space="0"/>
            </w:tcBorders>
          </w:tcPr>
          <w:p>
            <w:pPr>
              <w:pStyle w:val="TableText"/>
              <w:ind w:left="301"/>
              <w:spacing w:before="35" w:line="196" w:lineRule="auto"/>
              <w:rPr/>
            </w:pPr>
            <w:r>
              <w:rPr>
                <w:spacing w:val="11"/>
              </w:rPr>
              <w:t>见31.1.</w:t>
            </w:r>
          </w:p>
        </w:tc>
      </w:tr>
      <w:tr>
        <w:trPr>
          <w:trHeight w:val="263" w:hRule="atLeast"/>
        </w:trPr>
        <w:tc>
          <w:tcPr>
            <w:tcW w:w="7570" w:type="dxa"/>
            <w:vAlign w:val="top"/>
            <w:gridSpan w:val="4"/>
            <w:tcBorders>
              <w:bottom w:val="single" w:color="000000" w:sz="4" w:space="0"/>
              <w:top w:val="single" w:color="000000" w:sz="4" w:space="0"/>
            </w:tcBorders>
          </w:tcPr>
          <w:p>
            <w:pPr>
              <w:pStyle w:val="TableText"/>
              <w:ind w:left="120"/>
              <w:spacing w:before="36" w:line="190" w:lineRule="auto"/>
              <w:rPr/>
            </w:pPr>
            <w:r>
              <w:rPr/>
              <w:t>LE</w:t>
            </w:r>
            <w:r>
              <w:rPr>
                <w:spacing w:val="2"/>
              </w:rPr>
              <w:t>=证帮的级影</w:t>
            </w:r>
          </w:p>
        </w:tc>
      </w:tr>
    </w:tbl>
    <w:p>
      <w:pPr>
        <w:spacing w:line="266" w:lineRule="auto"/>
        <w:rPr>
          <w:rFonts w:ascii="Arial"/>
          <w:sz w:val="21"/>
        </w:rPr>
      </w:pPr>
      <w:r/>
    </w:p>
    <w:p>
      <w:pPr>
        <w:pStyle w:val="BodyText"/>
        <w:ind w:left="759"/>
        <w:spacing w:before="66" w:line="219" w:lineRule="auto"/>
        <w:rPr>
          <w:sz w:val="20"/>
          <w:szCs w:val="20"/>
        </w:rPr>
      </w:pPr>
      <w:r>
        <w:rPr>
          <w:sz w:val="20"/>
          <w:szCs w:val="20"/>
          <w:spacing w:val="10"/>
        </w:rPr>
        <w:t>3.1.5参考文献</w:t>
      </w:r>
    </w:p>
    <w:p>
      <w:pPr>
        <w:ind w:left="369" w:right="13"/>
        <w:spacing w:before="141" w:line="27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1.Smith   RC,Rosenfield   AT,Choe   KA,Essenmacher   KR,Verga   M,Glickman   MG,Lan</w:t>
      </w:r>
      <w:r>
        <w:rPr>
          <w:rFonts w:ascii="Times New Roman" w:hAnsi="Times New Roman" w:eastAsia="Times New Roman" w:cs="Times New Roman"/>
          <w:sz w:val="20"/>
          <w:szCs w:val="20"/>
          <w:spacing w:val="-1"/>
        </w:rPr>
        <w:t>ge   RC.Acute   flank   pain: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Comparison   of</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non-contrast-enhanced   CT   and   intravenous   urography.Radiol   1995;194:78</w:t>
      </w:r>
      <w:r>
        <w:rPr>
          <w:rFonts w:ascii="Times New Roman" w:hAnsi="Times New Roman" w:eastAsia="Times New Roman" w:cs="Times New Roman"/>
          <w:sz w:val="20"/>
          <w:szCs w:val="20"/>
          <w:spacing w:val="-1"/>
        </w:rPr>
        <w:t>9-794.</w:t>
      </w:r>
    </w:p>
    <w:p>
      <w:pPr>
        <w:ind w:left="369"/>
        <w:spacing w:before="157" w:line="192" w:lineRule="auto"/>
        <w:rPr>
          <w:rFonts w:ascii="Times New Roman" w:hAnsi="Times New Roman" w:eastAsia="Times New Roman" w:cs="Times New Roman"/>
          <w:sz w:val="20"/>
          <w:szCs w:val="20"/>
        </w:rPr>
      </w:pPr>
      <w:hyperlink w:history="true" r:id="rId26">
        <w:r>
          <w:rPr>
            <w:rFonts w:ascii="Times New Roman" w:hAnsi="Times New Roman" w:eastAsia="Times New Roman" w:cs="Times New Roman"/>
            <w:sz w:val="20"/>
            <w:szCs w:val="20"/>
          </w:rPr>
          <w:t>http://www.ncbi.nlm.nih.gov/entrez/query.fcgi?cmd=Retrieve&amp;db=pubmed&amp;dopt=Abstract&amp;list_u</w:t>
        </w:r>
        <w:r>
          <w:rPr>
            <w:rFonts w:ascii="Times New Roman" w:hAnsi="Times New Roman" w:eastAsia="Times New Roman" w:cs="Times New Roman"/>
            <w:sz w:val="20"/>
            <w:szCs w:val="20"/>
            <w:spacing w:val="-1"/>
          </w:rPr>
          <w:t>ids=7862980</w:t>
        </w:r>
      </w:hyperlink>
    </w:p>
    <w:p>
      <w:pPr>
        <w:ind w:left="369" w:right="25"/>
        <w:spacing w:before="146" w:line="268" w:lineRule="auto"/>
        <w:rPr>
          <w:rFonts w:ascii="Times New Roman" w:hAnsi="Times New Roman" w:eastAsia="Times New Roman" w:cs="Times New Roman"/>
          <w:sz w:val="20"/>
          <w:szCs w:val="20"/>
        </w:rPr>
      </w:pPr>
      <w:hyperlink w:history="true" r:id="rId26">
        <w:r>
          <w:rPr>
            <w:rFonts w:ascii="Times New Roman" w:hAnsi="Times New Roman" w:eastAsia="Times New Roman" w:cs="Times New Roman"/>
            <w:sz w:val="20"/>
            <w:szCs w:val="20"/>
          </w:rPr>
          <w:t>2.Smith</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rPr>
          <w:t>RC</w:t>
        </w:r>
      </w:hyperlink>
      <w:r>
        <w:rPr>
          <w:rFonts w:ascii="Times New Roman" w:hAnsi="Times New Roman" w:eastAsia="Times New Roman" w:cs="Times New Roman"/>
          <w:sz w:val="20"/>
          <w:szCs w:val="20"/>
        </w:rPr>
        <w:t>,</w:t>
      </w:r>
      <w:hyperlink w:history="true" r:id="rId27">
        <w:r>
          <w:rPr>
            <w:rFonts w:ascii="Times New Roman" w:hAnsi="Times New Roman" w:eastAsia="Times New Roman" w:cs="Times New Roman"/>
            <w:sz w:val="20"/>
            <w:szCs w:val="20"/>
          </w:rPr>
          <w:t>Verga</w:t>
        </w:r>
      </w:hyperlink>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M,MeCarthy</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rPr>
        <w:t>S,Rosenfield</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rPr>
        <w:t>AT.Diagnosis</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rPr>
        <w:t>of  acute   flank</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pain:value   of  </w:t>
      </w:r>
      <w:r>
        <w:rPr>
          <w:rFonts w:ascii="Times New Roman" w:hAnsi="Times New Roman" w:eastAsia="Times New Roman" w:cs="Times New Roman"/>
          <w:sz w:val="20"/>
          <w:szCs w:val="20"/>
          <w:spacing w:val="-1"/>
        </w:rPr>
        <w:t>unenhanced   helical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CT.Am</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23"/>
          <w:w w:val="101"/>
        </w:rPr>
        <w:t xml:space="preserve">  </w:t>
      </w:r>
      <w:r>
        <w:rPr>
          <w:rFonts w:ascii="Times New Roman" w:hAnsi="Times New Roman" w:eastAsia="Times New Roman" w:cs="Times New Roman"/>
          <w:sz w:val="20"/>
          <w:szCs w:val="20"/>
        </w:rPr>
        <w:t>Roentgenol   1996;</w:t>
      </w:r>
      <w:r>
        <w:rPr>
          <w:rFonts w:ascii="Times New Roman" w:hAnsi="Times New Roman" w:eastAsia="Times New Roman" w:cs="Times New Roman"/>
          <w:sz w:val="20"/>
          <w:szCs w:val="20"/>
          <w:spacing w:val="-1"/>
        </w:rPr>
        <w:t>166:97-101.</w:t>
      </w:r>
    </w:p>
    <w:p>
      <w:pPr>
        <w:ind w:left="369"/>
        <w:spacing w:before="166" w:line="192" w:lineRule="auto"/>
        <w:rPr>
          <w:rFonts w:ascii="Times New Roman" w:hAnsi="Times New Roman" w:eastAsia="Times New Roman" w:cs="Times New Roman"/>
          <w:sz w:val="20"/>
          <w:szCs w:val="20"/>
        </w:rPr>
      </w:pPr>
      <w:hyperlink w:history="true" r:id="rId26">
        <w:r>
          <w:rPr>
            <w:rFonts w:ascii="Times New Roman" w:hAnsi="Times New Roman" w:eastAsia="Times New Roman" w:cs="Times New Roman"/>
            <w:sz w:val="20"/>
            <w:szCs w:val="20"/>
          </w:rPr>
          <w:t>http://www.ncbi.nlm.nih.govlentrez/query.fcgi?cmd=Retrieve&amp;db=pubmed&amp;dopt=Abstract&amp;list_u</w:t>
        </w:r>
        <w:r>
          <w:rPr>
            <w:rFonts w:ascii="Times New Roman" w:hAnsi="Times New Roman" w:eastAsia="Times New Roman" w:cs="Times New Roman"/>
            <w:sz w:val="20"/>
            <w:szCs w:val="20"/>
            <w:spacing w:val="-1"/>
          </w:rPr>
          <w:t>ids=8571915</w:t>
        </w:r>
      </w:hyperlink>
    </w:p>
    <w:p>
      <w:pPr>
        <w:ind w:left="369" w:right="21"/>
        <w:spacing w:before="165" w:line="338" w:lineRule="auto"/>
        <w:jc w:val="both"/>
        <w:rPr>
          <w:rFonts w:ascii="Times New Roman" w:hAnsi="Times New Roman" w:eastAsia="Times New Roman" w:cs="Times New Roman"/>
          <w:sz w:val="20"/>
          <w:szCs w:val="20"/>
        </w:rPr>
      </w:pPr>
      <w:hyperlink w:history="true" r:id="rId26">
        <w:r>
          <w:rPr>
            <w:rFonts w:ascii="Times New Roman" w:hAnsi="Times New Roman" w:eastAsia="Times New Roman" w:cs="Times New Roman"/>
            <w:sz w:val="20"/>
            <w:szCs w:val="20"/>
          </w:rPr>
          <w:t>3.Kobayashi</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rPr>
          <w:t>T</w:t>
        </w:r>
      </w:hyperlink>
      <w:r>
        <w:rPr>
          <w:rFonts w:ascii="Times New Roman" w:hAnsi="Times New Roman" w:eastAsia="Times New Roman" w:cs="Times New Roman"/>
          <w:sz w:val="20"/>
          <w:szCs w:val="20"/>
        </w:rPr>
        <w:t>,</w:t>
      </w:r>
      <w:hyperlink w:history="true" r:id="rId28">
        <w:r>
          <w:rPr>
            <w:rFonts w:ascii="Times New Roman" w:hAnsi="Times New Roman" w:eastAsia="Times New Roman" w:cs="Times New Roman"/>
            <w:sz w:val="20"/>
            <w:szCs w:val="20"/>
          </w:rPr>
          <w:t>Nishizawa</w:t>
        </w:r>
      </w:hyperlink>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K,Watanabe</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J,Ogura</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K.Clinical</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rPr>
        <w:t>characteristics</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1"/>
        </w:rPr>
        <w:t>of  ureteral</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1"/>
        </w:rPr>
        <w:t>calculi</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1"/>
        </w:rPr>
        <w:t>detected</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1"/>
        </w:rPr>
        <w:t>by</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1"/>
        </w:rPr>
        <w:t>non-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enhanced   computerized   tomography   after   unclear   results   of   plain   radiography   and   ultrasonography.J   Urol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2003;170:799-802.</w:t>
      </w:r>
    </w:p>
    <w:p>
      <w:pPr>
        <w:ind w:left="369"/>
        <w:spacing w:before="49" w:line="192" w:lineRule="auto"/>
        <w:rPr>
          <w:rFonts w:ascii="Times New Roman" w:hAnsi="Times New Roman" w:eastAsia="Times New Roman" w:cs="Times New Roman"/>
          <w:sz w:val="20"/>
          <w:szCs w:val="20"/>
        </w:rPr>
      </w:pPr>
      <w:hyperlink w:history="true" r:id="rId26">
        <w:r>
          <w:rPr>
            <w:rFonts w:ascii="Times New Roman" w:hAnsi="Times New Roman" w:eastAsia="Times New Roman" w:cs="Times New Roman"/>
            <w:sz w:val="20"/>
            <w:szCs w:val="20"/>
          </w:rPr>
          <w:t>http://www.ncbi.nlm.nih.govlentrez/query.fcgi?cmd=Retrieve&amp;db=pubmed&amp;dopt=Abstract&amp;list_ui</w:t>
        </w:r>
        <w:r>
          <w:rPr>
            <w:rFonts w:ascii="Times New Roman" w:hAnsi="Times New Roman" w:eastAsia="Times New Roman" w:cs="Times New Roman"/>
            <w:sz w:val="20"/>
            <w:szCs w:val="20"/>
            <w:spacing w:val="-1"/>
          </w:rPr>
          <w:t>ds=12913701</w:t>
        </w:r>
      </w:hyperlink>
    </w:p>
    <w:p>
      <w:pPr>
        <w:ind w:left="369" w:right="24"/>
        <w:spacing w:before="156" w:line="263" w:lineRule="auto"/>
        <w:rPr>
          <w:rFonts w:ascii="Times New Roman" w:hAnsi="Times New Roman" w:eastAsia="Times New Roman" w:cs="Times New Roman"/>
          <w:sz w:val="20"/>
          <w:szCs w:val="20"/>
        </w:rPr>
      </w:pPr>
      <w:hyperlink w:history="true" r:id="rId26">
        <w:r>
          <w:rPr>
            <w:rFonts w:ascii="Times New Roman" w:hAnsi="Times New Roman" w:eastAsia="Times New Roman" w:cs="Times New Roman"/>
            <w:sz w:val="20"/>
            <w:szCs w:val="20"/>
          </w:rPr>
          <w:t>4.Sudah   M</w:t>
        </w:r>
      </w:hyperlink>
      <w:r>
        <w:rPr>
          <w:rFonts w:ascii="Times New Roman" w:hAnsi="Times New Roman" w:eastAsia="Times New Roman" w:cs="Times New Roman"/>
          <w:sz w:val="20"/>
          <w:szCs w:val="20"/>
        </w:rPr>
        <w:t>,</w:t>
      </w:r>
      <w:hyperlink w:history="true" r:id="rId29">
        <w:r>
          <w:rPr>
            <w:rFonts w:ascii="Times New Roman" w:hAnsi="Times New Roman" w:eastAsia="Times New Roman" w:cs="Times New Roman"/>
            <w:sz w:val="20"/>
            <w:szCs w:val="20"/>
          </w:rPr>
          <w:t>Vanninen</w:t>
        </w:r>
      </w:hyperlink>
      <w:r>
        <w:rPr>
          <w:rFonts w:ascii="Times New Roman" w:hAnsi="Times New Roman" w:eastAsia="Times New Roman" w:cs="Times New Roman"/>
          <w:sz w:val="20"/>
          <w:szCs w:val="20"/>
        </w:rPr>
        <w:t xml:space="preserve">    RL,Partanen    K,Kainulainen    S,Malinen   A,Heino    A,Ala-Opas </w:t>
      </w:r>
      <w:r>
        <w:rPr>
          <w:rFonts w:ascii="Times New Roman" w:hAnsi="Times New Roman" w:eastAsia="Times New Roman" w:cs="Times New Roman"/>
          <w:sz w:val="20"/>
          <w:szCs w:val="20"/>
          <w:spacing w:val="-1"/>
        </w:rPr>
        <w:t xml:space="preserve">   M.Patients   with    acute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flank</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pain</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comparison</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MR</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urography</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with</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unenhanced</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helical</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CT</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Radiol</w:t>
      </w:r>
      <w:r>
        <w:rPr>
          <w:rFonts w:ascii="Times New Roman" w:hAnsi="Times New Roman" w:eastAsia="Times New Roman" w:cs="Times New Roman"/>
          <w:sz w:val="20"/>
          <w:szCs w:val="20"/>
          <w:spacing w:val="1"/>
        </w:rPr>
        <w:t xml:space="preserve">  2002;223:98-105.</w:t>
      </w:r>
    </w:p>
    <w:p>
      <w:pPr>
        <w:ind w:left="369"/>
        <w:spacing w:before="166" w:line="192" w:lineRule="auto"/>
        <w:rPr>
          <w:rFonts w:ascii="Times New Roman" w:hAnsi="Times New Roman" w:eastAsia="Times New Roman" w:cs="Times New Roman"/>
          <w:sz w:val="20"/>
          <w:szCs w:val="20"/>
        </w:rPr>
      </w:pPr>
      <w:hyperlink w:history="true" r:id="rId26">
        <w:r>
          <w:rPr>
            <w:rFonts w:ascii="Times New Roman" w:hAnsi="Times New Roman" w:eastAsia="Times New Roman" w:cs="Times New Roman"/>
            <w:sz w:val="20"/>
            <w:szCs w:val="20"/>
          </w:rPr>
          <w:t>http://www.ncbi.nlm.nih.govlentrez/query.fcgi?cmd=Retrieve&amp;db=pubmed&amp;dopt=Abstract&amp;list_ui</w:t>
        </w:r>
        <w:r>
          <w:rPr>
            <w:rFonts w:ascii="Times New Roman" w:hAnsi="Times New Roman" w:eastAsia="Times New Roman" w:cs="Times New Roman"/>
            <w:sz w:val="20"/>
            <w:szCs w:val="20"/>
            <w:spacing w:val="-1"/>
          </w:rPr>
          <w:t>ds=11930053</w:t>
        </w:r>
      </w:hyperlink>
    </w:p>
    <w:p>
      <w:pPr>
        <w:ind w:left="369" w:right="25"/>
        <w:spacing w:before="156" w:line="297" w:lineRule="auto"/>
        <w:rPr>
          <w:rFonts w:ascii="Times New Roman" w:hAnsi="Times New Roman" w:eastAsia="Times New Roman" w:cs="Times New Roman"/>
          <w:sz w:val="20"/>
          <w:szCs w:val="20"/>
        </w:rPr>
      </w:pPr>
      <w:hyperlink w:history="true" r:id="rId26">
        <w:r>
          <w:rPr>
            <w:rFonts w:ascii="Times New Roman" w:hAnsi="Times New Roman" w:eastAsia="Times New Roman" w:cs="Times New Roman"/>
            <w:sz w:val="20"/>
            <w:szCs w:val="20"/>
          </w:rPr>
          <w:t>5.Homer   JA</w:t>
        </w:r>
      </w:hyperlink>
      <w:r>
        <w:rPr>
          <w:rFonts w:ascii="Times New Roman" w:hAnsi="Times New Roman" w:eastAsia="Times New Roman" w:cs="Times New Roman"/>
          <w:sz w:val="20"/>
          <w:szCs w:val="20"/>
        </w:rPr>
        <w:t>,</w:t>
      </w:r>
      <w:hyperlink w:history="true" r:id="rId30">
        <w:r>
          <w:rPr>
            <w:rFonts w:ascii="Times New Roman" w:hAnsi="Times New Roman" w:eastAsia="Times New Roman" w:cs="Times New Roman"/>
            <w:sz w:val="20"/>
            <w:szCs w:val="20"/>
          </w:rPr>
          <w:t>Davies-Payne</w:t>
        </w:r>
      </w:hyperlink>
      <w:r>
        <w:rPr>
          <w:rFonts w:ascii="Times New Roman" w:hAnsi="Times New Roman" w:eastAsia="Times New Roman" w:cs="Times New Roman"/>
          <w:sz w:val="20"/>
          <w:szCs w:val="20"/>
        </w:rPr>
        <w:t xml:space="preserve">    DL,Peddinti   BS.Randomized    prospective    comparison   of</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non-contrast    enha</w:t>
      </w:r>
      <w:r>
        <w:rPr>
          <w:rFonts w:ascii="Times New Roman" w:hAnsi="Times New Roman" w:eastAsia="Times New Roman" w:cs="Times New Roman"/>
          <w:sz w:val="20"/>
          <w:szCs w:val="20"/>
          <w:spacing w:val="-1"/>
        </w:rPr>
        <w:t>nced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helical</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computed  tomography   and</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intravenous  urography   in  </w:t>
      </w:r>
      <w:r>
        <w:rPr>
          <w:rFonts w:ascii="Times New Roman" w:hAnsi="Times New Roman" w:eastAsia="Times New Roman" w:cs="Times New Roman"/>
          <w:sz w:val="20"/>
          <w:szCs w:val="20"/>
          <w:spacing w:val="-1"/>
        </w:rPr>
        <w:t>the   diagnosis</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1"/>
        </w:rPr>
        <w:t>of  acute  ureteric   colic.Aus   Radiol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2001;45:285-290.</w:t>
      </w:r>
    </w:p>
    <w:p>
      <w:pPr>
        <w:ind w:left="369"/>
        <w:spacing w:before="176" w:line="192" w:lineRule="auto"/>
        <w:rPr>
          <w:rFonts w:ascii="Times New Roman" w:hAnsi="Times New Roman" w:eastAsia="Times New Roman" w:cs="Times New Roman"/>
          <w:sz w:val="20"/>
          <w:szCs w:val="20"/>
        </w:rPr>
      </w:pPr>
      <w:hyperlink w:history="true" r:id="rId26">
        <w:r>
          <w:rPr>
            <w:rFonts w:ascii="Times New Roman" w:hAnsi="Times New Roman" w:eastAsia="Times New Roman" w:cs="Times New Roman"/>
            <w:sz w:val="20"/>
            <w:szCs w:val="20"/>
          </w:rPr>
          <w:t>http://www.ncbi.nlm.nih.govlentrezlquery.fcgi?cmd=Retrieve&amp;db=pubmed&amp;dopt=Abstract&amp;list_ui</w:t>
        </w:r>
        <w:r>
          <w:rPr>
            <w:rFonts w:ascii="Times New Roman" w:hAnsi="Times New Roman" w:eastAsia="Times New Roman" w:cs="Times New Roman"/>
            <w:sz w:val="20"/>
            <w:szCs w:val="20"/>
            <w:spacing w:val="-1"/>
          </w:rPr>
          <w:t>ds=11531750</w:t>
        </w:r>
      </w:hyperlink>
    </w:p>
    <w:p>
      <w:pPr>
        <w:ind w:left="369" w:right="28"/>
        <w:spacing w:before="156" w:line="339" w:lineRule="auto"/>
        <w:rPr>
          <w:rFonts w:ascii="Times New Roman" w:hAnsi="Times New Roman" w:eastAsia="Times New Roman" w:cs="Times New Roman"/>
          <w:sz w:val="20"/>
          <w:szCs w:val="20"/>
        </w:rPr>
      </w:pPr>
      <w:hyperlink w:history="true" r:id="rId26">
        <w:r>
          <w:rPr>
            <w:rFonts w:ascii="Times New Roman" w:hAnsi="Times New Roman" w:eastAsia="Times New Roman" w:cs="Times New Roman"/>
            <w:sz w:val="20"/>
            <w:szCs w:val="20"/>
            <w:spacing w:val="1"/>
          </w:rPr>
          <w:t>6.</w:t>
        </w:r>
        <w:r>
          <w:rPr>
            <w:rFonts w:ascii="Times New Roman" w:hAnsi="Times New Roman" w:eastAsia="Times New Roman" w:cs="Times New Roman"/>
            <w:sz w:val="20"/>
            <w:szCs w:val="20"/>
          </w:rPr>
          <w:t>Shokeir</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AA</w:t>
        </w:r>
      </w:hyperlink>
      <w:r>
        <w:rPr>
          <w:rFonts w:ascii="Times New Roman" w:hAnsi="Times New Roman" w:eastAsia="Times New Roman" w:cs="Times New Roman"/>
          <w:sz w:val="20"/>
          <w:szCs w:val="20"/>
          <w:spacing w:val="1"/>
        </w:rPr>
        <w:t>,</w:t>
      </w:r>
      <w:hyperlink w:history="true" r:id="rId31">
        <w:r>
          <w:rPr>
            <w:rFonts w:ascii="Times New Roman" w:hAnsi="Times New Roman" w:eastAsia="Times New Roman" w:cs="Times New Roman"/>
            <w:sz w:val="20"/>
            <w:szCs w:val="20"/>
          </w:rPr>
          <w:t>Abdulmaaboud</w:t>
        </w:r>
      </w:hyperlink>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M</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Prospective</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comparison</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non</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enhanced</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helical</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computerized</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tomography</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Doppler</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ultrasonography</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diagnosis</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renal</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colic</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Urol</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1"/>
        </w:rPr>
        <w:t>2001;165:1082</w:t>
      </w:r>
      <w:r>
        <w:rPr>
          <w:rFonts w:ascii="Times New Roman" w:hAnsi="Times New Roman" w:eastAsia="Times New Roman" w:cs="Times New Roman"/>
          <w:sz w:val="20"/>
          <w:szCs w:val="20"/>
        </w:rPr>
        <w:t>-1084.</w:t>
      </w:r>
    </w:p>
    <w:p>
      <w:pPr>
        <w:ind w:left="369"/>
        <w:spacing w:before="21" w:line="192" w:lineRule="auto"/>
        <w:rPr>
          <w:rFonts w:ascii="Times New Roman" w:hAnsi="Times New Roman" w:eastAsia="Times New Roman" w:cs="Times New Roman"/>
          <w:sz w:val="20"/>
          <w:szCs w:val="20"/>
        </w:rPr>
      </w:pPr>
      <w:hyperlink w:history="true" r:id="rId26">
        <w:r>
          <w:rPr>
            <w:rFonts w:ascii="Times New Roman" w:hAnsi="Times New Roman" w:eastAsia="Times New Roman" w:cs="Times New Roman"/>
            <w:sz w:val="20"/>
            <w:szCs w:val="20"/>
          </w:rPr>
          <w:t>http://www.ncbi.nlm.nih.govlentrez/query.fcgi?cmd=Retrieve&amp;db=pubmed&amp;dopt=Abstract&amp;list_ui</w:t>
        </w:r>
        <w:r>
          <w:rPr>
            <w:rFonts w:ascii="Times New Roman" w:hAnsi="Times New Roman" w:eastAsia="Times New Roman" w:cs="Times New Roman"/>
            <w:sz w:val="20"/>
            <w:szCs w:val="20"/>
            <w:spacing w:val="-1"/>
          </w:rPr>
          <w:t>ds=11257642</w:t>
        </w:r>
      </w:hyperlink>
    </w:p>
    <w:p>
      <w:pPr>
        <w:ind w:left="369"/>
        <w:spacing w:before="147" w:line="337" w:lineRule="auto"/>
        <w:jc w:val="both"/>
        <w:rPr>
          <w:rFonts w:ascii="Times New Roman" w:hAnsi="Times New Roman" w:eastAsia="Times New Roman" w:cs="Times New Roman"/>
          <w:sz w:val="20"/>
          <w:szCs w:val="20"/>
        </w:rPr>
      </w:pPr>
      <w:hyperlink w:history="true" r:id="rId26">
        <w:r>
          <w:rPr>
            <w:rFonts w:ascii="Times New Roman" w:hAnsi="Times New Roman" w:eastAsia="Times New Roman" w:cs="Times New Roman"/>
            <w:sz w:val="20"/>
            <w:szCs w:val="20"/>
            <w:spacing w:val="-1"/>
          </w:rPr>
          <w:t>7.Gray     Sears     </w:t>
        </w:r>
        <w:r>
          <w:rPr>
            <w:rFonts w:ascii="Times New Roman" w:hAnsi="Times New Roman" w:eastAsia="Times New Roman" w:cs="Times New Roman"/>
            <w:sz w:val="20"/>
            <w:szCs w:val="20"/>
          </w:rPr>
          <w:t>CL</w:t>
        </w:r>
      </w:hyperlink>
      <w:r>
        <w:rPr>
          <w:rFonts w:ascii="Times New Roman" w:hAnsi="Times New Roman" w:eastAsia="Times New Roman" w:cs="Times New Roman"/>
          <w:sz w:val="20"/>
          <w:szCs w:val="20"/>
        </w:rPr>
        <w:t>,</w:t>
      </w:r>
      <w:hyperlink w:history="true" r:id="rId32">
        <w:r>
          <w:rPr>
            <w:rFonts w:ascii="Times New Roman" w:hAnsi="Times New Roman" w:eastAsia="Times New Roman" w:cs="Times New Roman"/>
            <w:sz w:val="20"/>
            <w:szCs w:val="20"/>
          </w:rPr>
          <w:t>Ward</w:t>
        </w:r>
      </w:hyperlink>
      <w:r>
        <w:rPr>
          <w:rFonts w:ascii="Times New Roman" w:hAnsi="Times New Roman" w:eastAsia="Times New Roman" w:cs="Times New Roman"/>
          <w:sz w:val="20"/>
          <w:szCs w:val="20"/>
        </w:rPr>
        <w:t xml:space="preserve">      JF,Sears     ST,Puck</w:t>
      </w:r>
      <w:r>
        <w:rPr>
          <w:rFonts w:ascii="Times New Roman" w:hAnsi="Times New Roman" w:eastAsia="Times New Roman" w:cs="Times New Roman"/>
          <w:sz w:val="20"/>
          <w:szCs w:val="20"/>
          <w:spacing w:val="-1"/>
        </w:rPr>
        <w:t>ett     MF,Kane      CJ,Amling     CL.Prospective     comparison      o</w:t>
      </w:r>
      <w:r>
        <w:rPr>
          <w:rFonts w:ascii="Times New Roman" w:hAnsi="Times New Roman" w:eastAsia="Times New Roman" w:cs="Times New Roman"/>
          <w:sz w:val="20"/>
          <w:szCs w:val="20"/>
          <w:spacing w:val="20"/>
        </w:rPr>
        <w:t>f</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computerized  tomography  and</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excretory</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urography</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initial</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evaluation</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of  asymptomatic</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micro</w:t>
      </w:r>
      <w:r>
        <w:rPr>
          <w:rFonts w:ascii="Times New Roman" w:hAnsi="Times New Roman" w:eastAsia="Times New Roman" w:cs="Times New Roman"/>
          <w:sz w:val="20"/>
          <w:szCs w:val="20"/>
          <w:spacing w:val="-1"/>
        </w:rPr>
        <w:t>hematuria.J</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Urol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2002;168:2457-2460.</w:t>
      </w:r>
    </w:p>
    <w:p>
      <w:pPr>
        <w:ind w:left="369"/>
        <w:spacing w:before="60" w:line="192" w:lineRule="auto"/>
        <w:rPr>
          <w:rFonts w:ascii="Times New Roman" w:hAnsi="Times New Roman" w:eastAsia="Times New Roman" w:cs="Times New Roman"/>
          <w:sz w:val="20"/>
          <w:szCs w:val="20"/>
        </w:rPr>
      </w:pPr>
      <w:hyperlink w:history="true" r:id="rId26">
        <w:r>
          <w:rPr>
            <w:rFonts w:ascii="Times New Roman" w:hAnsi="Times New Roman" w:eastAsia="Times New Roman" w:cs="Times New Roman"/>
            <w:sz w:val="20"/>
            <w:szCs w:val="20"/>
          </w:rPr>
          <w:t>http://www.ncbi.nlm.nih.govlentrezlquery.fcgi?cmd=Retrieve&amp;db=pubmed&amp;dopt=Abstract&amp;list_ui</w:t>
        </w:r>
        <w:r>
          <w:rPr>
            <w:rFonts w:ascii="Times New Roman" w:hAnsi="Times New Roman" w:eastAsia="Times New Roman" w:cs="Times New Roman"/>
            <w:sz w:val="20"/>
            <w:szCs w:val="20"/>
            <w:spacing w:val="-1"/>
          </w:rPr>
          <w:t>ds=12441939</w:t>
        </w:r>
      </w:hyperlink>
    </w:p>
    <w:p>
      <w:pPr>
        <w:ind w:left="369" w:right="15"/>
        <w:spacing w:before="137" w:line="370" w:lineRule="auto"/>
        <w:rPr>
          <w:rFonts w:ascii="Times New Roman" w:hAnsi="Times New Roman" w:eastAsia="Times New Roman" w:cs="Times New Roman"/>
          <w:sz w:val="20"/>
          <w:szCs w:val="20"/>
        </w:rPr>
      </w:pPr>
      <w:hyperlink w:history="true" r:id="rId26">
        <w:r>
          <w:rPr>
            <w:rFonts w:ascii="Times New Roman" w:hAnsi="Times New Roman" w:eastAsia="Times New Roman" w:cs="Times New Roman"/>
            <w:sz w:val="20"/>
            <w:szCs w:val="20"/>
          </w:rPr>
          <w:t>8.Miller   OF</w:t>
        </w:r>
      </w:hyperlink>
      <w:r>
        <w:rPr>
          <w:rFonts w:ascii="Times New Roman" w:hAnsi="Times New Roman" w:eastAsia="Times New Roman" w:cs="Times New Roman"/>
          <w:sz w:val="20"/>
          <w:szCs w:val="20"/>
        </w:rPr>
        <w:t>,</w:t>
      </w:r>
      <w:hyperlink w:history="true" r:id="rId33">
        <w:r>
          <w:rPr>
            <w:rFonts w:ascii="Times New Roman" w:hAnsi="Times New Roman" w:eastAsia="Times New Roman" w:cs="Times New Roman"/>
            <w:sz w:val="20"/>
            <w:szCs w:val="20"/>
          </w:rPr>
          <w:t>Rinner</w:t>
        </w:r>
      </w:hyperlink>
      <w:r>
        <w:rPr>
          <w:rFonts w:ascii="Times New Roman" w:hAnsi="Times New Roman" w:eastAsia="Times New Roman" w:cs="Times New Roman"/>
          <w:sz w:val="20"/>
          <w:szCs w:val="20"/>
        </w:rPr>
        <w:t xml:space="preserve">    SK,Reichard    SR,Buckley    RG,Donovan   MS,Graham    </w:t>
      </w:r>
      <w:r>
        <w:rPr>
          <w:rFonts w:ascii="Times New Roman" w:hAnsi="Times New Roman" w:eastAsia="Times New Roman" w:cs="Times New Roman"/>
          <w:sz w:val="20"/>
          <w:szCs w:val="20"/>
          <w:spacing w:val="-1"/>
        </w:rPr>
        <w:t>IR,Goff   WB,Kane    CJ.Prospective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comparison</w:t>
      </w:r>
      <w:r>
        <w:rPr>
          <w:rFonts w:ascii="Times New Roman" w:hAnsi="Times New Roman" w:eastAsia="Times New Roman" w:cs="Times New Roman"/>
          <w:sz w:val="20"/>
          <w:szCs w:val="20"/>
          <w:spacing w:val="46"/>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rPr>
        <w:t>unenhanced</w:t>
      </w:r>
      <w:r>
        <w:rPr>
          <w:rFonts w:ascii="Times New Roman" w:hAnsi="Times New Roman" w:eastAsia="Times New Roman" w:cs="Times New Roman"/>
          <w:sz w:val="20"/>
          <w:szCs w:val="20"/>
          <w:spacing w:val="45"/>
          <w:w w:val="101"/>
        </w:rPr>
        <w:t xml:space="preserve"> </w:t>
      </w:r>
      <w:r>
        <w:rPr>
          <w:rFonts w:ascii="Times New Roman" w:hAnsi="Times New Roman" w:eastAsia="Times New Roman" w:cs="Times New Roman"/>
          <w:sz w:val="20"/>
          <w:szCs w:val="20"/>
        </w:rPr>
        <w:t>computed</w:t>
      </w:r>
      <w:r>
        <w:rPr>
          <w:rFonts w:ascii="Times New Roman" w:hAnsi="Times New Roman" w:eastAsia="Times New Roman" w:cs="Times New Roman"/>
          <w:sz w:val="20"/>
          <w:szCs w:val="20"/>
          <w:spacing w:val="41"/>
        </w:rPr>
        <w:t xml:space="preserve"> </w:t>
      </w:r>
      <w:r>
        <w:rPr>
          <w:rFonts w:ascii="Times New Roman" w:hAnsi="Times New Roman" w:eastAsia="Times New Roman" w:cs="Times New Roman"/>
          <w:sz w:val="20"/>
          <w:szCs w:val="20"/>
        </w:rPr>
        <w:t>tomography</w:t>
      </w:r>
      <w:r>
        <w:rPr>
          <w:rFonts w:ascii="Times New Roman" w:hAnsi="Times New Roman" w:eastAsia="Times New Roman" w:cs="Times New Roman"/>
          <w:sz w:val="20"/>
          <w:szCs w:val="20"/>
          <w:spacing w:val="46"/>
          <w:w w:val="101"/>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45"/>
        </w:rPr>
        <w:t xml:space="preserve"> </w:t>
      </w:r>
      <w:r>
        <w:rPr>
          <w:rFonts w:ascii="Times New Roman" w:hAnsi="Times New Roman" w:eastAsia="Times New Roman" w:cs="Times New Roman"/>
          <w:sz w:val="20"/>
          <w:szCs w:val="20"/>
        </w:rPr>
        <w:t>intravenous</w:t>
      </w:r>
      <w:r>
        <w:rPr>
          <w:rFonts w:ascii="Times New Roman" w:hAnsi="Times New Roman" w:eastAsia="Times New Roman" w:cs="Times New Roman"/>
          <w:sz w:val="20"/>
          <w:szCs w:val="20"/>
          <w:spacing w:val="39"/>
          <w:w w:val="101"/>
        </w:rPr>
        <w:t xml:space="preserve"> </w:t>
      </w:r>
      <w:r>
        <w:rPr>
          <w:rFonts w:ascii="Times New Roman" w:hAnsi="Times New Roman" w:eastAsia="Times New Roman" w:cs="Times New Roman"/>
          <w:sz w:val="20"/>
          <w:szCs w:val="20"/>
        </w:rPr>
        <w:t>ur</w:t>
      </w:r>
      <w:r>
        <w:rPr>
          <w:rFonts w:ascii="Times New Roman" w:hAnsi="Times New Roman" w:eastAsia="Times New Roman" w:cs="Times New Roman"/>
          <w:sz w:val="20"/>
          <w:szCs w:val="20"/>
          <w:spacing w:val="-1"/>
        </w:rPr>
        <w:t>ogram</w:t>
      </w:r>
      <w:r>
        <w:rPr>
          <w:rFonts w:ascii="Times New Roman" w:hAnsi="Times New Roman" w:eastAsia="Times New Roman" w:cs="Times New Roman"/>
          <w:sz w:val="20"/>
          <w:szCs w:val="20"/>
          <w:spacing w:val="45"/>
          <w:w w:val="101"/>
        </w:rPr>
        <w:t xml:space="preserve"> </w:t>
      </w:r>
      <w:r>
        <w:rPr>
          <w:rFonts w:ascii="Times New Roman" w:hAnsi="Times New Roman" w:eastAsia="Times New Roman" w:cs="Times New Roman"/>
          <w:sz w:val="20"/>
          <w:szCs w:val="20"/>
          <w:spacing w:val="-1"/>
        </w:rPr>
        <w:t>in</w:t>
      </w:r>
      <w:r>
        <w:rPr>
          <w:rFonts w:ascii="Times New Roman" w:hAnsi="Times New Roman" w:eastAsia="Times New Roman" w:cs="Times New Roman"/>
          <w:sz w:val="20"/>
          <w:szCs w:val="20"/>
          <w:spacing w:val="41"/>
        </w:rPr>
        <w:t xml:space="preserve"> </w:t>
      </w:r>
      <w:r>
        <w:rPr>
          <w:rFonts w:ascii="Times New Roman" w:hAnsi="Times New Roman" w:eastAsia="Times New Roman" w:cs="Times New Roman"/>
          <w:sz w:val="20"/>
          <w:szCs w:val="20"/>
          <w:spacing w:val="-1"/>
        </w:rPr>
        <w:t>the</w:t>
      </w:r>
      <w:r>
        <w:rPr>
          <w:rFonts w:ascii="Times New Roman" w:hAnsi="Times New Roman" w:eastAsia="Times New Roman" w:cs="Times New Roman"/>
          <w:sz w:val="20"/>
          <w:szCs w:val="20"/>
          <w:spacing w:val="47"/>
        </w:rPr>
        <w:t xml:space="preserve"> </w:t>
      </w:r>
      <w:r>
        <w:rPr>
          <w:rFonts w:ascii="Times New Roman" w:hAnsi="Times New Roman" w:eastAsia="Times New Roman" w:cs="Times New Roman"/>
          <w:sz w:val="20"/>
          <w:szCs w:val="20"/>
          <w:spacing w:val="-1"/>
        </w:rPr>
        <w:t>evaluation</w:t>
      </w:r>
      <w:r>
        <w:rPr>
          <w:rFonts w:ascii="Times New Roman" w:hAnsi="Times New Roman" w:eastAsia="Times New Roman" w:cs="Times New Roman"/>
          <w:sz w:val="20"/>
          <w:szCs w:val="20"/>
          <w:spacing w:val="46"/>
        </w:rPr>
        <w:t xml:space="preserve"> </w:t>
      </w:r>
      <w:r>
        <w:rPr>
          <w:rFonts w:ascii="Times New Roman" w:hAnsi="Times New Roman" w:eastAsia="Times New Roman" w:cs="Times New Roman"/>
          <w:sz w:val="20"/>
          <w:szCs w:val="20"/>
          <w:spacing w:val="-1"/>
        </w:rPr>
        <w:t>of</w:t>
      </w:r>
      <w:r>
        <w:rPr>
          <w:rFonts w:ascii="Times New Roman" w:hAnsi="Times New Roman" w:eastAsia="Times New Roman" w:cs="Times New Roman"/>
          <w:sz w:val="20"/>
          <w:szCs w:val="20"/>
          <w:spacing w:val="26"/>
          <w:w w:val="101"/>
        </w:rPr>
        <w:t xml:space="preserve"> </w:t>
      </w:r>
      <w:r>
        <w:rPr>
          <w:rFonts w:ascii="Times New Roman" w:hAnsi="Times New Roman" w:eastAsia="Times New Roman" w:cs="Times New Roman"/>
          <w:sz w:val="20"/>
          <w:szCs w:val="20"/>
          <w:spacing w:val="-1"/>
        </w:rPr>
        <w:t>acute</w:t>
      </w:r>
      <w:r>
        <w:rPr>
          <w:rFonts w:ascii="Times New Roman" w:hAnsi="Times New Roman" w:eastAsia="Times New Roman" w:cs="Times New Roman"/>
          <w:sz w:val="20"/>
          <w:szCs w:val="20"/>
          <w:spacing w:val="47"/>
        </w:rPr>
        <w:t xml:space="preserve"> </w:t>
      </w:r>
      <w:r>
        <w:rPr>
          <w:rFonts w:ascii="Times New Roman" w:hAnsi="Times New Roman" w:eastAsia="Times New Roman" w:cs="Times New Roman"/>
          <w:sz w:val="20"/>
          <w:szCs w:val="20"/>
          <w:spacing w:val="-1"/>
        </w:rPr>
        <w:t>flank</w:t>
      </w:r>
      <w:r>
        <w:rPr>
          <w:rFonts w:ascii="Times New Roman" w:hAnsi="Times New Roman" w:eastAsia="Times New Roman" w:cs="Times New Roman"/>
          <w:sz w:val="20"/>
          <w:szCs w:val="20"/>
          <w:spacing w:val="38"/>
        </w:rPr>
        <w:t xml:space="preserve"> </w:t>
      </w:r>
      <w:r>
        <w:rPr>
          <w:rFonts w:ascii="Times New Roman" w:hAnsi="Times New Roman" w:eastAsia="Times New Roman" w:cs="Times New Roman"/>
          <w:sz w:val="20"/>
          <w:szCs w:val="20"/>
          <w:spacing w:val="-1"/>
        </w:rPr>
        <w:t>pain.</w:t>
      </w:r>
    </w:p>
    <w:p>
      <w:pPr>
        <w:ind w:left="4840"/>
        <w:spacing w:before="75"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rPr>
        <w:t>—185—</w:t>
      </w:r>
    </w:p>
    <w:p>
      <w:pPr>
        <w:spacing w:line="371" w:lineRule="auto"/>
        <w:rPr>
          <w:rFonts w:ascii="Arial"/>
          <w:sz w:val="21"/>
        </w:rPr>
      </w:pPr>
      <w:r/>
    </w:p>
    <w:p>
      <w:pPr>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(C)1994-2023  China  Academic</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Journal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Electronic</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Publishing</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House.All</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rights</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reserved.    </w:t>
      </w:r>
      <w:hyperlink w:history="true" r:id="rId4">
        <w:r>
          <w:rPr>
            <w:rFonts w:ascii="Times New Roman" w:hAnsi="Times New Roman" w:eastAsia="Times New Roman" w:cs="Times New Roman"/>
            <w:sz w:val="20"/>
            <w:szCs w:val="20"/>
          </w:rPr>
          <w:t>http://www.c</w:t>
        </w:r>
        <w:r>
          <w:rPr>
            <w:rFonts w:ascii="Times New Roman" w:hAnsi="Times New Roman" w:eastAsia="Times New Roman" w:cs="Times New Roman"/>
            <w:sz w:val="20"/>
            <w:szCs w:val="20"/>
            <w:spacing w:val="-1"/>
          </w:rPr>
          <w:t>nki.net</w:t>
        </w:r>
      </w:hyperlink>
    </w:p>
    <w:p>
      <w:pPr>
        <w:spacing w:line="192" w:lineRule="auto"/>
        <w:sectPr>
          <w:headerReference w:type="default" r:id="rId5"/>
          <w:pgSz w:w="11850" w:h="16140"/>
          <w:pgMar w:top="400" w:right="1510" w:bottom="0" w:left="380" w:header="0" w:footer="0" w:gutter="0"/>
        </w:sectPr>
        <w:rPr>
          <w:rFonts w:ascii="Times New Roman" w:hAnsi="Times New Roman" w:eastAsia="Times New Roman" w:cs="Times New Roman"/>
          <w:sz w:val="20"/>
          <w:szCs w:val="20"/>
        </w:rPr>
      </w:pPr>
    </w:p>
    <w:p>
      <w:pPr>
        <w:ind w:firstLine="659"/>
        <w:spacing w:before="199" w:line="510" w:lineRule="exact"/>
        <w:rPr/>
      </w:pPr>
      <w:r>
        <w:rPr>
          <w:position w:val="-10"/>
        </w:rPr>
        <w:drawing>
          <wp:inline distT="0" distB="0" distL="0" distR="0">
            <wp:extent cx="1720910" cy="323864"/>
            <wp:effectExtent l="0" t="0" r="0" b="0"/>
            <wp:docPr id="42" name="IM 42"/>
            <wp:cNvGraphicFramePr/>
            <a:graphic>
              <a:graphicData uri="http://schemas.openxmlformats.org/drawingml/2006/picture">
                <pic:pic>
                  <pic:nvPicPr>
                    <pic:cNvPr id="42" name="IM 42"/>
                    <pic:cNvPicPr/>
                  </pic:nvPicPr>
                  <pic:blipFill>
                    <a:blip r:embed="rId34"/>
                    <a:stretch>
                      <a:fillRect/>
                    </a:stretch>
                  </pic:blipFill>
                  <pic:spPr>
                    <a:xfrm rot="0">
                      <a:off x="0" y="0"/>
                      <a:ext cx="1720910" cy="323864"/>
                    </a:xfrm>
                    <a:prstGeom prst="rect">
                      <a:avLst/>
                    </a:prstGeom>
                  </pic:spPr>
                </pic:pic>
              </a:graphicData>
            </a:graphic>
          </wp:inline>
        </w:drawing>
      </w:r>
    </w:p>
    <w:p>
      <w:pPr>
        <w:ind w:left="749"/>
        <w:spacing w:before="25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Urology    1998;52:982-987.</w:t>
      </w:r>
    </w:p>
    <w:p>
      <w:pPr>
        <w:ind w:left="629"/>
        <w:spacing w:before="156" w:line="192" w:lineRule="auto"/>
        <w:rPr>
          <w:rFonts w:ascii="Times New Roman" w:hAnsi="Times New Roman" w:eastAsia="Times New Roman" w:cs="Times New Roman"/>
          <w:sz w:val="20"/>
          <w:szCs w:val="20"/>
        </w:rPr>
      </w:pPr>
      <w:hyperlink w:history="true" r:id="rId35">
        <w:r>
          <w:rPr>
            <w:rFonts w:ascii="Times New Roman" w:hAnsi="Times New Roman" w:eastAsia="Times New Roman" w:cs="Times New Roman"/>
            <w:sz w:val="20"/>
            <w:szCs w:val="20"/>
          </w:rPr>
          <w:t>http://www.ncbi.nlm.nih.govlentrez/query.fcgi?cmd=Retrieve&amp;db=pubmed&amp;dopt=Abstract&amp;list_u</w:t>
        </w:r>
        <w:r>
          <w:rPr>
            <w:rFonts w:ascii="Times New Roman" w:hAnsi="Times New Roman" w:eastAsia="Times New Roman" w:cs="Times New Roman"/>
            <w:sz w:val="20"/>
            <w:szCs w:val="20"/>
            <w:spacing w:val="-1"/>
          </w:rPr>
          <w:t>ids=9836541</w:t>
        </w:r>
      </w:hyperlink>
    </w:p>
    <w:p>
      <w:pPr>
        <w:ind w:left="629"/>
        <w:spacing w:before="144" w:line="294" w:lineRule="auto"/>
        <w:rPr>
          <w:rFonts w:ascii="Times New Roman" w:hAnsi="Times New Roman" w:eastAsia="Times New Roman" w:cs="Times New Roman"/>
          <w:sz w:val="20"/>
          <w:szCs w:val="20"/>
        </w:rPr>
      </w:pPr>
      <w:hyperlink w:history="true" r:id="rId35">
        <w:r>
          <w:rPr>
            <w:rFonts w:ascii="Times New Roman" w:hAnsi="Times New Roman" w:eastAsia="Times New Roman" w:cs="Times New Roman"/>
            <w:sz w:val="20"/>
            <w:szCs w:val="20"/>
          </w:rPr>
          <w:t>9.Dalrymple    NC</w:t>
        </w:r>
      </w:hyperlink>
      <w:r>
        <w:rPr>
          <w:rFonts w:ascii="Times New Roman" w:hAnsi="Times New Roman" w:eastAsia="Times New Roman" w:cs="Times New Roman"/>
          <w:sz w:val="20"/>
          <w:szCs w:val="20"/>
        </w:rPr>
        <w:t>,</w:t>
      </w:r>
      <w:hyperlink w:history="true" r:id="rId27">
        <w:r>
          <w:rPr>
            <w:rFonts w:ascii="Times New Roman" w:hAnsi="Times New Roman" w:eastAsia="Times New Roman" w:cs="Times New Roman"/>
            <w:sz w:val="20"/>
            <w:szCs w:val="20"/>
          </w:rPr>
          <w:t>Verga</w:t>
        </w:r>
      </w:hyperlink>
      <w:r>
        <w:rPr>
          <w:rFonts w:ascii="Times New Roman" w:hAnsi="Times New Roman" w:eastAsia="Times New Roman" w:cs="Times New Roman"/>
          <w:sz w:val="20"/>
          <w:szCs w:val="20"/>
        </w:rPr>
        <w:t xml:space="preserve">    M,Anderson     KR,Bove     P,Covey    AM,Rosenfield     AT,Smith    RC.The     value    of</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rPr>
        <w:t>unenhanced  helical  computerized  tomography  in  the  management  of  acute</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fla</w:t>
      </w:r>
      <w:r>
        <w:rPr>
          <w:rFonts w:ascii="Times New Roman" w:hAnsi="Times New Roman" w:eastAsia="Times New Roman" w:cs="Times New Roman"/>
          <w:sz w:val="20"/>
          <w:szCs w:val="20"/>
          <w:spacing w:val="-1"/>
        </w:rPr>
        <w:t>nk  pain.J  Urol   1998;159:735-740</w:t>
      </w:r>
      <w:r>
        <w:rPr>
          <w:rFonts w:ascii="Times New Roman" w:hAnsi="Times New Roman" w:eastAsia="Times New Roman" w:cs="Times New Roman"/>
          <w:sz w:val="20"/>
          <w:szCs w:val="20"/>
        </w:rPr>
        <w:t xml:space="preserve">  </w:t>
      </w:r>
      <w:hyperlink w:history="true" r:id="rId35">
        <w:r>
          <w:rPr>
            <w:rFonts w:ascii="Times New Roman" w:hAnsi="Times New Roman" w:eastAsia="Times New Roman" w:cs="Times New Roman"/>
            <w:sz w:val="20"/>
            <w:szCs w:val="20"/>
          </w:rPr>
          <w:t>http://www.ncbi.nlm.nih.govlentrez/query.fcgi?cmd=Retrieve&amp;db=pubmed&amp;dopt=Abstract&amp;list_u</w:t>
        </w:r>
        <w:r>
          <w:rPr>
            <w:rFonts w:ascii="Times New Roman" w:hAnsi="Times New Roman" w:eastAsia="Times New Roman" w:cs="Times New Roman"/>
            <w:sz w:val="20"/>
            <w:szCs w:val="20"/>
            <w:spacing w:val="-1"/>
          </w:rPr>
          <w:t>ids=9474137</w:t>
        </w:r>
      </w:hyperlink>
    </w:p>
    <w:p>
      <w:pPr>
        <w:ind w:left="629" w:right="40"/>
        <w:spacing w:before="127" w:line="278" w:lineRule="auto"/>
        <w:rPr>
          <w:rFonts w:ascii="Times New Roman" w:hAnsi="Times New Roman" w:eastAsia="Times New Roman" w:cs="Times New Roman"/>
          <w:sz w:val="20"/>
          <w:szCs w:val="20"/>
        </w:rPr>
      </w:pPr>
      <w:hyperlink w:history="true" r:id="rId35">
        <w:r>
          <w:rPr>
            <w:rFonts w:ascii="Times New Roman" w:hAnsi="Times New Roman" w:eastAsia="Times New Roman" w:cs="Times New Roman"/>
            <w:sz w:val="20"/>
            <w:szCs w:val="20"/>
          </w:rPr>
          <w:t>10.Mindelzun  RE</w:t>
        </w:r>
      </w:hyperlink>
      <w:r>
        <w:rPr>
          <w:rFonts w:ascii="Times New Roman" w:hAnsi="Times New Roman" w:eastAsia="Times New Roman" w:cs="Times New Roman"/>
          <w:sz w:val="20"/>
          <w:szCs w:val="20"/>
        </w:rPr>
        <w:t>,</w:t>
      </w:r>
      <w:hyperlink w:history="true" r:id="rId36">
        <w:r>
          <w:rPr>
            <w:rFonts w:ascii="Times New Roman" w:hAnsi="Times New Roman" w:eastAsia="Times New Roman" w:cs="Times New Roman"/>
            <w:sz w:val="20"/>
            <w:szCs w:val="20"/>
          </w:rPr>
          <w:t>Jeffrey</w:t>
        </w:r>
      </w:hyperlink>
      <w:r>
        <w:rPr>
          <w:rFonts w:ascii="Times New Roman" w:hAnsi="Times New Roman" w:eastAsia="Times New Roman" w:cs="Times New Roman"/>
          <w:sz w:val="20"/>
          <w:szCs w:val="20"/>
        </w:rPr>
        <w:t xml:space="preserve">  RB.Unenhanced</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helical   </w:t>
      </w:r>
      <w:r>
        <w:rPr>
          <w:rFonts w:ascii="Times New Roman" w:hAnsi="Times New Roman" w:eastAsia="Times New Roman" w:cs="Times New Roman"/>
          <w:sz w:val="20"/>
          <w:szCs w:val="20"/>
          <w:spacing w:val="-1"/>
        </w:rPr>
        <w:t>CT</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1"/>
        </w:rPr>
        <w:t>evaluating</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spacing w:val="-1"/>
        </w:rPr>
        <w:t>acute</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spacing w:val="-1"/>
        </w:rPr>
        <w:t>abdominal  pain:a</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1"/>
        </w:rPr>
        <w:t>little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1"/>
        </w:rPr>
        <w:t>more   cost,a  lot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more    information.Radiol    1997;205:43-45.</w:t>
      </w:r>
    </w:p>
    <w:p>
      <w:pPr>
        <w:ind w:left="629"/>
        <w:spacing w:before="166" w:line="192" w:lineRule="auto"/>
        <w:rPr>
          <w:rFonts w:ascii="Times New Roman" w:hAnsi="Times New Roman" w:eastAsia="Times New Roman" w:cs="Times New Roman"/>
          <w:sz w:val="20"/>
          <w:szCs w:val="20"/>
        </w:rPr>
      </w:pPr>
      <w:hyperlink w:history="true" r:id="rId35">
        <w:r>
          <w:rPr>
            <w:rFonts w:ascii="Times New Roman" w:hAnsi="Times New Roman" w:eastAsia="Times New Roman" w:cs="Times New Roman"/>
            <w:sz w:val="20"/>
            <w:szCs w:val="20"/>
          </w:rPr>
          <w:t>http://www.ncbi.nlm.nih.gov/entrez/query.fcgi?cmd=Retrieve&amp;db=pubmed&amp;dopt=Abstract&amp;list_u</w:t>
        </w:r>
        <w:r>
          <w:rPr>
            <w:rFonts w:ascii="Times New Roman" w:hAnsi="Times New Roman" w:eastAsia="Times New Roman" w:cs="Times New Roman"/>
            <w:sz w:val="20"/>
            <w:szCs w:val="20"/>
            <w:spacing w:val="-1"/>
          </w:rPr>
          <w:t>ids=9314959</w:t>
        </w:r>
      </w:hyperlink>
    </w:p>
    <w:sdt>
      <w:sdtPr>
        <w:rPr>
          <w:rFonts w:ascii="Times New Roman" w:hAnsi="Times New Roman" w:eastAsia="Times New Roman" w:cs="Times New Roman"/>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ind w:left="629"/>
            <w:spacing w:before="136" w:line="192" w:lineRule="auto"/>
            <w:rPr>
              <w:rFonts w:ascii="Times New Roman" w:hAnsi="Times New Roman" w:eastAsia="Times New Roman" w:cs="Times New Roman"/>
              <w:sz w:val="20"/>
              <w:szCs w:val="20"/>
            </w:rPr>
          </w:pPr>
          <w:hyperlink w:history="true" r:id="rId35">
            <w:r>
              <w:rPr>
                <w:rFonts w:ascii="Times New Roman" w:hAnsi="Times New Roman" w:eastAsia="Times New Roman" w:cs="Times New Roman"/>
                <w:sz w:val="20"/>
                <w:szCs w:val="20"/>
              </w:rPr>
              <w:t>11.Shinokara</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K.Editor</w:t>
            </w:r>
            <w:r>
              <w:rPr>
                <w:rFonts w:ascii="Times New Roman" w:hAnsi="Times New Roman" w:eastAsia="Times New Roman" w:cs="Times New Roman"/>
                <w:sz w:val="20"/>
                <w:szCs w:val="20"/>
                <w:spacing w:val="-1"/>
              </w:rPr>
              <w:t>ial:Choosing</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1"/>
              </w:rPr>
              <w:t>imaging  modality   in</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1"/>
              </w:rPr>
              <w:t>2003.J  Urol   2003</w:t>
            </w:r>
          </w:hyperlink>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spacing w:val="-26"/>
            </w:rPr>
            <w:t xml:space="preserve"> </w:t>
          </w:r>
          <w:hyperlink w:history="true" r:id="rId37">
            <w:r>
              <w:rPr>
                <w:rFonts w:ascii="Times New Roman" w:hAnsi="Times New Roman" w:eastAsia="Times New Roman" w:cs="Times New Roman"/>
                <w:sz w:val="20"/>
                <w:szCs w:val="20"/>
                <w:spacing w:val="-1"/>
              </w:rPr>
              <w:t>170:803</w:t>
            </w:r>
          </w:hyperlink>
          <w:r>
            <w:rPr>
              <w:rFonts w:ascii="Times New Roman" w:hAnsi="Times New Roman" w:eastAsia="Times New Roman" w:cs="Times New Roman"/>
              <w:sz w:val="20"/>
              <w:szCs w:val="20"/>
              <w:spacing w:val="-1"/>
            </w:rPr>
            <w:t>.</w:t>
          </w:r>
        </w:p>
        <w:p>
          <w:pPr>
            <w:ind w:left="629"/>
            <w:spacing w:before="166" w:line="192" w:lineRule="auto"/>
            <w:rPr>
              <w:rFonts w:ascii="Times New Roman" w:hAnsi="Times New Roman" w:eastAsia="Times New Roman" w:cs="Times New Roman"/>
              <w:sz w:val="20"/>
              <w:szCs w:val="20"/>
            </w:rPr>
          </w:pPr>
          <w:hyperlink w:history="true" r:id="rId35">
            <w:r>
              <w:rPr>
                <w:rFonts w:ascii="Times New Roman" w:hAnsi="Times New Roman" w:eastAsia="Times New Roman" w:cs="Times New Roman"/>
                <w:sz w:val="20"/>
                <w:szCs w:val="20"/>
              </w:rPr>
              <w:t>http://www.ncbi.nlm.nih.govlentrezlquery.fcgi?cmd=Retrieve&amp;db=pubmed&amp;dopt=Abstract&amp;list_ui</w:t>
            </w:r>
            <w:r>
              <w:rPr>
                <w:rFonts w:ascii="Times New Roman" w:hAnsi="Times New Roman" w:eastAsia="Times New Roman" w:cs="Times New Roman"/>
                <w:sz w:val="20"/>
                <w:szCs w:val="20"/>
                <w:spacing w:val="-1"/>
              </w:rPr>
              <w:t>ds=12913702</w:t>
            </w:r>
          </w:hyperlink>
        </w:p>
        <w:p>
          <w:pPr>
            <w:ind w:left="629"/>
            <w:spacing w:before="116" w:line="192" w:lineRule="auto"/>
            <w:rPr>
              <w:rFonts w:ascii="Times New Roman" w:hAnsi="Times New Roman" w:eastAsia="Times New Roman" w:cs="Times New Roman"/>
              <w:sz w:val="20"/>
              <w:szCs w:val="20"/>
            </w:rPr>
          </w:pPr>
          <w:hyperlink w:history="true" r:id="rId35">
            <w:r>
              <w:rPr>
                <w:rFonts w:ascii="Times New Roman" w:hAnsi="Times New Roman" w:eastAsia="Times New Roman" w:cs="Times New Roman"/>
                <w:sz w:val="20"/>
                <w:szCs w:val="20"/>
              </w:rPr>
              <w:t>12.Morcos  SK</w:t>
            </w:r>
          </w:hyperlink>
          <w:r>
            <w:rPr>
              <w:rFonts w:ascii="Times New Roman" w:hAnsi="Times New Roman" w:eastAsia="Times New Roman" w:cs="Times New Roman"/>
              <w:sz w:val="20"/>
              <w:szCs w:val="20"/>
            </w:rPr>
            <w:t>,</w:t>
          </w:r>
          <w:hyperlink w:history="true" r:id="rId38">
            <w:r>
              <w:rPr>
                <w:rFonts w:ascii="Times New Roman" w:hAnsi="Times New Roman" w:eastAsia="Times New Roman" w:cs="Times New Roman"/>
                <w:sz w:val="20"/>
                <w:szCs w:val="20"/>
              </w:rPr>
              <w:t>Thomsen</w:t>
            </w:r>
          </w:hyperlink>
          <w:r>
            <w:rPr>
              <w:rFonts w:ascii="Times New Roman" w:hAnsi="Times New Roman" w:eastAsia="Times New Roman" w:cs="Times New Roman"/>
              <w:sz w:val="20"/>
              <w:szCs w:val="20"/>
            </w:rPr>
            <w:t xml:space="preserve">  HS,Webb  JA;Contrast  Media  Safety  Committee  of</w:t>
          </w:r>
          <w:r>
            <w:rPr>
              <w:rFonts w:ascii="Times New Roman" w:hAnsi="Times New Roman" w:eastAsia="Times New Roman" w:cs="Times New Roman"/>
              <w:sz w:val="20"/>
              <w:szCs w:val="20"/>
              <w:spacing w:val="29"/>
              <w:w w:val="101"/>
            </w:rPr>
            <w:t xml:space="preserve"> </w:t>
          </w:r>
          <w:r>
            <w:rPr>
              <w:rFonts w:ascii="Times New Roman" w:hAnsi="Times New Roman" w:eastAsia="Times New Roman" w:cs="Times New Roman"/>
              <w:sz w:val="20"/>
              <w:szCs w:val="20"/>
            </w:rPr>
            <w:t>the  Euro</w:t>
          </w:r>
          <w:r>
            <w:rPr>
              <w:rFonts w:ascii="Times New Roman" w:hAnsi="Times New Roman" w:eastAsia="Times New Roman" w:cs="Times New Roman"/>
              <w:sz w:val="20"/>
              <w:szCs w:val="20"/>
              <w:spacing w:val="-1"/>
            </w:rPr>
            <w:t>pean</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1"/>
            </w:rPr>
            <w:t>Society  of</w:t>
          </w:r>
          <w:r>
            <w:rPr>
              <w:rFonts w:ascii="Times New Roman" w:hAnsi="Times New Roman" w:eastAsia="Times New Roman" w:cs="Times New Roman"/>
              <w:sz w:val="20"/>
              <w:szCs w:val="20"/>
              <w:spacing w:val="29"/>
            </w:rPr>
            <w:t xml:space="preserve"> </w:t>
          </w:r>
          <w:r>
            <w:rPr>
              <w:rFonts w:ascii="Times New Roman" w:hAnsi="Times New Roman" w:eastAsia="Times New Roman" w:cs="Times New Roman"/>
              <w:sz w:val="20"/>
              <w:szCs w:val="20"/>
              <w:spacing w:val="-1"/>
            </w:rPr>
            <w:t>Urogenital</w:t>
          </w:r>
        </w:p>
      </w:sdtContent>
    </w:sdt>
    <w:p>
      <w:pPr>
        <w:ind w:left="629" w:right="20"/>
        <w:spacing w:before="146" w:line="33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Radiolology.Prevention   of   generalized   reactions    to   contrast    media:a   consensus   report    and   guideli</w:t>
      </w:r>
      <w:r>
        <w:rPr>
          <w:rFonts w:ascii="Times New Roman" w:hAnsi="Times New Roman" w:eastAsia="Times New Roman" w:cs="Times New Roman"/>
          <w:sz w:val="20"/>
          <w:szCs w:val="20"/>
          <w:spacing w:val="-1"/>
        </w:rPr>
        <w:t>nes.Eur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Radiol     2001;11:1720-1728.</w:t>
      </w:r>
    </w:p>
    <w:p>
      <w:pPr>
        <w:ind w:left="629"/>
        <w:spacing w:before="54" w:line="192" w:lineRule="auto"/>
        <w:rPr>
          <w:rFonts w:ascii="Times New Roman" w:hAnsi="Times New Roman" w:eastAsia="Times New Roman" w:cs="Times New Roman"/>
          <w:sz w:val="20"/>
          <w:szCs w:val="20"/>
        </w:rPr>
      </w:pPr>
      <w:hyperlink w:history="true" r:id="rId35">
        <w:r>
          <w:rPr>
            <w:rFonts w:ascii="Times New Roman" w:hAnsi="Times New Roman" w:eastAsia="Times New Roman" w:cs="Times New Roman"/>
            <w:sz w:val="20"/>
            <w:szCs w:val="20"/>
          </w:rPr>
          <w:t>http://www.ncbi.nlm.nih.govlentrez/query.fcgi?cmd=Retrieve&amp;db=pubmed&amp;dopt=Abstract&amp;list_ui</w:t>
        </w:r>
        <w:r>
          <w:rPr>
            <w:rFonts w:ascii="Times New Roman" w:hAnsi="Times New Roman" w:eastAsia="Times New Roman" w:cs="Times New Roman"/>
            <w:sz w:val="20"/>
            <w:szCs w:val="20"/>
            <w:spacing w:val="-1"/>
          </w:rPr>
          <w:t>ds=11511894</w:t>
        </w:r>
      </w:hyperlink>
    </w:p>
    <w:p>
      <w:pPr>
        <w:ind w:left="629"/>
        <w:spacing w:before="136" w:line="192" w:lineRule="auto"/>
        <w:rPr>
          <w:rFonts w:ascii="Times New Roman" w:hAnsi="Times New Roman" w:eastAsia="Times New Roman" w:cs="Times New Roman"/>
          <w:sz w:val="20"/>
          <w:szCs w:val="20"/>
        </w:rPr>
      </w:pPr>
      <w:hyperlink w:history="true" r:id="rId35">
        <w:r>
          <w:rPr>
            <w:rFonts w:ascii="Times New Roman" w:hAnsi="Times New Roman" w:eastAsia="Times New Roman" w:cs="Times New Roman"/>
            <w:sz w:val="20"/>
            <w:szCs w:val="20"/>
          </w:rPr>
          <w:t>13.Thomsen  HS</w:t>
        </w:r>
      </w:hyperlink>
      <w:r>
        <w:rPr>
          <w:rFonts w:ascii="Times New Roman" w:hAnsi="Times New Roman" w:eastAsia="Times New Roman" w:cs="Times New Roman"/>
          <w:sz w:val="20"/>
          <w:szCs w:val="20"/>
        </w:rPr>
        <w:t>,</w:t>
      </w:r>
      <w:hyperlink w:history="true" r:id="rId39">
        <w:r>
          <w:rPr>
            <w:rFonts w:ascii="Times New Roman" w:hAnsi="Times New Roman" w:eastAsia="Times New Roman" w:cs="Times New Roman"/>
            <w:sz w:val="20"/>
            <w:szCs w:val="20"/>
          </w:rPr>
          <w:t>Morcos</w:t>
        </w:r>
      </w:hyperlink>
      <w:r>
        <w:rPr>
          <w:rFonts w:ascii="Times New Roman" w:hAnsi="Times New Roman" w:eastAsia="Times New Roman" w:cs="Times New Roman"/>
          <w:sz w:val="20"/>
          <w:szCs w:val="20"/>
        </w:rPr>
        <w:t xml:space="preserve">  SK.Contrast  media  and</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kidney:European</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Societ</w:t>
      </w:r>
      <w:r>
        <w:rPr>
          <w:rFonts w:ascii="Times New Roman" w:hAnsi="Times New Roman" w:eastAsia="Times New Roman" w:cs="Times New Roman"/>
          <w:sz w:val="20"/>
          <w:szCs w:val="20"/>
          <w:spacing w:val="-1"/>
        </w:rPr>
        <w:t>y</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1"/>
        </w:rPr>
        <w:t>of  Urogenital  Radiology</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1"/>
        </w:rPr>
        <w:t>(ESUR)</w:t>
      </w:r>
    </w:p>
    <w:p>
      <w:pPr>
        <w:ind w:left="629"/>
        <w:spacing w:before="17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guidelines.BrJ</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Radiol     2003;76:513-5</w:t>
      </w:r>
      <w:r>
        <w:rPr>
          <w:rFonts w:ascii="Times New Roman" w:hAnsi="Times New Roman" w:eastAsia="Times New Roman" w:cs="Times New Roman"/>
          <w:sz w:val="20"/>
          <w:szCs w:val="20"/>
          <w:spacing w:val="-1"/>
        </w:rPr>
        <w:t>18.</w:t>
      </w:r>
    </w:p>
    <w:p>
      <w:pPr>
        <w:ind w:left="629"/>
        <w:spacing w:before="136" w:line="192" w:lineRule="auto"/>
        <w:rPr>
          <w:rFonts w:ascii="Times New Roman" w:hAnsi="Times New Roman" w:eastAsia="Times New Roman" w:cs="Times New Roman"/>
          <w:sz w:val="20"/>
          <w:szCs w:val="20"/>
        </w:rPr>
      </w:pPr>
      <w:hyperlink w:history="true" r:id="rId35">
        <w:r>
          <w:rPr>
            <w:rFonts w:ascii="Times New Roman" w:hAnsi="Times New Roman" w:eastAsia="Times New Roman" w:cs="Times New Roman"/>
            <w:sz w:val="20"/>
            <w:szCs w:val="20"/>
          </w:rPr>
          <w:t>http://www.ncbi.nlm.nih.gov/entrezlquery.fcgi?cmd=Retrieve&amp;db=pubmed&amp;dopt=Abstract&amp;list_ui</w:t>
        </w:r>
        <w:r>
          <w:rPr>
            <w:rFonts w:ascii="Times New Roman" w:hAnsi="Times New Roman" w:eastAsia="Times New Roman" w:cs="Times New Roman"/>
            <w:sz w:val="20"/>
            <w:szCs w:val="20"/>
            <w:spacing w:val="-1"/>
          </w:rPr>
          <w:t>ds=12893691</w:t>
        </w:r>
      </w:hyperlink>
    </w:p>
    <w:p>
      <w:pPr>
        <w:ind w:left="629" w:right="34"/>
        <w:spacing w:before="156" w:line="329" w:lineRule="auto"/>
        <w:rPr>
          <w:rFonts w:ascii="Times New Roman" w:hAnsi="Times New Roman" w:eastAsia="Times New Roman" w:cs="Times New Roman"/>
          <w:sz w:val="20"/>
          <w:szCs w:val="20"/>
        </w:rPr>
      </w:pPr>
      <w:hyperlink w:history="true" r:id="rId35">
        <w:r>
          <w:rPr>
            <w:rFonts w:ascii="Times New Roman" w:hAnsi="Times New Roman" w:eastAsia="Times New Roman" w:cs="Times New Roman"/>
            <w:sz w:val="20"/>
            <w:szCs w:val="20"/>
            <w:spacing w:val="-1"/>
          </w:rPr>
          <w:t>14.Nawaz</w:t>
        </w:r>
        <w:r>
          <w:rPr>
            <w:rFonts w:ascii="Times New Roman" w:hAnsi="Times New Roman" w:eastAsia="Times New Roman" w:cs="Times New Roman"/>
            <w:sz w:val="20"/>
            <w:szCs w:val="20"/>
            <w:spacing w:val="25"/>
            <w:w w:val="101"/>
          </w:rPr>
          <w:t xml:space="preserve">  </w:t>
        </w:r>
        <w:r>
          <w:rPr>
            <w:rFonts w:ascii="Times New Roman" w:hAnsi="Times New Roman" w:eastAsia="Times New Roman" w:cs="Times New Roman"/>
            <w:sz w:val="20"/>
            <w:szCs w:val="20"/>
            <w:spacing w:val="-1"/>
          </w:rPr>
          <w:t>S</w:t>
        </w:r>
      </w:hyperlink>
      <w:r>
        <w:rPr>
          <w:rFonts w:ascii="Times New Roman" w:hAnsi="Times New Roman" w:eastAsia="Times New Roman" w:cs="Times New Roman"/>
          <w:sz w:val="20"/>
          <w:szCs w:val="20"/>
          <w:spacing w:val="-1"/>
        </w:rPr>
        <w:t>,</w:t>
      </w:r>
      <w:hyperlink w:history="true" r:id="rId40">
        <w:r>
          <w:rPr>
            <w:rFonts w:ascii="Times New Roman" w:hAnsi="Times New Roman" w:eastAsia="Times New Roman" w:cs="Times New Roman"/>
            <w:sz w:val="20"/>
            <w:szCs w:val="20"/>
            <w:spacing w:val="-1"/>
          </w:rPr>
          <w:t>Cleveland.T</w:t>
        </w:r>
      </w:hyperlink>
      <w:r>
        <w:rPr>
          <w:rFonts w:ascii="Times New Roman" w:hAnsi="Times New Roman" w:eastAsia="Times New Roman" w:cs="Times New Roman"/>
          <w:sz w:val="20"/>
          <w:szCs w:val="20"/>
          <w:spacing w:val="-1"/>
        </w:rPr>
        <w:t>,</w:t>
      </w:r>
      <w:hyperlink w:history="true" r:id="rId41">
        <w:r>
          <w:rPr>
            <w:rFonts w:ascii="Times New Roman" w:hAnsi="Times New Roman" w:eastAsia="Times New Roman" w:cs="Times New Roman"/>
            <w:sz w:val="20"/>
            <w:szCs w:val="20"/>
            <w:spacing w:val="-1"/>
          </w:rPr>
          <w:t>Gaines</w:t>
        </w:r>
      </w:hyperlink>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1"/>
        </w:rPr>
        <w:t>PA,Chan</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1"/>
        </w:rPr>
        <w:t>P.Clinical</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1"/>
        </w:rPr>
        <w:t>risk</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1"/>
        </w:rPr>
        <w:t>associated</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spacing w:val="-1"/>
        </w:rPr>
        <w:t>with</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1"/>
        </w:rPr>
        <w:t>contrast</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1"/>
        </w:rPr>
        <w:t>angiography</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1"/>
        </w:rPr>
        <w:t>in</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1"/>
        </w:rPr>
        <w:t>metformine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treated   patients:a   clinical   review.Clin   Radiol   1998;53:342-344.</w:t>
      </w:r>
    </w:p>
    <w:p>
      <w:pPr>
        <w:ind w:left="629"/>
        <w:spacing w:before="49" w:line="192" w:lineRule="auto"/>
        <w:rPr>
          <w:rFonts w:ascii="Times New Roman" w:hAnsi="Times New Roman" w:eastAsia="Times New Roman" w:cs="Times New Roman"/>
          <w:sz w:val="20"/>
          <w:szCs w:val="20"/>
        </w:rPr>
      </w:pPr>
      <w:hyperlink w:history="true" r:id="rId35">
        <w:r>
          <w:rPr>
            <w:rFonts w:ascii="Times New Roman" w:hAnsi="Times New Roman" w:eastAsia="Times New Roman" w:cs="Times New Roman"/>
            <w:sz w:val="20"/>
            <w:szCs w:val="20"/>
          </w:rPr>
          <w:t>http://www.ncbi.nlm.nih.govlentrez/query.fcgi?cmd=Retrieve&amp;db=pubmed&amp;dopt=Abstract&amp;list_u</w:t>
        </w:r>
        <w:r>
          <w:rPr>
            <w:rFonts w:ascii="Times New Roman" w:hAnsi="Times New Roman" w:eastAsia="Times New Roman" w:cs="Times New Roman"/>
            <w:sz w:val="20"/>
            <w:szCs w:val="20"/>
            <w:spacing w:val="-1"/>
          </w:rPr>
          <w:t>ids=9630271</w:t>
        </w:r>
      </w:hyperlink>
    </w:p>
    <w:p>
      <w:pPr>
        <w:ind w:left="629" w:right="40"/>
        <w:spacing w:before="157" w:line="318" w:lineRule="auto"/>
        <w:rPr>
          <w:rFonts w:ascii="Times New Roman" w:hAnsi="Times New Roman" w:eastAsia="Times New Roman" w:cs="Times New Roman"/>
          <w:sz w:val="20"/>
          <w:szCs w:val="20"/>
        </w:rPr>
      </w:pPr>
      <w:hyperlink w:history="true" r:id="rId35">
        <w:r>
          <w:rPr>
            <w:rFonts w:ascii="Times New Roman" w:hAnsi="Times New Roman" w:eastAsia="Times New Roman" w:cs="Times New Roman"/>
            <w:sz w:val="20"/>
            <w:szCs w:val="20"/>
          </w:rPr>
          <w:t>15.McCartney   MM</w:t>
        </w:r>
      </w:hyperlink>
      <w:r>
        <w:rPr>
          <w:rFonts w:ascii="Times New Roman" w:hAnsi="Times New Roman" w:eastAsia="Times New Roman" w:cs="Times New Roman"/>
          <w:sz w:val="20"/>
          <w:szCs w:val="20"/>
        </w:rPr>
        <w:t>,</w:t>
      </w:r>
      <w:hyperlink w:history="true" r:id="rId42">
        <w:r>
          <w:rPr>
            <w:rFonts w:ascii="Times New Roman" w:hAnsi="Times New Roman" w:eastAsia="Times New Roman" w:cs="Times New Roman"/>
            <w:sz w:val="20"/>
            <w:szCs w:val="20"/>
          </w:rPr>
          <w:t>Gilbert</w:t>
        </w:r>
      </w:hyperlink>
      <w:r>
        <w:rPr>
          <w:rFonts w:ascii="Times New Roman" w:hAnsi="Times New Roman" w:eastAsia="Times New Roman" w:cs="Times New Roman"/>
          <w:sz w:val="20"/>
          <w:szCs w:val="20"/>
        </w:rPr>
        <w:t xml:space="preserve">    FJ,Murchinson   LE,Pearson    D,McHardy   K,M</w:t>
      </w:r>
      <w:r>
        <w:rPr>
          <w:rFonts w:ascii="Times New Roman" w:hAnsi="Times New Roman" w:eastAsia="Times New Roman" w:cs="Times New Roman"/>
          <w:sz w:val="20"/>
          <w:szCs w:val="20"/>
          <w:spacing w:val="-1"/>
        </w:rPr>
        <w:t>urray    AD.Metformin    and   contrast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media-a    dangerous    combination?</w:t>
      </w:r>
      <w:r>
        <w:rPr>
          <w:rFonts w:ascii="Times New Roman" w:hAnsi="Times New Roman" w:eastAsia="Times New Roman" w:cs="Times New Roman"/>
          <w:sz w:val="20"/>
          <w:szCs w:val="20"/>
          <w:spacing w:val="-1"/>
        </w:rPr>
        <w:t>Clin    Radiol     1999;54:29-33.</w:t>
      </w:r>
    </w:p>
    <w:p>
      <w:pPr>
        <w:ind w:left="629"/>
        <w:spacing w:before="70" w:line="192" w:lineRule="auto"/>
        <w:rPr>
          <w:rFonts w:ascii="Times New Roman" w:hAnsi="Times New Roman" w:eastAsia="Times New Roman" w:cs="Times New Roman"/>
          <w:sz w:val="20"/>
          <w:szCs w:val="20"/>
        </w:rPr>
      </w:pPr>
      <w:hyperlink w:history="true" r:id="rId35">
        <w:r>
          <w:rPr>
            <w:rFonts w:ascii="Times New Roman" w:hAnsi="Times New Roman" w:eastAsia="Times New Roman" w:cs="Times New Roman"/>
            <w:sz w:val="20"/>
            <w:szCs w:val="20"/>
          </w:rPr>
          <w:t>http://www.ncbi.nlm.nih.gov/entrez/query.fcgi?cmd=Retrieve&amp;db=pubmed&amp;dopt=Abstract&amp;list_u</w:t>
        </w:r>
        <w:r>
          <w:rPr>
            <w:rFonts w:ascii="Times New Roman" w:hAnsi="Times New Roman" w:eastAsia="Times New Roman" w:cs="Times New Roman"/>
            <w:sz w:val="20"/>
            <w:szCs w:val="20"/>
            <w:spacing w:val="-1"/>
          </w:rPr>
          <w:t>ids=9915507</w:t>
        </w:r>
      </w:hyperlink>
    </w:p>
    <w:p>
      <w:pPr>
        <w:ind w:left="629" w:right="40"/>
        <w:spacing w:before="136" w:line="338" w:lineRule="auto"/>
        <w:rPr>
          <w:rFonts w:ascii="Times New Roman" w:hAnsi="Times New Roman" w:eastAsia="Times New Roman" w:cs="Times New Roman"/>
          <w:sz w:val="20"/>
          <w:szCs w:val="20"/>
        </w:rPr>
      </w:pPr>
      <w:hyperlink w:history="true" r:id="rId35">
        <w:r>
          <w:rPr>
            <w:rFonts w:ascii="Times New Roman" w:hAnsi="Times New Roman" w:eastAsia="Times New Roman" w:cs="Times New Roman"/>
            <w:sz w:val="20"/>
            <w:szCs w:val="20"/>
          </w:rPr>
          <w:t>16.Thompson</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NW</w:t>
        </w:r>
      </w:hyperlink>
      <w:r>
        <w:rPr>
          <w:rFonts w:ascii="Times New Roman" w:hAnsi="Times New Roman" w:eastAsia="Times New Roman" w:cs="Times New Roman"/>
          <w:sz w:val="20"/>
          <w:szCs w:val="20"/>
        </w:rPr>
        <w:t>,</w:t>
      </w:r>
      <w:hyperlink w:history="true" r:id="rId43">
        <w:r>
          <w:rPr>
            <w:rFonts w:ascii="Times New Roman" w:hAnsi="Times New Roman" w:eastAsia="Times New Roman" w:cs="Times New Roman"/>
            <w:sz w:val="20"/>
            <w:szCs w:val="20"/>
          </w:rPr>
          <w:t>Thompson</w:t>
        </w:r>
      </w:hyperlink>
      <w:r>
        <w:rPr>
          <w:rFonts w:ascii="Times New Roman" w:hAnsi="Times New Roman" w:eastAsia="Times New Roman" w:cs="Times New Roman"/>
          <w:sz w:val="20"/>
          <w:szCs w:val="20"/>
        </w:rPr>
        <w:t xml:space="preserve">    TJ,Love    MH,Young    MR.Drugs    and    in</w:t>
      </w:r>
      <w:r>
        <w:rPr>
          <w:rFonts w:ascii="Times New Roman" w:hAnsi="Times New Roman" w:eastAsia="Times New Roman" w:cs="Times New Roman"/>
          <w:sz w:val="20"/>
          <w:szCs w:val="20"/>
          <w:spacing w:val="-1"/>
        </w:rPr>
        <w:t>travenous    contrast    media.BJU    Int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2000;85:219-221.</w:t>
      </w:r>
    </w:p>
    <w:sdt>
      <w:sdtPr>
        <w:rPr>
          <w:rFonts w:ascii="Times New Roman" w:hAnsi="Times New Roman" w:eastAsia="Times New Roman" w:cs="Times New Roman"/>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ind w:left="629"/>
            <w:spacing w:before="62" w:line="192" w:lineRule="auto"/>
            <w:rPr>
              <w:rFonts w:ascii="Times New Roman" w:hAnsi="Times New Roman" w:eastAsia="Times New Roman" w:cs="Times New Roman"/>
              <w:sz w:val="20"/>
              <w:szCs w:val="20"/>
            </w:rPr>
          </w:pPr>
          <w:hyperlink w:history="true" r:id="rId35">
            <w:r>
              <w:rPr>
                <w:rFonts w:ascii="Times New Roman" w:hAnsi="Times New Roman" w:eastAsia="Times New Roman" w:cs="Times New Roman"/>
                <w:sz w:val="20"/>
                <w:szCs w:val="20"/>
              </w:rPr>
              <w:t>http://www.ncbi.nlm.nih.gov/entrez/query.fcgi?cmd=Retrieve&amp;db=pubmed&amp;dopt</w:t>
            </w:r>
            <w:r>
              <w:rPr>
                <w:rFonts w:ascii="Times New Roman" w:hAnsi="Times New Roman" w:eastAsia="Times New Roman" w:cs="Times New Roman"/>
                <w:sz w:val="20"/>
                <w:szCs w:val="20"/>
                <w:spacing w:val="49"/>
              </w:rPr>
              <w:t xml:space="preserve"> </w:t>
            </w:r>
            <w:r>
              <w:rPr>
                <w:rFonts w:ascii="Times New Roman" w:hAnsi="Times New Roman" w:eastAsia="Times New Roman" w:cs="Times New Roman"/>
                <w:sz w:val="20"/>
                <w:szCs w:val="20"/>
              </w:rPr>
              <w:t>Abstract&amp;list_u</w:t>
            </w:r>
            <w:r>
              <w:rPr>
                <w:rFonts w:ascii="Times New Roman" w:hAnsi="Times New Roman" w:eastAsia="Times New Roman" w:cs="Times New Roman"/>
                <w:sz w:val="20"/>
                <w:szCs w:val="20"/>
                <w:spacing w:val="-1"/>
              </w:rPr>
              <w:t>ids=10671870</w:t>
            </w:r>
          </w:hyperlink>
        </w:p>
        <w:p>
          <w:pPr>
            <w:ind w:left="629"/>
            <w:spacing w:before="137" w:line="192" w:lineRule="auto"/>
            <w:rPr>
              <w:rFonts w:ascii="Times New Roman" w:hAnsi="Times New Roman" w:eastAsia="Times New Roman" w:cs="Times New Roman"/>
              <w:sz w:val="20"/>
              <w:szCs w:val="20"/>
            </w:rPr>
          </w:pPr>
          <w:hyperlink w:history="true" r:id="rId35">
            <w:r>
              <w:rPr>
                <w:rFonts w:ascii="Times New Roman" w:hAnsi="Times New Roman" w:eastAsia="Times New Roman" w:cs="Times New Roman"/>
                <w:sz w:val="20"/>
                <w:szCs w:val="20"/>
              </w:rPr>
              <w:t>17.Cockcroft</w:t>
            </w:r>
            <w:r>
              <w:rPr>
                <w:rFonts w:ascii="Times New Roman" w:hAnsi="Times New Roman" w:eastAsia="Times New Roman" w:cs="Times New Roman"/>
                <w:sz w:val="20"/>
                <w:szCs w:val="20"/>
                <w:spacing w:val="37"/>
              </w:rPr>
              <w:t xml:space="preserve"> </w:t>
            </w:r>
            <w:r>
              <w:rPr>
                <w:rFonts w:ascii="Times New Roman" w:hAnsi="Times New Roman" w:eastAsia="Times New Roman" w:cs="Times New Roman"/>
                <w:sz w:val="20"/>
                <w:szCs w:val="20"/>
              </w:rPr>
              <w:t>DW</w:t>
            </w:r>
          </w:hyperlink>
          <w:r>
            <w:rPr>
              <w:rFonts w:ascii="Times New Roman" w:hAnsi="Times New Roman" w:eastAsia="Times New Roman" w:cs="Times New Roman"/>
              <w:sz w:val="20"/>
              <w:szCs w:val="20"/>
            </w:rPr>
            <w:t>,</w:t>
          </w:r>
          <w:hyperlink w:history="true" r:id="rId44">
            <w:r>
              <w:rPr>
                <w:rFonts w:ascii="Times New Roman" w:hAnsi="Times New Roman" w:eastAsia="Times New Roman" w:cs="Times New Roman"/>
                <w:sz w:val="20"/>
                <w:szCs w:val="20"/>
              </w:rPr>
              <w:t>Gault</w:t>
            </w:r>
          </w:hyperlink>
          <w:r>
            <w:rPr>
              <w:rFonts w:ascii="Times New Roman" w:hAnsi="Times New Roman" w:eastAsia="Times New Roman" w:cs="Times New Roman"/>
              <w:sz w:val="20"/>
              <w:szCs w:val="20"/>
              <w:spacing w:val="36"/>
            </w:rPr>
            <w:t xml:space="preserve"> </w:t>
          </w:r>
          <w:r>
            <w:rPr>
              <w:rFonts w:ascii="Times New Roman" w:hAnsi="Times New Roman" w:eastAsia="Times New Roman" w:cs="Times New Roman"/>
              <w:sz w:val="20"/>
              <w:szCs w:val="20"/>
            </w:rPr>
            <w:t>MH.Predictio</w:t>
          </w:r>
          <w:r>
            <w:rPr>
              <w:rFonts w:ascii="Times New Roman" w:hAnsi="Times New Roman" w:eastAsia="Times New Roman" w:cs="Times New Roman"/>
              <w:sz w:val="20"/>
              <w:szCs w:val="20"/>
              <w:spacing w:val="-1"/>
            </w:rPr>
            <w:t>n</w:t>
          </w:r>
          <w:r>
            <w:rPr>
              <w:rFonts w:ascii="Times New Roman" w:hAnsi="Times New Roman" w:eastAsia="Times New Roman" w:cs="Times New Roman"/>
              <w:sz w:val="20"/>
              <w:szCs w:val="20"/>
              <w:spacing w:val="40"/>
            </w:rPr>
            <w:t xml:space="preserve"> </w:t>
          </w:r>
          <w:r>
            <w:rPr>
              <w:rFonts w:ascii="Times New Roman" w:hAnsi="Times New Roman" w:eastAsia="Times New Roman" w:cs="Times New Roman"/>
              <w:sz w:val="20"/>
              <w:szCs w:val="20"/>
              <w:spacing w:val="-1"/>
            </w:rPr>
            <w:t>of</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1"/>
            </w:rPr>
            <w:t>creatinine</w:t>
          </w:r>
          <w:r>
            <w:rPr>
              <w:rFonts w:ascii="Times New Roman" w:hAnsi="Times New Roman" w:eastAsia="Times New Roman" w:cs="Times New Roman"/>
              <w:sz w:val="20"/>
              <w:szCs w:val="20"/>
              <w:spacing w:val="40"/>
            </w:rPr>
            <w:t xml:space="preserve"> </w:t>
          </w:r>
          <w:r>
            <w:rPr>
              <w:rFonts w:ascii="Times New Roman" w:hAnsi="Times New Roman" w:eastAsia="Times New Roman" w:cs="Times New Roman"/>
              <w:sz w:val="20"/>
              <w:szCs w:val="20"/>
              <w:spacing w:val="-1"/>
            </w:rPr>
            <w:t>clearance</w:t>
          </w:r>
          <w:r>
            <w:rPr>
              <w:rFonts w:ascii="Times New Roman" w:hAnsi="Times New Roman" w:eastAsia="Times New Roman" w:cs="Times New Roman"/>
              <w:sz w:val="20"/>
              <w:szCs w:val="20"/>
              <w:spacing w:val="41"/>
            </w:rPr>
            <w:t xml:space="preserve"> </w:t>
          </w:r>
          <w:r>
            <w:rPr>
              <w:rFonts w:ascii="Times New Roman" w:hAnsi="Times New Roman" w:eastAsia="Times New Roman" w:cs="Times New Roman"/>
              <w:sz w:val="20"/>
              <w:szCs w:val="20"/>
              <w:spacing w:val="-1"/>
            </w:rPr>
            <w:t>from</w:t>
          </w:r>
          <w:r>
            <w:rPr>
              <w:rFonts w:ascii="Times New Roman" w:hAnsi="Times New Roman" w:eastAsia="Times New Roman" w:cs="Times New Roman"/>
              <w:sz w:val="20"/>
              <w:szCs w:val="20"/>
              <w:spacing w:val="43"/>
              <w:w w:val="101"/>
            </w:rPr>
            <w:t xml:space="preserve"> </w:t>
          </w:r>
          <w:r>
            <w:rPr>
              <w:rFonts w:ascii="Times New Roman" w:hAnsi="Times New Roman" w:eastAsia="Times New Roman" w:cs="Times New Roman"/>
              <w:sz w:val="20"/>
              <w:szCs w:val="20"/>
              <w:spacing w:val="-1"/>
            </w:rPr>
            <w:t>serum</w:t>
          </w:r>
          <w:r>
            <w:rPr>
              <w:rFonts w:ascii="Times New Roman" w:hAnsi="Times New Roman" w:eastAsia="Times New Roman" w:cs="Times New Roman"/>
              <w:sz w:val="20"/>
              <w:szCs w:val="20"/>
              <w:spacing w:val="40"/>
            </w:rPr>
            <w:t xml:space="preserve"> </w:t>
          </w:r>
          <w:r>
            <w:rPr>
              <w:rFonts w:ascii="Times New Roman" w:hAnsi="Times New Roman" w:eastAsia="Times New Roman" w:cs="Times New Roman"/>
              <w:sz w:val="20"/>
              <w:szCs w:val="20"/>
              <w:spacing w:val="-1"/>
            </w:rPr>
            <w:t>creatinine.Nephron  1976;16:31-41.</w:t>
          </w:r>
        </w:p>
        <w:p>
          <w:pPr>
            <w:ind w:left="629"/>
            <w:spacing w:before="175" w:line="192" w:lineRule="auto"/>
            <w:rPr>
              <w:rFonts w:ascii="Times New Roman" w:hAnsi="Times New Roman" w:eastAsia="Times New Roman" w:cs="Times New Roman"/>
              <w:sz w:val="20"/>
              <w:szCs w:val="20"/>
            </w:rPr>
          </w:pPr>
          <w:hyperlink w:history="true" r:id="rId35">
            <w:r>
              <w:rPr>
                <w:rFonts w:ascii="Times New Roman" w:hAnsi="Times New Roman" w:eastAsia="Times New Roman" w:cs="Times New Roman"/>
                <w:sz w:val="20"/>
                <w:szCs w:val="20"/>
              </w:rPr>
              <w:t>http://www.ncbi.nlm.nih.gov/entrez/query.fcgi?cmd=Retrieve&amp;db=pubmed&amp;dopt=Abstract&amp;list_u</w:t>
            </w:r>
            <w:r>
              <w:rPr>
                <w:rFonts w:ascii="Times New Roman" w:hAnsi="Times New Roman" w:eastAsia="Times New Roman" w:cs="Times New Roman"/>
                <w:sz w:val="20"/>
                <w:szCs w:val="20"/>
                <w:spacing w:val="-1"/>
              </w:rPr>
              <w:t>ids=1244564</w:t>
            </w:r>
          </w:hyperlink>
        </w:p>
        <w:p>
          <w:pPr>
            <w:spacing w:before="130" w:line="189" w:lineRule="auto"/>
            <w:jc w:val="right"/>
            <w:rPr>
              <w:rFonts w:ascii="Times New Roman" w:hAnsi="Times New Roman" w:eastAsia="Times New Roman" w:cs="Times New Roman"/>
              <w:sz w:val="20"/>
              <w:szCs w:val="20"/>
            </w:rPr>
          </w:pPr>
          <w:hyperlink w:history="true" r:id="rId35">
            <w:r>
              <w:rPr>
                <w:rFonts w:ascii="Times New Roman" w:hAnsi="Times New Roman" w:eastAsia="Times New Roman" w:cs="Times New Roman"/>
                <w:sz w:val="20"/>
                <w:szCs w:val="20"/>
                <w:b/>
                <w:bCs/>
                <w:spacing w:val="-1"/>
              </w:rPr>
              <w:t>18.Tepel     M</w:t>
            </w:r>
          </w:hyperlink>
          <w:r>
            <w:rPr>
              <w:rFonts w:ascii="Times New Roman" w:hAnsi="Times New Roman" w:eastAsia="Times New Roman" w:cs="Times New Roman"/>
              <w:sz w:val="20"/>
              <w:szCs w:val="20"/>
              <w:b/>
              <w:bCs/>
              <w:spacing w:val="-1"/>
            </w:rPr>
            <w:t>,</w:t>
          </w:r>
          <w:hyperlink w:history="true" r:id="rId45">
            <w:r>
              <w:rPr>
                <w:rFonts w:ascii="Times New Roman" w:hAnsi="Times New Roman" w:eastAsia="Times New Roman" w:cs="Times New Roman"/>
                <w:sz w:val="20"/>
                <w:szCs w:val="20"/>
                <w:b/>
                <w:bCs/>
              </w:rPr>
              <w:t>Van</w:t>
            </w:r>
          </w:hyperlink>
          <w:r>
            <w:rPr>
              <w:rFonts w:ascii="Times New Roman" w:hAnsi="Times New Roman" w:eastAsia="Times New Roman" w:cs="Times New Roman"/>
              <w:sz w:val="20"/>
              <w:szCs w:val="20"/>
              <w:b/>
              <w:bCs/>
            </w:rPr>
            <w:t xml:space="preserve">     der      Giet     M,Schwarzfeld      </w:t>
          </w:r>
          <w:r>
            <w:rPr>
              <w:rFonts w:ascii="Times New Roman" w:hAnsi="Times New Roman" w:eastAsia="Times New Roman" w:cs="Times New Roman"/>
              <w:sz w:val="20"/>
              <w:szCs w:val="20"/>
              <w:b/>
              <w:bCs/>
              <w:spacing w:val="-1"/>
            </w:rPr>
            <w:t>C,Laufer     U,Liermann      D,Zidek     W.Prevention      o</w:t>
          </w:r>
          <w:r>
            <w:rPr>
              <w:rFonts w:ascii="Times New Roman" w:hAnsi="Times New Roman" w:eastAsia="Times New Roman" w:cs="Times New Roman"/>
              <w:sz w:val="20"/>
              <w:szCs w:val="20"/>
              <w:b/>
              <w:bCs/>
              <w:spacing w:val="14"/>
            </w:rPr>
            <w:t>f</w:t>
          </w:r>
        </w:p>
      </w:sdtContent>
    </w:sdt>
    <w:p>
      <w:pPr>
        <w:ind w:right="14"/>
        <w:spacing w:before="138" w:line="189"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rPr>
        <w:t>radiographiccontrast-agent-induced    reductions    in    renal    f</w:t>
      </w:r>
      <w:r>
        <w:rPr>
          <w:rFonts w:ascii="Times New Roman" w:hAnsi="Times New Roman" w:eastAsia="Times New Roman" w:cs="Times New Roman"/>
          <w:sz w:val="20"/>
          <w:szCs w:val="20"/>
          <w:b/>
          <w:bCs/>
          <w:spacing w:val="-1"/>
        </w:rPr>
        <w:t>unction    by     acetylcysteine.N    Eng    J    Med</w:t>
      </w:r>
    </w:p>
    <w:p>
      <w:pPr>
        <w:ind w:left="629"/>
        <w:spacing w:before="15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2000;343:180-184.</w:t>
      </w:r>
    </w:p>
    <w:p>
      <w:pPr>
        <w:ind w:left="629"/>
        <w:spacing w:before="206" w:line="192" w:lineRule="auto"/>
        <w:rPr>
          <w:rFonts w:ascii="Times New Roman" w:hAnsi="Times New Roman" w:eastAsia="Times New Roman" w:cs="Times New Roman"/>
          <w:sz w:val="20"/>
          <w:szCs w:val="20"/>
        </w:rPr>
      </w:pPr>
      <w:hyperlink w:history="true" r:id="rId46">
        <w:r>
          <w:rPr>
            <w:rFonts w:ascii="Times New Roman" w:hAnsi="Times New Roman" w:eastAsia="Times New Roman" w:cs="Times New Roman"/>
            <w:sz w:val="20"/>
            <w:szCs w:val="20"/>
          </w:rPr>
          <w:t>http://www.ncbi.nlm.nih.gov/entrezlquery.fcgi?cmd=Retrieve&amp;db=pubmed&amp;dopt=Abstract&amp;list_ui</w:t>
        </w:r>
        <w:r>
          <w:rPr>
            <w:rFonts w:ascii="Times New Roman" w:hAnsi="Times New Roman" w:eastAsia="Times New Roman" w:cs="Times New Roman"/>
            <w:sz w:val="20"/>
            <w:szCs w:val="20"/>
            <w:spacing w:val="-1"/>
          </w:rPr>
          <w:t>ds=10900277</w:t>
        </w:r>
      </w:hyperlink>
    </w:p>
    <w:p>
      <w:pPr>
        <w:pStyle w:val="BodyText"/>
        <w:ind w:left="1042"/>
        <w:spacing w:before="96" w:line="220" w:lineRule="auto"/>
        <w:outlineLvl w:val="4"/>
        <w:rPr>
          <w:sz w:val="20"/>
          <w:szCs w:val="20"/>
        </w:rPr>
      </w:pPr>
      <w:r>
        <w:rPr>
          <w:sz w:val="20"/>
          <w:szCs w:val="20"/>
          <w:b/>
          <w:bCs/>
          <w:spacing w:val="8"/>
        </w:rPr>
        <w:t>3.2结石成分分析</w:t>
      </w:r>
    </w:p>
    <w:p>
      <w:pPr>
        <w:pStyle w:val="BodyText"/>
        <w:ind w:left="629" w:right="28" w:firstLine="410"/>
        <w:spacing w:before="133" w:line="297" w:lineRule="auto"/>
        <w:rPr>
          <w:sz w:val="20"/>
          <w:szCs w:val="20"/>
        </w:rPr>
      </w:pPr>
      <w:r>
        <w:rPr>
          <w:sz w:val="20"/>
          <w:szCs w:val="20"/>
          <w:spacing w:val="9"/>
        </w:rPr>
        <w:t>无论是自然排出的结石、通过手术取出的结石还是碎石后排出的结石都</w:t>
      </w:r>
      <w:r>
        <w:rPr>
          <w:sz w:val="20"/>
          <w:szCs w:val="20"/>
          <w:spacing w:val="8"/>
        </w:rPr>
        <w:t>应进行成分分析[1-5]。优先</w:t>
      </w:r>
      <w:r>
        <w:rPr>
          <w:sz w:val="20"/>
          <w:szCs w:val="20"/>
        </w:rPr>
        <w:t xml:space="preserve"> </w:t>
      </w:r>
      <w:r>
        <w:rPr>
          <w:sz w:val="20"/>
          <w:szCs w:val="20"/>
          <w:spacing w:val="12"/>
        </w:rPr>
        <w:t>选择的方法是</w:t>
      </w:r>
      <w:r>
        <w:rPr>
          <w:rFonts w:ascii="Times New Roman" w:hAnsi="Times New Roman" w:eastAsia="Times New Roman" w:cs="Times New Roman"/>
          <w:sz w:val="20"/>
          <w:szCs w:val="20"/>
          <w:spacing w:val="12"/>
        </w:rPr>
        <w:t>X</w:t>
      </w:r>
      <w:r>
        <w:rPr>
          <w:sz w:val="20"/>
          <w:szCs w:val="20"/>
          <w:spacing w:val="12"/>
        </w:rPr>
        <w:t>线衍射分析法和红外线光谱分析法。任何结石患者至少应收集一块结石进行成分分析。</w:t>
      </w:r>
      <w:r>
        <w:rPr>
          <w:sz w:val="20"/>
          <w:szCs w:val="20"/>
          <w:spacing w:val="14"/>
        </w:rPr>
        <w:t xml:space="preserve"> </w:t>
      </w:r>
      <w:r>
        <w:rPr>
          <w:sz w:val="20"/>
          <w:szCs w:val="20"/>
          <w:spacing w:val="16"/>
        </w:rPr>
        <w:t>当出现药物治疗、饮食习惯、环境、疾病等方面的改变可能导致结石成分发生变化时，应再次进行结</w:t>
      </w:r>
      <w:r>
        <w:rPr>
          <w:sz w:val="20"/>
          <w:szCs w:val="20"/>
          <w:spacing w:val="6"/>
        </w:rPr>
        <w:t xml:space="preserve"> </w:t>
      </w:r>
      <w:r>
        <w:rPr>
          <w:sz w:val="20"/>
          <w:szCs w:val="20"/>
          <w:spacing w:val="6"/>
        </w:rPr>
        <w:t>石成分分析。</w:t>
      </w:r>
    </w:p>
    <w:p>
      <w:pPr>
        <w:pStyle w:val="BodyText"/>
        <w:ind w:left="1039"/>
        <w:spacing w:before="64" w:line="219" w:lineRule="auto"/>
        <w:rPr>
          <w:sz w:val="20"/>
          <w:szCs w:val="20"/>
        </w:rPr>
      </w:pPr>
      <w:r>
        <w:rPr>
          <w:sz w:val="20"/>
          <w:szCs w:val="20"/>
          <w:spacing w:val="11"/>
        </w:rPr>
        <w:t>如果没有收集到结石，可根据以下检查对结石成分做出判断：</w:t>
      </w:r>
    </w:p>
    <w:p>
      <w:pPr>
        <w:pStyle w:val="BodyText"/>
        <w:ind w:left="1039"/>
        <w:spacing w:before="70" w:line="216" w:lineRule="auto"/>
        <w:rPr>
          <w:sz w:val="20"/>
          <w:szCs w:val="20"/>
        </w:rPr>
      </w:pPr>
      <w:r>
        <w:rPr>
          <w:sz w:val="20"/>
          <w:szCs w:val="20"/>
          <w:spacing w:val="15"/>
        </w:rPr>
        <w:t>胱氨酸定性检查(如：硝普钠试验，</w:t>
      </w:r>
      <w:r>
        <w:rPr>
          <w:sz w:val="20"/>
          <w:szCs w:val="20"/>
          <w:spacing w:val="-50"/>
        </w:rPr>
        <w:t xml:space="preserve"> </w:t>
      </w:r>
      <w:r>
        <w:rPr>
          <w:rFonts w:ascii="Times New Roman" w:hAnsi="Times New Roman" w:eastAsia="Times New Roman" w:cs="Times New Roman"/>
          <w:sz w:val="20"/>
          <w:szCs w:val="20"/>
        </w:rPr>
        <w:t>Brand</w:t>
      </w:r>
      <w:r>
        <w:rPr>
          <w:rFonts w:ascii="Times New Roman" w:hAnsi="Times New Roman" w:eastAsia="Times New Roman" w:cs="Times New Roman"/>
          <w:sz w:val="20"/>
          <w:szCs w:val="20"/>
          <w:spacing w:val="-5"/>
        </w:rPr>
        <w:t xml:space="preserve"> </w:t>
      </w:r>
      <w:r>
        <w:rPr>
          <w:sz w:val="20"/>
          <w:szCs w:val="20"/>
          <w:spacing w:val="15"/>
        </w:rPr>
        <w:t>试验[6],或其它胱氨</w:t>
      </w:r>
      <w:r>
        <w:rPr>
          <w:sz w:val="20"/>
          <w:szCs w:val="20"/>
          <w:spacing w:val="14"/>
        </w:rPr>
        <w:t>酸检查)。</w:t>
      </w:r>
    </w:p>
    <w:p>
      <w:pPr>
        <w:pStyle w:val="BodyText"/>
        <w:ind w:left="1042"/>
        <w:spacing w:before="126" w:line="219" w:lineRule="auto"/>
        <w:rPr>
          <w:sz w:val="20"/>
          <w:szCs w:val="20"/>
        </w:rPr>
      </w:pPr>
      <w:r>
        <w:rPr>
          <w:sz w:val="20"/>
          <w:szCs w:val="20"/>
          <w:b/>
          <w:bCs/>
          <w:spacing w:val="14"/>
        </w:rPr>
        <w:t>菌尿/尿培养(如果尿培养阳性，则检查是否为产尿素酶</w:t>
      </w:r>
      <w:r>
        <w:rPr>
          <w:sz w:val="20"/>
          <w:szCs w:val="20"/>
          <w:b/>
          <w:bCs/>
          <w:spacing w:val="13"/>
        </w:rPr>
        <w:t>的微生物)。</w:t>
      </w:r>
    </w:p>
    <w:p>
      <w:pPr>
        <w:ind w:left="5120"/>
        <w:spacing w:before="25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rPr>
        <w:t>—186—</w:t>
      </w:r>
    </w:p>
    <w:p>
      <w:pPr>
        <w:spacing w:line="433" w:lineRule="auto"/>
        <w:rPr>
          <w:rFonts w:ascii="Arial"/>
          <w:sz w:val="21"/>
        </w:rPr>
      </w:pPr>
      <w:r/>
    </w:p>
    <w:p>
      <w:pPr>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(C)1994-2023  China  Academic</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Journal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Electronic</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Publishing</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House.All</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rights</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reserved.    </w:t>
      </w:r>
      <w:hyperlink w:history="true" r:id="rId4">
        <w:r>
          <w:rPr>
            <w:rFonts w:ascii="Times New Roman" w:hAnsi="Times New Roman" w:eastAsia="Times New Roman" w:cs="Times New Roman"/>
            <w:sz w:val="20"/>
            <w:szCs w:val="20"/>
          </w:rPr>
          <w:t>http://www.c</w:t>
        </w:r>
        <w:r>
          <w:rPr>
            <w:rFonts w:ascii="Times New Roman" w:hAnsi="Times New Roman" w:eastAsia="Times New Roman" w:cs="Times New Roman"/>
            <w:sz w:val="20"/>
            <w:szCs w:val="20"/>
            <w:spacing w:val="-1"/>
          </w:rPr>
          <w:t>nki.net</w:t>
        </w:r>
      </w:hyperlink>
    </w:p>
    <w:p>
      <w:pPr>
        <w:spacing w:line="192" w:lineRule="auto"/>
        <w:sectPr>
          <w:pgSz w:w="11850" w:h="16140"/>
          <w:pgMar w:top="400" w:right="1299" w:bottom="0" w:left="380" w:header="0" w:footer="0" w:gutter="0"/>
        </w:sectPr>
        <w:rPr>
          <w:rFonts w:ascii="Times New Roman" w:hAnsi="Times New Roman" w:eastAsia="Times New Roman" w:cs="Times New Roman"/>
          <w:sz w:val="20"/>
          <w:szCs w:val="20"/>
        </w:rPr>
      </w:pPr>
    </w:p>
    <w:p>
      <w:pPr>
        <w:spacing w:line="378" w:lineRule="auto"/>
        <w:rPr>
          <w:rFonts w:ascii="Arial"/>
          <w:sz w:val="21"/>
        </w:rPr>
      </w:pPr>
      <w:r/>
    </w:p>
    <w:p>
      <w:pPr>
        <w:ind w:left="7329"/>
        <w:spacing w:before="71" w:line="219" w:lineRule="auto"/>
        <w:rPr>
          <w:rFonts w:ascii="STXingkai" w:hAnsi="STXingkai" w:eastAsia="STXingkai" w:cs="STXingkai"/>
          <w:sz w:val="21"/>
          <w:szCs w:val="21"/>
        </w:rPr>
      </w:pPr>
      <w:r>
        <w:drawing>
          <wp:anchor distT="0" distB="0" distL="0" distR="0" simplePos="0" relativeHeight="251696128" behindDoc="0" locked="0" layoutInCell="1" allowOverlap="1">
            <wp:simplePos x="0" y="0"/>
            <wp:positionH relativeFrom="column">
              <wp:posOffset>4787848</wp:posOffset>
            </wp:positionH>
            <wp:positionV relativeFrom="paragraph">
              <wp:posOffset>184448</wp:posOffset>
            </wp:positionV>
            <wp:extent cx="1568458" cy="6667"/>
            <wp:effectExtent l="0" t="0" r="0" b="0"/>
            <wp:wrapNone/>
            <wp:docPr id="44" name="IM 44"/>
            <wp:cNvGraphicFramePr/>
            <a:graphic>
              <a:graphicData uri="http://schemas.openxmlformats.org/drawingml/2006/picture">
                <pic:pic>
                  <pic:nvPicPr>
                    <pic:cNvPr id="44" name="IM 44"/>
                    <pic:cNvPicPr/>
                  </pic:nvPicPr>
                  <pic:blipFill>
                    <a:blip r:embed="rId47"/>
                    <a:stretch>
                      <a:fillRect/>
                    </a:stretch>
                  </pic:blipFill>
                  <pic:spPr>
                    <a:xfrm rot="0">
                      <a:off x="0" y="0"/>
                      <a:ext cx="1568458" cy="6667"/>
                    </a:xfrm>
                    <a:prstGeom prst="rect">
                      <a:avLst/>
                    </a:prstGeom>
                  </pic:spPr>
                </pic:pic>
              </a:graphicData>
            </a:graphic>
          </wp:anchor>
        </w:drawing>
      </w:r>
      <w:r>
        <w:rPr>
          <w:rFonts w:ascii="STXingkai" w:hAnsi="STXingkai" w:eastAsia="STXingkai" w:cs="STXingkai"/>
          <w:sz w:val="21"/>
          <w:szCs w:val="21"/>
          <w:position w:val="-16"/>
        </w:rPr>
        <w:drawing>
          <wp:inline distT="0" distB="0" distL="0" distR="0">
            <wp:extent cx="215885" cy="196881"/>
            <wp:effectExtent l="0" t="0" r="0" b="0"/>
            <wp:docPr id="46" name="IM 46"/>
            <wp:cNvGraphicFramePr/>
            <a:graphic>
              <a:graphicData uri="http://schemas.openxmlformats.org/drawingml/2006/picture">
                <pic:pic>
                  <pic:nvPicPr>
                    <pic:cNvPr id="46" name="IM 46"/>
                    <pic:cNvPicPr/>
                  </pic:nvPicPr>
                  <pic:blipFill>
                    <a:blip r:embed="rId48"/>
                    <a:stretch>
                      <a:fillRect/>
                    </a:stretch>
                  </pic:blipFill>
                  <pic:spPr>
                    <a:xfrm rot="0">
                      <a:off x="0" y="0"/>
                      <a:ext cx="215885" cy="196881"/>
                    </a:xfrm>
                    <a:prstGeom prst="rect">
                      <a:avLst/>
                    </a:prstGeom>
                  </pic:spPr>
                </pic:pic>
              </a:graphicData>
            </a:graphic>
          </wp:inline>
        </w:drawing>
      </w:r>
      <w:r>
        <w:rPr>
          <w:rFonts w:ascii="STXingkai" w:hAnsi="STXingkai" w:eastAsia="STXingkai" w:cs="STXingkai"/>
          <w:sz w:val="21"/>
          <w:szCs w:val="21"/>
          <w:spacing w:val="18"/>
        </w:rPr>
        <w:t xml:space="preserve">  </w:t>
      </w:r>
      <w:r>
        <w:rPr>
          <w:rFonts w:ascii="STXingkai" w:hAnsi="STXingkai" w:eastAsia="STXingkai" w:cs="STXingkai"/>
          <w:sz w:val="21"/>
          <w:szCs w:val="21"/>
          <w:spacing w:val="-23"/>
        </w:rPr>
        <w:t>附     录</w:t>
      </w:r>
      <w:r>
        <w:rPr>
          <w:rFonts w:ascii="STXingkai" w:hAnsi="STXingkai" w:eastAsia="STXingkai" w:cs="STXingkai"/>
          <w:sz w:val="21"/>
          <w:szCs w:val="21"/>
          <w:spacing w:val="3"/>
        </w:rPr>
        <w:t xml:space="preserve">     </w:t>
      </w:r>
      <w:r>
        <w:rPr>
          <w:rFonts w:ascii="STXingkai" w:hAnsi="STXingkai" w:eastAsia="STXingkai" w:cs="STXingkai"/>
          <w:sz w:val="21"/>
          <w:szCs w:val="21"/>
          <w:spacing w:val="-23"/>
        </w:rPr>
        <w:t>·</w:t>
      </w:r>
      <w:r>
        <w:rPr>
          <w:rFonts w:ascii="STXingkai" w:hAnsi="STXingkai" w:eastAsia="STXingkai" w:cs="STXingkai"/>
          <w:sz w:val="21"/>
          <w:szCs w:val="21"/>
        </w:rPr>
        <w:t xml:space="preserve">    </w:t>
      </w:r>
      <w:r>
        <w:rPr>
          <w:rFonts w:ascii="STXingkai" w:hAnsi="STXingkai" w:eastAsia="STXingkai" w:cs="STXingkai"/>
          <w:sz w:val="21"/>
          <w:szCs w:val="21"/>
          <w:spacing w:val="-23"/>
        </w:rPr>
        <w:t>指</w:t>
      </w:r>
      <w:r>
        <w:rPr>
          <w:rFonts w:ascii="STXingkai" w:hAnsi="STXingkai" w:eastAsia="STXingkai" w:cs="STXingkai"/>
          <w:sz w:val="21"/>
          <w:szCs w:val="21"/>
          <w:spacing w:val="16"/>
          <w:w w:val="101"/>
        </w:rPr>
        <w:t xml:space="preserve">   </w:t>
      </w:r>
      <w:r>
        <w:rPr>
          <w:rFonts w:ascii="STXingkai" w:hAnsi="STXingkai" w:eastAsia="STXingkai" w:cs="STXingkai"/>
          <w:sz w:val="21"/>
          <w:szCs w:val="21"/>
          <w:spacing w:val="-23"/>
        </w:rPr>
        <w:t>古</w:t>
      </w:r>
    </w:p>
    <w:p>
      <w:pPr>
        <w:pStyle w:val="BodyText"/>
        <w:ind w:left="870"/>
        <w:spacing w:before="178" w:line="219" w:lineRule="auto"/>
        <w:rPr/>
      </w:pPr>
      <w:r>
        <w:rPr>
          <w:spacing w:val="2"/>
        </w:rPr>
        <w:t>尿沉渣镜检发现磷酸镁铵或胱氨酸结晶。</w:t>
      </w:r>
    </w:p>
    <w:p>
      <w:pPr>
        <w:pStyle w:val="BodyText"/>
        <w:ind w:left="870"/>
        <w:spacing w:before="81" w:line="220" w:lineRule="auto"/>
        <w:rPr/>
      </w:pPr>
      <w:r>
        <w:rPr>
          <w:spacing w:val="9"/>
        </w:rPr>
        <w:t>血清尿酸盐(对于可能为尿酸或尿酸盐结石的病</w:t>
      </w:r>
      <w:r>
        <w:rPr>
          <w:spacing w:val="8"/>
        </w:rPr>
        <w:t>例)。</w:t>
      </w:r>
    </w:p>
    <w:p>
      <w:pPr>
        <w:pStyle w:val="BodyText"/>
        <w:ind w:left="870"/>
        <w:spacing w:before="55" w:line="212" w:lineRule="auto"/>
        <w:rPr/>
      </w:pPr>
      <w:r>
        <w:rPr>
          <w:spacing w:val="11"/>
        </w:rPr>
        <w:t>尿</w:t>
      </w:r>
      <w:r>
        <w:rPr>
          <w:rFonts w:ascii="Times New Roman" w:hAnsi="Times New Roman" w:eastAsia="Times New Roman" w:cs="Times New Roman"/>
        </w:rPr>
        <w:t>pH</w:t>
      </w:r>
      <w:r>
        <w:rPr>
          <w:spacing w:val="11"/>
        </w:rPr>
        <w:t>值(尿酸结石患者低，感染性结石患者高)。</w:t>
      </w:r>
    </w:p>
    <w:p>
      <w:pPr>
        <w:pStyle w:val="BodyText"/>
        <w:ind w:left="870"/>
        <w:spacing w:before="113" w:line="219" w:lineRule="auto"/>
        <w:rPr/>
      </w:pPr>
      <w:r>
        <w:rPr>
          <w:spacing w:val="2"/>
        </w:rPr>
        <w:t>结石的放射学影像特征。</w:t>
      </w:r>
    </w:p>
    <w:p>
      <w:pPr>
        <w:pStyle w:val="BodyText"/>
        <w:ind w:left="870"/>
        <w:spacing w:before="111" w:line="220" w:lineRule="auto"/>
        <w:rPr/>
      </w:pPr>
      <w:r>
        <w:rPr>
          <w:spacing w:val="2"/>
        </w:rPr>
        <w:t>适当的定量或半定量结石成分分析可以判定结石的成分或结石的主要成分。</w:t>
      </w:r>
    </w:p>
    <w:p>
      <w:pPr>
        <w:pStyle w:val="BodyText"/>
        <w:ind w:left="870"/>
        <w:spacing w:before="70" w:line="220" w:lineRule="auto"/>
        <w:rPr/>
      </w:pPr>
      <w:r>
        <w:rPr>
          <w:spacing w:val="2"/>
        </w:rPr>
        <w:t>以下非感染性钙结石为不透X线的结石：</w:t>
      </w:r>
    </w:p>
    <w:p>
      <w:pPr>
        <w:pStyle w:val="BodyText"/>
        <w:ind w:left="870"/>
        <w:spacing w:before="79" w:line="219" w:lineRule="auto"/>
        <w:rPr/>
      </w:pPr>
      <w:r>
        <w:rPr>
          <w:spacing w:val="-2"/>
        </w:rPr>
        <w:t>草酸钙结石</w:t>
      </w:r>
    </w:p>
    <w:p>
      <w:pPr>
        <w:pStyle w:val="BodyText"/>
        <w:ind w:left="870"/>
        <w:spacing w:before="81" w:line="219" w:lineRule="auto"/>
        <w:rPr/>
      </w:pPr>
      <w:r>
        <w:rPr>
          <w:spacing w:val="2"/>
        </w:rPr>
        <w:t>一水草酸钙结石</w:t>
      </w:r>
    </w:p>
    <w:p>
      <w:pPr>
        <w:pStyle w:val="BodyText"/>
        <w:ind w:left="870"/>
        <w:spacing w:before="81" w:line="219" w:lineRule="auto"/>
        <w:rPr/>
      </w:pPr>
      <w:r>
        <w:rPr>
          <w:spacing w:val="2"/>
        </w:rPr>
        <w:t>二水草酸钙结石</w:t>
      </w:r>
    </w:p>
    <w:p>
      <w:pPr>
        <w:pStyle w:val="BodyText"/>
        <w:ind w:left="870"/>
        <w:spacing w:before="81" w:line="219" w:lineRule="auto"/>
        <w:rPr/>
      </w:pPr>
      <w:r>
        <w:rPr>
          <w:spacing w:val="-2"/>
        </w:rPr>
        <w:t>磷酸钙结石</w:t>
      </w:r>
    </w:p>
    <w:p>
      <w:pPr>
        <w:pStyle w:val="BodyText"/>
        <w:ind w:left="870"/>
        <w:spacing w:before="80" w:line="219" w:lineRule="auto"/>
        <w:rPr/>
      </w:pPr>
      <w:r>
        <w:rPr>
          <w:spacing w:val="-2"/>
        </w:rPr>
        <w:t>羟基磷灰石</w:t>
      </w:r>
    </w:p>
    <w:p>
      <w:pPr>
        <w:pStyle w:val="BodyText"/>
        <w:ind w:left="870"/>
        <w:spacing w:before="81" w:line="219" w:lineRule="auto"/>
        <w:rPr/>
      </w:pPr>
      <w:r>
        <w:rPr>
          <w:spacing w:val="-2"/>
        </w:rPr>
        <w:t>碳磷灰石</w:t>
      </w:r>
    </w:p>
    <w:p>
      <w:pPr>
        <w:pStyle w:val="BodyText"/>
        <w:ind w:left="870"/>
        <w:spacing w:before="81" w:line="219" w:lineRule="auto"/>
        <w:rPr/>
      </w:pPr>
      <w:r>
        <w:rPr>
          <w:spacing w:val="3"/>
        </w:rPr>
        <w:t>磷酸八钙结石</w:t>
      </w:r>
    </w:p>
    <w:p>
      <w:pPr>
        <w:pStyle w:val="BodyText"/>
        <w:ind w:left="870"/>
        <w:spacing w:before="81" w:line="219" w:lineRule="auto"/>
        <w:rPr/>
      </w:pPr>
      <w:r>
        <w:rPr>
          <w:spacing w:val="3"/>
        </w:rPr>
        <w:t>磷酸氢钙结石</w:t>
      </w:r>
    </w:p>
    <w:p>
      <w:pPr>
        <w:pStyle w:val="BodyText"/>
        <w:ind w:left="870"/>
        <w:spacing w:before="81" w:line="219" w:lineRule="auto"/>
        <w:rPr/>
      </w:pPr>
      <w:r>
        <w:rPr>
          <w:spacing w:val="-2"/>
        </w:rPr>
        <w:t>白磷钙石</w:t>
      </w:r>
    </w:p>
    <w:p>
      <w:pPr>
        <w:pStyle w:val="BodyText"/>
        <w:ind w:left="870"/>
        <w:spacing w:before="131" w:line="219" w:lineRule="auto"/>
        <w:rPr/>
      </w:pPr>
      <w:r>
        <w:rPr>
          <w:spacing w:val="-1"/>
        </w:rPr>
        <w:t>以下非感染性结石被归类为尿酸/尿酸盐结石：</w:t>
      </w:r>
    </w:p>
    <w:p>
      <w:pPr>
        <w:pStyle w:val="BodyText"/>
        <w:ind w:left="870"/>
        <w:spacing w:before="92" w:line="221" w:lineRule="auto"/>
        <w:rPr/>
      </w:pPr>
      <w:r>
        <w:rPr>
          <w:spacing w:val="-2"/>
        </w:rPr>
        <w:t>尿酸结石</w:t>
      </w:r>
    </w:p>
    <w:p>
      <w:pPr>
        <w:pStyle w:val="BodyText"/>
        <w:ind w:left="870"/>
        <w:spacing w:before="88" w:line="221" w:lineRule="auto"/>
        <w:rPr/>
      </w:pPr>
      <w:r>
        <w:rPr>
          <w:spacing w:val="4"/>
        </w:rPr>
        <w:t>尿酸铵结石</w:t>
      </w:r>
    </w:p>
    <w:p>
      <w:pPr>
        <w:pStyle w:val="BodyText"/>
        <w:ind w:left="870"/>
        <w:spacing w:before="89" w:line="221" w:lineRule="auto"/>
        <w:rPr/>
      </w:pPr>
      <w:r>
        <w:rPr>
          <w:spacing w:val="-2"/>
        </w:rPr>
        <w:t>尿酸钠结石</w:t>
      </w:r>
    </w:p>
    <w:p>
      <w:pPr>
        <w:pStyle w:val="BodyText"/>
        <w:ind w:left="870"/>
        <w:spacing w:before="96" w:line="219" w:lineRule="auto"/>
        <w:rPr/>
      </w:pPr>
      <w:r>
        <w:rPr>
          <w:spacing w:val="1"/>
        </w:rPr>
        <w:t>感染性结石有以下几种典型成分类型：</w:t>
      </w:r>
    </w:p>
    <w:p>
      <w:pPr>
        <w:pStyle w:val="BodyText"/>
        <w:ind w:left="870"/>
        <w:spacing w:before="83" w:line="219" w:lineRule="auto"/>
        <w:rPr/>
      </w:pPr>
      <w:r>
        <w:rPr>
          <w:spacing w:val="3"/>
        </w:rPr>
        <w:t>磷酸镁铵结石</w:t>
      </w:r>
    </w:p>
    <w:p>
      <w:pPr>
        <w:pStyle w:val="BodyText"/>
        <w:ind w:left="870"/>
        <w:spacing w:before="71" w:line="219" w:lineRule="auto"/>
        <w:rPr/>
      </w:pPr>
      <w:r>
        <w:rPr>
          <w:spacing w:val="-2"/>
        </w:rPr>
        <w:t>碳磷灰石</w:t>
      </w:r>
    </w:p>
    <w:p>
      <w:pPr>
        <w:pStyle w:val="BodyText"/>
        <w:ind w:left="460" w:right="40" w:firstLine="410"/>
        <w:spacing w:before="86" w:line="305" w:lineRule="auto"/>
        <w:rPr/>
      </w:pPr>
      <w:r>
        <w:rPr>
          <w:spacing w:val="4"/>
        </w:rPr>
        <w:t>较为少见的结石成分还包括2,8-二羟腺嘌呤，黄嘌呤和各种药物的代谢产物(如：磺胺类药物，印</w:t>
      </w:r>
      <w:r>
        <w:rPr>
          <w:spacing w:val="13"/>
        </w:rPr>
        <w:t xml:space="preserve"> </w:t>
      </w:r>
      <w:r>
        <w:rPr>
          <w:spacing w:val="4"/>
        </w:rPr>
        <w:t>地那韦)。与感染有关的钙结石、尿酸/尿酸盐结石以及胱氨酸结石皆被归类为“感染石”。</w:t>
      </w:r>
    </w:p>
    <w:p>
      <w:pPr>
        <w:pStyle w:val="BodyText"/>
        <w:ind w:left="870"/>
        <w:spacing w:line="219" w:lineRule="auto"/>
        <w:rPr/>
      </w:pPr>
      <w:r>
        <w:rPr>
          <w:spacing w:val="-8"/>
        </w:rPr>
        <w:t>3.2.1参考文献</w:t>
      </w:r>
    </w:p>
    <w:p>
      <w:pPr>
        <w:ind w:left="460"/>
        <w:spacing w:before="13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1.Asper  R.Stone  analysis.Urol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Res   1990;18(Suppl):9-12.</w:t>
      </w:r>
    </w:p>
    <w:sdt>
      <w:sdtPr>
        <w:rPr>
          <w:rFonts w:ascii="Times New Roman" w:hAnsi="Times New Roman" w:eastAsia="Times New Roman" w:cs="Times New Roman"/>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ind w:left="460"/>
            <w:spacing w:before="156" w:line="192" w:lineRule="auto"/>
            <w:rPr>
              <w:rFonts w:ascii="Times New Roman" w:hAnsi="Times New Roman" w:eastAsia="Times New Roman" w:cs="Times New Roman"/>
              <w:sz w:val="21"/>
              <w:szCs w:val="21"/>
            </w:rPr>
          </w:pPr>
          <w:hyperlink w:history="true" r:id="rId49">
            <w:r>
              <w:rPr>
                <w:rFonts w:ascii="Times New Roman" w:hAnsi="Times New Roman" w:eastAsia="Times New Roman" w:cs="Times New Roman"/>
                <w:sz w:val="21"/>
                <w:szCs w:val="21"/>
              </w:rPr>
              <w:t>http://www.ncbi.nlm.nih.gov/entrezlquery.fcgi?cmd=Retrieve&amp;db=PubMed&amp;list_uids=2291252&amp;do</w:t>
            </w:r>
            <w:r>
              <w:rPr>
                <w:rFonts w:ascii="Times New Roman" w:hAnsi="Times New Roman" w:eastAsia="Times New Roman" w:cs="Times New Roman"/>
                <w:sz w:val="21"/>
                <w:szCs w:val="21"/>
                <w:spacing w:val="-1"/>
              </w:rPr>
              <w:t>pt=Abstract</w:t>
            </w:r>
          </w:hyperlink>
        </w:p>
        <w:p>
          <w:pPr>
            <w:ind w:left="460"/>
            <w:spacing w:before="127" w:line="192" w:lineRule="auto"/>
            <w:rPr>
              <w:rFonts w:ascii="Times New Roman" w:hAnsi="Times New Roman" w:eastAsia="Times New Roman" w:cs="Times New Roman"/>
              <w:sz w:val="21"/>
              <w:szCs w:val="21"/>
            </w:rPr>
          </w:pPr>
          <w:hyperlink w:history="true" r:id="rId49">
            <w:r>
              <w:rPr>
                <w:rFonts w:ascii="Times New Roman" w:hAnsi="Times New Roman" w:eastAsia="Times New Roman" w:cs="Times New Roman"/>
                <w:sz w:val="21"/>
                <w:szCs w:val="21"/>
              </w:rPr>
              <w:t>2.Herring</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LC.Observations</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analysis</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ten</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thousand</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urinary</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calculi.J</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Urol  1962</w:t>
            </w:r>
          </w:hyperlink>
          <w:r>
            <w:rPr>
              <w:rFonts w:ascii="Times New Roman" w:hAnsi="Times New Roman" w:eastAsia="Times New Roman" w:cs="Times New Roman"/>
              <w:sz w:val="21"/>
              <w:szCs w:val="21"/>
              <w:spacing w:val="-1"/>
            </w:rPr>
            <w:t>;</w:t>
          </w:r>
          <w:hyperlink w:history="true" r:id="rId50">
            <w:r>
              <w:rPr>
                <w:rFonts w:ascii="Times New Roman" w:hAnsi="Times New Roman" w:eastAsia="Times New Roman" w:cs="Times New Roman"/>
                <w:sz w:val="21"/>
                <w:szCs w:val="21"/>
                <w:spacing w:val="-1"/>
              </w:rPr>
              <w:t>88545-562</w:t>
            </w:r>
          </w:hyperlink>
          <w:r>
            <w:rPr>
              <w:rFonts w:ascii="Times New Roman" w:hAnsi="Times New Roman" w:eastAsia="Times New Roman" w:cs="Times New Roman"/>
              <w:sz w:val="21"/>
              <w:szCs w:val="21"/>
              <w:spacing w:val="-1"/>
            </w:rPr>
            <w:t>.</w:t>
          </w:r>
        </w:p>
        <w:p>
          <w:pPr>
            <w:ind w:left="460"/>
            <w:spacing w:before="167" w:line="192" w:lineRule="auto"/>
            <w:rPr>
              <w:rFonts w:ascii="Times New Roman" w:hAnsi="Times New Roman" w:eastAsia="Times New Roman" w:cs="Times New Roman"/>
              <w:sz w:val="21"/>
              <w:szCs w:val="21"/>
            </w:rPr>
          </w:pPr>
          <w:hyperlink w:history="true" r:id="rId49">
            <w:r>
              <w:rPr>
                <w:rFonts w:ascii="Times New Roman" w:hAnsi="Times New Roman" w:eastAsia="Times New Roman" w:cs="Times New Roman"/>
                <w:sz w:val="21"/>
                <w:szCs w:val="21"/>
                <w:spacing w:val="-4"/>
              </w:rPr>
              <w:t>http://www.ncbi.nlm.nih.gov/entrez/query.fcgi?cmd=Retrieve&amp;db=PubMed&amp;list_uids=13954078&amp;dopt=</w:t>
            </w:r>
            <w:r>
              <w:rPr>
                <w:rFonts w:ascii="Times New Roman" w:hAnsi="Times New Roman" w:eastAsia="Times New Roman" w:cs="Times New Roman"/>
                <w:sz w:val="21"/>
                <w:szCs w:val="21"/>
                <w:spacing w:val="-5"/>
              </w:rPr>
              <w:t>Abstract</w:t>
            </w:r>
          </w:hyperlink>
        </w:p>
        <w:p>
          <w:pPr>
            <w:ind w:right="18"/>
            <w:spacing w:before="137" w:line="192" w:lineRule="auto"/>
            <w:jc w:val="right"/>
            <w:rPr>
              <w:rFonts w:ascii="Times New Roman" w:hAnsi="Times New Roman" w:eastAsia="Times New Roman" w:cs="Times New Roman"/>
              <w:sz w:val="21"/>
              <w:szCs w:val="21"/>
            </w:rPr>
          </w:pPr>
          <w:hyperlink w:history="true" r:id="rId49">
            <w:r>
              <w:rPr>
                <w:rFonts w:ascii="Times New Roman" w:hAnsi="Times New Roman" w:eastAsia="Times New Roman" w:cs="Times New Roman"/>
                <w:sz w:val="21"/>
                <w:szCs w:val="21"/>
              </w:rPr>
              <w:t>3.Daudon</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M</w:t>
            </w:r>
          </w:hyperlink>
          <w:r>
            <w:rPr>
              <w:rFonts w:ascii="Times New Roman" w:hAnsi="Times New Roman" w:eastAsia="Times New Roman" w:cs="Times New Roman"/>
              <w:sz w:val="21"/>
              <w:szCs w:val="21"/>
            </w:rPr>
            <w:t>,</w:t>
          </w:r>
          <w:hyperlink w:history="true" r:id="rId51">
            <w:r>
              <w:rPr>
                <w:rFonts w:ascii="Times New Roman" w:hAnsi="Times New Roman" w:eastAsia="Times New Roman" w:cs="Times New Roman"/>
                <w:sz w:val="21"/>
                <w:szCs w:val="21"/>
              </w:rPr>
              <w:t>Jungers</w:t>
            </w:r>
          </w:hyperlink>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P.Clinical</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value</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crystalluria</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quantitative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morphoconstitution</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analysis</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of urinary</w:t>
          </w:r>
        </w:p>
      </w:sdtContent>
    </w:sdt>
    <w:p>
      <w:pPr>
        <w:ind w:left="460"/>
        <w:spacing w:before="15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calculi.Nephron     Physiol.2004;98:31-36.</w:t>
      </w:r>
    </w:p>
    <w:p>
      <w:pPr>
        <w:ind w:left="460"/>
        <w:spacing w:before="146" w:line="192" w:lineRule="auto"/>
        <w:rPr>
          <w:rFonts w:ascii="Times New Roman" w:hAnsi="Times New Roman" w:eastAsia="Times New Roman" w:cs="Times New Roman"/>
          <w:sz w:val="21"/>
          <w:szCs w:val="21"/>
        </w:rPr>
      </w:pPr>
      <w:hyperlink w:history="true" r:id="rId49">
        <w:r>
          <w:rPr>
            <w:rFonts w:ascii="Times New Roman" w:hAnsi="Times New Roman" w:eastAsia="Times New Roman" w:cs="Times New Roman"/>
            <w:sz w:val="21"/>
            <w:szCs w:val="21"/>
            <w:spacing w:val="-4"/>
          </w:rPr>
          <w:t>http://www.ncbi.nlm.nih.gov/entrez/query.fcgi?cmd=Retrieve&amp;db=pubmed&amp;dopt=Abstract&amp;list_uids=15499212</w:t>
        </w:r>
      </w:hyperlink>
    </w:p>
    <w:p>
      <w:pPr>
        <w:ind w:left="460" w:right="11"/>
        <w:spacing w:before="148" w:line="301" w:lineRule="auto"/>
        <w:rPr>
          <w:rFonts w:ascii="Times New Roman" w:hAnsi="Times New Roman" w:eastAsia="Times New Roman" w:cs="Times New Roman"/>
          <w:sz w:val="21"/>
          <w:szCs w:val="21"/>
        </w:rPr>
      </w:pPr>
      <w:hyperlink w:history="true" r:id="rId49">
        <w:r>
          <w:rPr>
            <w:rFonts w:ascii="Times New Roman" w:hAnsi="Times New Roman" w:eastAsia="Times New Roman" w:cs="Times New Roman"/>
            <w:sz w:val="21"/>
            <w:szCs w:val="21"/>
          </w:rPr>
          <w:t>4.Otnes</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B.Crystalline</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compositio</w:t>
        </w:r>
        <w:r>
          <w:rPr>
            <w:rFonts w:ascii="Times New Roman" w:hAnsi="Times New Roman" w:eastAsia="Times New Roman" w:cs="Times New Roman"/>
            <w:sz w:val="21"/>
            <w:szCs w:val="21"/>
            <w:spacing w:val="-1"/>
          </w:rPr>
          <w:t>n</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of urinary</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stones</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Norwegian</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patients.Scand</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Nephrol  1983</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8"/>
        </w:rPr>
        <w:t xml:space="preserve"> </w:t>
      </w:r>
      <w:hyperlink w:history="true" r:id="rId52">
        <w:r>
          <w:rPr>
            <w:rFonts w:ascii="Times New Roman" w:hAnsi="Times New Roman" w:eastAsia="Times New Roman" w:cs="Times New Roman"/>
            <w:sz w:val="21"/>
            <w:szCs w:val="21"/>
            <w:spacing w:val="-1"/>
          </w:rPr>
          <w:t>17:85</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3"/>
        </w:rPr>
        <w:t>92.</w:t>
      </w:r>
    </w:p>
    <w:p>
      <w:pPr>
        <w:ind w:left="460"/>
        <w:spacing w:before="64" w:line="192" w:lineRule="auto"/>
        <w:rPr>
          <w:rFonts w:ascii="Times New Roman" w:hAnsi="Times New Roman" w:eastAsia="Times New Roman" w:cs="Times New Roman"/>
          <w:sz w:val="21"/>
          <w:szCs w:val="21"/>
        </w:rPr>
      </w:pPr>
      <w:hyperlink w:history="true" r:id="rId49">
        <w:r>
          <w:rPr>
            <w:rFonts w:ascii="Times New Roman" w:hAnsi="Times New Roman" w:eastAsia="Times New Roman" w:cs="Times New Roman"/>
            <w:sz w:val="21"/>
            <w:szCs w:val="21"/>
          </w:rPr>
          <w:t>http://www.ncbi.nlm.nih.gov/entrezlquery.fcgi?cmd=Retrieve&amp;db=PubMed&amp;list_uids=6867630&amp;do</w:t>
        </w:r>
        <w:r>
          <w:rPr>
            <w:rFonts w:ascii="Times New Roman" w:hAnsi="Times New Roman" w:eastAsia="Times New Roman" w:cs="Times New Roman"/>
            <w:sz w:val="21"/>
            <w:szCs w:val="21"/>
            <w:spacing w:val="-1"/>
          </w:rPr>
          <w:t>pt=Abstract</w:t>
        </w:r>
      </w:hyperlink>
    </w:p>
    <w:p>
      <w:pPr>
        <w:ind w:left="460"/>
        <w:spacing w:before="146" w:line="322" w:lineRule="auto"/>
        <w:rPr>
          <w:rFonts w:ascii="Times New Roman" w:hAnsi="Times New Roman" w:eastAsia="Times New Roman" w:cs="Times New Roman"/>
          <w:sz w:val="21"/>
          <w:szCs w:val="21"/>
        </w:rPr>
      </w:pPr>
      <w:hyperlink w:history="true" r:id="rId49">
        <w:r>
          <w:rPr>
            <w:rFonts w:ascii="Times New Roman" w:hAnsi="Times New Roman" w:eastAsia="Times New Roman" w:cs="Times New Roman"/>
            <w:sz w:val="21"/>
            <w:szCs w:val="21"/>
            <w:spacing w:val="-1"/>
          </w:rPr>
          <w:t>5.Leusmann</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DB</w:t>
        </w:r>
      </w:hyperlink>
      <w:r>
        <w:rPr>
          <w:rFonts w:ascii="Times New Roman" w:hAnsi="Times New Roman" w:eastAsia="Times New Roman" w:cs="Times New Roman"/>
          <w:sz w:val="21"/>
          <w:szCs w:val="21"/>
          <w:spacing w:val="-1"/>
        </w:rPr>
        <w:t>,</w:t>
      </w:r>
      <w:hyperlink w:history="true" r:id="rId53">
        <w:r>
          <w:rPr>
            <w:rFonts w:ascii="Times New Roman" w:hAnsi="Times New Roman" w:eastAsia="Times New Roman" w:cs="Times New Roman"/>
            <w:sz w:val="21"/>
            <w:szCs w:val="21"/>
            <w:spacing w:val="-1"/>
          </w:rPr>
          <w:t>Blaschke</w:t>
        </w:r>
      </w:hyperlink>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rPr>
        <w:t>,Schwandt</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W.Results</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5,035  s</w:t>
      </w:r>
      <w:r>
        <w:rPr>
          <w:rFonts w:ascii="Times New Roman" w:hAnsi="Times New Roman" w:eastAsia="Times New Roman" w:cs="Times New Roman"/>
          <w:sz w:val="21"/>
          <w:szCs w:val="21"/>
          <w:spacing w:val="-1"/>
        </w:rPr>
        <w:t>tone  analyses:a</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1"/>
        </w:rPr>
        <w:t>contribution</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to  epidemiology</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spacing w:val="-1"/>
        </w:rPr>
        <w:t>o</w:t>
      </w:r>
      <w:r>
        <w:rPr>
          <w:rFonts w:ascii="Times New Roman" w:hAnsi="Times New Roman" w:eastAsia="Times New Roman" w:cs="Times New Roman"/>
          <w:sz w:val="21"/>
          <w:szCs w:val="21"/>
          <w:spacing w:val="21"/>
        </w:rPr>
        <w:t>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urinary  stone  disease.Scand  JUrol</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Nephrol  199</w:t>
      </w:r>
      <w:r>
        <w:rPr>
          <w:rFonts w:ascii="Times New Roman" w:hAnsi="Times New Roman" w:eastAsia="Times New Roman" w:cs="Times New Roman"/>
          <w:sz w:val="21"/>
          <w:szCs w:val="21"/>
          <w:spacing w:val="-1"/>
        </w:rPr>
        <w:t>0;24:205-210.</w:t>
      </w:r>
    </w:p>
    <w:p>
      <w:pPr>
        <w:ind w:left="460"/>
        <w:spacing w:before="32" w:line="192" w:lineRule="auto"/>
        <w:rPr>
          <w:rFonts w:ascii="Times New Roman" w:hAnsi="Times New Roman" w:eastAsia="Times New Roman" w:cs="Times New Roman"/>
          <w:sz w:val="21"/>
          <w:szCs w:val="21"/>
        </w:rPr>
      </w:pPr>
      <w:hyperlink w:history="true" r:id="rId49">
        <w:r>
          <w:rPr>
            <w:rFonts w:ascii="Times New Roman" w:hAnsi="Times New Roman" w:eastAsia="Times New Roman" w:cs="Times New Roman"/>
            <w:sz w:val="21"/>
            <w:szCs w:val="21"/>
          </w:rPr>
          <w:t>http://www.ncbi.nlm.nih.gov/entrez/query.fcgi?cmd=Retrieve&amp;db=PubMed&amp;list_uids=2237297&amp;do</w:t>
        </w:r>
        <w:r>
          <w:rPr>
            <w:rFonts w:ascii="Times New Roman" w:hAnsi="Times New Roman" w:eastAsia="Times New Roman" w:cs="Times New Roman"/>
            <w:sz w:val="21"/>
            <w:szCs w:val="21"/>
            <w:spacing w:val="-1"/>
          </w:rPr>
          <w:t>pt=Abstract</w:t>
        </w:r>
      </w:hyperlink>
    </w:p>
    <w:p>
      <w:pPr>
        <w:ind w:left="460" w:right="18"/>
        <w:spacing w:before="157" w:line="312" w:lineRule="auto"/>
        <w:rPr>
          <w:rFonts w:ascii="Times New Roman" w:hAnsi="Times New Roman" w:eastAsia="Times New Roman" w:cs="Times New Roman"/>
          <w:sz w:val="21"/>
          <w:szCs w:val="21"/>
        </w:rPr>
      </w:pPr>
      <w:hyperlink w:history="true" r:id="rId49">
        <w:r>
          <w:rPr>
            <w:rFonts w:ascii="Times New Roman" w:hAnsi="Times New Roman" w:eastAsia="Times New Roman" w:cs="Times New Roman"/>
            <w:sz w:val="21"/>
            <w:szCs w:val="21"/>
          </w:rPr>
          <w:t>6.Brand</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E</w:t>
        </w:r>
      </w:hyperlink>
      <w:r>
        <w:rPr>
          <w:rFonts w:ascii="Times New Roman" w:hAnsi="Times New Roman" w:eastAsia="Times New Roman" w:cs="Times New Roman"/>
          <w:sz w:val="21"/>
          <w:szCs w:val="21"/>
        </w:rPr>
        <w:t>,</w:t>
      </w:r>
      <w:hyperlink w:history="true" r:id="rId54">
        <w:r>
          <w:rPr>
            <w:rFonts w:ascii="Times New Roman" w:hAnsi="Times New Roman" w:eastAsia="Times New Roman" w:cs="Times New Roman"/>
            <w:sz w:val="21"/>
            <w:szCs w:val="21"/>
          </w:rPr>
          <w:t>Harris</w:t>
        </w:r>
      </w:hyperlink>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MH,Biloon</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S.Cystinur</w:t>
      </w:r>
      <w:r>
        <w:rPr>
          <w:rFonts w:ascii="Times New Roman" w:hAnsi="Times New Roman" w:eastAsia="Times New Roman" w:cs="Times New Roman"/>
          <w:sz w:val="21"/>
          <w:szCs w:val="21"/>
          <w:spacing w:val="-1"/>
        </w:rPr>
        <w:t>ia:Excretion</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cystine</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complex</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which</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decomposes</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urine</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liberation</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of cyst</w:t>
      </w:r>
      <w:r>
        <w:rPr>
          <w:rFonts w:ascii="Times New Roman" w:hAnsi="Times New Roman" w:eastAsia="Times New Roman" w:cs="Times New Roman"/>
          <w:sz w:val="21"/>
          <w:szCs w:val="21"/>
          <w:spacing w:val="-1"/>
        </w:rPr>
        <w:t>ine.J</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Clin</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Chem</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1980;86:315.</w:t>
      </w:r>
    </w:p>
    <w:p>
      <w:pPr>
        <w:ind w:left="4920"/>
        <w:spacing w:before="16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rPr>
        <w:t>—187—</w:t>
      </w:r>
    </w:p>
    <w:p>
      <w:pPr>
        <w:spacing w:line="349"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4">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pgSz w:w="11850" w:h="16140"/>
          <w:pgMar w:top="400" w:right="1440" w:bottom="0" w:left="380" w:header="0" w:footer="0" w:gutter="0"/>
        </w:sectPr>
        <w:rPr>
          <w:rFonts w:ascii="Times New Roman" w:hAnsi="Times New Roman" w:eastAsia="Times New Roman" w:cs="Times New Roman"/>
          <w:sz w:val="21"/>
          <w:szCs w:val="21"/>
        </w:rPr>
      </w:pPr>
    </w:p>
    <w:p>
      <w:pPr>
        <w:ind w:left="951"/>
        <w:spacing w:before="295" w:line="207" w:lineRule="auto"/>
        <w:rPr>
          <w:rFonts w:ascii="STXingkai" w:hAnsi="STXingkai" w:eastAsia="STXingkai" w:cs="STXingkai"/>
          <w:sz w:val="21"/>
          <w:szCs w:val="21"/>
        </w:rPr>
      </w:pPr>
      <w:r>
        <w:drawing>
          <wp:anchor distT="0" distB="0" distL="0" distR="0" simplePos="0" relativeHeight="251701248" behindDoc="1" locked="0" layoutInCell="1" allowOverlap="1">
            <wp:simplePos x="0" y="0"/>
            <wp:positionH relativeFrom="column">
              <wp:posOffset>292110</wp:posOffset>
            </wp:positionH>
            <wp:positionV relativeFrom="paragraph">
              <wp:posOffset>222024</wp:posOffset>
            </wp:positionV>
            <wp:extent cx="1701797" cy="209487"/>
            <wp:effectExtent l="0" t="0" r="0" b="0"/>
            <wp:wrapNone/>
            <wp:docPr id="48" name="IM 48"/>
            <wp:cNvGraphicFramePr/>
            <a:graphic>
              <a:graphicData uri="http://schemas.openxmlformats.org/drawingml/2006/picture">
                <pic:pic>
                  <pic:nvPicPr>
                    <pic:cNvPr id="48" name="IM 48"/>
                    <pic:cNvPicPr/>
                  </pic:nvPicPr>
                  <pic:blipFill>
                    <a:blip r:embed="rId55"/>
                    <a:stretch>
                      <a:fillRect/>
                    </a:stretch>
                  </pic:blipFill>
                  <pic:spPr>
                    <a:xfrm rot="0">
                      <a:off x="0" y="0"/>
                      <a:ext cx="1701797" cy="209487"/>
                    </a:xfrm>
                    <a:prstGeom prst="rect">
                      <a:avLst/>
                    </a:prstGeom>
                  </pic:spPr>
                </pic:pic>
              </a:graphicData>
            </a:graphic>
          </wp:anchor>
        </w:drawing>
      </w:r>
      <w:r>
        <w:rPr>
          <w:rFonts w:ascii="STXingkai" w:hAnsi="STXingkai" w:eastAsia="STXingkai" w:cs="STXingkai"/>
          <w:sz w:val="21"/>
          <w:szCs w:val="21"/>
          <w:b/>
          <w:bCs/>
          <w:spacing w:val="-38"/>
        </w:rPr>
        <w:t>附</w:t>
      </w:r>
      <w:r>
        <w:rPr>
          <w:rFonts w:ascii="STXingkai" w:hAnsi="STXingkai" w:eastAsia="STXingkai" w:cs="STXingkai"/>
          <w:sz w:val="21"/>
          <w:szCs w:val="21"/>
        </w:rPr>
        <w:t xml:space="preserve">    </w:t>
      </w:r>
      <w:r>
        <w:rPr>
          <w:rFonts w:ascii="STXingkai" w:hAnsi="STXingkai" w:eastAsia="STXingkai" w:cs="STXingkai"/>
          <w:sz w:val="21"/>
          <w:szCs w:val="21"/>
          <w:b/>
          <w:bCs/>
          <w:spacing w:val="-38"/>
        </w:rPr>
        <w:t>灵</w:t>
      </w:r>
      <w:r>
        <w:rPr>
          <w:rFonts w:ascii="STXingkai" w:hAnsi="STXingkai" w:eastAsia="STXingkai" w:cs="STXingkai"/>
          <w:sz w:val="21"/>
          <w:szCs w:val="21"/>
          <w:spacing w:val="2"/>
        </w:rPr>
        <w:t xml:space="preserve">     </w:t>
      </w:r>
      <w:r>
        <w:rPr>
          <w:rFonts w:ascii="STXingkai" w:hAnsi="STXingkai" w:eastAsia="STXingkai" w:cs="STXingkai"/>
          <w:sz w:val="21"/>
          <w:szCs w:val="21"/>
          <w:b/>
          <w:bCs/>
          <w:spacing w:val="-38"/>
        </w:rPr>
        <w:t>·</w:t>
      </w:r>
      <w:r>
        <w:rPr>
          <w:rFonts w:ascii="STXingkai" w:hAnsi="STXingkai" w:eastAsia="STXingkai" w:cs="STXingkai"/>
          <w:sz w:val="21"/>
          <w:szCs w:val="21"/>
          <w:spacing w:val="18"/>
        </w:rPr>
        <w:t xml:space="preserve">   </w:t>
      </w:r>
      <w:r>
        <w:rPr>
          <w:rFonts w:ascii="STXingkai" w:hAnsi="STXingkai" w:eastAsia="STXingkai" w:cs="STXingkai"/>
          <w:sz w:val="21"/>
          <w:szCs w:val="21"/>
          <w:b/>
          <w:bCs/>
          <w:spacing w:val="-38"/>
        </w:rPr>
        <w:t>指</w:t>
      </w:r>
      <w:r>
        <w:rPr>
          <w:rFonts w:ascii="STXingkai" w:hAnsi="STXingkai" w:eastAsia="STXingkai" w:cs="STXingkai"/>
          <w:sz w:val="21"/>
          <w:szCs w:val="21"/>
          <w:spacing w:val="17"/>
        </w:rPr>
        <w:t xml:space="preserve">   </w:t>
      </w:r>
      <w:r>
        <w:rPr>
          <w:rFonts w:ascii="STXingkai" w:hAnsi="STXingkai" w:eastAsia="STXingkai" w:cs="STXingkai"/>
          <w:sz w:val="21"/>
          <w:szCs w:val="21"/>
          <w:b/>
          <w:bCs/>
          <w:spacing w:val="-38"/>
        </w:rPr>
        <w:t>直</w:t>
      </w:r>
    </w:p>
    <w:p>
      <w:pPr>
        <w:spacing w:line="286" w:lineRule="auto"/>
        <w:rPr>
          <w:rFonts w:ascii="Arial"/>
          <w:sz w:val="21"/>
        </w:rPr>
      </w:pPr>
      <w:r/>
    </w:p>
    <w:p>
      <w:pPr>
        <w:pStyle w:val="BodyText"/>
        <w:ind w:left="889"/>
        <w:spacing w:before="68" w:line="219" w:lineRule="auto"/>
        <w:rPr/>
      </w:pPr>
      <w:r>
        <w:rPr>
          <w:spacing w:val="2"/>
        </w:rPr>
        <w:t>3.3生化检查</w:t>
      </w:r>
    </w:p>
    <w:p>
      <w:pPr>
        <w:pStyle w:val="BodyText"/>
        <w:ind w:left="889"/>
        <w:spacing w:before="40" w:line="219" w:lineRule="auto"/>
        <w:rPr/>
      </w:pPr>
      <w:r>
        <w:rPr>
          <w:spacing w:val="-1"/>
        </w:rPr>
        <w:t>3.3.1急性期检查</w:t>
      </w:r>
    </w:p>
    <w:p>
      <w:pPr>
        <w:pStyle w:val="BodyText"/>
        <w:ind w:left="889"/>
        <w:spacing w:before="50" w:line="219" w:lineRule="auto"/>
        <w:rPr/>
      </w:pPr>
      <w:r>
        <w:rPr>
          <w:spacing w:val="-1"/>
        </w:rPr>
        <w:t>对于结石急性发作的患者，常规实验室检查应包括：</w:t>
      </w:r>
    </w:p>
    <w:p>
      <w:pPr>
        <w:pStyle w:val="BodyText"/>
        <w:ind w:left="889"/>
        <w:spacing w:before="51" w:line="219" w:lineRule="auto"/>
        <w:rPr/>
      </w:pPr>
      <w:r>
        <w:rPr>
          <w:spacing w:val="-3"/>
        </w:rPr>
        <w:t>尿沉渣/试纸法检查找红细胞。</w:t>
      </w:r>
    </w:p>
    <w:p>
      <w:pPr>
        <w:pStyle w:val="BodyText"/>
        <w:ind w:left="889"/>
        <w:spacing w:before="51" w:line="219" w:lineRule="auto"/>
        <w:rPr/>
      </w:pPr>
      <w:r>
        <w:rPr>
          <w:spacing w:val="15"/>
        </w:rPr>
        <w:t>白细胞和细菌(亚硝酸盐)。</w:t>
      </w:r>
    </w:p>
    <w:p>
      <w:pPr>
        <w:pStyle w:val="BodyText"/>
        <w:ind w:left="889"/>
        <w:spacing w:before="27" w:line="212" w:lineRule="auto"/>
        <w:rPr/>
      </w:pPr>
      <w:r>
        <w:rPr>
          <w:rFonts w:ascii="Times New Roman" w:hAnsi="Times New Roman" w:eastAsia="Times New Roman" w:cs="Times New Roman"/>
        </w:rPr>
        <w:t>pH</w:t>
      </w:r>
      <w:r>
        <w:rPr>
          <w:spacing w:val="4"/>
        </w:rPr>
        <w:t>值。</w:t>
      </w:r>
    </w:p>
    <w:p>
      <w:pPr>
        <w:pStyle w:val="BodyText"/>
        <w:ind w:left="889"/>
        <w:spacing w:before="81" w:line="218" w:lineRule="auto"/>
        <w:rPr/>
      </w:pPr>
      <w:r>
        <w:rPr>
          <w:spacing w:val="17"/>
        </w:rPr>
        <w:t>血清肌酐(评估肾功能)。</w:t>
      </w:r>
    </w:p>
    <w:p>
      <w:pPr>
        <w:pStyle w:val="BodyText"/>
        <w:ind w:left="889"/>
        <w:spacing w:before="50" w:line="212" w:lineRule="auto"/>
        <w:rPr/>
      </w:pPr>
      <w:r>
        <w:rPr>
          <w:spacing w:val="2"/>
        </w:rPr>
        <w:t>对于那些发热的患者，应检查其</w:t>
      </w:r>
      <w:r>
        <w:rPr>
          <w:rFonts w:ascii="Times New Roman" w:hAnsi="Times New Roman" w:eastAsia="Times New Roman" w:cs="Times New Roman"/>
          <w:spacing w:val="2"/>
        </w:rPr>
        <w:t>C- </w:t>
      </w:r>
      <w:r>
        <w:rPr>
          <w:spacing w:val="2"/>
        </w:rPr>
        <w:t>反应蛋白</w:t>
      </w:r>
      <w:r>
        <w:rPr>
          <w:rFonts w:ascii="Times New Roman" w:hAnsi="Times New Roman" w:eastAsia="Times New Roman" w:cs="Times New Roman"/>
          <w:spacing w:val="2"/>
        </w:rPr>
        <w:t>(</w:t>
      </w:r>
      <w:r>
        <w:rPr>
          <w:rFonts w:ascii="Times New Roman" w:hAnsi="Times New Roman" w:eastAsia="Times New Roman" w:cs="Times New Roman"/>
        </w:rPr>
        <w:t>CRP</w:t>
      </w:r>
      <w:r>
        <w:rPr>
          <w:rFonts w:ascii="Times New Roman" w:hAnsi="Times New Roman" w:eastAsia="Times New Roman" w:cs="Times New Roman"/>
          <w:spacing w:val="2"/>
        </w:rPr>
        <w:t>)</w:t>
      </w:r>
      <w:r>
        <w:rPr>
          <w:rFonts w:ascii="Times New Roman" w:hAnsi="Times New Roman" w:eastAsia="Times New Roman" w:cs="Times New Roman"/>
          <w:spacing w:val="-30"/>
        </w:rPr>
        <w:t xml:space="preserve"> </w:t>
      </w:r>
      <w:r>
        <w:rPr>
          <w:spacing w:val="2"/>
        </w:rPr>
        <w:t>、 </w:t>
      </w:r>
      <w:r>
        <w:rPr>
          <w:spacing w:val="1"/>
        </w:rPr>
        <w:t xml:space="preserve"> 血白细胞计数和尿培养。</w:t>
      </w:r>
    </w:p>
    <w:p>
      <w:pPr>
        <w:pStyle w:val="BodyText"/>
        <w:ind w:left="460" w:right="60" w:firstLine="429"/>
        <w:spacing w:before="82" w:line="277" w:lineRule="auto"/>
        <w:rPr/>
      </w:pPr>
      <w:r>
        <w:rPr>
          <w:spacing w:val="-5"/>
        </w:rPr>
        <w:t>对于出现呕吐的患者，应测定其血钠和血钾的水平。为了避免以后因查找代谢危险因素而重复抽血，</w:t>
      </w:r>
      <w:r>
        <w:rPr>
          <w:spacing w:val="14"/>
        </w:rPr>
        <w:t xml:space="preserve"> </w:t>
      </w:r>
      <w:r>
        <w:rPr/>
        <w:t>可同时检查其血钙及血清尿酸盐水平。</w:t>
      </w:r>
    </w:p>
    <w:p>
      <w:pPr>
        <w:pStyle w:val="BodyText"/>
        <w:ind w:left="889"/>
        <w:spacing w:line="219" w:lineRule="auto"/>
        <w:rPr/>
      </w:pPr>
      <w:r>
        <w:rPr>
          <w:spacing w:val="7"/>
        </w:rPr>
        <w:t>3.3.2尿液检查项目(寻找结石形成危险因素)</w:t>
      </w:r>
    </w:p>
    <w:p>
      <w:pPr>
        <w:pStyle w:val="BodyText"/>
        <w:ind w:left="889"/>
        <w:spacing w:before="30" w:line="219" w:lineRule="auto"/>
        <w:rPr/>
      </w:pPr>
      <w:r>
        <w:rPr>
          <w:spacing w:val="1"/>
        </w:rPr>
        <w:t>为了对结石形成的代谢性危险因素进行鉴定，在表9中列举了一套针对不同类型结石的分析方案。</w:t>
      </w:r>
    </w:p>
    <w:p>
      <w:pPr>
        <w:pStyle w:val="BodyText"/>
        <w:ind w:left="460" w:right="52" w:firstLine="499"/>
        <w:spacing w:before="71" w:line="283" w:lineRule="auto"/>
        <w:rPr/>
      </w:pPr>
      <w:r>
        <w:rPr>
          <w:spacing w:val="-1"/>
        </w:rPr>
        <w:t>建议为每一次分析收集两份尿样。必要时，可重复采集尿样[1-3]。正</w:t>
      </w:r>
      <w:r>
        <w:rPr>
          <w:spacing w:val="-2"/>
        </w:rPr>
        <w:t>如表8中所列举的例子一样，</w:t>
      </w:r>
      <w:r>
        <w:rPr/>
        <w:t xml:space="preserve"> </w:t>
      </w:r>
      <w:r>
        <w:rPr/>
        <w:t>有多个尿样采集方案可供选择。</w:t>
      </w:r>
    </w:p>
    <w:p>
      <w:pPr>
        <w:ind w:left="4032"/>
        <w:spacing w:before="133" w:line="213" w:lineRule="auto"/>
        <w:rPr>
          <w:rFonts w:ascii="SimHei" w:hAnsi="SimHei" w:eastAsia="SimHei" w:cs="SimHei"/>
          <w:sz w:val="21"/>
          <w:szCs w:val="21"/>
        </w:rPr>
      </w:pPr>
      <w:r>
        <w:rPr>
          <w:rFonts w:ascii="SimHei" w:hAnsi="SimHei" w:eastAsia="SimHei" w:cs="SimHei"/>
          <w:sz w:val="21"/>
          <w:szCs w:val="21"/>
          <w:b/>
          <w:bCs/>
          <w:spacing w:val="-12"/>
        </w:rPr>
        <w:t>表</w:t>
      </w:r>
      <w:r>
        <w:rPr>
          <w:rFonts w:ascii="SimHei" w:hAnsi="SimHei" w:eastAsia="SimHei" w:cs="SimHei"/>
          <w:sz w:val="21"/>
          <w:szCs w:val="21"/>
          <w:spacing w:val="-18"/>
        </w:rPr>
        <w:t xml:space="preserve"> </w:t>
      </w:r>
      <w:r>
        <w:rPr>
          <w:rFonts w:ascii="SimHei" w:hAnsi="SimHei" w:eastAsia="SimHei" w:cs="SimHei"/>
          <w:sz w:val="21"/>
          <w:szCs w:val="21"/>
          <w:b/>
          <w:bCs/>
          <w:spacing w:val="-12"/>
        </w:rPr>
        <w:t>8</w:t>
      </w:r>
      <w:r>
        <w:rPr>
          <w:rFonts w:ascii="SimHei" w:hAnsi="SimHei" w:eastAsia="SimHei" w:cs="SimHei"/>
          <w:sz w:val="21"/>
          <w:szCs w:val="21"/>
          <w:spacing w:val="32"/>
        </w:rPr>
        <w:t xml:space="preserve">  </w:t>
      </w:r>
      <w:r>
        <w:rPr>
          <w:rFonts w:ascii="SimHei" w:hAnsi="SimHei" w:eastAsia="SimHei" w:cs="SimHei"/>
          <w:sz w:val="21"/>
          <w:szCs w:val="21"/>
          <w:b/>
          <w:bCs/>
          <w:spacing w:val="-12"/>
        </w:rPr>
        <w:t>尿液采集方案，</w:t>
      </w:r>
    </w:p>
    <w:p>
      <w:pPr>
        <w:spacing w:before="177"/>
        <w:rPr/>
      </w:pPr>
      <w:r/>
    </w:p>
    <w:tbl>
      <w:tblPr>
        <w:tblStyle w:val="TableNormal"/>
        <w:tblW w:w="7216" w:type="dxa"/>
        <w:tblInd w:w="136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60"/>
        <w:gridCol w:w="2196"/>
        <w:gridCol w:w="33"/>
        <w:gridCol w:w="4027"/>
      </w:tblGrid>
      <w:tr>
        <w:trPr>
          <w:trHeight w:val="1062" w:hRule="atLeast"/>
        </w:trPr>
        <w:tc>
          <w:tcPr>
            <w:tcW w:w="960" w:type="dxa"/>
            <w:vAlign w:val="top"/>
            <w:tcBorders>
              <w:bottom w:val="single" w:color="000000" w:sz="4" w:space="0"/>
              <w:top w:val="single" w:color="000000" w:sz="4" w:space="0"/>
            </w:tcBorders>
          </w:tcPr>
          <w:p>
            <w:pPr>
              <w:spacing w:line="351" w:lineRule="auto"/>
              <w:rPr>
                <w:rFonts w:ascii="Arial"/>
                <w:sz w:val="21"/>
              </w:rPr>
            </w:pPr>
            <w:r/>
          </w:p>
          <w:p>
            <w:pPr>
              <w:pStyle w:val="TableText"/>
              <w:ind w:left="19"/>
              <w:spacing w:before="71" w:line="220" w:lineRule="auto"/>
              <w:rPr>
                <w:sz w:val="22"/>
                <w:szCs w:val="22"/>
              </w:rPr>
            </w:pPr>
            <w:r>
              <w:rPr>
                <w:sz w:val="22"/>
                <w:szCs w:val="22"/>
                <w:spacing w:val="-5"/>
              </w:rPr>
              <w:t>方案1.</w:t>
            </w:r>
          </w:p>
        </w:tc>
        <w:tc>
          <w:tcPr>
            <w:tcW w:w="2196" w:type="dxa"/>
            <w:vAlign w:val="top"/>
            <w:tcBorders>
              <w:bottom w:val="single" w:color="000000" w:sz="4" w:space="0"/>
              <w:top w:val="single" w:color="000000" w:sz="4" w:space="0"/>
            </w:tcBorders>
          </w:tcPr>
          <w:p>
            <w:pPr>
              <w:pStyle w:val="TableText"/>
              <w:ind w:right="12"/>
              <w:spacing w:before="162" w:line="219" w:lineRule="auto"/>
              <w:jc w:val="right"/>
              <w:rPr>
                <w:sz w:val="22"/>
                <w:szCs w:val="22"/>
              </w:rPr>
            </w:pPr>
            <w:r>
              <w:rPr>
                <w:sz w:val="22"/>
                <w:szCs w:val="22"/>
                <w:spacing w:val="-17"/>
              </w:rPr>
              <w:t>采集24小时尿样二份</w:t>
            </w:r>
          </w:p>
        </w:tc>
        <w:tc>
          <w:tcPr>
            <w:tcW w:w="4060" w:type="dxa"/>
            <w:vAlign w:val="top"/>
            <w:gridSpan w:val="2"/>
            <w:tcBorders>
              <w:bottom w:val="single" w:color="000000" w:sz="4" w:space="0"/>
              <w:top w:val="single" w:color="000000" w:sz="4" w:space="0"/>
            </w:tcBorders>
          </w:tcPr>
          <w:p>
            <w:pPr>
              <w:pStyle w:val="TableText"/>
              <w:ind w:left="33" w:right="73"/>
              <w:spacing w:before="33" w:line="218" w:lineRule="auto"/>
              <w:rPr>
                <w:sz w:val="22"/>
                <w:szCs w:val="22"/>
              </w:rPr>
            </w:pPr>
            <w:r>
              <w:rPr>
                <w:sz w:val="22"/>
                <w:szCs w:val="22"/>
                <w:spacing w:val="-1"/>
              </w:rPr>
              <w:t>尿样1存于含有30ml 6mol/L的盐酸的标本</w:t>
            </w:r>
            <w:r>
              <w:rPr>
                <w:sz w:val="22"/>
                <w:szCs w:val="22"/>
                <w:spacing w:val="15"/>
              </w:rPr>
              <w:t xml:space="preserve"> </w:t>
            </w:r>
            <w:r>
              <w:rPr>
                <w:sz w:val="22"/>
                <w:szCs w:val="22"/>
                <w:spacing w:val="-5"/>
              </w:rPr>
              <w:t>瓶</w:t>
            </w:r>
            <w:r>
              <w:rPr>
                <w:sz w:val="22"/>
                <w:szCs w:val="22"/>
                <w:spacing w:val="-18"/>
              </w:rPr>
              <w:t xml:space="preserve"> </w:t>
            </w:r>
            <w:r>
              <w:rPr>
                <w:sz w:val="22"/>
                <w:szCs w:val="22"/>
                <w:spacing w:val="-5"/>
              </w:rPr>
              <w:t>中</w:t>
            </w:r>
          </w:p>
          <w:p>
            <w:pPr>
              <w:pStyle w:val="TableText"/>
              <w:ind w:left="33"/>
              <w:spacing w:line="209" w:lineRule="auto"/>
              <w:rPr>
                <w:sz w:val="22"/>
                <w:szCs w:val="22"/>
              </w:rPr>
            </w:pPr>
            <w:r>
              <w:rPr>
                <w:sz w:val="22"/>
                <w:szCs w:val="22"/>
                <w:spacing w:val="-2"/>
              </w:rPr>
              <w:t>尿样2存于含有30ml0.3mol/L的叠氮化钠的</w:t>
            </w:r>
            <w:r>
              <w:rPr>
                <w:sz w:val="22"/>
                <w:szCs w:val="22"/>
                <w:spacing w:val="5"/>
              </w:rPr>
              <w:t xml:space="preserve"> </w:t>
            </w:r>
            <w:r>
              <w:rPr>
                <w:sz w:val="22"/>
                <w:szCs w:val="22"/>
                <w:spacing w:val="16"/>
              </w:rPr>
              <w:t>标本瓶中 ·</w:t>
            </w:r>
          </w:p>
        </w:tc>
      </w:tr>
      <w:tr>
        <w:trPr>
          <w:trHeight w:val="528" w:hRule="atLeast"/>
        </w:trPr>
        <w:tc>
          <w:tcPr>
            <w:tcW w:w="960" w:type="dxa"/>
            <w:vAlign w:val="top"/>
            <w:tcBorders>
              <w:bottom w:val="single" w:color="000000" w:sz="4" w:space="0"/>
              <w:top w:val="single" w:color="000000" w:sz="4" w:space="0"/>
            </w:tcBorders>
          </w:tcPr>
          <w:p>
            <w:pPr>
              <w:pStyle w:val="TableText"/>
              <w:ind w:left="209"/>
              <w:spacing w:before="162" w:line="220" w:lineRule="auto"/>
              <w:rPr>
                <w:sz w:val="22"/>
                <w:szCs w:val="22"/>
              </w:rPr>
            </w:pPr>
            <w:r>
              <w:rPr>
                <w:sz w:val="22"/>
                <w:szCs w:val="22"/>
                <w:spacing w:val="4"/>
              </w:rPr>
              <w:t>方案2</w:t>
            </w:r>
          </w:p>
        </w:tc>
        <w:tc>
          <w:tcPr>
            <w:tcW w:w="2229" w:type="dxa"/>
            <w:vAlign w:val="top"/>
            <w:gridSpan w:val="2"/>
            <w:tcBorders>
              <w:bottom w:val="single" w:color="000000" w:sz="4" w:space="0"/>
              <w:top w:val="single" w:color="000000" w:sz="4" w:space="0"/>
            </w:tcBorders>
          </w:tcPr>
          <w:p>
            <w:pPr>
              <w:pStyle w:val="TableText"/>
              <w:spacing w:before="160" w:line="219" w:lineRule="auto"/>
              <w:jc w:val="right"/>
              <w:rPr>
                <w:sz w:val="22"/>
                <w:szCs w:val="22"/>
              </w:rPr>
            </w:pPr>
            <w:r>
              <w:rPr>
                <w:sz w:val="22"/>
                <w:szCs w:val="22"/>
                <w:spacing w:val="-21"/>
              </w:rPr>
              <w:t>采集24小时尿样一份。</w:t>
            </w:r>
          </w:p>
        </w:tc>
        <w:tc>
          <w:tcPr>
            <w:tcW w:w="4027" w:type="dxa"/>
            <w:vAlign w:val="top"/>
            <w:tcBorders>
              <w:bottom w:val="single" w:color="000000" w:sz="4" w:space="0"/>
              <w:top w:val="single" w:color="000000" w:sz="4" w:space="0"/>
            </w:tcBorders>
          </w:tcPr>
          <w:p>
            <w:pPr>
              <w:pStyle w:val="TableText"/>
              <w:ind w:left="31" w:right="17"/>
              <w:spacing w:before="10" w:line="213" w:lineRule="auto"/>
              <w:rPr>
                <w:sz w:val="22"/>
                <w:szCs w:val="22"/>
              </w:rPr>
            </w:pPr>
            <w:r>
              <w:rPr>
                <w:sz w:val="22"/>
                <w:szCs w:val="22"/>
                <w:spacing w:val="1"/>
              </w:rPr>
              <w:t>尿样存于含有30</w:t>
            </w:r>
            <w:r>
              <w:rPr>
                <w:sz w:val="22"/>
                <w:szCs w:val="22"/>
              </w:rPr>
              <w:t>ml</w:t>
            </w:r>
            <w:r>
              <w:rPr>
                <w:sz w:val="22"/>
                <w:szCs w:val="22"/>
                <w:spacing w:val="1"/>
              </w:rPr>
              <w:t xml:space="preserve"> 6</w:t>
            </w:r>
            <w:r>
              <w:rPr>
                <w:sz w:val="22"/>
                <w:szCs w:val="22"/>
              </w:rPr>
              <w:t>molL</w:t>
            </w:r>
            <w:r>
              <w:rPr>
                <w:sz w:val="22"/>
                <w:szCs w:val="22"/>
                <w:spacing w:val="1"/>
              </w:rPr>
              <w:t>的盐酸的标本瓶</w:t>
            </w:r>
            <w:r>
              <w:rPr>
                <w:sz w:val="22"/>
                <w:szCs w:val="22"/>
              </w:rPr>
              <w:t xml:space="preserve"> </w:t>
            </w:r>
            <w:r>
              <w:rPr>
                <w:sz w:val="22"/>
                <w:szCs w:val="22"/>
                <w:spacing w:val="-15"/>
              </w:rPr>
              <w:t>中</w:t>
            </w:r>
            <w:r>
              <w:rPr>
                <w:sz w:val="22"/>
                <w:szCs w:val="22"/>
                <w:spacing w:val="3"/>
              </w:rPr>
              <w:t xml:space="preserve"> </w:t>
            </w:r>
            <w:r>
              <w:rPr>
                <w:sz w:val="22"/>
                <w:szCs w:val="22"/>
                <w:spacing w:val="-15"/>
              </w:rPr>
              <w:t>.</w:t>
            </w:r>
          </w:p>
        </w:tc>
      </w:tr>
      <w:tr>
        <w:trPr>
          <w:trHeight w:val="1076" w:hRule="atLeast"/>
        </w:trPr>
        <w:tc>
          <w:tcPr>
            <w:tcW w:w="960" w:type="dxa"/>
            <w:vAlign w:val="top"/>
            <w:tcBorders>
              <w:bottom w:val="single" w:color="000000" w:sz="4" w:space="0"/>
              <w:top w:val="single" w:color="000000" w:sz="4" w:space="0"/>
            </w:tcBorders>
          </w:tcPr>
          <w:p>
            <w:pPr>
              <w:spacing w:line="361" w:lineRule="auto"/>
              <w:rPr>
                <w:rFonts w:ascii="Arial"/>
                <w:sz w:val="21"/>
              </w:rPr>
            </w:pPr>
            <w:r/>
          </w:p>
          <w:p>
            <w:pPr>
              <w:pStyle w:val="TableText"/>
              <w:ind w:left="209"/>
              <w:spacing w:before="71" w:line="220" w:lineRule="auto"/>
              <w:rPr>
                <w:sz w:val="22"/>
                <w:szCs w:val="22"/>
              </w:rPr>
            </w:pPr>
            <w:r>
              <w:rPr>
                <w:sz w:val="22"/>
                <w:szCs w:val="22"/>
                <w:spacing w:val="4"/>
              </w:rPr>
              <w:t>方案3</w:t>
            </w:r>
          </w:p>
        </w:tc>
        <w:tc>
          <w:tcPr>
            <w:tcW w:w="2196" w:type="dxa"/>
            <w:vAlign w:val="top"/>
            <w:tcBorders>
              <w:bottom w:val="single" w:color="000000" w:sz="4" w:space="0"/>
              <w:top w:val="single" w:color="000000" w:sz="4" w:space="0"/>
            </w:tcBorders>
          </w:tcPr>
          <w:p>
            <w:pPr>
              <w:pStyle w:val="TableText"/>
              <w:ind w:left="199" w:right="47"/>
              <w:spacing w:before="52" w:line="221" w:lineRule="auto"/>
              <w:rPr>
                <w:sz w:val="22"/>
                <w:szCs w:val="22"/>
              </w:rPr>
            </w:pPr>
            <w:r>
              <w:rPr>
                <w:sz w:val="22"/>
                <w:szCs w:val="22"/>
                <w:spacing w:val="-1"/>
              </w:rPr>
              <w:t>采集16小时尿样一</w:t>
            </w:r>
            <w:r>
              <w:rPr>
                <w:sz w:val="22"/>
                <w:szCs w:val="22"/>
              </w:rPr>
              <w:t xml:space="preserve">  </w:t>
            </w:r>
            <w:r>
              <w:rPr>
                <w:sz w:val="22"/>
                <w:szCs w:val="22"/>
                <w:spacing w:val="8"/>
              </w:rPr>
              <w:t>份和8小时尿样一份</w:t>
            </w:r>
          </w:p>
        </w:tc>
        <w:tc>
          <w:tcPr>
            <w:tcW w:w="4060" w:type="dxa"/>
            <w:vAlign w:val="top"/>
            <w:gridSpan w:val="2"/>
            <w:tcBorders>
              <w:bottom w:val="single" w:color="000000" w:sz="4" w:space="0"/>
              <w:top w:val="single" w:color="000000" w:sz="4" w:space="0"/>
            </w:tcBorders>
          </w:tcPr>
          <w:p>
            <w:pPr>
              <w:pStyle w:val="TableText"/>
              <w:ind w:left="64" w:right="4"/>
              <w:spacing w:before="53" w:line="214" w:lineRule="auto"/>
              <w:rPr>
                <w:sz w:val="22"/>
                <w:szCs w:val="22"/>
              </w:rPr>
            </w:pPr>
            <w:r>
              <w:rPr>
                <w:sz w:val="22"/>
                <w:szCs w:val="22"/>
                <w:spacing w:val="1"/>
              </w:rPr>
              <w:t>于6点至22点间收集的尿样1存于含有20</w:t>
            </w:r>
            <w:r>
              <w:rPr>
                <w:sz w:val="22"/>
                <w:szCs w:val="22"/>
              </w:rPr>
              <w:t>ml</w:t>
            </w:r>
            <w:r>
              <w:rPr>
                <w:sz w:val="22"/>
                <w:szCs w:val="22"/>
                <w:spacing w:val="10"/>
              </w:rPr>
              <w:t xml:space="preserve"> </w:t>
            </w:r>
            <w:r>
              <w:rPr>
                <w:sz w:val="22"/>
                <w:szCs w:val="22"/>
                <w:spacing w:val="2"/>
              </w:rPr>
              <w:t>6</w:t>
            </w:r>
            <w:r>
              <w:rPr>
                <w:sz w:val="22"/>
                <w:szCs w:val="22"/>
              </w:rPr>
              <w:t>mol</w:t>
            </w:r>
            <w:r>
              <w:rPr>
                <w:sz w:val="22"/>
                <w:szCs w:val="22"/>
                <w:spacing w:val="2"/>
              </w:rPr>
              <w:t>/L的盐酸的标本瓶中</w:t>
            </w:r>
          </w:p>
          <w:p>
            <w:pPr>
              <w:pStyle w:val="TableText"/>
              <w:ind w:left="73" w:right="15"/>
              <w:spacing w:before="1" w:line="210" w:lineRule="auto"/>
              <w:rPr>
                <w:sz w:val="22"/>
                <w:szCs w:val="22"/>
              </w:rPr>
            </w:pPr>
            <w:r>
              <w:rPr>
                <w:sz w:val="22"/>
                <w:szCs w:val="22"/>
              </w:rPr>
              <w:t>于22点至第二天6点间收集的尿样2存于含</w:t>
            </w:r>
            <w:r>
              <w:rPr>
                <w:sz w:val="22"/>
                <w:szCs w:val="22"/>
                <w:spacing w:val="9"/>
              </w:rPr>
              <w:t xml:space="preserve"> </w:t>
            </w:r>
            <w:r>
              <w:rPr>
                <w:sz w:val="22"/>
                <w:szCs w:val="22"/>
                <w:spacing w:val="1"/>
              </w:rPr>
              <w:t>有10</w:t>
            </w:r>
            <w:r>
              <w:rPr>
                <w:sz w:val="22"/>
                <w:szCs w:val="22"/>
              </w:rPr>
              <w:t>ml</w:t>
            </w:r>
            <w:r>
              <w:rPr>
                <w:sz w:val="22"/>
                <w:szCs w:val="22"/>
                <w:spacing w:val="1"/>
              </w:rPr>
              <w:t>0.3</w:t>
            </w:r>
            <w:r>
              <w:rPr>
                <w:sz w:val="22"/>
                <w:szCs w:val="22"/>
              </w:rPr>
              <w:t>moVL</w:t>
            </w:r>
            <w:r>
              <w:rPr>
                <w:sz w:val="22"/>
                <w:szCs w:val="22"/>
                <w:spacing w:val="1"/>
              </w:rPr>
              <w:t>的叠氮化钠的标本瓶中</w:t>
            </w:r>
          </w:p>
        </w:tc>
      </w:tr>
      <w:tr>
        <w:trPr>
          <w:trHeight w:val="264" w:hRule="atLeast"/>
        </w:trPr>
        <w:tc>
          <w:tcPr>
            <w:tcW w:w="960" w:type="dxa"/>
            <w:vAlign w:val="top"/>
            <w:tcBorders>
              <w:bottom w:val="single" w:color="000000" w:sz="4" w:space="0"/>
              <w:top w:val="single" w:color="000000" w:sz="4" w:space="0"/>
            </w:tcBorders>
          </w:tcPr>
          <w:p>
            <w:pPr>
              <w:pStyle w:val="TableText"/>
              <w:ind w:left="213"/>
              <w:spacing w:before="25" w:line="192" w:lineRule="auto"/>
              <w:rPr>
                <w:sz w:val="22"/>
                <w:szCs w:val="22"/>
              </w:rPr>
            </w:pPr>
            <w:r>
              <w:rPr>
                <w:sz w:val="22"/>
                <w:szCs w:val="22"/>
                <w:b/>
                <w:bCs/>
                <w:spacing w:val="-5"/>
              </w:rPr>
              <w:t>方案4</w:t>
            </w:r>
          </w:p>
        </w:tc>
        <w:tc>
          <w:tcPr>
            <w:tcW w:w="6256" w:type="dxa"/>
            <w:vAlign w:val="top"/>
            <w:gridSpan w:val="3"/>
            <w:tcBorders>
              <w:bottom w:val="single" w:color="000000" w:sz="4" w:space="0"/>
              <w:top w:val="single" w:color="000000" w:sz="4" w:space="0"/>
            </w:tcBorders>
          </w:tcPr>
          <w:p>
            <w:pPr>
              <w:pStyle w:val="TableText"/>
              <w:ind w:left="263"/>
              <w:spacing w:before="25" w:line="192" w:lineRule="auto"/>
              <w:rPr>
                <w:sz w:val="22"/>
                <w:szCs w:val="22"/>
              </w:rPr>
            </w:pPr>
            <w:r>
              <w:rPr>
                <w:sz w:val="22"/>
                <w:szCs w:val="22"/>
                <w:b/>
                <w:bCs/>
                <w:spacing w:val="-3"/>
              </w:rPr>
              <w:t>新鲜尿样</w:t>
            </w:r>
            <w:r>
              <w:rPr>
                <w:sz w:val="22"/>
                <w:szCs w:val="22"/>
                <w:spacing w:val="-3"/>
              </w:rPr>
              <w:t xml:space="preserve"> </w:t>
            </w:r>
            <w:r>
              <w:rPr>
                <w:sz w:val="22"/>
                <w:szCs w:val="22"/>
                <w:b/>
                <w:bCs/>
                <w:spacing w:val="-3"/>
              </w:rPr>
              <w:t>·</w:t>
            </w:r>
            <w:r>
              <w:rPr>
                <w:sz w:val="22"/>
                <w:szCs w:val="22"/>
                <w:spacing w:val="9"/>
              </w:rPr>
              <w:t xml:space="preserve">       </w:t>
            </w:r>
            <w:r>
              <w:rPr>
                <w:sz w:val="22"/>
                <w:szCs w:val="22"/>
                <w:spacing w:val="-3"/>
              </w:rPr>
              <w:t>每种尿液排泄的变化皆与肌酐水平相关</w:t>
            </w:r>
          </w:p>
        </w:tc>
      </w:tr>
    </w:tbl>
    <w:p>
      <w:pPr>
        <w:pStyle w:val="BodyText"/>
        <w:ind w:left="460"/>
        <w:spacing w:before="213" w:line="267" w:lineRule="auto"/>
        <w:jc w:val="both"/>
        <w:rPr/>
      </w:pPr>
      <w:r>
        <w:rPr>
          <w:spacing w:val="3"/>
        </w:rPr>
        <w:t>盐酸可预防贮存的尿样析出草酸钙和磷酸钙沉淀。盐酸也消除了维生素</w:t>
      </w:r>
      <w:r>
        <w:rPr>
          <w:rFonts w:ascii="Times New Roman" w:hAnsi="Times New Roman" w:eastAsia="Times New Roman" w:cs="Times New Roman"/>
          <w:spacing w:val="3"/>
        </w:rPr>
        <w:t>C</w:t>
      </w:r>
      <w:r>
        <w:rPr>
          <w:spacing w:val="3"/>
        </w:rPr>
        <w:t>对草酸盐的</w:t>
      </w:r>
      <w:r>
        <w:rPr>
          <w:spacing w:val="2"/>
        </w:rPr>
        <w:t>氧化作用。在酸化</w:t>
      </w:r>
      <w:r>
        <w:rPr/>
        <w:t xml:space="preserve"> </w:t>
      </w:r>
      <w:r>
        <w:rPr>
          <w:spacing w:val="6"/>
        </w:rPr>
        <w:t>的尿样中，尿酸盐会产生沉淀，如果需要检查尿酸盐的排泌，则必须碱化尿样使尿酸盐沉淀溶解。添</w:t>
      </w:r>
      <w:r>
        <w:rPr>
          <w:spacing w:val="3"/>
        </w:rPr>
        <w:t xml:space="preserve"> </w:t>
      </w:r>
      <w:r>
        <w:rPr>
          <w:spacing w:val="5"/>
        </w:rPr>
        <w:t>加了叠氮化钠的尿样也可进行尿酸盐分析。为了测定尿液的</w:t>
      </w:r>
      <w:r>
        <w:rPr/>
        <w:t>pH</w:t>
      </w:r>
      <w:r>
        <w:rPr>
          <w:spacing w:val="-36"/>
        </w:rPr>
        <w:t xml:space="preserve"> </w:t>
      </w:r>
      <w:r>
        <w:rPr>
          <w:spacing w:val="5"/>
        </w:rPr>
        <w:t>值，需要收集不加盐酸的尿样，可对用</w:t>
      </w:r>
      <w:r>
        <w:rPr/>
        <w:t xml:space="preserve"> </w:t>
      </w:r>
      <w:r>
        <w:rPr>
          <w:spacing w:val="4"/>
        </w:rPr>
        <w:t>叠氮化钠保存的尿样进行测定。对于夜间采集的尿样，其</w:t>
      </w:r>
      <w:r>
        <w:rPr/>
        <w:t>pH</w:t>
      </w:r>
      <w:r>
        <w:rPr>
          <w:spacing w:val="-33"/>
        </w:rPr>
        <w:t xml:space="preserve"> </w:t>
      </w:r>
      <w:r>
        <w:rPr>
          <w:spacing w:val="4"/>
        </w:rPr>
        <w:t>值的测定必须在收集后立即进行才有效，</w:t>
      </w:r>
      <w:r>
        <w:rPr/>
        <w:t xml:space="preserve"> </w:t>
      </w:r>
      <w:r>
        <w:rPr/>
        <w:t>因为尿液存放一段时间后，其</w:t>
      </w:r>
      <w:r>
        <w:rPr>
          <w:rFonts w:ascii="Times New Roman" w:hAnsi="Times New Roman" w:eastAsia="Times New Roman" w:cs="Times New Roman"/>
        </w:rPr>
        <w:t>pH</w:t>
      </w:r>
      <w:r>
        <w:rPr/>
        <w:t>值可能发生改变。</w:t>
      </w:r>
    </w:p>
    <w:p>
      <w:pPr>
        <w:ind w:left="3342"/>
        <w:spacing w:before="187" w:line="221" w:lineRule="auto"/>
        <w:rPr>
          <w:rFonts w:ascii="SimHei" w:hAnsi="SimHei" w:eastAsia="SimHei" w:cs="SimHei"/>
          <w:sz w:val="21"/>
          <w:szCs w:val="21"/>
        </w:rPr>
      </w:pPr>
      <w:r>
        <w:rPr>
          <w:rFonts w:ascii="SimHei" w:hAnsi="SimHei" w:eastAsia="SimHei" w:cs="SimHei"/>
          <w:sz w:val="21"/>
          <w:szCs w:val="21"/>
          <w:b/>
          <w:bCs/>
          <w:spacing w:val="-17"/>
        </w:rPr>
        <w:t>表9</w:t>
      </w:r>
      <w:r>
        <w:rPr>
          <w:rFonts w:ascii="SimHei" w:hAnsi="SimHei" w:eastAsia="SimHei" w:cs="SimHei"/>
          <w:sz w:val="21"/>
          <w:szCs w:val="21"/>
          <w:spacing w:val="22"/>
        </w:rPr>
        <w:t xml:space="preserve">  </w:t>
      </w:r>
      <w:r>
        <w:rPr>
          <w:rFonts w:ascii="SimHei" w:hAnsi="SimHei" w:eastAsia="SimHei" w:cs="SimHei"/>
          <w:sz w:val="21"/>
          <w:szCs w:val="21"/>
          <w:b/>
          <w:bCs/>
          <w:spacing w:val="-17"/>
        </w:rPr>
        <w:t>结石病患者的分析方案</w:t>
      </w:r>
    </w:p>
    <w:p>
      <w:pPr>
        <w:spacing w:line="150" w:lineRule="exact"/>
        <w:rPr/>
      </w:pPr>
      <w:r/>
    </w:p>
    <w:tbl>
      <w:tblPr>
        <w:tblStyle w:val="TableNormal"/>
        <w:tblW w:w="6800" w:type="dxa"/>
        <w:tblInd w:w="127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49"/>
        <w:gridCol w:w="2575"/>
        <w:gridCol w:w="2081"/>
        <w:gridCol w:w="1495"/>
      </w:tblGrid>
      <w:tr>
        <w:trPr>
          <w:trHeight w:val="463" w:hRule="atLeast"/>
        </w:trPr>
        <w:tc>
          <w:tcPr>
            <w:tcW w:w="3224" w:type="dxa"/>
            <w:vAlign w:val="top"/>
            <w:gridSpan w:val="2"/>
            <w:tcBorders>
              <w:bottom w:val="single" w:color="000000" w:sz="4" w:space="0"/>
              <w:top w:val="single" w:color="000000" w:sz="4" w:space="0"/>
            </w:tcBorders>
          </w:tcPr>
          <w:p>
            <w:pPr>
              <w:pStyle w:val="TableText"/>
              <w:ind w:right="28"/>
              <w:spacing w:before="120" w:line="219" w:lineRule="auto"/>
              <w:jc w:val="right"/>
              <w:rPr>
                <w:sz w:val="22"/>
                <w:szCs w:val="22"/>
              </w:rPr>
            </w:pPr>
            <w:r>
              <w:rPr>
                <w:sz w:val="22"/>
                <w:szCs w:val="22"/>
                <w:b/>
                <w:bCs/>
                <w:spacing w:val="2"/>
              </w:rPr>
              <w:t>分类</w:t>
            </w:r>
            <w:r>
              <w:rPr>
                <w:sz w:val="22"/>
                <w:szCs w:val="22"/>
                <w:spacing w:val="2"/>
              </w:rPr>
              <w:t xml:space="preserve">    </w:t>
            </w:r>
            <w:r>
              <w:rPr>
                <w:sz w:val="22"/>
                <w:szCs w:val="22"/>
                <w:b/>
                <w:bCs/>
                <w:spacing w:val="2"/>
              </w:rPr>
              <w:t>血液分析(血清血浆)</w:t>
            </w:r>
          </w:p>
        </w:tc>
        <w:tc>
          <w:tcPr>
            <w:tcW w:w="2081" w:type="dxa"/>
            <w:vAlign w:val="top"/>
            <w:tcBorders>
              <w:bottom w:val="single" w:color="000000" w:sz="4" w:space="0"/>
              <w:top w:val="single" w:color="000000" w:sz="4" w:space="0"/>
            </w:tcBorders>
          </w:tcPr>
          <w:p>
            <w:pPr>
              <w:pStyle w:val="TableText"/>
              <w:ind w:left="79"/>
              <w:spacing w:before="121" w:line="220" w:lineRule="auto"/>
              <w:rPr>
                <w:sz w:val="22"/>
                <w:szCs w:val="22"/>
              </w:rPr>
            </w:pPr>
            <w:r>
              <w:rPr>
                <w:sz w:val="22"/>
                <w:szCs w:val="22"/>
                <w:b/>
                <w:bCs/>
                <w:spacing w:val="-4"/>
              </w:rPr>
              <w:t>尿液分析</w:t>
            </w:r>
            <w:r>
              <w:rPr>
                <w:sz w:val="22"/>
                <w:szCs w:val="22"/>
                <w:spacing w:val="-4"/>
              </w:rPr>
              <w:t>.</w:t>
            </w:r>
          </w:p>
        </w:tc>
        <w:tc>
          <w:tcPr>
            <w:tcW w:w="1495" w:type="dxa"/>
            <w:vAlign w:val="top"/>
            <w:tcBorders>
              <w:bottom w:val="single" w:color="000000" w:sz="4" w:space="0"/>
              <w:top w:val="single" w:color="000000" w:sz="4" w:space="0"/>
            </w:tcBorders>
          </w:tcPr>
          <w:p>
            <w:pPr>
              <w:pStyle w:val="TableText"/>
              <w:ind w:left="148"/>
              <w:spacing w:before="120" w:line="219" w:lineRule="auto"/>
              <w:rPr>
                <w:sz w:val="22"/>
                <w:szCs w:val="22"/>
              </w:rPr>
            </w:pPr>
            <w:r>
              <w:rPr>
                <w:sz w:val="22"/>
                <w:szCs w:val="22"/>
                <w:b/>
                <w:bCs/>
                <w:spacing w:val="-4"/>
              </w:rPr>
              <w:t>预防性随访</w:t>
            </w:r>
          </w:p>
        </w:tc>
      </w:tr>
      <w:tr>
        <w:trPr>
          <w:trHeight w:val="299" w:hRule="atLeast"/>
        </w:trPr>
        <w:tc>
          <w:tcPr>
            <w:tcW w:w="649" w:type="dxa"/>
            <w:vAlign w:val="top"/>
            <w:tcBorders>
              <w:bottom w:val="single" w:color="000000" w:sz="4" w:space="0"/>
              <w:top w:val="single" w:color="000000" w:sz="4" w:space="0"/>
            </w:tcBorders>
          </w:tcPr>
          <w:p>
            <w:pPr>
              <w:pStyle w:val="TableText"/>
              <w:ind w:left="160"/>
              <w:spacing w:before="99" w:line="159" w:lineRule="auto"/>
              <w:rPr>
                <w:sz w:val="22"/>
                <w:szCs w:val="22"/>
              </w:rPr>
            </w:pPr>
            <w:r>
              <w:rPr>
                <w:sz w:val="22"/>
                <w:szCs w:val="22"/>
                <w:spacing w:val="-6"/>
              </w:rPr>
              <w:t>INF.</w:t>
            </w:r>
          </w:p>
        </w:tc>
        <w:tc>
          <w:tcPr>
            <w:tcW w:w="2575" w:type="dxa"/>
            <w:vAlign w:val="top"/>
            <w:tcBorders>
              <w:bottom w:val="single" w:color="000000" w:sz="4" w:space="0"/>
              <w:top w:val="single" w:color="000000" w:sz="4" w:space="0"/>
            </w:tcBorders>
          </w:tcPr>
          <w:p>
            <w:pPr>
              <w:pStyle w:val="TableText"/>
              <w:ind w:left="637"/>
              <w:spacing w:before="42" w:line="207" w:lineRule="auto"/>
              <w:rPr>
                <w:sz w:val="22"/>
                <w:szCs w:val="22"/>
              </w:rPr>
            </w:pPr>
            <w:r>
              <w:rPr>
                <w:sz w:val="22"/>
                <w:szCs w:val="22"/>
                <w:spacing w:val="-2"/>
              </w:rPr>
              <w:t>肌酐</w:t>
            </w:r>
          </w:p>
        </w:tc>
        <w:tc>
          <w:tcPr>
            <w:tcW w:w="2081" w:type="dxa"/>
            <w:vAlign w:val="top"/>
            <w:tcBorders>
              <w:bottom w:val="single" w:color="000000" w:sz="4" w:space="0"/>
              <w:top w:val="single" w:color="000000" w:sz="4" w:space="0"/>
            </w:tcBorders>
          </w:tcPr>
          <w:p>
            <w:pPr>
              <w:pStyle w:val="TableText"/>
              <w:ind w:left="76"/>
              <w:spacing w:before="35" w:line="213" w:lineRule="auto"/>
              <w:rPr>
                <w:sz w:val="22"/>
                <w:szCs w:val="22"/>
              </w:rPr>
            </w:pPr>
            <w:r>
              <w:rPr>
                <w:sz w:val="22"/>
                <w:szCs w:val="22"/>
                <w:spacing w:val="-1"/>
              </w:rPr>
              <w:t>尿培养，pH</w:t>
            </w:r>
          </w:p>
        </w:tc>
        <w:tc>
          <w:tcPr>
            <w:tcW w:w="1495" w:type="dxa"/>
            <w:vAlign w:val="top"/>
            <w:tcBorders>
              <w:bottom w:val="single" w:color="000000" w:sz="4" w:space="0"/>
              <w:top w:val="single" w:color="000000" w:sz="4" w:space="0"/>
            </w:tcBorders>
          </w:tcPr>
          <w:p>
            <w:pPr>
              <w:pStyle w:val="TableText"/>
              <w:ind w:left="145"/>
              <w:spacing w:before="41" w:line="208" w:lineRule="auto"/>
              <w:rPr>
                <w:sz w:val="22"/>
                <w:szCs w:val="22"/>
              </w:rPr>
            </w:pPr>
            <w:r>
              <w:rPr>
                <w:sz w:val="22"/>
                <w:szCs w:val="22"/>
                <w:spacing w:val="5"/>
              </w:rPr>
              <w:t>需要</w:t>
            </w:r>
          </w:p>
        </w:tc>
      </w:tr>
      <w:tr>
        <w:trPr>
          <w:trHeight w:val="239" w:hRule="atLeast"/>
        </w:trPr>
        <w:tc>
          <w:tcPr>
            <w:tcW w:w="649" w:type="dxa"/>
            <w:vAlign w:val="top"/>
            <w:tcBorders>
              <w:bottom w:val="single" w:color="000000" w:sz="4" w:space="0"/>
              <w:top w:val="single" w:color="000000" w:sz="4" w:space="0"/>
            </w:tcBorders>
          </w:tcPr>
          <w:p>
            <w:pPr>
              <w:pStyle w:val="TableText"/>
              <w:ind w:left="270"/>
              <w:spacing w:before="90" w:line="138" w:lineRule="exact"/>
              <w:rPr>
                <w:sz w:val="22"/>
                <w:szCs w:val="22"/>
              </w:rPr>
            </w:pPr>
            <w:r>
              <w:rPr>
                <w:sz w:val="22"/>
                <w:szCs w:val="22"/>
                <w:spacing w:val="-1"/>
                <w:position w:val="-3"/>
              </w:rPr>
              <w:t>UR</w:t>
            </w:r>
          </w:p>
        </w:tc>
        <w:tc>
          <w:tcPr>
            <w:tcW w:w="2575" w:type="dxa"/>
            <w:vAlign w:val="top"/>
            <w:tcBorders>
              <w:bottom w:val="single" w:color="000000" w:sz="4" w:space="0"/>
              <w:top w:val="single" w:color="000000" w:sz="4" w:space="0"/>
            </w:tcBorders>
          </w:tcPr>
          <w:p>
            <w:pPr>
              <w:pStyle w:val="TableText"/>
              <w:ind w:left="535"/>
              <w:spacing w:before="33" w:line="164" w:lineRule="auto"/>
              <w:rPr>
                <w:sz w:val="22"/>
                <w:szCs w:val="22"/>
              </w:rPr>
            </w:pPr>
            <w:r>
              <w:rPr>
                <w:sz w:val="22"/>
                <w:szCs w:val="22"/>
                <w:spacing w:val="-2"/>
              </w:rPr>
              <w:t>肌酐，尿酸盐。</w:t>
            </w:r>
          </w:p>
        </w:tc>
        <w:tc>
          <w:tcPr>
            <w:tcW w:w="2081" w:type="dxa"/>
            <w:vAlign w:val="top"/>
            <w:tcBorders>
              <w:bottom w:val="single" w:color="000000" w:sz="4" w:space="0"/>
              <w:top w:val="single" w:color="000000" w:sz="4" w:space="0"/>
            </w:tcBorders>
          </w:tcPr>
          <w:p>
            <w:pPr>
              <w:pStyle w:val="TableText"/>
              <w:ind w:left="76"/>
              <w:spacing w:before="25" w:line="171" w:lineRule="auto"/>
              <w:rPr>
                <w:sz w:val="22"/>
                <w:szCs w:val="22"/>
              </w:rPr>
            </w:pPr>
            <w:r>
              <w:rPr>
                <w:sz w:val="22"/>
                <w:szCs w:val="22"/>
                <w:spacing w:val="-1"/>
              </w:rPr>
              <w:t>尿酸盐，pH</w:t>
            </w:r>
          </w:p>
        </w:tc>
        <w:tc>
          <w:tcPr>
            <w:tcW w:w="1495" w:type="dxa"/>
            <w:vAlign w:val="top"/>
            <w:tcBorders>
              <w:bottom w:val="single" w:color="000000" w:sz="4" w:space="0"/>
              <w:top w:val="single" w:color="000000" w:sz="4" w:space="0"/>
            </w:tcBorders>
          </w:tcPr>
          <w:p>
            <w:pPr>
              <w:pStyle w:val="TableText"/>
              <w:ind w:left="145"/>
              <w:spacing w:before="32" w:line="165" w:lineRule="auto"/>
              <w:rPr>
                <w:sz w:val="22"/>
                <w:szCs w:val="22"/>
              </w:rPr>
            </w:pPr>
            <w:r>
              <w:rPr>
                <w:sz w:val="22"/>
                <w:szCs w:val="22"/>
                <w:spacing w:val="5"/>
              </w:rPr>
              <w:t>需要</w:t>
            </w:r>
          </w:p>
        </w:tc>
      </w:tr>
      <w:tr>
        <w:trPr>
          <w:trHeight w:val="289" w:hRule="atLeast"/>
        </w:trPr>
        <w:tc>
          <w:tcPr>
            <w:tcW w:w="649" w:type="dxa"/>
            <w:vAlign w:val="top"/>
            <w:tcBorders>
              <w:bottom w:val="single" w:color="000000" w:sz="4" w:space="0"/>
              <w:top w:val="single" w:color="000000" w:sz="4" w:space="0"/>
            </w:tcBorders>
          </w:tcPr>
          <w:p>
            <w:pPr>
              <w:pStyle w:val="TableText"/>
              <w:ind w:left="380"/>
              <w:spacing w:before="99" w:line="179" w:lineRule="exact"/>
              <w:rPr>
                <w:sz w:val="22"/>
                <w:szCs w:val="22"/>
              </w:rPr>
            </w:pPr>
            <w:r>
              <w:rPr>
                <w:sz w:val="22"/>
                <w:szCs w:val="22"/>
                <w:spacing w:val="-2"/>
                <w:position w:val="-2"/>
              </w:rPr>
              <w:t>CY</w:t>
            </w:r>
          </w:p>
        </w:tc>
        <w:tc>
          <w:tcPr>
            <w:tcW w:w="2575" w:type="dxa"/>
            <w:vAlign w:val="top"/>
            <w:tcBorders>
              <w:bottom w:val="single" w:color="000000" w:sz="4" w:space="0"/>
              <w:top w:val="single" w:color="000000" w:sz="4" w:space="0"/>
            </w:tcBorders>
          </w:tcPr>
          <w:p>
            <w:pPr>
              <w:pStyle w:val="TableText"/>
              <w:ind w:left="527"/>
              <w:spacing w:before="44" w:line="197" w:lineRule="auto"/>
              <w:rPr>
                <w:sz w:val="22"/>
                <w:szCs w:val="22"/>
              </w:rPr>
            </w:pPr>
            <w:r>
              <w:rPr>
                <w:sz w:val="22"/>
                <w:szCs w:val="22"/>
                <w:spacing w:val="-2"/>
              </w:rPr>
              <w:t>肌酐</w:t>
            </w:r>
          </w:p>
        </w:tc>
        <w:tc>
          <w:tcPr>
            <w:tcW w:w="2081" w:type="dxa"/>
            <w:vAlign w:val="top"/>
            <w:tcBorders>
              <w:bottom w:val="single" w:color="000000" w:sz="4" w:space="0"/>
              <w:top w:val="single" w:color="000000" w:sz="4" w:space="0"/>
            </w:tcBorders>
          </w:tcPr>
          <w:p>
            <w:pPr>
              <w:pStyle w:val="TableText"/>
              <w:ind w:left="76"/>
              <w:spacing w:before="37" w:line="203" w:lineRule="auto"/>
              <w:rPr>
                <w:sz w:val="22"/>
                <w:szCs w:val="22"/>
              </w:rPr>
            </w:pPr>
            <w:r>
              <w:rPr>
                <w:sz w:val="22"/>
                <w:szCs w:val="22"/>
                <w:spacing w:val="-2"/>
              </w:rPr>
              <w:t>胱氨酸，pH</w:t>
            </w:r>
          </w:p>
        </w:tc>
        <w:tc>
          <w:tcPr>
            <w:tcW w:w="1495" w:type="dxa"/>
            <w:vAlign w:val="top"/>
            <w:tcBorders>
              <w:bottom w:val="single" w:color="000000" w:sz="4" w:space="0"/>
              <w:top w:val="single" w:color="000000" w:sz="4" w:space="0"/>
            </w:tcBorders>
          </w:tcPr>
          <w:p>
            <w:pPr>
              <w:pStyle w:val="TableText"/>
              <w:ind w:left="145"/>
              <w:spacing w:before="43" w:line="198" w:lineRule="auto"/>
              <w:rPr>
                <w:sz w:val="22"/>
                <w:szCs w:val="22"/>
              </w:rPr>
            </w:pPr>
            <w:r>
              <w:rPr>
                <w:sz w:val="22"/>
                <w:szCs w:val="22"/>
                <w:spacing w:val="5"/>
              </w:rPr>
              <w:t>需要</w:t>
            </w:r>
          </w:p>
        </w:tc>
      </w:tr>
      <w:tr>
        <w:trPr>
          <w:trHeight w:val="349" w:hRule="atLeast"/>
        </w:trPr>
        <w:tc>
          <w:tcPr>
            <w:tcW w:w="649" w:type="dxa"/>
            <w:vAlign w:val="top"/>
            <w:tcBorders>
              <w:bottom w:val="single" w:color="000000" w:sz="4" w:space="0"/>
              <w:top w:val="single" w:color="000000" w:sz="4" w:space="0"/>
            </w:tcBorders>
          </w:tcPr>
          <w:p>
            <w:pPr>
              <w:pStyle w:val="TableText"/>
              <w:ind w:left="160"/>
              <w:spacing w:before="130" w:line="175" w:lineRule="auto"/>
              <w:rPr>
                <w:sz w:val="22"/>
                <w:szCs w:val="22"/>
              </w:rPr>
            </w:pPr>
            <w:r>
              <w:rPr>
                <w:sz w:val="22"/>
                <w:szCs w:val="22"/>
                <w:spacing w:val="-3"/>
              </w:rPr>
              <w:t>So</w:t>
            </w:r>
          </w:p>
        </w:tc>
        <w:tc>
          <w:tcPr>
            <w:tcW w:w="2575" w:type="dxa"/>
            <w:vAlign w:val="top"/>
            <w:tcBorders>
              <w:bottom w:val="single" w:color="000000" w:sz="4" w:space="0"/>
              <w:top w:val="single" w:color="000000" w:sz="4" w:space="0"/>
            </w:tcBorders>
          </w:tcPr>
          <w:p>
            <w:pPr>
              <w:pStyle w:val="TableText"/>
              <w:ind w:left="670"/>
              <w:spacing w:before="74" w:line="219" w:lineRule="auto"/>
              <w:rPr>
                <w:sz w:val="22"/>
                <w:szCs w:val="22"/>
              </w:rPr>
            </w:pPr>
            <w:r>
              <w:rPr>
                <w:sz w:val="22"/>
                <w:szCs w:val="22"/>
                <w:spacing w:val="4"/>
              </w:rPr>
              <w:t>需要(见表10).</w:t>
            </w:r>
          </w:p>
        </w:tc>
        <w:tc>
          <w:tcPr>
            <w:tcW w:w="2081" w:type="dxa"/>
            <w:vAlign w:val="top"/>
            <w:tcBorders>
              <w:bottom w:val="single" w:color="000000" w:sz="4" w:space="0"/>
              <w:top w:val="single" w:color="000000" w:sz="4" w:space="0"/>
            </w:tcBorders>
          </w:tcPr>
          <w:p>
            <w:pPr>
              <w:pStyle w:val="TableText"/>
              <w:ind w:left="76"/>
              <w:spacing w:before="74" w:line="219" w:lineRule="auto"/>
              <w:rPr>
                <w:sz w:val="22"/>
                <w:szCs w:val="22"/>
              </w:rPr>
            </w:pPr>
            <w:r>
              <w:rPr>
                <w:sz w:val="22"/>
                <w:szCs w:val="22"/>
                <w:spacing w:val="-7"/>
              </w:rPr>
              <w:t>受限(禁食后新鲜尿)</w:t>
            </w:r>
          </w:p>
        </w:tc>
        <w:tc>
          <w:tcPr>
            <w:tcW w:w="1495" w:type="dxa"/>
            <w:vAlign w:val="top"/>
            <w:tcBorders>
              <w:bottom w:val="single" w:color="000000" w:sz="4" w:space="0"/>
              <w:top w:val="single" w:color="000000" w:sz="4" w:space="0"/>
            </w:tcBorders>
          </w:tcPr>
          <w:p>
            <w:pPr>
              <w:pStyle w:val="TableText"/>
              <w:ind w:left="377"/>
              <w:spacing w:before="74" w:line="220" w:lineRule="auto"/>
              <w:rPr>
                <w:sz w:val="22"/>
                <w:szCs w:val="22"/>
              </w:rPr>
            </w:pPr>
            <w:r>
              <w:rPr>
                <w:sz w:val="22"/>
                <w:szCs w:val="22"/>
                <w:spacing w:val="-3"/>
              </w:rPr>
              <w:t>不需要</w:t>
            </w:r>
          </w:p>
        </w:tc>
      </w:tr>
      <w:tr>
        <w:trPr>
          <w:trHeight w:val="329" w:hRule="atLeast"/>
        </w:trPr>
        <w:tc>
          <w:tcPr>
            <w:tcW w:w="649" w:type="dxa"/>
            <w:vAlign w:val="top"/>
            <w:tcBorders>
              <w:bottom w:val="single" w:color="000000" w:sz="4" w:space="0"/>
              <w:top w:val="single" w:color="000000" w:sz="4" w:space="0"/>
            </w:tcBorders>
          </w:tcPr>
          <w:p>
            <w:pPr>
              <w:pStyle w:val="TableText"/>
              <w:ind w:left="380"/>
              <w:spacing w:before="121" w:line="166" w:lineRule="auto"/>
              <w:rPr>
                <w:sz w:val="22"/>
                <w:szCs w:val="22"/>
              </w:rPr>
            </w:pPr>
            <w:r>
              <w:rPr>
                <w:sz w:val="22"/>
                <w:szCs w:val="22"/>
              </w:rPr>
              <w:t>S</w:t>
            </w:r>
          </w:p>
        </w:tc>
        <w:tc>
          <w:tcPr>
            <w:tcW w:w="2575" w:type="dxa"/>
            <w:vAlign w:val="top"/>
            <w:tcBorders>
              <w:bottom w:val="single" w:color="000000" w:sz="4" w:space="0"/>
              <w:top w:val="single" w:color="000000" w:sz="4" w:space="0"/>
            </w:tcBorders>
          </w:tcPr>
          <w:p>
            <w:pPr>
              <w:pStyle w:val="TableText"/>
              <w:ind w:left="552"/>
              <w:spacing w:before="65" w:line="213" w:lineRule="auto"/>
              <w:rPr>
                <w:sz w:val="22"/>
                <w:szCs w:val="22"/>
              </w:rPr>
            </w:pPr>
            <w:r>
              <w:rPr>
                <w:sz w:val="22"/>
                <w:szCs w:val="22"/>
                <w:spacing w:val="2"/>
              </w:rPr>
              <w:t>需要(见表11)</w:t>
            </w:r>
          </w:p>
        </w:tc>
        <w:tc>
          <w:tcPr>
            <w:tcW w:w="2081" w:type="dxa"/>
            <w:vAlign w:val="top"/>
            <w:tcBorders>
              <w:bottom w:val="single" w:color="000000" w:sz="4" w:space="0"/>
              <w:top w:val="single" w:color="000000" w:sz="4" w:space="0"/>
            </w:tcBorders>
          </w:tcPr>
          <w:p>
            <w:pPr>
              <w:pStyle w:val="TableText"/>
              <w:ind w:left="76"/>
              <w:spacing w:before="57" w:line="219" w:lineRule="auto"/>
              <w:rPr>
                <w:sz w:val="22"/>
                <w:szCs w:val="22"/>
              </w:rPr>
            </w:pPr>
            <w:r>
              <w:rPr>
                <w:sz w:val="22"/>
                <w:szCs w:val="22"/>
                <w:spacing w:val="-1"/>
              </w:rPr>
              <w:t>需要(见表11)  </w:t>
            </w:r>
            <w:r>
              <w:rPr>
                <w:sz w:val="22"/>
                <w:szCs w:val="22"/>
                <w:u w:val="dotted" w:color="auto"/>
                <w:spacing w:val="2"/>
              </w:rPr>
              <w:t xml:space="preserve">   </w:t>
            </w:r>
          </w:p>
        </w:tc>
        <w:tc>
          <w:tcPr>
            <w:tcW w:w="1495" w:type="dxa"/>
            <w:vAlign w:val="top"/>
            <w:tcBorders>
              <w:bottom w:val="single" w:color="000000" w:sz="4" w:space="0"/>
              <w:top w:val="single" w:color="000000" w:sz="4" w:space="0"/>
            </w:tcBorders>
          </w:tcPr>
          <w:p>
            <w:pPr>
              <w:pStyle w:val="TableText"/>
              <w:ind w:left="145"/>
              <w:spacing w:before="65" w:line="213" w:lineRule="auto"/>
              <w:rPr>
                <w:sz w:val="22"/>
                <w:szCs w:val="22"/>
              </w:rPr>
            </w:pPr>
            <w:r>
              <w:rPr>
                <w:sz w:val="22"/>
                <w:szCs w:val="22"/>
                <w:spacing w:val="5"/>
              </w:rPr>
              <w:t>需要</w:t>
            </w:r>
          </w:p>
        </w:tc>
      </w:tr>
      <w:tr>
        <w:trPr>
          <w:trHeight w:val="329" w:hRule="atLeast"/>
        </w:trPr>
        <w:tc>
          <w:tcPr>
            <w:tcW w:w="649" w:type="dxa"/>
            <w:vAlign w:val="top"/>
            <w:tcBorders>
              <w:bottom w:val="single" w:color="000000" w:sz="4" w:space="0"/>
              <w:top w:val="single" w:color="000000" w:sz="4" w:space="0"/>
            </w:tcBorders>
          </w:tcPr>
          <w:p>
            <w:pPr>
              <w:rPr>
                <w:rFonts w:ascii="Arial"/>
                <w:sz w:val="21"/>
              </w:rPr>
            </w:pPr>
            <w:r/>
          </w:p>
        </w:tc>
        <w:tc>
          <w:tcPr>
            <w:tcW w:w="2575" w:type="dxa"/>
            <w:vAlign w:val="top"/>
            <w:tcBorders>
              <w:bottom w:val="single" w:color="000000" w:sz="4" w:space="0"/>
              <w:top w:val="single" w:color="000000" w:sz="4" w:space="0"/>
            </w:tcBorders>
          </w:tcPr>
          <w:p>
            <w:pPr>
              <w:pStyle w:val="TableText"/>
              <w:ind w:left="61"/>
              <w:spacing w:before="65" w:line="213" w:lineRule="auto"/>
              <w:rPr>
                <w:sz w:val="22"/>
                <w:szCs w:val="22"/>
              </w:rPr>
            </w:pPr>
            <w:r>
              <w:rPr>
                <w:sz w:val="22"/>
                <w:szCs w:val="22"/>
              </w:rPr>
              <w:t>Rm</w:t>
            </w:r>
            <w:r>
              <w:rPr>
                <w:sz w:val="22"/>
                <w:szCs w:val="22"/>
                <w:spacing w:val="8"/>
              </w:rPr>
              <w:t>需要(见表10)</w:t>
            </w:r>
          </w:p>
        </w:tc>
        <w:tc>
          <w:tcPr>
            <w:tcW w:w="2081" w:type="dxa"/>
            <w:vAlign w:val="top"/>
            <w:tcBorders>
              <w:bottom w:val="single" w:color="000000" w:sz="4" w:space="0"/>
              <w:top w:val="single" w:color="000000" w:sz="4" w:space="0"/>
            </w:tcBorders>
          </w:tcPr>
          <w:p>
            <w:pPr>
              <w:pStyle w:val="TableText"/>
              <w:ind w:left="76"/>
              <w:spacing w:before="65" w:line="213" w:lineRule="auto"/>
              <w:rPr>
                <w:sz w:val="22"/>
                <w:szCs w:val="22"/>
              </w:rPr>
            </w:pPr>
            <w:r>
              <w:rPr>
                <w:sz w:val="22"/>
                <w:szCs w:val="22"/>
                <w:spacing w:val="-7"/>
              </w:rPr>
              <w:t>受限(禁食后新鲜尿)</w:t>
            </w:r>
          </w:p>
        </w:tc>
        <w:tc>
          <w:tcPr>
            <w:tcW w:w="1495" w:type="dxa"/>
            <w:vAlign w:val="top"/>
            <w:tcBorders>
              <w:bottom w:val="single" w:color="000000" w:sz="4" w:space="0"/>
              <w:top w:val="single" w:color="000000" w:sz="4" w:space="0"/>
            </w:tcBorders>
          </w:tcPr>
          <w:p>
            <w:pPr>
              <w:pStyle w:val="TableText"/>
              <w:ind w:left="377"/>
              <w:spacing w:before="66" w:line="212" w:lineRule="auto"/>
              <w:rPr>
                <w:sz w:val="22"/>
                <w:szCs w:val="22"/>
              </w:rPr>
            </w:pPr>
            <w:r>
              <w:rPr>
                <w:sz w:val="22"/>
                <w:szCs w:val="22"/>
                <w:spacing w:val="-3"/>
              </w:rPr>
              <w:t>不需要</w:t>
            </w:r>
          </w:p>
        </w:tc>
      </w:tr>
      <w:tr>
        <w:trPr>
          <w:trHeight w:val="289" w:hRule="atLeast"/>
        </w:trPr>
        <w:tc>
          <w:tcPr>
            <w:tcW w:w="649" w:type="dxa"/>
            <w:vAlign w:val="top"/>
            <w:tcBorders>
              <w:bottom w:val="single" w:color="000000" w:sz="4" w:space="0"/>
              <w:top w:val="single" w:color="000000" w:sz="4" w:space="0"/>
            </w:tcBorders>
          </w:tcPr>
          <w:p>
            <w:pPr>
              <w:rPr>
                <w:rFonts w:ascii="Arial"/>
                <w:sz w:val="21"/>
              </w:rPr>
            </w:pPr>
            <w:r/>
          </w:p>
        </w:tc>
        <w:tc>
          <w:tcPr>
            <w:tcW w:w="2575" w:type="dxa"/>
            <w:vAlign w:val="top"/>
            <w:tcBorders>
              <w:bottom w:val="single" w:color="000000" w:sz="4" w:space="0"/>
              <w:top w:val="single" w:color="000000" w:sz="4" w:space="0"/>
            </w:tcBorders>
          </w:tcPr>
          <w:p>
            <w:pPr>
              <w:pStyle w:val="TableText"/>
              <w:ind w:left="61"/>
              <w:spacing w:before="46" w:line="195" w:lineRule="auto"/>
              <w:rPr>
                <w:sz w:val="22"/>
                <w:szCs w:val="22"/>
              </w:rPr>
            </w:pPr>
            <w:r>
              <w:rPr>
                <w:sz w:val="22"/>
                <w:szCs w:val="22"/>
              </w:rPr>
              <w:t>Rm</w:t>
            </w:r>
            <w:r>
              <w:rPr>
                <w:sz w:val="22"/>
                <w:szCs w:val="22"/>
                <w:spacing w:val="8"/>
              </w:rPr>
              <w:t>需要(见表11)</w:t>
            </w:r>
          </w:p>
        </w:tc>
        <w:tc>
          <w:tcPr>
            <w:tcW w:w="2081" w:type="dxa"/>
            <w:vAlign w:val="top"/>
            <w:tcBorders>
              <w:bottom w:val="single" w:color="000000" w:sz="4" w:space="0"/>
              <w:top w:val="single" w:color="000000" w:sz="4" w:space="0"/>
            </w:tcBorders>
          </w:tcPr>
          <w:p>
            <w:pPr>
              <w:pStyle w:val="TableText"/>
              <w:ind w:left="76"/>
              <w:spacing w:before="46" w:line="195" w:lineRule="auto"/>
              <w:rPr>
                <w:sz w:val="22"/>
                <w:szCs w:val="22"/>
              </w:rPr>
            </w:pPr>
            <w:r>
              <w:rPr>
                <w:sz w:val="22"/>
                <w:szCs w:val="22"/>
                <w:spacing w:val="6"/>
              </w:rPr>
              <w:t>需要(见表11)</w:t>
            </w:r>
          </w:p>
        </w:tc>
        <w:tc>
          <w:tcPr>
            <w:tcW w:w="1495" w:type="dxa"/>
            <w:vAlign w:val="top"/>
            <w:tcBorders>
              <w:bottom w:val="single" w:color="000000" w:sz="4" w:space="0"/>
              <w:top w:val="single" w:color="000000" w:sz="4" w:space="0"/>
            </w:tcBorders>
          </w:tcPr>
          <w:p>
            <w:pPr>
              <w:pStyle w:val="TableText"/>
              <w:ind w:left="145"/>
              <w:spacing w:before="47" w:line="194" w:lineRule="auto"/>
              <w:rPr>
                <w:sz w:val="22"/>
                <w:szCs w:val="22"/>
              </w:rPr>
            </w:pPr>
            <w:r>
              <w:rPr>
                <w:sz w:val="22"/>
                <w:szCs w:val="22"/>
                <w:spacing w:val="5"/>
              </w:rPr>
              <w:t>需要</w:t>
            </w:r>
          </w:p>
        </w:tc>
      </w:tr>
      <w:tr>
        <w:trPr>
          <w:trHeight w:val="228" w:hRule="atLeast"/>
        </w:trPr>
        <w:tc>
          <w:tcPr>
            <w:tcW w:w="649" w:type="dxa"/>
            <w:vAlign w:val="top"/>
            <w:tcBorders>
              <w:bottom w:val="single" w:color="000000" w:sz="4" w:space="0"/>
              <w:top w:val="single" w:color="000000" w:sz="4" w:space="0"/>
            </w:tcBorders>
          </w:tcPr>
          <w:p>
            <w:pPr>
              <w:spacing w:line="218" w:lineRule="exact"/>
              <w:rPr>
                <w:rFonts w:ascii="Arial"/>
                <w:sz w:val="18"/>
              </w:rPr>
            </w:pPr>
            <w:r/>
          </w:p>
        </w:tc>
        <w:tc>
          <w:tcPr>
            <w:tcW w:w="2575" w:type="dxa"/>
            <w:vAlign w:val="top"/>
            <w:tcBorders>
              <w:bottom w:val="single" w:color="000000" w:sz="4" w:space="0"/>
              <w:top w:val="single" w:color="000000" w:sz="4" w:space="0"/>
            </w:tcBorders>
          </w:tcPr>
          <w:p>
            <w:pPr>
              <w:pStyle w:val="TableText"/>
              <w:ind w:left="171"/>
              <w:spacing w:before="17" w:line="168" w:lineRule="auto"/>
              <w:rPr>
                <w:sz w:val="22"/>
                <w:szCs w:val="22"/>
              </w:rPr>
            </w:pPr>
            <w:r>
              <w:rPr>
                <w:sz w:val="22"/>
                <w:szCs w:val="22"/>
                <w:spacing w:val="10"/>
              </w:rPr>
              <w:t>R需要(见表11).</w:t>
            </w:r>
          </w:p>
        </w:tc>
        <w:tc>
          <w:tcPr>
            <w:tcW w:w="2081" w:type="dxa"/>
            <w:vAlign w:val="top"/>
            <w:tcBorders>
              <w:bottom w:val="single" w:color="000000" w:sz="4" w:space="0"/>
              <w:top w:val="single" w:color="000000" w:sz="4" w:space="0"/>
            </w:tcBorders>
          </w:tcPr>
          <w:p>
            <w:pPr>
              <w:pStyle w:val="TableText"/>
              <w:ind w:left="76"/>
              <w:spacing w:before="10" w:line="174" w:lineRule="auto"/>
              <w:rPr>
                <w:sz w:val="22"/>
                <w:szCs w:val="22"/>
              </w:rPr>
            </w:pPr>
            <w:r>
              <w:rPr>
                <w:sz w:val="22"/>
                <w:szCs w:val="22"/>
                <w:spacing w:val="-1"/>
              </w:rPr>
              <w:t>需要(见表11)</w:t>
            </w:r>
            <w:r>
              <w:rPr>
                <w:sz w:val="22"/>
                <w:szCs w:val="22"/>
                <w:spacing w:val="-105"/>
              </w:rPr>
              <w:t xml:space="preserve"> </w:t>
            </w:r>
            <w:r>
              <w:rPr>
                <w:sz w:val="22"/>
                <w:szCs w:val="22"/>
                <w:u w:val="dotted" w:color="auto"/>
              </w:rPr>
              <w:t xml:space="preserve">   </w:t>
            </w:r>
          </w:p>
        </w:tc>
        <w:tc>
          <w:tcPr>
            <w:tcW w:w="1495" w:type="dxa"/>
            <w:vAlign w:val="top"/>
            <w:tcBorders>
              <w:bottom w:val="single" w:color="000000" w:sz="4" w:space="0"/>
              <w:top w:val="single" w:color="000000" w:sz="4" w:space="0"/>
            </w:tcBorders>
          </w:tcPr>
          <w:p>
            <w:pPr>
              <w:pStyle w:val="TableText"/>
              <w:ind w:left="145"/>
              <w:spacing w:before="18" w:line="167" w:lineRule="auto"/>
              <w:rPr>
                <w:sz w:val="22"/>
                <w:szCs w:val="22"/>
              </w:rPr>
            </w:pPr>
            <w:r>
              <w:rPr>
                <w:sz w:val="22"/>
                <w:szCs w:val="22"/>
                <w:spacing w:val="5"/>
              </w:rPr>
              <w:t>需要</w:t>
            </w:r>
          </w:p>
        </w:tc>
      </w:tr>
    </w:tbl>
    <w:p>
      <w:pPr>
        <w:spacing w:line="301" w:lineRule="auto"/>
        <w:rPr>
          <w:rFonts w:ascii="Arial"/>
          <w:sz w:val="21"/>
        </w:rPr>
      </w:pPr>
      <w:r/>
    </w:p>
    <w:p>
      <w:pPr>
        <w:ind w:left="4920"/>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—188—</w:t>
      </w:r>
    </w:p>
    <w:p>
      <w:pPr>
        <w:spacing w:line="450"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4">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pgSz w:w="11850" w:h="16140"/>
          <w:pgMar w:top="400" w:right="1484" w:bottom="0" w:left="380" w:header="0" w:footer="0" w:gutter="0"/>
        </w:sectPr>
        <w:rPr>
          <w:rFonts w:ascii="Times New Roman" w:hAnsi="Times New Roman" w:eastAsia="Times New Roman" w:cs="Times New Roman"/>
          <w:sz w:val="21"/>
          <w:szCs w:val="21"/>
        </w:rPr>
      </w:pPr>
    </w:p>
    <w:p>
      <w:pPr>
        <w:spacing w:line="479" w:lineRule="auto"/>
        <w:rPr>
          <w:rFonts w:ascii="Arial"/>
          <w:sz w:val="21"/>
        </w:rPr>
      </w:pPr>
      <w:r>
        <w:drawing>
          <wp:anchor distT="0" distB="0" distL="0" distR="0" simplePos="0" relativeHeight="251708416" behindDoc="0" locked="0" layoutInCell="1" allowOverlap="1">
            <wp:simplePos x="0" y="0"/>
            <wp:positionH relativeFrom="column">
              <wp:posOffset>4565641</wp:posOffset>
            </wp:positionH>
            <wp:positionV relativeFrom="paragraph">
              <wp:posOffset>253945</wp:posOffset>
            </wp:positionV>
            <wp:extent cx="222205" cy="209487"/>
            <wp:effectExtent l="0" t="0" r="0" b="0"/>
            <wp:wrapNone/>
            <wp:docPr id="50" name="IM 50"/>
            <wp:cNvGraphicFramePr/>
            <a:graphic>
              <a:graphicData uri="http://schemas.openxmlformats.org/drawingml/2006/picture">
                <pic:pic>
                  <pic:nvPicPr>
                    <pic:cNvPr id="50" name="IM 50"/>
                    <pic:cNvPicPr/>
                  </pic:nvPicPr>
                  <pic:blipFill>
                    <a:blip r:embed="rId56"/>
                    <a:stretch>
                      <a:fillRect/>
                    </a:stretch>
                  </pic:blipFill>
                  <pic:spPr>
                    <a:xfrm rot="0">
                      <a:off x="0" y="0"/>
                      <a:ext cx="222205" cy="209487"/>
                    </a:xfrm>
                    <a:prstGeom prst="rect">
                      <a:avLst/>
                    </a:prstGeom>
                  </pic:spPr>
                </pic:pic>
              </a:graphicData>
            </a:graphic>
          </wp:anchor>
        </w:drawing>
      </w:r>
      <w:r/>
    </w:p>
    <w:p>
      <w:pPr>
        <w:ind w:left="8347"/>
        <w:spacing w:before="27" w:line="207" w:lineRule="auto"/>
        <w:rPr>
          <w:rFonts w:ascii="STXingkai" w:hAnsi="STXingkai" w:eastAsia="STXingkai" w:cs="STXingkai"/>
          <w:sz w:val="8"/>
          <w:szCs w:val="8"/>
        </w:rPr>
      </w:pPr>
      <w:r>
        <w:drawing>
          <wp:anchor distT="0" distB="0" distL="0" distR="0" simplePos="0" relativeHeight="251707392" behindDoc="0" locked="0" layoutInCell="1" allowOverlap="1">
            <wp:simplePos x="0" y="0"/>
            <wp:positionH relativeFrom="column">
              <wp:posOffset>4698981</wp:posOffset>
            </wp:positionH>
            <wp:positionV relativeFrom="paragraph">
              <wp:posOffset>64934</wp:posOffset>
            </wp:positionV>
            <wp:extent cx="1555742" cy="6350"/>
            <wp:effectExtent l="0" t="0" r="0" b="0"/>
            <wp:wrapNone/>
            <wp:docPr id="52" name="IM 52"/>
            <wp:cNvGraphicFramePr/>
            <a:graphic>
              <a:graphicData uri="http://schemas.openxmlformats.org/drawingml/2006/picture">
                <pic:pic>
                  <pic:nvPicPr>
                    <pic:cNvPr id="52" name="IM 52"/>
                    <pic:cNvPicPr/>
                  </pic:nvPicPr>
                  <pic:blipFill>
                    <a:blip r:embed="rId57"/>
                    <a:stretch>
                      <a:fillRect/>
                    </a:stretch>
                  </pic:blipFill>
                  <pic:spPr>
                    <a:xfrm rot="0">
                      <a:off x="0" y="0"/>
                      <a:ext cx="1555742" cy="6350"/>
                    </a:xfrm>
                    <a:prstGeom prst="rect">
                      <a:avLst/>
                    </a:prstGeom>
                  </pic:spPr>
                </pic:pic>
              </a:graphicData>
            </a:graphic>
          </wp:anchor>
        </w:drawing>
      </w:r>
      <w:r>
        <w:pict>
          <v:shape id="_x0000_s22" style="position:absolute;margin-left:466.123pt;margin-top:0.486935pt;mso-position-vertical-relative:text;mso-position-horizontal-relative:text;width:5.5pt;height:6.65pt;z-index:251710464;" filled="false" stroked="false" type="#_x0000_t202">
            <v:fill on="false"/>
            <v:stroke on="false"/>
            <v:path/>
            <v:imagedata o:title=""/>
            <o:lock v:ext="edit" aspectratio="false"/>
            <v:textbox inset="0mm,0mm,0mm,0mm">
              <w:txbxContent>
                <w:p>
                  <w:pPr>
                    <w:ind w:left="20"/>
                    <w:spacing w:before="20" w:line="202" w:lineRule="auto"/>
                    <w:rPr>
                      <w:rFonts w:ascii="STXingkai" w:hAnsi="STXingkai" w:eastAsia="STXingkai" w:cs="STXingkai"/>
                      <w:sz w:val="8"/>
                      <w:szCs w:val="8"/>
                    </w:rPr>
                  </w:pPr>
                  <w:r>
                    <w:rPr>
                      <w:rFonts w:ascii="STXingkai" w:hAnsi="STXingkai" w:eastAsia="STXingkai" w:cs="STXingkai"/>
                      <w:sz w:val="8"/>
                      <w:szCs w:val="8"/>
                      <w:b/>
                      <w:bCs/>
                      <w:spacing w:val="-1"/>
                    </w:rPr>
                    <w:t>指</w:t>
                  </w:r>
                </w:p>
              </w:txbxContent>
            </v:textbox>
          </v:shape>
        </w:pict>
      </w:r>
      <w:r>
        <w:pict>
          <v:shape id="_x0000_s24" style="position:absolute;margin-left:391.504pt;margin-top:0.578915pt;mso-position-vertical-relative:text;mso-position-horizontal-relative:text;width:5.4pt;height:6.55pt;z-index:251709440;" filled="false" stroked="false" type="#_x0000_t202">
            <v:fill on="false"/>
            <v:stroke on="false"/>
            <v:path/>
            <v:imagedata o:title=""/>
            <o:lock v:ext="edit" aspectratio="false"/>
            <v:textbox inset="0mm,0mm,0mm,0mm">
              <w:txbxContent>
                <w:p>
                  <w:pPr>
                    <w:ind w:left="20"/>
                    <w:spacing w:before="20" w:line="198" w:lineRule="auto"/>
                    <w:rPr>
                      <w:rFonts w:ascii="STXingkai" w:hAnsi="STXingkai" w:eastAsia="STXingkai" w:cs="STXingkai"/>
                      <w:sz w:val="8"/>
                      <w:szCs w:val="8"/>
                    </w:rPr>
                  </w:pPr>
                  <w:r>
                    <w:rPr>
                      <w:rFonts w:ascii="STXingkai" w:hAnsi="STXingkai" w:eastAsia="STXingkai" w:cs="STXingkai"/>
                      <w:sz w:val="8"/>
                      <w:szCs w:val="8"/>
                      <w:b/>
                      <w:bCs/>
                      <w:spacing w:val="-1"/>
                    </w:rPr>
                    <w:t>附</w:t>
                  </w:r>
                </w:p>
              </w:txbxContent>
            </v:textbox>
          </v:shape>
        </w:pict>
      </w:r>
      <w:r>
        <w:pict>
          <v:shape id="_x0000_s26" style="position:absolute;margin-left:442.406pt;margin-top:1.79492pt;mso-position-vertical-relative:text;mso-position-horizontal-relative:text;width:4.3pt;height:5.3pt;z-index:251711488;" filled="false" stroked="false" type="#_x0000_t202">
            <v:fill on="false"/>
            <v:stroke on="false"/>
            <v:path/>
            <v:imagedata o:title=""/>
            <o:lock v:ext="edit" aspectratio="false"/>
            <v:textbox inset="0mm,0mm,0mm,0mm">
              <w:txbxContent>
                <w:p>
                  <w:pPr>
                    <w:spacing w:before="20" w:line="65" w:lineRule="exact"/>
                    <w:jc w:val="right"/>
                    <w:rPr>
                      <w:rFonts w:ascii="STXingkai" w:hAnsi="STXingkai" w:eastAsia="STXingkai" w:cs="STXingkai"/>
                      <w:sz w:val="8"/>
                      <w:szCs w:val="8"/>
                    </w:rPr>
                  </w:pPr>
                  <w:r>
                    <w:rPr>
                      <w:rFonts w:ascii="STXingkai" w:hAnsi="STXingkai" w:eastAsia="STXingkai" w:cs="STXingkai"/>
                      <w:sz w:val="8"/>
                      <w:szCs w:val="8"/>
                      <w:b/>
                      <w:bCs/>
                      <w:spacing w:val="-35"/>
                    </w:rPr>
                    <w:t>·</w:t>
                  </w:r>
                </w:p>
              </w:txbxContent>
            </v:textbox>
          </v:shape>
        </w:pict>
      </w:r>
      <w:r>
        <w:rPr>
          <w:rFonts w:ascii="STXingkai" w:hAnsi="STXingkai" w:eastAsia="STXingkai" w:cs="STXingkai"/>
          <w:sz w:val="8"/>
          <w:szCs w:val="8"/>
          <w:b/>
          <w:bCs/>
          <w:spacing w:val="-1"/>
        </w:rPr>
        <w:t>灵</w:t>
      </w:r>
    </w:p>
    <w:p>
      <w:pPr>
        <w:spacing w:line="250" w:lineRule="auto"/>
        <w:rPr>
          <w:rFonts w:ascii="Arial"/>
          <w:sz w:val="21"/>
        </w:rPr>
      </w:pPr>
      <w:r/>
    </w:p>
    <w:p>
      <w:pPr>
        <w:pStyle w:val="BodyText"/>
        <w:ind w:left="279" w:right="148" w:firstLine="513"/>
        <w:spacing w:before="68" w:line="302" w:lineRule="auto"/>
        <w:rPr/>
      </w:pPr>
      <w:r>
        <w:rPr>
          <w:b/>
          <w:bCs/>
          <w:spacing w:val="5"/>
        </w:rPr>
        <w:t>非复杂性结石患者是指那些在结石首次发作后未复发或是较长间期后出现轻度复发者</w:t>
      </w:r>
      <w:r>
        <w:rPr>
          <w:b/>
          <w:bCs/>
          <w:spacing w:val="4"/>
        </w:rPr>
        <w:t>(类型</w:t>
      </w:r>
      <w:r>
        <w:rPr>
          <w:rFonts w:ascii="Times New Roman" w:hAnsi="Times New Roman" w:eastAsia="Times New Roman" w:cs="Times New Roman"/>
          <w:b/>
          <w:bCs/>
        </w:rPr>
        <w:t>So</w:t>
      </w:r>
      <w:r>
        <w:rPr>
          <w:rFonts w:ascii="Times New Roman" w:hAnsi="Times New Roman" w:eastAsia="Times New Roman" w:cs="Times New Roman"/>
          <w:b/>
          <w:bCs/>
          <w:spacing w:val="4"/>
        </w:rPr>
        <w:t>,</w:t>
      </w:r>
      <w:r>
        <w:rPr>
          <w:rFonts w:ascii="Times New Roman" w:hAnsi="Times New Roman" w:eastAsia="Times New Roman" w:cs="Times New Roman"/>
          <w:b/>
          <w:bCs/>
        </w:rPr>
        <w:t xml:space="preserve">   </w:t>
      </w:r>
      <w:r>
        <w:rPr>
          <w:rFonts w:ascii="Times New Roman" w:hAnsi="Times New Roman" w:eastAsia="Times New Roman" w:cs="Times New Roman"/>
        </w:rPr>
        <w:t>R</w:t>
      </w:r>
      <w:r>
        <w:rPr>
          <w:rFonts w:ascii="Times New Roman" w:hAnsi="Times New Roman" w:eastAsia="Times New Roman" w:cs="Times New Roman"/>
          <w:b/>
          <w:bCs/>
        </w:rPr>
        <w:t>mo</w:t>
      </w:r>
      <w:r>
        <w:rPr>
          <w:rFonts w:ascii="Times New Roman" w:hAnsi="Times New Roman" w:eastAsia="Times New Roman" w:cs="Times New Roman"/>
          <w:b/>
          <w:bCs/>
          <w:spacing w:val="7"/>
        </w:rPr>
        <w:t>,</w:t>
      </w:r>
      <w:r>
        <w:rPr>
          <w:rFonts w:ascii="Times New Roman" w:hAnsi="Times New Roman" w:eastAsia="Times New Roman" w:cs="Times New Roman"/>
          <w:b/>
          <w:bCs/>
          <w:spacing w:val="25"/>
        </w:rPr>
        <w:t xml:space="preserve">  </w:t>
      </w:r>
      <w:r>
        <w:rPr>
          <w:b/>
          <w:bCs/>
          <w:spacing w:val="7"/>
        </w:rPr>
        <w:t>见表3)。在表10中列出了在此类患者中推荐进行的结石、血液(血清，血浆)以及尿液分析。</w:t>
      </w:r>
    </w:p>
    <w:p>
      <w:pPr>
        <w:ind w:left="1579"/>
        <w:spacing w:before="205" w:line="221" w:lineRule="auto"/>
        <w:rPr>
          <w:rFonts w:ascii="SimHei" w:hAnsi="SimHei" w:eastAsia="SimHei" w:cs="SimHei"/>
          <w:sz w:val="21"/>
          <w:szCs w:val="21"/>
        </w:rPr>
      </w:pPr>
      <w:r>
        <w:rPr>
          <w:rFonts w:ascii="SimHei" w:hAnsi="SimHei" w:eastAsia="SimHei" w:cs="SimHei"/>
          <w:sz w:val="21"/>
          <w:szCs w:val="21"/>
          <w:spacing w:val="-22"/>
          <w:w w:val="97"/>
        </w:rPr>
        <w:t>表10</w:t>
      </w:r>
      <w:r>
        <w:rPr>
          <w:rFonts w:ascii="SimHei" w:hAnsi="SimHei" w:eastAsia="SimHei" w:cs="SimHei"/>
          <w:sz w:val="21"/>
          <w:szCs w:val="21"/>
          <w:spacing w:val="-22"/>
          <w:w w:val="97"/>
        </w:rPr>
        <w:t xml:space="preserve">  </w:t>
      </w:r>
      <w:r>
        <w:rPr>
          <w:rFonts w:ascii="SimHei" w:hAnsi="SimHei" w:eastAsia="SimHei" w:cs="SimHei"/>
          <w:sz w:val="21"/>
          <w:szCs w:val="21"/>
          <w:spacing w:val="-22"/>
          <w:w w:val="97"/>
        </w:rPr>
        <w:t>非复杂性结石患者分析危险因素所需的血液和尿液检查</w:t>
      </w:r>
    </w:p>
    <w:p>
      <w:pPr>
        <w:spacing w:line="126" w:lineRule="exact"/>
        <w:rPr/>
      </w:pPr>
      <w:r/>
    </w:p>
    <w:tbl>
      <w:tblPr>
        <w:tblStyle w:val="TableNormal"/>
        <w:tblW w:w="6049" w:type="dxa"/>
        <w:tblInd w:w="9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648"/>
        <w:gridCol w:w="2401"/>
      </w:tblGrid>
      <w:tr>
        <w:trPr>
          <w:trHeight w:val="224" w:hRule="atLeast"/>
        </w:trPr>
        <w:tc>
          <w:tcPr>
            <w:tcW w:w="3648" w:type="dxa"/>
            <w:vAlign w:val="top"/>
          </w:tcPr>
          <w:p>
            <w:pPr>
              <w:pStyle w:val="TableText"/>
              <w:ind w:left="34"/>
              <w:spacing w:before="13" w:line="206" w:lineRule="auto"/>
              <w:rPr>
                <w:sz w:val="18"/>
                <w:szCs w:val="18"/>
              </w:rPr>
            </w:pPr>
            <w:r>
              <w:rPr>
                <w:sz w:val="18"/>
                <w:szCs w:val="18"/>
                <w:spacing w:val="-1"/>
              </w:rPr>
              <w:t>结石分析                   血液分析</w:t>
            </w:r>
          </w:p>
        </w:tc>
        <w:tc>
          <w:tcPr>
            <w:tcW w:w="2401" w:type="dxa"/>
            <w:vAlign w:val="top"/>
          </w:tcPr>
          <w:p>
            <w:pPr>
              <w:pStyle w:val="TableText"/>
              <w:ind w:left="86"/>
              <w:spacing w:before="22" w:line="196" w:lineRule="auto"/>
              <w:rPr>
                <w:sz w:val="18"/>
                <w:szCs w:val="18"/>
              </w:rPr>
            </w:pPr>
            <w:r>
              <w:rPr>
                <w:sz w:val="18"/>
                <w:szCs w:val="18"/>
                <w:spacing w:val="-2"/>
              </w:rPr>
              <w:t>尿液分析</w:t>
            </w:r>
          </w:p>
        </w:tc>
      </w:tr>
      <w:tr>
        <w:trPr>
          <w:trHeight w:val="1085" w:hRule="atLeast"/>
        </w:trPr>
        <w:tc>
          <w:tcPr>
            <w:tcW w:w="3648" w:type="dxa"/>
            <w:vAlign w:val="top"/>
          </w:tcPr>
          <w:p>
            <w:pPr>
              <w:pStyle w:val="TableText"/>
              <w:ind w:left="54"/>
              <w:spacing w:before="7" w:line="222" w:lineRule="auto"/>
              <w:rPr>
                <w:sz w:val="18"/>
                <w:szCs w:val="18"/>
              </w:rPr>
            </w:pPr>
            <w:r>
              <w:rPr>
                <w:sz w:val="18"/>
                <w:szCs w:val="18"/>
                <w:spacing w:val="-1"/>
              </w:rPr>
              <w:t>每个患者至少分析一颗结石</w:t>
            </w:r>
            <w:r>
              <w:rPr>
                <w:sz w:val="18"/>
                <w:szCs w:val="18"/>
                <w:spacing w:val="8"/>
              </w:rPr>
              <w:t xml:space="preserve">        </w:t>
            </w:r>
            <w:r>
              <w:rPr>
                <w:sz w:val="18"/>
                <w:szCs w:val="18"/>
                <w:spacing w:val="-1"/>
              </w:rPr>
              <w:t>钙</w:t>
            </w:r>
          </w:p>
          <w:p>
            <w:pPr>
              <w:pStyle w:val="TableText"/>
              <w:ind w:left="2545" w:right="427"/>
              <w:spacing w:before="24" w:line="216" w:lineRule="auto"/>
              <w:jc w:val="right"/>
              <w:rPr>
                <w:sz w:val="18"/>
                <w:szCs w:val="18"/>
              </w:rPr>
            </w:pPr>
            <w:r>
              <w:rPr>
                <w:sz w:val="18"/>
                <w:szCs w:val="18"/>
                <w:spacing w:val="8"/>
              </w:rPr>
              <w:t>白蛋白!</w:t>
            </w:r>
            <w:r>
              <w:rPr>
                <w:sz w:val="18"/>
                <w:szCs w:val="18"/>
                <w:spacing w:val="2"/>
              </w:rPr>
              <w:t xml:space="preserve"> </w:t>
            </w:r>
            <w:r>
              <w:rPr>
                <w:sz w:val="18"/>
                <w:szCs w:val="18"/>
                <w:spacing w:val="-2"/>
              </w:rPr>
              <w:t>肌酐</w:t>
            </w:r>
          </w:p>
          <w:p>
            <w:pPr>
              <w:pStyle w:val="TableText"/>
              <w:ind w:left="2725"/>
              <w:spacing w:line="220" w:lineRule="auto"/>
              <w:rPr>
                <w:sz w:val="18"/>
                <w:szCs w:val="18"/>
              </w:rPr>
            </w:pPr>
            <w:r>
              <w:rPr>
                <w:sz w:val="18"/>
                <w:szCs w:val="18"/>
                <w:spacing w:val="-2"/>
              </w:rPr>
              <w:t>尿酸2</w:t>
            </w:r>
          </w:p>
        </w:tc>
        <w:tc>
          <w:tcPr>
            <w:tcW w:w="2401" w:type="dxa"/>
            <w:vAlign w:val="top"/>
          </w:tcPr>
          <w:p>
            <w:pPr>
              <w:pStyle w:val="TableText"/>
              <w:ind w:left="86" w:right="684"/>
              <w:spacing w:before="7" w:line="239" w:lineRule="auto"/>
              <w:rPr>
                <w:sz w:val="18"/>
                <w:szCs w:val="18"/>
              </w:rPr>
            </w:pPr>
            <w:r>
              <w:rPr>
                <w:sz w:val="18"/>
                <w:szCs w:val="18"/>
                <w:spacing w:val="-1"/>
              </w:rPr>
              <w:t>禁食清晨新鲜尿样，</w:t>
            </w:r>
            <w:r>
              <w:rPr>
                <w:sz w:val="18"/>
                <w:szCs w:val="18"/>
                <w:spacing w:val="7"/>
              </w:rPr>
              <w:t xml:space="preserve"> </w:t>
            </w:r>
            <w:r>
              <w:rPr>
                <w:sz w:val="18"/>
                <w:szCs w:val="18"/>
                <w:spacing w:val="-1"/>
              </w:rPr>
              <w:t>试纸法检测：</w:t>
            </w:r>
          </w:p>
          <w:p>
            <w:pPr>
              <w:pStyle w:val="TableText"/>
              <w:ind w:left="86"/>
              <w:spacing w:line="199" w:lineRule="auto"/>
              <w:rPr>
                <w:sz w:val="18"/>
                <w:szCs w:val="18"/>
              </w:rPr>
            </w:pPr>
            <w:r>
              <w:rPr>
                <w:sz w:val="18"/>
                <w:szCs w:val="18"/>
                <w:spacing w:val="-23"/>
              </w:rPr>
              <w:t>·pH</w:t>
            </w:r>
          </w:p>
          <w:p>
            <w:pPr>
              <w:pStyle w:val="TableText"/>
              <w:ind w:left="116"/>
              <w:spacing w:line="219" w:lineRule="auto"/>
              <w:rPr>
                <w:sz w:val="18"/>
                <w:szCs w:val="18"/>
              </w:rPr>
            </w:pPr>
            <w:r>
              <w:rPr>
                <w:sz w:val="18"/>
                <w:szCs w:val="18"/>
                <w:spacing w:val="2"/>
              </w:rPr>
              <w:t>·</w:t>
            </w:r>
            <w:r>
              <w:rPr>
                <w:sz w:val="18"/>
                <w:szCs w:val="18"/>
                <w:spacing w:val="-41"/>
              </w:rPr>
              <w:t xml:space="preserve"> </w:t>
            </w:r>
            <w:r>
              <w:rPr>
                <w:sz w:val="18"/>
                <w:szCs w:val="18"/>
                <w:spacing w:val="2"/>
              </w:rPr>
              <w:t>白细胞/细菌3.</w:t>
            </w:r>
          </w:p>
          <w:p>
            <w:pPr>
              <w:pStyle w:val="TableText"/>
              <w:ind w:left="86"/>
              <w:spacing w:before="5" w:line="192" w:lineRule="auto"/>
              <w:rPr>
                <w:sz w:val="18"/>
                <w:szCs w:val="18"/>
              </w:rPr>
            </w:pPr>
            <w:r>
              <w:rPr>
                <w:sz w:val="18"/>
                <w:szCs w:val="18"/>
                <w:spacing w:val="-2"/>
              </w:rPr>
              <w:t>·</w:t>
            </w:r>
            <w:r>
              <w:rPr>
                <w:sz w:val="18"/>
                <w:szCs w:val="18"/>
                <w:spacing w:val="-70"/>
              </w:rPr>
              <w:t xml:space="preserve"> </w:t>
            </w:r>
            <w:r>
              <w:rPr>
                <w:sz w:val="18"/>
                <w:szCs w:val="18"/>
                <w:spacing w:val="-2"/>
              </w:rPr>
              <w:t>胱氨酸检查4</w:t>
            </w:r>
          </w:p>
        </w:tc>
      </w:tr>
      <w:tr>
        <w:trPr>
          <w:trHeight w:val="1101" w:hRule="atLeast"/>
        </w:trPr>
        <w:tc>
          <w:tcPr>
            <w:tcW w:w="6049" w:type="dxa"/>
            <w:vAlign w:val="top"/>
            <w:gridSpan w:val="2"/>
          </w:tcPr>
          <w:p>
            <w:pPr>
              <w:pStyle w:val="TableText"/>
              <w:ind w:left="893" w:hanging="859"/>
              <w:spacing w:before="33" w:line="228" w:lineRule="auto"/>
              <w:rPr>
                <w:sz w:val="18"/>
                <w:szCs w:val="18"/>
              </w:rPr>
            </w:pPr>
            <w:r>
              <w:rPr>
                <w:sz w:val="18"/>
                <w:szCs w:val="18"/>
                <w:spacing w:val="-3"/>
              </w:rPr>
              <w:t>1        检测白蛋白+钙以娇正白蛋白结合钙对血钙浓度的影响，或者直接检</w:t>
            </w:r>
            <w:r>
              <w:rPr>
                <w:sz w:val="18"/>
                <w:szCs w:val="18"/>
              </w:rPr>
              <w:t xml:space="preserve"> </w:t>
            </w:r>
            <w:r>
              <w:rPr>
                <w:sz w:val="18"/>
                <w:szCs w:val="18"/>
                <w:spacing w:val="-1"/>
              </w:rPr>
              <w:t>测离子型钙浓度，</w:t>
            </w:r>
          </w:p>
          <w:p>
            <w:pPr>
              <w:pStyle w:val="TableText"/>
              <w:ind w:left="45" w:right="1364"/>
              <w:spacing w:before="4" w:line="205" w:lineRule="auto"/>
              <w:rPr>
                <w:sz w:val="18"/>
                <w:szCs w:val="18"/>
              </w:rPr>
            </w:pPr>
            <w:r>
              <w:rPr>
                <w:sz w:val="18"/>
                <w:szCs w:val="18"/>
                <w:spacing w:val="-1"/>
                <w:position w:val="-1"/>
              </w:rPr>
              <w:t>2</w:t>
            </w:r>
            <w:r>
              <w:rPr>
                <w:sz w:val="18"/>
                <w:szCs w:val="18"/>
                <w:spacing w:val="7"/>
                <w:position w:val="-1"/>
              </w:rPr>
              <w:t xml:space="preserve">        </w:t>
            </w:r>
            <w:r>
              <w:rPr>
                <w:sz w:val="18"/>
                <w:szCs w:val="18"/>
                <w:spacing w:val="-1"/>
              </w:rPr>
              <w:t>可供选择的分析，考虑尿酸尿酸盐结石时选辉，</w:t>
            </w:r>
            <w:r>
              <w:rPr>
                <w:sz w:val="18"/>
                <w:szCs w:val="18"/>
                <w:spacing w:val="4"/>
              </w:rPr>
              <w:t xml:space="preserve"> </w:t>
            </w:r>
            <w:r>
              <w:rPr>
                <w:sz w:val="18"/>
                <w:szCs w:val="18"/>
                <w:spacing w:val="-1"/>
                <w:position w:val="-1"/>
              </w:rPr>
              <w:t>3</w:t>
            </w:r>
            <w:r>
              <w:rPr>
                <w:sz w:val="18"/>
                <w:szCs w:val="18"/>
                <w:spacing w:val="6"/>
                <w:position w:val="-1"/>
              </w:rPr>
              <w:t xml:space="preserve">        </w:t>
            </w:r>
            <w:r>
              <w:rPr>
                <w:sz w:val="18"/>
                <w:szCs w:val="18"/>
                <w:spacing w:val="-1"/>
              </w:rPr>
              <w:t>存在菌尿则行尿被培养。</w:t>
            </w:r>
          </w:p>
          <w:p>
            <w:pPr>
              <w:pStyle w:val="TableText"/>
              <w:ind w:left="45"/>
              <w:spacing w:line="182" w:lineRule="auto"/>
              <w:rPr>
                <w:sz w:val="18"/>
                <w:szCs w:val="18"/>
              </w:rPr>
            </w:pPr>
            <w:r>
              <w:rPr>
                <w:sz w:val="18"/>
                <w:szCs w:val="18"/>
                <w:spacing w:val="1"/>
                <w:position w:val="-1"/>
              </w:rPr>
              <w:t>4        </w:t>
            </w:r>
            <w:r>
              <w:rPr>
                <w:sz w:val="18"/>
                <w:szCs w:val="18"/>
                <w:spacing w:val="1"/>
              </w:rPr>
              <w:t>如果通过其它手段不能排除胱氦酸尿则行尿胱氛酸检查，</w:t>
            </w:r>
          </w:p>
        </w:tc>
      </w:tr>
    </w:tbl>
    <w:p>
      <w:pPr>
        <w:pStyle w:val="BodyText"/>
        <w:ind w:left="282" w:firstLine="430"/>
        <w:spacing w:before="270" w:line="308" w:lineRule="auto"/>
        <w:jc w:val="both"/>
        <w:rPr/>
      </w:pPr>
      <w:r>
        <w:rPr>
          <w:b/>
          <w:bCs/>
          <w:spacing w:val="1"/>
        </w:rPr>
        <w:t>复杂性结石患者是指结石反复复发的患者，可伴有</w:t>
      </w:r>
      <w:r>
        <w:rPr>
          <w:b/>
          <w:bCs/>
        </w:rPr>
        <w:t>或无肾内残石和特别的危险因素。首次结石发作</w:t>
      </w:r>
      <w:r>
        <w:rPr/>
        <w:t xml:space="preserve"> </w:t>
      </w:r>
      <w:r>
        <w:rPr>
          <w:b/>
          <w:bCs/>
          <w:spacing w:val="6"/>
        </w:rPr>
        <w:t>伴有残石的患者也可以归为此类(类型</w:t>
      </w:r>
      <w:r>
        <w:rPr>
          <w:rFonts w:ascii="Times New Roman" w:hAnsi="Times New Roman" w:eastAsia="Times New Roman" w:cs="Times New Roman"/>
          <w:b/>
          <w:bCs/>
        </w:rPr>
        <w:t>Rs</w:t>
      </w:r>
      <w:r>
        <w:rPr>
          <w:rFonts w:ascii="Times New Roman" w:hAnsi="Times New Roman" w:eastAsia="Times New Roman" w:cs="Times New Roman"/>
          <w:b/>
          <w:bCs/>
          <w:spacing w:val="-29"/>
        </w:rPr>
        <w:t xml:space="preserve"> </w:t>
      </w:r>
      <w:r>
        <w:rPr>
          <w:b/>
          <w:bCs/>
          <w:spacing w:val="6"/>
        </w:rPr>
        <w:t>、</w:t>
      </w:r>
      <w:r>
        <w:rPr>
          <w:rFonts w:ascii="Times New Roman" w:hAnsi="Times New Roman" w:eastAsia="Times New Roman" w:cs="Times New Roman"/>
          <w:b/>
          <w:bCs/>
        </w:rPr>
        <w:t>Sres</w:t>
      </w:r>
      <w:r>
        <w:rPr>
          <w:rFonts w:ascii="Times New Roman" w:hAnsi="Times New Roman" w:eastAsia="Times New Roman" w:cs="Times New Roman"/>
          <w:b/>
          <w:bCs/>
          <w:spacing w:val="-30"/>
        </w:rPr>
        <w:t xml:space="preserve"> </w:t>
      </w:r>
      <w:r>
        <w:rPr>
          <w:b/>
          <w:bCs/>
          <w:spacing w:val="6"/>
        </w:rPr>
        <w:t>、</w:t>
      </w:r>
      <w:r>
        <w:rPr>
          <w:rFonts w:ascii="Times New Roman" w:hAnsi="Times New Roman" w:eastAsia="Times New Roman" w:cs="Times New Roman"/>
          <w:b/>
          <w:bCs/>
        </w:rPr>
        <w:t>Rm</w:t>
      </w:r>
      <w:r>
        <w:rPr>
          <w:rFonts w:ascii="Times New Roman" w:hAnsi="Times New Roman" w:eastAsia="Times New Roman" w:cs="Times New Roman"/>
          <w:b/>
          <w:bCs/>
          <w:spacing w:val="6"/>
        </w:rPr>
        <w:t>-</w:t>
      </w:r>
      <w:r>
        <w:rPr>
          <w:rFonts w:ascii="Times New Roman" w:hAnsi="Times New Roman" w:eastAsia="Times New Roman" w:cs="Times New Roman"/>
          <w:b/>
          <w:bCs/>
        </w:rPr>
        <w:t>res</w:t>
      </w:r>
      <w:r>
        <w:rPr>
          <w:rFonts w:ascii="Times New Roman" w:hAnsi="Times New Roman" w:eastAsia="Times New Roman" w:cs="Times New Roman"/>
          <w:b/>
          <w:bCs/>
          <w:spacing w:val="6"/>
        </w:rPr>
        <w:t>, </w:t>
      </w:r>
      <w:r>
        <w:rPr>
          <w:rFonts w:ascii="Times New Roman" w:hAnsi="Times New Roman" w:eastAsia="Times New Roman" w:cs="Times New Roman"/>
          <w:b/>
          <w:bCs/>
          <w:spacing w:val="5"/>
        </w:rPr>
        <w:t xml:space="preserve">  </w:t>
      </w:r>
      <w:r>
        <w:rPr>
          <w:b/>
          <w:bCs/>
          <w:spacing w:val="5"/>
        </w:rPr>
        <w:t>见表3)。在表11[4-12]中列出了在此类患</w:t>
      </w:r>
      <w:r>
        <w:rPr/>
        <w:t xml:space="preserve">  </w:t>
      </w:r>
      <w:r>
        <w:rPr>
          <w:b/>
          <w:bCs/>
          <w:spacing w:val="3"/>
        </w:rPr>
        <w:t>者中推荐进行的结石、血液以及尿液分析。至少推迟到取石或梗阻发作4周以后再收集</w:t>
      </w:r>
      <w:r>
        <w:rPr>
          <w:b/>
          <w:bCs/>
          <w:spacing w:val="2"/>
        </w:rPr>
        <w:t>尿样，若存在感</w:t>
      </w:r>
      <w:r>
        <w:rPr/>
        <w:t xml:space="preserve"> </w:t>
      </w:r>
      <w:r>
        <w:rPr>
          <w:b/>
          <w:bCs/>
          <w:spacing w:val="-2"/>
        </w:rPr>
        <w:t>染或血尿则不宜收集尿样。表12[13-18]</w:t>
      </w:r>
      <w:r>
        <w:rPr>
          <w:b/>
          <w:bCs/>
          <w:spacing w:val="-3"/>
        </w:rPr>
        <w:t>中列出了可能要做的特殊检查。</w:t>
      </w:r>
    </w:p>
    <w:p>
      <w:pPr>
        <w:spacing w:line="249" w:lineRule="auto"/>
        <w:rPr>
          <w:rFonts w:ascii="Arial"/>
          <w:sz w:val="21"/>
        </w:rPr>
      </w:pPr>
      <w:r/>
    </w:p>
    <w:p>
      <w:pPr>
        <w:pStyle w:val="BodyText"/>
        <w:ind w:left="3172"/>
        <w:spacing w:before="69" w:line="219" w:lineRule="auto"/>
        <w:rPr/>
      </w:pPr>
      <w:r>
        <w:rPr>
          <w:b/>
          <w:bCs/>
          <w:spacing w:val="-8"/>
        </w:rPr>
        <w:t>表11</w:t>
      </w:r>
      <w:r>
        <w:rPr>
          <w:spacing w:val="53"/>
        </w:rPr>
        <w:t xml:space="preserve"> </w:t>
      </w:r>
      <w:r>
        <w:rPr>
          <w:b/>
          <w:bCs/>
          <w:spacing w:val="-8"/>
        </w:rPr>
        <w:t>复杂性结石患者的检查分析</w:t>
      </w:r>
    </w:p>
    <w:p>
      <w:pPr>
        <w:spacing w:line="180" w:lineRule="exact"/>
        <w:rPr/>
      </w:pPr>
      <w:r/>
    </w:p>
    <w:tbl>
      <w:tblPr>
        <w:tblStyle w:val="TableNormal"/>
        <w:tblW w:w="6667" w:type="dxa"/>
        <w:tblInd w:w="13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67"/>
        <w:gridCol w:w="1128"/>
        <w:gridCol w:w="2972"/>
      </w:tblGrid>
      <w:tr>
        <w:trPr>
          <w:trHeight w:val="244" w:hRule="atLeast"/>
        </w:trPr>
        <w:tc>
          <w:tcPr>
            <w:tcW w:w="2567" w:type="dxa"/>
            <w:vAlign w:val="top"/>
            <w:tcBorders>
              <w:right w:val="nil"/>
            </w:tcBorders>
          </w:tcPr>
          <w:p>
            <w:pPr>
              <w:pStyle w:val="TableText"/>
              <w:ind w:left="47"/>
              <w:spacing w:before="10" w:line="206" w:lineRule="auto"/>
              <w:rPr>
                <w:sz w:val="20"/>
                <w:szCs w:val="20"/>
              </w:rPr>
            </w:pPr>
            <w:r>
              <w:rPr>
                <w:sz w:val="20"/>
                <w:szCs w:val="20"/>
                <w:b/>
                <w:bCs/>
                <w:spacing w:val="-5"/>
              </w:rPr>
              <w:t>结石分析</w:t>
            </w:r>
          </w:p>
        </w:tc>
        <w:tc>
          <w:tcPr>
            <w:tcW w:w="1128" w:type="dxa"/>
            <w:vAlign w:val="top"/>
            <w:tcBorders>
              <w:left w:val="nil"/>
              <w:right w:val="nil"/>
            </w:tcBorders>
          </w:tcPr>
          <w:p>
            <w:pPr>
              <w:pStyle w:val="TableText"/>
              <w:ind w:left="122"/>
              <w:spacing w:before="14" w:line="203" w:lineRule="auto"/>
              <w:rPr>
                <w:sz w:val="20"/>
                <w:szCs w:val="20"/>
              </w:rPr>
            </w:pPr>
            <w:r>
              <w:rPr>
                <w:sz w:val="20"/>
                <w:szCs w:val="20"/>
                <w:spacing w:val="-2"/>
              </w:rPr>
              <w:t>血液分析</w:t>
            </w:r>
          </w:p>
        </w:tc>
        <w:tc>
          <w:tcPr>
            <w:tcW w:w="2972" w:type="dxa"/>
            <w:vAlign w:val="top"/>
            <w:tcBorders>
              <w:left w:val="nil"/>
            </w:tcBorders>
          </w:tcPr>
          <w:p>
            <w:pPr>
              <w:pStyle w:val="TableText"/>
              <w:ind w:left="247"/>
              <w:spacing w:before="10" w:line="206" w:lineRule="auto"/>
              <w:rPr>
                <w:sz w:val="20"/>
                <w:szCs w:val="20"/>
              </w:rPr>
            </w:pPr>
            <w:r>
              <w:rPr>
                <w:sz w:val="20"/>
                <w:szCs w:val="20"/>
                <w:b/>
                <w:bCs/>
                <w:spacing w:val="-4"/>
              </w:rPr>
              <w:t>尿液分析</w:t>
            </w:r>
          </w:p>
        </w:tc>
      </w:tr>
      <w:tr>
        <w:trPr>
          <w:trHeight w:val="1198" w:hRule="atLeast"/>
        </w:trPr>
        <w:tc>
          <w:tcPr>
            <w:tcW w:w="2567" w:type="dxa"/>
            <w:vAlign w:val="top"/>
            <w:tcBorders>
              <w:right w:val="nil"/>
            </w:tcBorders>
          </w:tcPr>
          <w:p>
            <w:pPr>
              <w:pStyle w:val="TableText"/>
              <w:ind w:left="74"/>
              <w:spacing w:before="9" w:line="219" w:lineRule="auto"/>
              <w:rPr>
                <w:sz w:val="20"/>
                <w:szCs w:val="20"/>
              </w:rPr>
            </w:pPr>
            <w:r>
              <w:rPr>
                <w:sz w:val="20"/>
                <w:szCs w:val="20"/>
                <w:spacing w:val="-1"/>
              </w:rPr>
              <w:t>每个患者至少分析一颗结石</w:t>
            </w:r>
          </w:p>
        </w:tc>
        <w:tc>
          <w:tcPr>
            <w:tcW w:w="1128" w:type="dxa"/>
            <w:vAlign w:val="top"/>
            <w:tcBorders>
              <w:left w:val="nil"/>
              <w:right w:val="nil"/>
            </w:tcBorders>
          </w:tcPr>
          <w:p>
            <w:pPr>
              <w:pStyle w:val="TableText"/>
              <w:ind w:left="103"/>
              <w:spacing w:before="10" w:line="202" w:lineRule="auto"/>
              <w:rPr>
                <w:sz w:val="20"/>
                <w:szCs w:val="20"/>
              </w:rPr>
            </w:pPr>
            <w:r>
              <w:rPr>
                <w:sz w:val="20"/>
                <w:szCs w:val="20"/>
              </w:rPr>
              <w:t>钙</w:t>
            </w:r>
          </w:p>
          <w:p>
            <w:pPr>
              <w:pStyle w:val="TableText"/>
              <w:ind w:left="121" w:right="389" w:hanging="9"/>
              <w:spacing w:line="231" w:lineRule="auto"/>
              <w:rPr>
                <w:sz w:val="20"/>
                <w:szCs w:val="20"/>
              </w:rPr>
            </w:pPr>
            <w:r>
              <w:rPr>
                <w:sz w:val="20"/>
                <w:szCs w:val="20"/>
                <w:spacing w:val="8"/>
              </w:rPr>
              <w:t>白蛋白</w:t>
            </w:r>
            <w:r>
              <w:rPr>
                <w:sz w:val="20"/>
                <w:szCs w:val="20"/>
              </w:rPr>
              <w:t xml:space="preserve"> </w:t>
            </w:r>
            <w:r>
              <w:rPr>
                <w:sz w:val="20"/>
                <w:szCs w:val="20"/>
                <w:spacing w:val="-2"/>
              </w:rPr>
              <w:t>肌酐</w:t>
            </w:r>
          </w:p>
          <w:p>
            <w:pPr>
              <w:pStyle w:val="TableText"/>
              <w:ind w:left="122"/>
              <w:spacing w:line="220" w:lineRule="auto"/>
              <w:rPr>
                <w:sz w:val="20"/>
                <w:szCs w:val="20"/>
              </w:rPr>
            </w:pPr>
            <w:r>
              <w:rPr>
                <w:sz w:val="20"/>
                <w:szCs w:val="20"/>
                <w:spacing w:val="-2"/>
              </w:rPr>
              <w:t>尿酸</w:t>
            </w:r>
          </w:p>
        </w:tc>
        <w:tc>
          <w:tcPr>
            <w:tcW w:w="2972" w:type="dxa"/>
            <w:vAlign w:val="top"/>
            <w:tcBorders>
              <w:left w:val="nil"/>
            </w:tcBorders>
          </w:tcPr>
          <w:p>
            <w:pPr>
              <w:pStyle w:val="TableText"/>
              <w:ind w:left="245" w:right="819" w:firstLine="9"/>
              <w:spacing w:before="8" w:line="224" w:lineRule="auto"/>
              <w:rPr>
                <w:sz w:val="20"/>
                <w:szCs w:val="20"/>
              </w:rPr>
            </w:pPr>
            <w:r>
              <w:rPr>
                <w:sz w:val="20"/>
                <w:szCs w:val="20"/>
                <w:spacing w:val="-1"/>
              </w:rPr>
              <w:t>禁食清晨新鲜尿祥，+</w:t>
            </w:r>
            <w:r>
              <w:rPr>
                <w:sz w:val="20"/>
                <w:szCs w:val="20"/>
                <w:spacing w:val="1"/>
              </w:rPr>
              <w:t xml:space="preserve"> </w:t>
            </w:r>
            <w:r>
              <w:rPr>
                <w:sz w:val="20"/>
                <w:szCs w:val="20"/>
                <w:spacing w:val="-1"/>
              </w:rPr>
              <w:t>试纸法检测：</w:t>
            </w:r>
          </w:p>
          <w:p>
            <w:pPr>
              <w:pStyle w:val="TableText"/>
              <w:ind w:left="265"/>
              <w:spacing w:line="208" w:lineRule="auto"/>
              <w:rPr>
                <w:sz w:val="20"/>
                <w:szCs w:val="20"/>
              </w:rPr>
            </w:pPr>
            <w:r>
              <w:rPr>
                <w:sz w:val="20"/>
                <w:szCs w:val="20"/>
                <w:spacing w:val="-26"/>
              </w:rPr>
              <w:t>·pH</w:t>
            </w:r>
          </w:p>
          <w:p>
            <w:pPr>
              <w:pStyle w:val="TableText"/>
              <w:ind w:left="304"/>
              <w:spacing w:line="220" w:lineRule="auto"/>
              <w:rPr>
                <w:sz w:val="20"/>
                <w:szCs w:val="20"/>
              </w:rPr>
            </w:pPr>
            <w:r>
              <w:rPr>
                <w:sz w:val="20"/>
                <w:szCs w:val="20"/>
                <w:spacing w:val="-8"/>
              </w:rPr>
              <w:t>·</w:t>
            </w:r>
            <w:r>
              <w:rPr>
                <w:sz w:val="20"/>
                <w:szCs w:val="20"/>
                <w:spacing w:val="-44"/>
              </w:rPr>
              <w:t xml:space="preserve"> </w:t>
            </w:r>
            <w:r>
              <w:rPr>
                <w:sz w:val="20"/>
                <w:szCs w:val="20"/>
                <w:spacing w:val="-8"/>
              </w:rPr>
              <w:t>白细胞细苗</w:t>
            </w:r>
          </w:p>
          <w:p>
            <w:pPr>
              <w:pStyle w:val="TableText"/>
              <w:ind w:left="295"/>
              <w:spacing w:before="1" w:line="211" w:lineRule="auto"/>
              <w:rPr>
                <w:sz w:val="20"/>
                <w:szCs w:val="20"/>
              </w:rPr>
            </w:pPr>
            <w:r>
              <w:rPr>
                <w:sz w:val="20"/>
                <w:szCs w:val="20"/>
                <w:spacing w:val="-3"/>
              </w:rPr>
              <w:t>·</w:t>
            </w:r>
            <w:r>
              <w:rPr>
                <w:sz w:val="20"/>
                <w:szCs w:val="20"/>
                <w:spacing w:val="-73"/>
              </w:rPr>
              <w:t xml:space="preserve"> </w:t>
            </w:r>
            <w:r>
              <w:rPr>
                <w:sz w:val="20"/>
                <w:szCs w:val="20"/>
                <w:spacing w:val="-3"/>
              </w:rPr>
              <w:t>胱氨酸检查</w:t>
            </w:r>
          </w:p>
        </w:tc>
      </w:tr>
      <w:tr>
        <w:trPr>
          <w:trHeight w:val="2916" w:hRule="atLeast"/>
        </w:trPr>
        <w:tc>
          <w:tcPr>
            <w:tcW w:w="2567" w:type="dxa"/>
            <w:vAlign w:val="top"/>
            <w:tcBorders>
              <w:right w:val="nil"/>
            </w:tcBorders>
          </w:tcPr>
          <w:p>
            <w:pPr>
              <w:rPr>
                <w:rFonts w:ascii="Arial"/>
                <w:sz w:val="21"/>
              </w:rPr>
            </w:pPr>
            <w:r/>
          </w:p>
        </w:tc>
        <w:tc>
          <w:tcPr>
            <w:tcW w:w="1128" w:type="dxa"/>
            <w:vAlign w:val="top"/>
            <w:tcBorders>
              <w:left w:val="nil"/>
              <w:right w:val="nil"/>
            </w:tcBorders>
          </w:tcPr>
          <w:p>
            <w:pPr>
              <w:rPr>
                <w:rFonts w:ascii="Arial"/>
                <w:sz w:val="21"/>
              </w:rPr>
            </w:pPr>
            <w:r/>
          </w:p>
        </w:tc>
        <w:tc>
          <w:tcPr>
            <w:tcW w:w="2972" w:type="dxa"/>
            <w:vAlign w:val="top"/>
            <w:tcBorders>
              <w:left w:val="nil"/>
            </w:tcBorders>
          </w:tcPr>
          <w:p>
            <w:pPr>
              <w:pStyle w:val="TableText"/>
              <w:ind w:left="224" w:right="321" w:firstLine="9"/>
              <w:spacing w:before="11" w:line="226" w:lineRule="auto"/>
              <w:rPr>
                <w:sz w:val="20"/>
                <w:szCs w:val="20"/>
              </w:rPr>
            </w:pPr>
            <w:r>
              <w:rPr>
                <w:sz w:val="20"/>
                <w:szCs w:val="20"/>
              </w:rPr>
              <w:t>收集某一固定时间段的尿样</w:t>
            </w:r>
            <w:r>
              <w:rPr>
                <w:sz w:val="20"/>
                <w:szCs w:val="20"/>
                <w:spacing w:val="9"/>
              </w:rPr>
              <w:t xml:space="preserve"> </w:t>
            </w:r>
            <w:r>
              <w:rPr>
                <w:sz w:val="20"/>
                <w:szCs w:val="20"/>
              </w:rPr>
              <w:t>钙</w:t>
            </w:r>
          </w:p>
          <w:p>
            <w:pPr>
              <w:pStyle w:val="TableText"/>
              <w:ind w:left="245"/>
              <w:spacing w:before="1" w:line="203" w:lineRule="auto"/>
              <w:rPr>
                <w:sz w:val="20"/>
                <w:szCs w:val="20"/>
              </w:rPr>
            </w:pPr>
            <w:r>
              <w:rPr>
                <w:sz w:val="20"/>
                <w:szCs w:val="20"/>
                <w:spacing w:val="-3"/>
              </w:rPr>
              <w:t>草酸</w:t>
            </w:r>
          </w:p>
          <w:p>
            <w:pPr>
              <w:pStyle w:val="TableText"/>
              <w:ind w:left="244" w:right="2113" w:hanging="20"/>
              <w:spacing w:before="1" w:line="227" w:lineRule="auto"/>
              <w:rPr>
                <w:sz w:val="20"/>
                <w:szCs w:val="20"/>
              </w:rPr>
            </w:pPr>
            <w:r>
              <w:rPr>
                <w:sz w:val="20"/>
                <w:szCs w:val="20"/>
                <w:spacing w:val="-4"/>
              </w:rPr>
              <w:t>枸橼酸</w:t>
            </w:r>
            <w:r>
              <w:rPr>
                <w:sz w:val="20"/>
                <w:szCs w:val="20"/>
                <w:spacing w:val="1"/>
              </w:rPr>
              <w:t xml:space="preserve"> </w:t>
            </w:r>
            <w:r>
              <w:rPr>
                <w:sz w:val="20"/>
                <w:szCs w:val="20"/>
                <w:spacing w:val="-8"/>
              </w:rPr>
              <w:t>尿</w:t>
            </w:r>
            <w:r>
              <w:rPr>
                <w:sz w:val="20"/>
                <w:szCs w:val="20"/>
                <w:spacing w:val="12"/>
              </w:rPr>
              <w:t xml:space="preserve">  </w:t>
            </w:r>
            <w:r>
              <w:rPr>
                <w:sz w:val="20"/>
                <w:szCs w:val="20"/>
                <w:spacing w:val="-8"/>
              </w:rPr>
              <w:t>酸</w:t>
            </w:r>
            <w:r>
              <w:rPr>
                <w:sz w:val="20"/>
                <w:szCs w:val="20"/>
              </w:rPr>
              <w:t xml:space="preserve"> </w:t>
            </w:r>
            <w:r>
              <w:rPr>
                <w:sz w:val="20"/>
                <w:szCs w:val="20"/>
                <w:spacing w:val="-2"/>
              </w:rPr>
              <w:t>镁2.4</w:t>
            </w:r>
          </w:p>
          <w:p>
            <w:pPr>
              <w:pStyle w:val="TableText"/>
              <w:ind w:left="224" w:right="2039" w:firstLine="9"/>
              <w:spacing w:before="2" w:line="221" w:lineRule="auto"/>
              <w:rPr>
                <w:sz w:val="20"/>
                <w:szCs w:val="20"/>
              </w:rPr>
            </w:pPr>
            <w:r>
              <w:rPr>
                <w:sz w:val="20"/>
                <w:szCs w:val="20"/>
                <w:spacing w:val="-2"/>
              </w:rPr>
              <w:t>磷酸2.4</w:t>
            </w:r>
            <w:r>
              <w:rPr>
                <w:sz w:val="20"/>
                <w:szCs w:val="20"/>
                <w:spacing w:val="1"/>
              </w:rPr>
              <w:t xml:space="preserve"> </w:t>
            </w:r>
            <w:r>
              <w:rPr>
                <w:sz w:val="20"/>
                <w:szCs w:val="20"/>
                <w:spacing w:val="-9"/>
              </w:rPr>
              <w:t>尿</w:t>
            </w:r>
            <w:r>
              <w:rPr>
                <w:sz w:val="20"/>
                <w:szCs w:val="20"/>
                <w:spacing w:val="18"/>
              </w:rPr>
              <w:t xml:space="preserve">  </w:t>
            </w:r>
            <w:r>
              <w:rPr>
                <w:sz w:val="20"/>
                <w:szCs w:val="20"/>
                <w:spacing w:val="-9"/>
              </w:rPr>
              <w:t>素</w:t>
            </w:r>
            <w:r>
              <w:rPr>
                <w:sz w:val="20"/>
                <w:szCs w:val="20"/>
              </w:rPr>
              <w:t xml:space="preserve">  </w:t>
            </w:r>
            <w:r>
              <w:rPr>
                <w:sz w:val="20"/>
                <w:szCs w:val="20"/>
                <w:spacing w:val="1"/>
              </w:rPr>
              <w:t>钠</w:t>
            </w:r>
            <w:r>
              <w:rPr>
                <w:sz w:val="20"/>
                <w:szCs w:val="20"/>
                <w:spacing w:val="13"/>
              </w:rPr>
              <w:t xml:space="preserve">  </w:t>
            </w:r>
            <w:r>
              <w:rPr>
                <w:sz w:val="20"/>
                <w:szCs w:val="20"/>
                <w:spacing w:val="1"/>
              </w:rPr>
              <w:t>?</w:t>
            </w:r>
          </w:p>
          <w:p>
            <w:pPr>
              <w:pStyle w:val="TableText"/>
              <w:ind w:left="224"/>
              <w:spacing w:line="220" w:lineRule="auto"/>
              <w:rPr>
                <w:sz w:val="20"/>
                <w:szCs w:val="20"/>
              </w:rPr>
            </w:pPr>
            <w:r>
              <w:rPr>
                <w:sz w:val="20"/>
                <w:szCs w:val="20"/>
                <w:spacing w:val="-4"/>
              </w:rPr>
              <w:t>钾</w:t>
            </w:r>
            <w:r>
              <w:rPr>
                <w:sz w:val="20"/>
                <w:szCs w:val="20"/>
                <w:spacing w:val="10"/>
              </w:rPr>
              <w:t xml:space="preserve">   </w:t>
            </w:r>
            <w:r>
              <w:rPr>
                <w:sz w:val="20"/>
                <w:szCs w:val="20"/>
                <w:spacing w:val="-4"/>
              </w:rPr>
              <w:t>3</w:t>
            </w:r>
          </w:p>
          <w:p>
            <w:pPr>
              <w:pStyle w:val="TableText"/>
              <w:ind w:left="245" w:right="2328"/>
              <w:spacing w:before="41" w:line="205" w:lineRule="auto"/>
              <w:rPr>
                <w:sz w:val="20"/>
                <w:szCs w:val="20"/>
              </w:rPr>
            </w:pPr>
            <w:r>
              <w:rPr>
                <w:sz w:val="20"/>
                <w:szCs w:val="20"/>
                <w:spacing w:val="-4"/>
              </w:rPr>
              <w:t>肌酐</w:t>
            </w:r>
            <w:r>
              <w:rPr>
                <w:sz w:val="20"/>
                <w:szCs w:val="20"/>
              </w:rPr>
              <w:t xml:space="preserve"> </w:t>
            </w:r>
            <w:r>
              <w:rPr>
                <w:sz w:val="20"/>
                <w:szCs w:val="20"/>
                <w:spacing w:val="-4"/>
              </w:rPr>
              <w:t>尿量</w:t>
            </w:r>
          </w:p>
        </w:tc>
      </w:tr>
      <w:tr>
        <w:trPr>
          <w:trHeight w:val="2671" w:hRule="atLeast"/>
        </w:trPr>
        <w:tc>
          <w:tcPr>
            <w:tcW w:w="6667" w:type="dxa"/>
            <w:vAlign w:val="top"/>
            <w:gridSpan w:val="3"/>
          </w:tcPr>
          <w:p>
            <w:pPr>
              <w:pStyle w:val="TableText"/>
              <w:ind w:left="765" w:firstLine="9"/>
              <w:spacing w:before="23" w:line="217" w:lineRule="auto"/>
              <w:rPr>
                <w:sz w:val="20"/>
                <w:szCs w:val="20"/>
              </w:rPr>
            </w:pPr>
            <w:r>
              <w:rPr>
                <w:sz w:val="20"/>
                <w:szCs w:val="20"/>
                <w:spacing w:val="-1"/>
              </w:rPr>
              <w:t>检耐白蛋白+钙以正白蛋白绣合钙对血钙效度的影物，成者直接险测</w:t>
            </w:r>
            <w:r>
              <w:rPr>
                <w:sz w:val="20"/>
                <w:szCs w:val="20"/>
                <w:spacing w:val="11"/>
              </w:rPr>
              <w:t xml:space="preserve"> </w:t>
            </w:r>
            <w:r>
              <w:rPr>
                <w:sz w:val="20"/>
                <w:szCs w:val="20"/>
                <w:spacing w:val="-1"/>
              </w:rPr>
              <w:t>廖子型钙放度。</w:t>
            </w:r>
          </w:p>
          <w:p>
            <w:pPr>
              <w:pStyle w:val="TableText"/>
              <w:ind w:left="794"/>
              <w:spacing w:before="20" w:line="194" w:lineRule="auto"/>
              <w:rPr>
                <w:sz w:val="20"/>
                <w:szCs w:val="20"/>
              </w:rPr>
            </w:pPr>
            <w:r>
              <w:pict>
                <v:shape id="_x0000_s28" style="position:absolute;margin-left:5.74744pt;margin-top:1.04184pt;mso-position-vertical-relative:text;mso-position-horizontal-relative:text;width:24.7pt;height:77pt;z-index:251712512;" filled="false" stroked="false" type="#_x0000_t202">
                  <v:fill on="false"/>
                  <v:stroke on="false"/>
                  <v:path/>
                  <v:imagedata o:title=""/>
                  <o:lock v:ext="edit" aspectratio="false"/>
                  <v:textbox inset="0mm,0mm,0mm,0mm">
                    <w:txbxContent>
                      <w:p>
                        <w:pPr>
                          <w:pStyle w:val="TableText"/>
                          <w:ind w:left="40"/>
                          <w:spacing w:before="20" w:line="203" w:lineRule="auto"/>
                          <w:rPr>
                            <w:sz w:val="20"/>
                            <w:szCs w:val="20"/>
                          </w:rPr>
                        </w:pPr>
                        <w:r>
                          <w:rPr>
                            <w:sz w:val="20"/>
                            <w:szCs w:val="20"/>
                          </w:rPr>
                          <w:t>2</w:t>
                        </w:r>
                      </w:p>
                      <w:p>
                        <w:pPr>
                          <w:pStyle w:val="TableText"/>
                          <w:ind w:left="40"/>
                          <w:spacing w:line="239" w:lineRule="auto"/>
                          <w:rPr>
                            <w:sz w:val="20"/>
                            <w:szCs w:val="20"/>
                          </w:rPr>
                        </w:pPr>
                        <w:r>
                          <w:rPr>
                            <w:sz w:val="20"/>
                            <w:szCs w:val="20"/>
                          </w:rPr>
                          <w:t>3</w:t>
                        </w:r>
                      </w:p>
                      <w:p>
                        <w:pPr>
                          <w:pStyle w:val="TableText"/>
                          <w:ind w:left="40"/>
                          <w:spacing w:before="270" w:line="241" w:lineRule="auto"/>
                          <w:rPr>
                            <w:sz w:val="20"/>
                            <w:szCs w:val="20"/>
                          </w:rPr>
                        </w:pPr>
                        <w:r>
                          <w:rPr>
                            <w:sz w:val="20"/>
                            <w:szCs w:val="20"/>
                          </w:rPr>
                          <w:t>4</w:t>
                        </w:r>
                      </w:p>
                      <w:p>
                        <w:pPr>
                          <w:pStyle w:val="TableText"/>
                          <w:ind w:left="20" w:right="20" w:firstLine="360"/>
                          <w:spacing w:before="100" w:line="179" w:lineRule="auto"/>
                          <w:rPr>
                            <w:sz w:val="20"/>
                            <w:szCs w:val="20"/>
                          </w:rPr>
                        </w:pPr>
                        <w:r>
                          <w:rPr>
                            <w:sz w:val="20"/>
                            <w:szCs w:val="20"/>
                            <w:spacing w:val="-7"/>
                          </w:rPr>
                          <w:t>C</w:t>
                        </w:r>
                        <w:r>
                          <w:rPr>
                            <w:sz w:val="20"/>
                            <w:szCs w:val="20"/>
                          </w:rPr>
                          <w:t xml:space="preserve"> </w:t>
                        </w:r>
                        <w:r>
                          <w:rPr>
                            <w:sz w:val="20"/>
                            <w:szCs w:val="20"/>
                          </w:rPr>
                          <w:t>5</w:t>
                        </w:r>
                      </w:p>
                    </w:txbxContent>
                  </v:textbox>
                </v:shape>
              </w:pict>
            </w:r>
            <w:r>
              <w:rPr>
                <w:sz w:val="20"/>
                <w:szCs w:val="20"/>
                <w:spacing w:val="9"/>
              </w:rPr>
              <w:t>可供透择的分析.</w:t>
            </w:r>
          </w:p>
          <w:p>
            <w:pPr>
              <w:pStyle w:val="TableText"/>
              <w:ind w:left="794" w:right="11" w:hanging="9"/>
              <w:spacing w:line="230" w:lineRule="auto"/>
              <w:rPr>
                <w:sz w:val="20"/>
                <w:szCs w:val="20"/>
              </w:rPr>
            </w:pPr>
            <w:r>
              <w:rPr>
                <w:sz w:val="20"/>
                <w:szCs w:val="20"/>
                <w:spacing w:val="-4"/>
              </w:rPr>
              <w:t>可透择24小时尿，16小叶尿+8小时尿或任何其鸠</w:t>
            </w:r>
            <w:r>
              <w:rPr>
                <w:sz w:val="20"/>
                <w:szCs w:val="20"/>
                <w:spacing w:val="-5"/>
              </w:rPr>
              <w:t>时间收案的尿弹正常</w:t>
            </w:r>
            <w:r>
              <w:rPr>
                <w:sz w:val="20"/>
                <w:szCs w:val="20"/>
              </w:rPr>
              <w:t xml:space="preserve"> </w:t>
            </w:r>
            <w:r>
              <w:rPr>
                <w:sz w:val="20"/>
                <w:szCs w:val="20"/>
              </w:rPr>
              <w:t>的修度欢露      新尿伴可族族相关变巨使局</w:t>
            </w:r>
          </w:p>
          <w:p>
            <w:pPr>
              <w:pStyle w:val="TableText"/>
              <w:ind w:left="754" w:right="13"/>
              <w:spacing w:line="234" w:lineRule="auto"/>
              <w:rPr>
                <w:sz w:val="20"/>
                <w:szCs w:val="20"/>
              </w:rPr>
            </w:pPr>
            <w:r>
              <w:rPr>
                <w:sz w:val="20"/>
                <w:szCs w:val="20"/>
                <w:spacing w:val="-6"/>
              </w:rPr>
              <w:t>必频测定镁和磷酸以邱估计銀草酸师(CaOx)和磷酸钙(CaP)的过的和状</w:t>
            </w:r>
            <w:r>
              <w:rPr>
                <w:sz w:val="20"/>
                <w:szCs w:val="20"/>
                <w:spacing w:val="3"/>
              </w:rPr>
              <w:t xml:space="preserve"> </w:t>
            </w:r>
            <w:r>
              <w:rPr>
                <w:sz w:val="20"/>
                <w:szCs w:val="20"/>
                <w:spacing w:val="-1"/>
              </w:rPr>
              <w:t>态参数，如AP(CaO)指激和AP(CaP)指濒</w:t>
            </w:r>
          </w:p>
          <w:p>
            <w:pPr>
              <w:pStyle w:val="TableText"/>
              <w:ind w:left="754"/>
              <w:spacing w:before="2" w:line="213" w:lineRule="auto"/>
              <w:rPr>
                <w:sz w:val="20"/>
                <w:szCs w:val="20"/>
              </w:rPr>
            </w:pPr>
            <w:r>
              <w:rPr>
                <w:sz w:val="20"/>
                <w:szCs w:val="20"/>
              </w:rPr>
              <w:t>尿系，磷酸盐，够，御的测定历干邱估患者的饮食习</w:t>
            </w:r>
            <w:r>
              <w:rPr>
                <w:sz w:val="20"/>
                <w:szCs w:val="20"/>
                <w:spacing w:val="-1"/>
              </w:rPr>
              <w:t>惯。</w:t>
            </w:r>
          </w:p>
          <w:p>
            <w:pPr>
              <w:pStyle w:val="TableText"/>
              <w:ind w:left="65" w:right="14" w:firstLine="9"/>
              <w:spacing w:before="2" w:line="214" w:lineRule="auto"/>
              <w:jc w:val="both"/>
              <w:rPr>
                <w:sz w:val="20"/>
                <w:szCs w:val="20"/>
              </w:rPr>
            </w:pPr>
            <w:r>
              <w:rPr>
                <w:sz w:val="20"/>
                <w:szCs w:val="20"/>
                <w:spacing w:val="-1"/>
              </w:rPr>
              <w:t>由干远淀在酸溶瘦中，尿酸必须得在东酸化的尿样中测定，成酸化后两化解</w:t>
            </w:r>
            <w:r>
              <w:rPr>
                <w:sz w:val="20"/>
                <w:szCs w:val="20"/>
              </w:rPr>
              <w:t xml:space="preserve"> </w:t>
            </w:r>
            <w:r>
              <w:rPr>
                <w:sz w:val="20"/>
                <w:szCs w:val="20"/>
                <w:spacing w:val="-3"/>
              </w:rPr>
              <w:t>床酸后测定。当一份16小叶的尿样已经加酸</w:t>
            </w:r>
            <w:r>
              <w:rPr>
                <w:sz w:val="20"/>
                <w:szCs w:val="20"/>
                <w:spacing w:val="-4"/>
              </w:rPr>
              <w:t>收集，24小防中余下的8小时可收</w:t>
            </w:r>
            <w:r>
              <w:rPr>
                <w:sz w:val="20"/>
                <w:szCs w:val="20"/>
              </w:rPr>
              <w:t xml:space="preserve"> </w:t>
            </w:r>
            <w:r>
              <w:rPr>
                <w:sz w:val="20"/>
                <w:szCs w:val="20"/>
              </w:rPr>
              <w:t>集加叠叙化的的尿样以用来分忻尿酸。</w:t>
            </w:r>
          </w:p>
        </w:tc>
      </w:tr>
    </w:tbl>
    <w:p>
      <w:pPr>
        <w:spacing w:line="394" w:lineRule="auto"/>
        <w:rPr>
          <w:rFonts w:ascii="Arial"/>
          <w:sz w:val="21"/>
        </w:rPr>
      </w:pPr>
      <w:r/>
    </w:p>
    <w:p>
      <w:pPr>
        <w:ind w:left="4879"/>
        <w:spacing w:before="5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6"/>
        </w:rPr>
        <w:t>—189—</w:t>
      </w:r>
    </w:p>
    <w:p>
      <w:pPr>
        <w:spacing w:line="389"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House.Allrights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reserved.   </w:t>
      </w:r>
      <w:hyperlink w:history="true" r:id="rId4">
        <w:r>
          <w:rPr>
            <w:rFonts w:ascii="Times New Roman" w:hAnsi="Times New Roman" w:eastAsia="Times New Roman" w:cs="Times New Roman"/>
            <w:sz w:val="21"/>
            <w:szCs w:val="21"/>
          </w:rPr>
          <w:t>http://www.c</w:t>
        </w:r>
        <w:r>
          <w:rPr>
            <w:rFonts w:ascii="Times New Roman" w:hAnsi="Times New Roman" w:eastAsia="Times New Roman" w:cs="Times New Roman"/>
            <w:sz w:val="21"/>
            <w:szCs w:val="21"/>
            <w:spacing w:val="-1"/>
          </w:rPr>
          <w:t>nki.net</w:t>
        </w:r>
      </w:hyperlink>
    </w:p>
    <w:p>
      <w:pPr>
        <w:spacing w:line="192" w:lineRule="auto"/>
        <w:sectPr>
          <w:pgSz w:w="11850" w:h="16140"/>
          <w:pgMar w:top="400" w:right="1588" w:bottom="0" w:left="400" w:header="0" w:footer="0" w:gutter="0"/>
        </w:sectPr>
        <w:rPr>
          <w:rFonts w:ascii="Times New Roman" w:hAnsi="Times New Roman" w:eastAsia="Times New Roman" w:cs="Times New Roman"/>
          <w:sz w:val="21"/>
          <w:szCs w:val="21"/>
        </w:rPr>
      </w:pPr>
    </w:p>
    <w:p>
      <w:pPr>
        <w:ind w:left="841"/>
        <w:spacing w:before="190" w:line="363" w:lineRule="exact"/>
        <w:rPr>
          <w:rFonts w:ascii="STXingkai" w:hAnsi="STXingkai" w:eastAsia="STXingkai" w:cs="STXingkai"/>
          <w:sz w:val="26"/>
          <w:szCs w:val="26"/>
        </w:rPr>
      </w:pPr>
      <w:r>
        <w:drawing>
          <wp:anchor distT="0" distB="0" distL="0" distR="0" simplePos="0" relativeHeight="251713536" behindDoc="0" locked="0" layoutInCell="1" allowOverlap="1">
            <wp:simplePos x="0" y="0"/>
            <wp:positionH relativeFrom="column">
              <wp:posOffset>253959</wp:posOffset>
            </wp:positionH>
            <wp:positionV relativeFrom="paragraph">
              <wp:posOffset>293006</wp:posOffset>
            </wp:positionV>
            <wp:extent cx="1555742" cy="8255"/>
            <wp:effectExtent l="0" t="0" r="0" b="0"/>
            <wp:wrapNone/>
            <wp:docPr id="54" name="IM 54"/>
            <wp:cNvGraphicFramePr/>
            <a:graphic>
              <a:graphicData uri="http://schemas.openxmlformats.org/drawingml/2006/picture">
                <pic:pic>
                  <pic:nvPicPr>
                    <pic:cNvPr id="54" name="IM 54"/>
                    <pic:cNvPicPr/>
                  </pic:nvPicPr>
                  <pic:blipFill>
                    <a:blip r:embed="rId58"/>
                    <a:stretch>
                      <a:fillRect/>
                    </a:stretch>
                  </pic:blipFill>
                  <pic:spPr>
                    <a:xfrm rot="0">
                      <a:off x="0" y="0"/>
                      <a:ext cx="1555742" cy="8255"/>
                    </a:xfrm>
                    <a:prstGeom prst="rect">
                      <a:avLst/>
                    </a:prstGeom>
                  </pic:spPr>
                </pic:pic>
              </a:graphicData>
            </a:graphic>
          </wp:anchor>
        </w:drawing>
      </w:r>
      <w:r>
        <w:drawing>
          <wp:anchor distT="0" distB="0" distL="0" distR="0" simplePos="0" relativeHeight="251714560" behindDoc="0" locked="0" layoutInCell="1" allowOverlap="1">
            <wp:simplePos x="0" y="0"/>
            <wp:positionH relativeFrom="column">
              <wp:posOffset>1777947</wp:posOffset>
            </wp:positionH>
            <wp:positionV relativeFrom="paragraph">
              <wp:posOffset>203203</wp:posOffset>
            </wp:positionV>
            <wp:extent cx="215960" cy="209590"/>
            <wp:effectExtent l="0" t="0" r="0" b="0"/>
            <wp:wrapNone/>
            <wp:docPr id="56" name="IM 56"/>
            <wp:cNvGraphicFramePr/>
            <a:graphic>
              <a:graphicData uri="http://schemas.openxmlformats.org/drawingml/2006/picture">
                <pic:pic>
                  <pic:nvPicPr>
                    <pic:cNvPr id="56" name="IM 56"/>
                    <pic:cNvPicPr/>
                  </pic:nvPicPr>
                  <pic:blipFill>
                    <a:blip r:embed="rId59"/>
                    <a:stretch>
                      <a:fillRect/>
                    </a:stretch>
                  </pic:blipFill>
                  <pic:spPr>
                    <a:xfrm rot="0">
                      <a:off x="0" y="0"/>
                      <a:ext cx="215960" cy="209590"/>
                    </a:xfrm>
                    <a:prstGeom prst="rect">
                      <a:avLst/>
                    </a:prstGeom>
                  </pic:spPr>
                </pic:pic>
              </a:graphicData>
            </a:graphic>
          </wp:anchor>
        </w:drawing>
      </w:r>
      <w:r>
        <w:rPr>
          <w:rFonts w:ascii="STXingkai" w:hAnsi="STXingkai" w:eastAsia="STXingkai" w:cs="STXingkai"/>
          <w:sz w:val="26"/>
          <w:szCs w:val="26"/>
          <w:b/>
          <w:bCs/>
          <w:spacing w:val="-33"/>
          <w:position w:val="3"/>
        </w:rPr>
        <w:t>附</w:t>
      </w:r>
      <w:r>
        <w:rPr>
          <w:rFonts w:ascii="STXingkai" w:hAnsi="STXingkai" w:eastAsia="STXingkai" w:cs="STXingkai"/>
          <w:sz w:val="26"/>
          <w:szCs w:val="26"/>
          <w:spacing w:val="27"/>
          <w:w w:val="101"/>
          <w:position w:val="3"/>
        </w:rPr>
        <w:t xml:space="preserve">  </w:t>
      </w:r>
      <w:r>
        <w:rPr>
          <w:rFonts w:ascii="STXingkai" w:hAnsi="STXingkai" w:eastAsia="STXingkai" w:cs="STXingkai"/>
          <w:sz w:val="26"/>
          <w:szCs w:val="26"/>
          <w:b/>
          <w:bCs/>
          <w:spacing w:val="-33"/>
          <w:position w:val="3"/>
        </w:rPr>
        <w:t>录</w:t>
      </w:r>
      <w:r>
        <w:rPr>
          <w:rFonts w:ascii="STXingkai" w:hAnsi="STXingkai" w:eastAsia="STXingkai" w:cs="STXingkai"/>
          <w:sz w:val="26"/>
          <w:szCs w:val="26"/>
          <w:spacing w:val="19"/>
          <w:position w:val="3"/>
        </w:rPr>
        <w:t xml:space="preserve">   </w:t>
      </w:r>
      <w:r>
        <w:rPr>
          <w:rFonts w:ascii="STXingkai" w:hAnsi="STXingkai" w:eastAsia="STXingkai" w:cs="STXingkai"/>
          <w:sz w:val="26"/>
          <w:szCs w:val="26"/>
          <w:b/>
          <w:bCs/>
          <w:spacing w:val="-33"/>
          <w:position w:val="3"/>
        </w:rPr>
        <w:t>·</w:t>
      </w:r>
      <w:r>
        <w:rPr>
          <w:rFonts w:ascii="STXingkai" w:hAnsi="STXingkai" w:eastAsia="STXingkai" w:cs="STXingkai"/>
          <w:sz w:val="26"/>
          <w:szCs w:val="26"/>
          <w:spacing w:val="-33"/>
          <w:position w:val="3"/>
        </w:rPr>
        <w:t xml:space="preserve">   </w:t>
      </w:r>
      <w:r>
        <w:rPr>
          <w:rFonts w:ascii="STXingkai" w:hAnsi="STXingkai" w:eastAsia="STXingkai" w:cs="STXingkai"/>
          <w:sz w:val="26"/>
          <w:szCs w:val="26"/>
          <w:b/>
          <w:bCs/>
          <w:spacing w:val="-33"/>
          <w:position w:val="3"/>
        </w:rPr>
        <w:t>指</w:t>
      </w:r>
      <w:r>
        <w:rPr>
          <w:rFonts w:ascii="STXingkai" w:hAnsi="STXingkai" w:eastAsia="STXingkai" w:cs="STXingkai"/>
          <w:sz w:val="26"/>
          <w:szCs w:val="26"/>
          <w:spacing w:val="22"/>
          <w:position w:val="3"/>
        </w:rPr>
        <w:t xml:space="preserve">  </w:t>
      </w:r>
      <w:r>
        <w:rPr>
          <w:rFonts w:ascii="STXingkai" w:hAnsi="STXingkai" w:eastAsia="STXingkai" w:cs="STXingkai"/>
          <w:sz w:val="26"/>
          <w:szCs w:val="26"/>
          <w:b/>
          <w:bCs/>
          <w:spacing w:val="-33"/>
          <w:position w:val="3"/>
        </w:rPr>
        <w:t>あ</w:t>
      </w:r>
    </w:p>
    <w:p>
      <w:pPr>
        <w:pStyle w:val="BodyText"/>
        <w:ind w:left="912"/>
        <w:spacing w:before="300" w:line="218" w:lineRule="auto"/>
        <w:outlineLvl w:val="4"/>
        <w:rPr/>
      </w:pPr>
      <w:r>
        <w:rPr>
          <w:b/>
          <w:bCs/>
          <w:spacing w:val="-4"/>
        </w:rPr>
        <w:t>3.3.3对检查项目的评价</w:t>
      </w:r>
    </w:p>
    <w:p>
      <w:pPr>
        <w:pStyle w:val="BodyText"/>
        <w:ind w:left="399" w:right="63" w:firstLine="410"/>
        <w:spacing w:before="66" w:line="293" w:lineRule="auto"/>
        <w:jc w:val="both"/>
        <w:rPr/>
      </w:pPr>
      <w:r>
        <w:rPr>
          <w:spacing w:val="1"/>
        </w:rPr>
        <w:t>测定血清/血浆钙是为了诊断甲状旁腺功能亢进(</w:t>
      </w:r>
      <w:r>
        <w:rPr/>
        <w:t>HPT</w:t>
      </w:r>
      <w:r>
        <w:rPr>
          <w:spacing w:val="1"/>
        </w:rPr>
        <w:t>)</w:t>
      </w:r>
      <w:r>
        <w:rPr>
          <w:spacing w:val="30"/>
        </w:rPr>
        <w:t xml:space="preserve">  </w:t>
      </w:r>
      <w:r>
        <w:rPr>
          <w:spacing w:val="1"/>
        </w:rPr>
        <w:t>或其他与高钙血症有关的疾病。若血钙浓度</w:t>
      </w:r>
      <w:r>
        <w:rPr/>
        <w:t xml:space="preserve"> </w:t>
      </w:r>
      <w:r>
        <w:rPr>
          <w:spacing w:val="5"/>
        </w:rPr>
        <w:t>高(&gt;2</w:t>
      </w:r>
      <w:r>
        <w:rPr>
          <w:spacing w:val="-57"/>
        </w:rPr>
        <w:t xml:space="preserve"> </w:t>
      </w:r>
      <w:r>
        <w:rPr>
          <w:spacing w:val="5"/>
        </w:rPr>
        <w:t>.</w:t>
      </w:r>
      <w:r>
        <w:rPr>
          <w:spacing w:val="-61"/>
        </w:rPr>
        <w:t xml:space="preserve"> </w:t>
      </w:r>
      <w:r>
        <w:rPr>
          <w:spacing w:val="5"/>
        </w:rPr>
        <w:t>60</w:t>
      </w:r>
      <w:r>
        <w:rPr>
          <w:rFonts w:ascii="Times New Roman" w:hAnsi="Times New Roman" w:eastAsia="Times New Roman" w:cs="Times New Roman"/>
        </w:rPr>
        <w:t>mml</w:t>
      </w:r>
      <w:r>
        <w:rPr>
          <w:rFonts w:ascii="Times New Roman" w:hAnsi="Times New Roman" w:eastAsia="Times New Roman" w:cs="Times New Roman"/>
          <w:spacing w:val="5"/>
        </w:rPr>
        <w:t>/L),     </w:t>
      </w:r>
      <w:r>
        <w:rPr>
          <w:spacing w:val="5"/>
        </w:rPr>
        <w:t>应通过复查血钙、测定甲状旁腺激素水平来确诊或排除甲状旁腺功</w:t>
      </w:r>
      <w:r>
        <w:rPr>
          <w:spacing w:val="4"/>
        </w:rPr>
        <w:t>能亢进的诊断</w:t>
      </w:r>
      <w:r>
        <w:rPr/>
        <w:t xml:space="preserve"> </w:t>
      </w:r>
      <w:r>
        <w:rPr>
          <w:spacing w:val="-8"/>
        </w:rPr>
        <w:t>[19-24]。</w:t>
      </w:r>
    </w:p>
    <w:p>
      <w:pPr>
        <w:pStyle w:val="BodyText"/>
        <w:ind w:left="399" w:right="67" w:firstLine="410"/>
        <w:spacing w:line="280" w:lineRule="auto"/>
        <w:rPr/>
      </w:pPr>
      <w:r>
        <w:rPr>
          <w:spacing w:val="4"/>
        </w:rPr>
        <w:t>对未分析结石成分的患者，血清高尿酸加上可透</w:t>
      </w:r>
      <w:r>
        <w:rPr>
          <w:rFonts w:ascii="Times New Roman" w:hAnsi="Times New Roman" w:eastAsia="Times New Roman" w:cs="Times New Roman"/>
          <w:spacing w:val="4"/>
        </w:rPr>
        <w:t>X</w:t>
      </w:r>
      <w:r>
        <w:rPr>
          <w:spacing w:val="4"/>
        </w:rPr>
        <w:t>线的结石</w:t>
      </w:r>
      <w:r>
        <w:rPr>
          <w:spacing w:val="3"/>
        </w:rPr>
        <w:t>应考虑尿酸结石。这里要强调的是，尿</w:t>
      </w:r>
      <w:r>
        <w:rPr/>
        <w:t xml:space="preserve"> </w:t>
      </w:r>
      <w:r>
        <w:rPr>
          <w:spacing w:val="4"/>
        </w:rPr>
        <w:t>酸结石在平片</w:t>
      </w:r>
      <w:r>
        <w:rPr>
          <w:rFonts w:ascii="Times New Roman" w:hAnsi="Times New Roman" w:eastAsia="Times New Roman" w:cs="Times New Roman"/>
          <w:spacing w:val="4"/>
        </w:rPr>
        <w:t>(</w:t>
      </w:r>
      <w:r>
        <w:rPr>
          <w:rFonts w:ascii="Times New Roman" w:hAnsi="Times New Roman" w:eastAsia="Times New Roman" w:cs="Times New Roman"/>
        </w:rPr>
        <w:t>KUB</w:t>
      </w:r>
      <w:r>
        <w:rPr>
          <w:rFonts w:ascii="Times New Roman" w:hAnsi="Times New Roman" w:eastAsia="Times New Roman" w:cs="Times New Roman"/>
          <w:spacing w:val="4"/>
        </w:rPr>
        <w:t>)   </w:t>
      </w:r>
      <w:r>
        <w:rPr>
          <w:spacing w:val="4"/>
        </w:rPr>
        <w:t>上不显影，但在</w:t>
      </w:r>
      <w:r>
        <w:rPr>
          <w:rFonts w:ascii="Times New Roman" w:hAnsi="Times New Roman" w:eastAsia="Times New Roman" w:cs="Times New Roman"/>
        </w:rPr>
        <w:t>CT</w:t>
      </w:r>
      <w:r>
        <w:rPr>
          <w:spacing w:val="4"/>
        </w:rPr>
        <w:t>片上可以清楚的显示。</w:t>
      </w:r>
    </w:p>
    <w:p>
      <w:pPr>
        <w:pStyle w:val="BodyText"/>
        <w:ind w:left="399" w:right="79"/>
        <w:spacing w:line="331" w:lineRule="auto"/>
        <w:jc w:val="both"/>
        <w:rPr>
          <w:sz w:val="16"/>
          <w:szCs w:val="16"/>
        </w:rPr>
      </w:pPr>
      <w:r>
        <w:rPr>
          <w:spacing w:val="6"/>
        </w:rPr>
        <w:t>应该用禁食晨尿(或新鲜晨尿)测定尿</w:t>
      </w:r>
      <w:r>
        <w:rPr>
          <w:rFonts w:ascii="Times New Roman" w:hAnsi="Times New Roman" w:eastAsia="Times New Roman" w:cs="Times New Roman"/>
        </w:rPr>
        <w:t>pH</w:t>
      </w:r>
      <w:r>
        <w:rPr>
          <w:spacing w:val="6"/>
        </w:rPr>
        <w:t>值[25]。禁食晨尿</w:t>
      </w:r>
      <w:r>
        <w:rPr>
          <w:rFonts w:ascii="Times New Roman" w:hAnsi="Times New Roman" w:eastAsia="Times New Roman" w:cs="Times New Roman"/>
        </w:rPr>
        <w:t>pH</w:t>
      </w:r>
      <w:r>
        <w:rPr>
          <w:spacing w:val="6"/>
        </w:rPr>
        <w:t>高于5.8可考虑完全性或不完全性肾小管</w:t>
      </w:r>
      <w:r>
        <w:rPr>
          <w:spacing w:val="16"/>
        </w:rPr>
        <w:t xml:space="preserve"> </w:t>
      </w:r>
      <w:r>
        <w:rPr>
          <w:spacing w:val="3"/>
        </w:rPr>
        <w:t>酸中毒</w:t>
      </w:r>
      <w:r>
        <w:rPr>
          <w:spacing w:val="-57"/>
        </w:rPr>
        <w:t xml:space="preserve"> </w:t>
      </w:r>
      <w:r>
        <w:rPr>
          <w:rFonts w:ascii="Times New Roman" w:hAnsi="Times New Roman" w:eastAsia="Times New Roman" w:cs="Times New Roman"/>
          <w:spacing w:val="3"/>
        </w:rPr>
        <w:t>(</w:t>
      </w:r>
      <w:r>
        <w:rPr>
          <w:rFonts w:ascii="Times New Roman" w:hAnsi="Times New Roman" w:eastAsia="Times New Roman" w:cs="Times New Roman"/>
        </w:rPr>
        <w:t>RTA</w:t>
      </w:r>
      <w:r>
        <w:rPr>
          <w:rFonts w:ascii="Times New Roman" w:hAnsi="Times New Roman" w:eastAsia="Times New Roman" w:cs="Times New Roman"/>
          <w:spacing w:val="3"/>
        </w:rPr>
        <w:t>)[26]</w:t>
      </w:r>
      <w:r>
        <w:rPr>
          <w:rFonts w:ascii="Times New Roman" w:hAnsi="Times New Roman" w:eastAsia="Times New Roman" w:cs="Times New Roman"/>
          <w:spacing w:val="-23"/>
        </w:rPr>
        <w:t xml:space="preserve"> </w:t>
      </w:r>
      <w:r>
        <w:rPr>
          <w:spacing w:val="3"/>
        </w:rPr>
        <w:t>。  在同一份禁食晨尿或新鲜晨尿样本中，菌尿和胱氨酸尿可通过特定检查排</w:t>
      </w:r>
      <w:r>
        <w:rPr>
          <w:spacing w:val="2"/>
        </w:rPr>
        <w:t>除或确</w:t>
      </w:r>
      <w:r>
        <w:rPr/>
        <w:t xml:space="preserve"> </w:t>
      </w:r>
      <w:r>
        <w:rPr>
          <w:sz w:val="16"/>
          <w:szCs w:val="16"/>
          <w:spacing w:val="13"/>
        </w:rPr>
        <w:t>诊[27]。</w:t>
      </w:r>
    </w:p>
    <w:p>
      <w:pPr>
        <w:pStyle w:val="BodyText"/>
        <w:spacing w:line="219" w:lineRule="auto"/>
        <w:jc w:val="right"/>
        <w:rPr/>
      </w:pPr>
      <w:r>
        <w:rPr>
          <w:b/>
          <w:bCs/>
        </w:rPr>
        <w:t>测定血清钾是为了获得对可疑的肾小管酸中毒的诊断的进一步的支持。低钾血症伴低枸橼</w:t>
      </w:r>
      <w:r>
        <w:rPr>
          <w:b/>
          <w:bCs/>
          <w:spacing w:val="-1"/>
        </w:rPr>
        <w:t>酸盐尿可</w:t>
      </w:r>
    </w:p>
    <w:p>
      <w:pPr>
        <w:pStyle w:val="BodyText"/>
        <w:ind w:left="399"/>
        <w:spacing w:before="92" w:line="219" w:lineRule="auto"/>
        <w:rPr/>
      </w:pPr>
      <w:r>
        <w:rPr>
          <w:spacing w:val="1"/>
        </w:rPr>
        <w:t>能是噻嗪类利尿剂治疗失败的一个原因。</w:t>
      </w:r>
    </w:p>
    <w:p>
      <w:pPr>
        <w:pStyle w:val="BodyText"/>
        <w:ind w:left="812"/>
        <w:spacing w:before="78" w:line="219" w:lineRule="auto"/>
        <w:rPr/>
      </w:pPr>
      <w:r>
        <w:rPr>
          <w:b/>
          <w:bCs/>
        </w:rPr>
        <w:t>建议收集两份尿样是依据观察到这种方法可增加尿液异常的检出率。不同的收集时间如2</w:t>
      </w:r>
      <w:r>
        <w:rPr>
          <w:b/>
          <w:bCs/>
          <w:spacing w:val="-1"/>
        </w:rPr>
        <w:t>4小时，16</w:t>
      </w:r>
    </w:p>
    <w:p>
      <w:pPr>
        <w:pStyle w:val="BodyText"/>
        <w:ind w:left="399"/>
        <w:spacing w:before="104" w:line="219" w:lineRule="auto"/>
        <w:rPr/>
      </w:pPr>
      <w:r>
        <w:rPr/>
        <w:t>小时，17小时，12小时，4小时或甚至新鲜尿样有利于提供一组正常值[4-7]。</w:t>
      </w:r>
    </w:p>
    <w:p>
      <w:pPr>
        <w:pStyle w:val="BodyText"/>
        <w:ind w:left="402" w:right="54" w:firstLine="410"/>
        <w:spacing w:before="59" w:line="344" w:lineRule="auto"/>
        <w:rPr>
          <w:sz w:val="16"/>
          <w:szCs w:val="16"/>
        </w:rPr>
      </w:pPr>
      <w:r>
        <w:rPr>
          <w:b/>
          <w:bCs/>
        </w:rPr>
        <w:t>必须强调的是用于分析草酸、枸橼酸、磷酸的尿液样本必须先酸化，最好用盐酸。必须酸化的理由</w:t>
      </w:r>
      <w:r>
        <w:rPr>
          <w:spacing w:val="12"/>
        </w:rPr>
        <w:t xml:space="preserve"> </w:t>
      </w:r>
      <w:r>
        <w:rPr>
          <w:sz w:val="16"/>
          <w:szCs w:val="16"/>
          <w:b/>
          <w:bCs/>
          <w:spacing w:val="-9"/>
        </w:rPr>
        <w:t>如</w:t>
      </w:r>
      <w:r>
        <w:rPr>
          <w:sz w:val="16"/>
          <w:szCs w:val="16"/>
          <w:spacing w:val="2"/>
        </w:rPr>
        <w:t xml:space="preserve"> </w:t>
      </w:r>
      <w:r>
        <w:rPr>
          <w:sz w:val="16"/>
          <w:szCs w:val="16"/>
          <w:b/>
          <w:bCs/>
          <w:spacing w:val="-9"/>
        </w:rPr>
        <w:t>下</w:t>
      </w:r>
      <w:r>
        <w:rPr>
          <w:sz w:val="16"/>
          <w:szCs w:val="16"/>
          <w:spacing w:val="-9"/>
        </w:rPr>
        <w:t xml:space="preserve"> </w:t>
      </w:r>
      <w:r>
        <w:rPr>
          <w:sz w:val="16"/>
          <w:szCs w:val="16"/>
          <w:b/>
          <w:bCs/>
          <w:spacing w:val="-9"/>
        </w:rPr>
        <w:t>：</w:t>
      </w:r>
    </w:p>
    <w:p>
      <w:pPr>
        <w:pStyle w:val="BodyText"/>
        <w:ind w:left="812"/>
        <w:spacing w:line="218" w:lineRule="auto"/>
        <w:rPr/>
      </w:pPr>
      <w:r>
        <w:rPr>
          <w:b/>
          <w:bCs/>
          <w:spacing w:val="-1"/>
        </w:rPr>
        <w:t>在尿样采集和保存阶段保持钙、草酸、磷酸处于溶解状态。</w:t>
      </w:r>
    </w:p>
    <w:p>
      <w:pPr>
        <w:pStyle w:val="BodyText"/>
        <w:ind w:left="812"/>
        <w:spacing w:before="73" w:line="219" w:lineRule="auto"/>
        <w:rPr/>
      </w:pPr>
      <w:r>
        <w:rPr>
          <w:b/>
          <w:bCs/>
          <w:spacing w:val="-1"/>
        </w:rPr>
        <w:t>预防尿样中细菌生长并改变尿液成份。</w:t>
      </w:r>
    </w:p>
    <w:p>
      <w:pPr>
        <w:pStyle w:val="BodyText"/>
        <w:ind w:left="812"/>
        <w:spacing w:before="68" w:line="216" w:lineRule="auto"/>
        <w:rPr/>
      </w:pPr>
      <w:r>
        <w:rPr>
          <w:b/>
          <w:bCs/>
          <w:spacing w:val="-5"/>
        </w:rPr>
        <w:t>预防体外维生素</w:t>
      </w:r>
      <w:r>
        <w:rPr>
          <w:rFonts w:ascii="Times New Roman" w:hAnsi="Times New Roman" w:eastAsia="Times New Roman" w:cs="Times New Roman"/>
          <w:b/>
          <w:bCs/>
          <w:spacing w:val="-5"/>
        </w:rPr>
        <w:t>C</w:t>
      </w:r>
      <w:r>
        <w:rPr>
          <w:b/>
          <w:bCs/>
          <w:spacing w:val="-5"/>
        </w:rPr>
        <w:t>对草酸的氧化作用[28</w:t>
      </w:r>
      <w:r>
        <w:rPr>
          <w:b/>
          <w:bCs/>
          <w:spacing w:val="-6"/>
        </w:rPr>
        <w:t>,29]。</w:t>
      </w:r>
    </w:p>
    <w:p>
      <w:pPr>
        <w:pStyle w:val="BodyText"/>
        <w:ind w:left="812"/>
        <w:spacing w:before="77" w:line="219" w:lineRule="auto"/>
        <w:rPr/>
      </w:pPr>
      <w:r>
        <w:rPr>
          <w:b/>
          <w:bCs/>
          <w:spacing w:val="-2"/>
        </w:rPr>
        <w:t>可在酸化的尿样中进行测定的成份如下：</w:t>
      </w:r>
    </w:p>
    <w:p>
      <w:pPr>
        <w:pStyle w:val="BodyText"/>
        <w:ind w:left="812"/>
        <w:spacing w:before="131" w:line="219" w:lineRule="auto"/>
        <w:rPr/>
      </w:pPr>
      <w:r>
        <w:rPr>
          <w:b/>
          <w:bCs/>
          <w:spacing w:val="-1"/>
        </w:rPr>
        <w:t>钙、草酸钙、枸橼酸、镁、磷酸、尿素、钠、氯化物和钾。</w:t>
      </w:r>
    </w:p>
    <w:p>
      <w:pPr>
        <w:pStyle w:val="BodyText"/>
        <w:ind w:left="399" w:right="66" w:firstLine="413"/>
        <w:spacing w:before="97" w:line="295" w:lineRule="auto"/>
        <w:rPr/>
      </w:pPr>
      <w:r>
        <w:rPr>
          <w:b/>
          <w:bCs/>
          <w:spacing w:val="7"/>
        </w:rPr>
        <w:t>尽管肌酐的浓度可能受到轻微的影响，但应用肌酐相关变量(同一份尿样),也可以得到正确的结</w:t>
      </w:r>
      <w:r>
        <w:rPr>
          <w:spacing w:val="14"/>
        </w:rPr>
        <w:t xml:space="preserve"> </w:t>
      </w:r>
      <w:r>
        <w:rPr>
          <w:spacing w:val="-2"/>
        </w:rPr>
        <w:t>论</w:t>
      </w:r>
      <w:r>
        <w:rPr>
          <w:spacing w:val="-39"/>
        </w:rPr>
        <w:t xml:space="preserve"> </w:t>
      </w:r>
      <w:r>
        <w:rPr>
          <w:spacing w:val="-2"/>
        </w:rPr>
        <w:t>。</w:t>
      </w:r>
      <w:r>
        <w:rPr>
          <w:b/>
          <w:bCs/>
          <w:spacing w:val="-2"/>
        </w:rPr>
        <w:t>酸化的尿样中尿酸盐形成尿酸，可将尿样重新碱化后进行分析，或用未酸化的尿样测定尿酸。</w:t>
      </w:r>
    </w:p>
    <w:p>
      <w:pPr>
        <w:pStyle w:val="BodyText"/>
        <w:ind w:left="812"/>
        <w:spacing w:before="1" w:line="218" w:lineRule="auto"/>
        <w:rPr/>
      </w:pPr>
      <w:r>
        <w:rPr>
          <w:b/>
          <w:bCs/>
          <w:spacing w:val="-1"/>
        </w:rPr>
        <w:t>尿素、磷酸盐、钠、钾的测定用于评估患者的饮食</w:t>
      </w:r>
      <w:r>
        <w:rPr>
          <w:b/>
          <w:bCs/>
          <w:spacing w:val="-2"/>
        </w:rPr>
        <w:t>习惯。</w:t>
      </w:r>
    </w:p>
    <w:p>
      <w:pPr>
        <w:pStyle w:val="BodyText"/>
        <w:ind w:left="402" w:right="70" w:firstLine="410"/>
        <w:spacing w:before="82" w:line="274" w:lineRule="auto"/>
        <w:rPr/>
      </w:pPr>
      <w:r>
        <w:rPr>
          <w:b/>
          <w:bCs/>
        </w:rPr>
        <w:t>对尿素、磷酸及钠离子的测定有助于评估患者的饮食习惯对治疗的意义。蛋白摄入量可</w:t>
      </w:r>
      <w:r>
        <w:rPr>
          <w:b/>
          <w:bCs/>
          <w:spacing w:val="-1"/>
        </w:rPr>
        <w:t>通过测定尿</w:t>
      </w:r>
      <w:r>
        <w:rPr/>
        <w:t xml:space="preserve"> </w:t>
      </w:r>
      <w:r>
        <w:rPr>
          <w:b/>
          <w:bCs/>
          <w:spacing w:val="7"/>
        </w:rPr>
        <w:t>素排泄量</w:t>
      </w:r>
      <w:r>
        <w:rPr>
          <w:spacing w:val="-36"/>
        </w:rPr>
        <w:t xml:space="preserve"> </w:t>
      </w:r>
      <w:r>
        <w:rPr>
          <w:rFonts w:ascii="Times New Roman" w:hAnsi="Times New Roman" w:eastAsia="Times New Roman" w:cs="Times New Roman"/>
          <w:b/>
          <w:bCs/>
          <w:spacing w:val="7"/>
        </w:rPr>
        <w:t>(</w:t>
      </w:r>
      <w:r>
        <w:rPr>
          <w:rFonts w:ascii="Times New Roman" w:hAnsi="Times New Roman" w:eastAsia="Times New Roman" w:cs="Times New Roman"/>
          <w:b/>
          <w:bCs/>
        </w:rPr>
        <w:t>Uurea</w:t>
      </w:r>
      <w:r>
        <w:rPr>
          <w:rFonts w:ascii="Times New Roman" w:hAnsi="Times New Roman" w:eastAsia="Times New Roman" w:cs="Times New Roman"/>
          <w:b/>
          <w:bCs/>
          <w:spacing w:val="7"/>
        </w:rPr>
        <w:t>,</w:t>
      </w:r>
      <w:r>
        <w:rPr>
          <w:rFonts w:ascii="Times New Roman" w:hAnsi="Times New Roman" w:eastAsia="Times New Roman" w:cs="Times New Roman"/>
          <w:b/>
          <w:bCs/>
        </w:rPr>
        <w:t>mmol</w:t>
      </w:r>
      <w:r>
        <w:rPr>
          <w:rFonts w:ascii="Times New Roman" w:hAnsi="Times New Roman" w:eastAsia="Times New Roman" w:cs="Times New Roman"/>
          <w:b/>
          <w:bCs/>
          <w:spacing w:val="7"/>
        </w:rPr>
        <w:t>/L)    </w:t>
      </w:r>
      <w:r>
        <w:rPr>
          <w:b/>
          <w:bCs/>
          <w:spacing w:val="7"/>
        </w:rPr>
        <w:t>及尿量(以升计算)来计算，如下[30]</w:t>
      </w:r>
      <w:r>
        <w:rPr>
          <w:spacing w:val="7"/>
        </w:rPr>
        <w:t>:</w:t>
      </w:r>
    </w:p>
    <w:p>
      <w:pPr>
        <w:pStyle w:val="BodyText"/>
        <w:ind w:left="812"/>
        <w:spacing w:before="38" w:line="219" w:lineRule="auto"/>
        <w:rPr/>
      </w:pPr>
      <w:r>
        <w:rPr>
          <w:b/>
          <w:bCs/>
          <w:spacing w:val="9"/>
        </w:rPr>
        <w:t>24小时蛋白摄入量(克)=(</w:t>
      </w:r>
      <w:r>
        <w:rPr>
          <w:b/>
          <w:bCs/>
        </w:rPr>
        <w:t>Uurea</w:t>
      </w:r>
      <w:r>
        <w:rPr>
          <w:b/>
          <w:bCs/>
          <w:spacing w:val="9"/>
        </w:rPr>
        <w:t>×0.18)+13</w:t>
      </w:r>
    </w:p>
    <w:p>
      <w:pPr>
        <w:pStyle w:val="BodyText"/>
        <w:ind w:left="809" w:right="148" w:firstLine="3"/>
        <w:spacing w:before="83" w:line="297" w:lineRule="auto"/>
        <w:rPr>
          <w:rFonts w:ascii="Times New Roman" w:hAnsi="Times New Roman" w:eastAsia="Times New Roman" w:cs="Times New Roman"/>
        </w:rPr>
      </w:pPr>
      <w:r>
        <w:rPr>
          <w:b/>
          <w:bCs/>
          <w:spacing w:val="-3"/>
        </w:rPr>
        <w:t>可利于以下公式对草酸钙</w:t>
      </w:r>
      <w:r>
        <w:rPr>
          <w:spacing w:val="-52"/>
        </w:rPr>
        <w:t xml:space="preserve"> </w:t>
      </w:r>
      <w:r>
        <w:rPr>
          <w:rFonts w:ascii="Times New Roman" w:hAnsi="Times New Roman" w:eastAsia="Times New Roman" w:cs="Times New Roman"/>
          <w:b/>
          <w:bCs/>
          <w:spacing w:val="-3"/>
        </w:rPr>
        <w:t>(AP[CaOx]</w:t>
      </w:r>
      <w:r>
        <w:rPr>
          <w:b/>
          <w:bCs/>
          <w:spacing w:val="-3"/>
        </w:rPr>
        <w:t>指数)和磷酸钙</w:t>
      </w:r>
      <w:r>
        <w:rPr>
          <w:spacing w:val="-63"/>
        </w:rPr>
        <w:t xml:space="preserve"> </w:t>
      </w:r>
      <w:r>
        <w:rPr>
          <w:rFonts w:ascii="Times New Roman" w:hAnsi="Times New Roman" w:eastAsia="Times New Roman" w:cs="Times New Roman"/>
          <w:b/>
          <w:bCs/>
          <w:spacing w:val="-3"/>
        </w:rPr>
        <w:t>(AP[CaP]</w:t>
      </w:r>
      <w:r>
        <w:rPr>
          <w:b/>
          <w:bCs/>
          <w:spacing w:val="-3"/>
        </w:rPr>
        <w:t>指数)的离子活度积进行计算[31-37]:</w:t>
      </w:r>
      <w:r>
        <w:rPr/>
        <w:t xml:space="preserve"> </w:t>
      </w:r>
      <w:r>
        <w:rPr>
          <w:rFonts w:ascii="Times New Roman" w:hAnsi="Times New Roman" w:eastAsia="Times New Roman" w:cs="Times New Roman"/>
          <w:b/>
          <w:bCs/>
          <w:spacing w:val="-3"/>
        </w:rPr>
        <w:t>AP[CaOx]</w:t>
      </w:r>
      <w:r>
        <w:rPr>
          <w:b/>
          <w:bCs/>
          <w:spacing w:val="-3"/>
        </w:rPr>
        <w:t>指数=1.9×</w:t>
      </w:r>
      <w:r>
        <w:rPr>
          <w:rFonts w:ascii="Times New Roman" w:hAnsi="Times New Roman" w:eastAsia="Times New Roman" w:cs="Times New Roman"/>
          <w:b/>
          <w:bCs/>
          <w:spacing w:val="-3"/>
        </w:rPr>
        <w:t>Ca0.84×0x×Cit-0.</w:t>
      </w:r>
      <w:r>
        <w:rPr>
          <w:rFonts w:ascii="Times New Roman" w:hAnsi="Times New Roman" w:eastAsia="Times New Roman" w:cs="Times New Roman"/>
          <w:b/>
          <w:bCs/>
          <w:spacing w:val="-4"/>
        </w:rPr>
        <w:t>22×Mg-0.12×V-1.03</w:t>
      </w:r>
    </w:p>
    <w:p>
      <w:pPr>
        <w:pStyle w:val="BodyText"/>
        <w:ind w:left="402" w:right="80" w:firstLine="410"/>
        <w:spacing w:before="8" w:line="293" w:lineRule="auto"/>
        <w:rPr/>
      </w:pPr>
      <w:r>
        <w:rPr>
          <w:b/>
          <w:bCs/>
          <w:spacing w:val="-1"/>
        </w:rPr>
        <w:t>该公式中，尿液以升进行计算，尿样中的各种离子以mmol</w:t>
      </w:r>
      <w:r>
        <w:rPr>
          <w:spacing w:val="-63"/>
        </w:rPr>
        <w:t xml:space="preserve"> </w:t>
      </w:r>
      <w:r>
        <w:rPr>
          <w:b/>
          <w:bCs/>
          <w:spacing w:val="-1"/>
        </w:rPr>
        <w:t>计</w:t>
      </w:r>
      <w:r>
        <w:rPr>
          <w:b/>
          <w:bCs/>
          <w:spacing w:val="-2"/>
        </w:rPr>
        <w:t>算，收集24小时尿时系数是1.9,16小时</w:t>
      </w:r>
      <w:r>
        <w:rPr/>
        <w:t xml:space="preserve">  </w:t>
      </w:r>
      <w:r>
        <w:rPr>
          <w:b/>
          <w:bCs/>
          <w:spacing w:val="-5"/>
        </w:rPr>
        <w:t>系数是2.3。其他时段的系数请参考文献5。</w:t>
      </w:r>
    </w:p>
    <w:p>
      <w:pPr>
        <w:pStyle w:val="BodyText"/>
        <w:ind w:left="402" w:right="103" w:firstLine="407"/>
        <w:spacing w:before="2" w:line="300" w:lineRule="auto"/>
        <w:rPr/>
      </w:pPr>
      <w:r>
        <w:rPr>
          <w:rFonts w:ascii="Times New Roman" w:hAnsi="Times New Roman" w:eastAsia="Times New Roman" w:cs="Times New Roman"/>
          <w:b/>
          <w:bCs/>
          <w:spacing w:val="-2"/>
        </w:rPr>
        <w:t>AP[CaOx]</w:t>
      </w:r>
      <w:r>
        <w:rPr>
          <w:b/>
          <w:bCs/>
          <w:spacing w:val="-2"/>
        </w:rPr>
        <w:t>指数约为108×</w:t>
      </w:r>
      <w:r>
        <w:rPr>
          <w:rFonts w:ascii="Times New Roman" w:hAnsi="Times New Roman" w:eastAsia="Times New Roman" w:cs="Times New Roman"/>
          <w:b/>
          <w:bCs/>
          <w:spacing w:val="-2"/>
        </w:rPr>
        <w:t>APCaOx(AP[CaOx]</w:t>
      </w:r>
      <w:r>
        <w:rPr>
          <w:b/>
          <w:bCs/>
          <w:spacing w:val="-2"/>
        </w:rPr>
        <w:t>为草酸钙离子活</w:t>
      </w:r>
      <w:r>
        <w:rPr>
          <w:b/>
          <w:bCs/>
          <w:spacing w:val="-3"/>
        </w:rPr>
        <w:t>度积)。24小时尿样中的</w:t>
      </w:r>
      <w:r>
        <w:rPr>
          <w:rFonts w:ascii="Times New Roman" w:hAnsi="Times New Roman" w:eastAsia="Times New Roman" w:cs="Times New Roman"/>
          <w:b/>
          <w:bCs/>
          <w:spacing w:val="-3"/>
        </w:rPr>
        <w:t>AP[CaOx]</w:t>
      </w:r>
      <w:r>
        <w:rPr>
          <w:b/>
          <w:bCs/>
          <w:spacing w:val="-3"/>
        </w:rPr>
        <w:t>指数</w:t>
      </w:r>
      <w:r>
        <w:rPr/>
        <w:t xml:space="preserve"> </w:t>
      </w:r>
      <w:r>
        <w:rPr>
          <w:b/>
          <w:bCs/>
          <w:spacing w:val="-5"/>
        </w:rPr>
        <w:t>可用以下公式计算：</w:t>
      </w:r>
    </w:p>
    <w:p>
      <w:pPr>
        <w:ind w:left="779"/>
        <w:spacing w:before="23" w:line="21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2"/>
        </w:rPr>
        <w:t>AP[CaP]</w:t>
      </w:r>
      <w:r>
        <w:rPr>
          <w:rFonts w:ascii="LiSu" w:hAnsi="LiSu" w:eastAsia="LiSu" w:cs="LiSu"/>
          <w:sz w:val="21"/>
          <w:szCs w:val="21"/>
          <w:b/>
          <w:bCs/>
          <w:spacing w:val="-2"/>
        </w:rPr>
        <w:t>指数=2.7×10-3×</w:t>
      </w:r>
      <w:r>
        <w:rPr>
          <w:rFonts w:ascii="Times New Roman" w:hAnsi="Times New Roman" w:eastAsia="Times New Roman" w:cs="Times New Roman"/>
          <w:sz w:val="21"/>
          <w:szCs w:val="21"/>
          <w:b/>
          <w:bCs/>
          <w:spacing w:val="-2"/>
        </w:rPr>
        <w:t>Ca1.07×P0.70×(pH-4.5)6.8×Cit-0.20×V-</w:t>
      </w:r>
      <w:r>
        <w:rPr>
          <w:rFonts w:ascii="Times New Roman" w:hAnsi="Times New Roman" w:eastAsia="Times New Roman" w:cs="Times New Roman"/>
          <w:sz w:val="21"/>
          <w:szCs w:val="21"/>
          <w:b/>
          <w:bCs/>
          <w:spacing w:val="-3"/>
        </w:rPr>
        <w:t>1.31</w:t>
      </w:r>
    </w:p>
    <w:p>
      <w:pPr>
        <w:pStyle w:val="BodyText"/>
        <w:ind w:left="779"/>
        <w:spacing w:before="76" w:line="212" w:lineRule="auto"/>
        <w:rPr/>
      </w:pPr>
      <w:r>
        <w:rPr>
          <w:rFonts w:ascii="Times New Roman" w:hAnsi="Times New Roman" w:eastAsia="Times New Roman" w:cs="Times New Roman"/>
        </w:rPr>
        <w:t>AP</w:t>
      </w:r>
      <w:r>
        <w:rPr>
          <w:rFonts w:ascii="Times New Roman" w:hAnsi="Times New Roman" w:eastAsia="Times New Roman" w:cs="Times New Roman"/>
          <w:spacing w:val="6"/>
        </w:rPr>
        <w:t>[</w:t>
      </w:r>
      <w:r>
        <w:rPr>
          <w:rFonts w:ascii="Times New Roman" w:hAnsi="Times New Roman" w:eastAsia="Times New Roman" w:cs="Times New Roman"/>
        </w:rPr>
        <w:t>CaP</w:t>
      </w:r>
      <w:r>
        <w:rPr>
          <w:rFonts w:ascii="Times New Roman" w:hAnsi="Times New Roman" w:eastAsia="Times New Roman" w:cs="Times New Roman"/>
          <w:spacing w:val="6"/>
        </w:rPr>
        <w:t>]</w:t>
      </w:r>
      <w:r>
        <w:rPr>
          <w:spacing w:val="6"/>
        </w:rPr>
        <w:t>指数约为1015×</w:t>
      </w:r>
      <w:r>
        <w:rPr>
          <w:rFonts w:ascii="Times New Roman" w:hAnsi="Times New Roman" w:eastAsia="Times New Roman" w:cs="Times New Roman"/>
        </w:rPr>
        <w:t>APCaP</w:t>
      </w:r>
      <w:r>
        <w:rPr>
          <w:rFonts w:ascii="Times New Roman" w:hAnsi="Times New Roman" w:eastAsia="Times New Roman" w:cs="Times New Roman"/>
          <w:spacing w:val="6"/>
        </w:rPr>
        <w:t>(</w:t>
      </w:r>
      <w:r>
        <w:rPr>
          <w:rFonts w:ascii="Times New Roman" w:hAnsi="Times New Roman" w:eastAsia="Times New Roman" w:cs="Times New Roman"/>
        </w:rPr>
        <w:t>AP</w:t>
      </w:r>
      <w:r>
        <w:rPr>
          <w:rFonts w:ascii="Times New Roman" w:hAnsi="Times New Roman" w:eastAsia="Times New Roman" w:cs="Times New Roman"/>
          <w:spacing w:val="6"/>
        </w:rPr>
        <w:t>[</w:t>
      </w:r>
      <w:r>
        <w:rPr>
          <w:rFonts w:ascii="Times New Roman" w:hAnsi="Times New Roman" w:eastAsia="Times New Roman" w:cs="Times New Roman"/>
        </w:rPr>
        <w:t>CaP</w:t>
      </w:r>
      <w:r>
        <w:rPr>
          <w:rFonts w:ascii="Times New Roman" w:hAnsi="Times New Roman" w:eastAsia="Times New Roman" w:cs="Times New Roman"/>
          <w:spacing w:val="6"/>
        </w:rPr>
        <w:t>]</w:t>
      </w:r>
      <w:r>
        <w:rPr>
          <w:rFonts w:ascii="Times New Roman" w:hAnsi="Times New Roman" w:eastAsia="Times New Roman" w:cs="Times New Roman"/>
          <w:spacing w:val="15"/>
        </w:rPr>
        <w:t xml:space="preserve">  </w:t>
      </w:r>
      <w:r>
        <w:rPr>
          <w:spacing w:val="6"/>
        </w:rPr>
        <w:t>为磷酸钙离子活度积),其他时段的系数参见文献5。</w:t>
      </w:r>
    </w:p>
    <w:p>
      <w:pPr>
        <w:pStyle w:val="BodyText"/>
        <w:ind w:left="399" w:right="62" w:firstLine="380"/>
        <w:spacing w:before="110" w:line="284" w:lineRule="auto"/>
        <w:rPr/>
      </w:pPr>
      <w:r>
        <w:rPr>
          <w:spacing w:val="1"/>
        </w:rPr>
        <w:t>研究表明尿液成份异常与病情重度的钙结石有关[38-4</w:t>
      </w:r>
      <w:r>
        <w:rPr/>
        <w:t>4]。值得注意的是，尽管尿液中单个指标的异 </w:t>
      </w:r>
      <w:r>
        <w:rPr>
          <w:spacing w:val="7"/>
        </w:rPr>
        <w:t>常即提示存在结石形成的危险因素，但是导致结</w:t>
      </w:r>
      <w:r>
        <w:rPr>
          <w:spacing w:val="6"/>
        </w:rPr>
        <w:t>石形成的尿液过饱和和结晶作用是由多种尿液成份的</w:t>
      </w:r>
      <w:r>
        <w:rPr/>
        <w:t xml:space="preserve"> </w:t>
      </w:r>
      <w:r>
        <w:rPr>
          <w:spacing w:val="-1"/>
        </w:rPr>
        <w:t>协同作用形成的。</w:t>
      </w:r>
    </w:p>
    <w:p>
      <w:pPr>
        <w:pStyle w:val="BodyText"/>
        <w:ind w:left="779"/>
        <w:spacing w:before="62" w:line="219" w:lineRule="auto"/>
        <w:rPr/>
      </w:pPr>
      <w:r>
        <w:rPr>
          <w:spacing w:val="-7"/>
        </w:rPr>
        <w:t>钙结石患者的其他分析简要列于表12。偶尔会使用钙负荷</w:t>
      </w:r>
      <w:r>
        <w:rPr>
          <w:spacing w:val="-8"/>
        </w:rPr>
        <w:t>试验，但该试验现在已很少应用于临床[13]。</w:t>
      </w:r>
    </w:p>
    <w:p>
      <w:pPr>
        <w:spacing w:line="293" w:lineRule="auto"/>
        <w:rPr>
          <w:rFonts w:ascii="Arial"/>
          <w:sz w:val="21"/>
        </w:rPr>
      </w:pPr>
      <w:r/>
    </w:p>
    <w:p>
      <w:pPr>
        <w:spacing w:line="293" w:lineRule="auto"/>
        <w:rPr>
          <w:rFonts w:ascii="Arial"/>
          <w:sz w:val="21"/>
        </w:rPr>
      </w:pPr>
      <w:r/>
    </w:p>
    <w:p>
      <w:pPr>
        <w:spacing w:line="294" w:lineRule="auto"/>
        <w:rPr>
          <w:rFonts w:ascii="Arial"/>
          <w:sz w:val="21"/>
        </w:rPr>
      </w:pPr>
      <w:r/>
    </w:p>
    <w:p>
      <w:pPr>
        <w:ind w:left="4899"/>
        <w:spacing w:before="4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rPr>
        <w:t>—190—</w:t>
      </w:r>
    </w:p>
    <w:p>
      <w:pPr>
        <w:spacing w:line="250" w:lineRule="auto"/>
        <w:rPr>
          <w:rFonts w:ascii="Arial"/>
          <w:sz w:val="21"/>
        </w:rPr>
      </w:pPr>
      <w:r/>
    </w:p>
    <w:p>
      <w:pPr>
        <w:spacing w:line="250"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4">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pgSz w:w="11850" w:h="16140"/>
          <w:pgMar w:top="400" w:right="1464" w:bottom="0" w:left="380" w:header="0" w:footer="0" w:gutter="0"/>
        </w:sectPr>
        <w:rPr>
          <w:rFonts w:ascii="Times New Roman" w:hAnsi="Times New Roman" w:eastAsia="Times New Roman" w:cs="Times New Roman"/>
          <w:sz w:val="21"/>
          <w:szCs w:val="21"/>
        </w:rPr>
      </w:pPr>
    </w:p>
    <w:p>
      <w:pPr>
        <w:spacing w:before="10"/>
        <w:rPr/>
      </w:pPr>
      <w:r/>
    </w:p>
    <w:p>
      <w:pPr>
        <w:sectPr>
          <w:pgSz w:w="11850" w:h="16140"/>
          <w:pgMar w:top="400" w:right="1709" w:bottom="0" w:left="380" w:header="0" w:footer="0" w:gutter="0"/>
          <w:cols w:equalWidth="0" w:num="1">
            <w:col w:w="9761" w:space="0"/>
          </w:cols>
        </w:sectPr>
        <w:rPr/>
      </w:pPr>
    </w:p>
    <w:p>
      <w:pPr>
        <w:spacing w:line="246" w:lineRule="auto"/>
        <w:rPr>
          <w:rFonts w:ascii="Arial"/>
          <w:sz w:val="21"/>
        </w:rPr>
      </w:pPr>
      <w:r/>
    </w:p>
    <w:p>
      <w:pPr>
        <w:spacing w:line="247" w:lineRule="auto"/>
        <w:rPr>
          <w:rFonts w:ascii="Arial"/>
          <w:sz w:val="21"/>
        </w:rPr>
      </w:pPr>
      <w:r/>
    </w:p>
    <w:p>
      <w:pPr>
        <w:pStyle w:val="BodyText"/>
        <w:ind w:left="2802"/>
        <w:spacing w:before="68" w:line="220" w:lineRule="auto"/>
        <w:rPr/>
      </w:pPr>
      <w:r>
        <w:rPr>
          <w:b/>
          <w:bCs/>
          <w:spacing w:val="-18"/>
        </w:rPr>
        <w:t>表12</w:t>
      </w:r>
      <w:r>
        <w:rPr>
          <w:spacing w:val="14"/>
        </w:rPr>
        <w:t xml:space="preserve">  </w:t>
      </w:r>
      <w:r>
        <w:rPr>
          <w:b/>
          <w:bCs/>
          <w:spacing w:val="-18"/>
        </w:rPr>
        <w:t>钙结石患者的其他分析方法</w:t>
      </w:r>
    </w:p>
    <w:p>
      <w:pPr>
        <w:spacing w:line="27" w:lineRule="exact"/>
        <w:rPr/>
      </w:pPr>
      <w:r/>
    </w:p>
    <w:p>
      <w:pPr>
        <w:spacing w:line="14" w:lineRule="auto"/>
        <w:rPr>
          <w:rFonts w:ascii="Arial"/>
          <w:sz w:val="2"/>
        </w:rPr>
      </w:pPr>
      <w:r>
        <w:rPr>
          <w:rFonts w:ascii="Arial" w:hAnsi="Arial" w:eastAsia="Arial" w:cs="Arial"/>
          <w:sz w:val="2"/>
          <w:szCs w:val="2"/>
        </w:rPr>
        <w:br w:type="column"/>
      </w:r>
    </w:p>
    <w:p>
      <w:pPr>
        <w:spacing w:before="66" w:line="213" w:lineRule="auto"/>
        <w:rPr>
          <w:rFonts w:ascii="STXingkai" w:hAnsi="STXingkai" w:eastAsia="STXingkai" w:cs="STXingkai"/>
          <w:sz w:val="21"/>
          <w:szCs w:val="21"/>
        </w:rPr>
      </w:pPr>
      <w:r>
        <w:drawing>
          <wp:anchor distT="0" distB="0" distL="0" distR="0" simplePos="0" relativeHeight="251719680" behindDoc="1" locked="0" layoutInCell="1" allowOverlap="1">
            <wp:simplePos x="0" y="0"/>
            <wp:positionH relativeFrom="column">
              <wp:posOffset>127018</wp:posOffset>
            </wp:positionH>
            <wp:positionV relativeFrom="paragraph">
              <wp:posOffset>181165</wp:posOffset>
            </wp:positionV>
            <wp:extent cx="1562063" cy="6667"/>
            <wp:effectExtent l="0" t="0" r="0" b="0"/>
            <wp:wrapNone/>
            <wp:docPr id="58" name="IM 58"/>
            <wp:cNvGraphicFramePr/>
            <a:graphic>
              <a:graphicData uri="http://schemas.openxmlformats.org/drawingml/2006/picture">
                <pic:pic>
                  <pic:nvPicPr>
                    <pic:cNvPr id="58" name="IM 58"/>
                    <pic:cNvPicPr/>
                  </pic:nvPicPr>
                  <pic:blipFill>
                    <a:blip r:embed="rId60"/>
                    <a:stretch>
                      <a:fillRect/>
                    </a:stretch>
                  </pic:blipFill>
                  <pic:spPr>
                    <a:xfrm rot="0">
                      <a:off x="0" y="0"/>
                      <a:ext cx="1562063" cy="6667"/>
                    </a:xfrm>
                    <a:prstGeom prst="rect">
                      <a:avLst/>
                    </a:prstGeom>
                  </pic:spPr>
                </pic:pic>
              </a:graphicData>
            </a:graphic>
          </wp:anchor>
        </w:drawing>
      </w:r>
      <w:r>
        <w:rPr>
          <w:rFonts w:ascii="STXingkai" w:hAnsi="STXingkai" w:eastAsia="STXingkai" w:cs="STXingkai"/>
          <w:sz w:val="21"/>
          <w:szCs w:val="21"/>
          <w:position w:val="-18"/>
        </w:rPr>
        <w:drawing>
          <wp:inline distT="0" distB="0" distL="0" distR="0">
            <wp:extent cx="209564" cy="215944"/>
            <wp:effectExtent l="0" t="0" r="0" b="0"/>
            <wp:docPr id="60" name="IM 60"/>
            <wp:cNvGraphicFramePr/>
            <a:graphic>
              <a:graphicData uri="http://schemas.openxmlformats.org/drawingml/2006/picture">
                <pic:pic>
                  <pic:nvPicPr>
                    <pic:cNvPr id="60" name="IM 60"/>
                    <pic:cNvPicPr/>
                  </pic:nvPicPr>
                  <pic:blipFill>
                    <a:blip r:embed="rId61"/>
                    <a:stretch>
                      <a:fillRect/>
                    </a:stretch>
                  </pic:blipFill>
                  <pic:spPr>
                    <a:xfrm rot="0">
                      <a:off x="0" y="0"/>
                      <a:ext cx="209564" cy="215944"/>
                    </a:xfrm>
                    <a:prstGeom prst="rect">
                      <a:avLst/>
                    </a:prstGeom>
                  </pic:spPr>
                </pic:pic>
              </a:graphicData>
            </a:graphic>
          </wp:inline>
        </w:drawing>
      </w:r>
      <w:r>
        <w:rPr>
          <w:rFonts w:ascii="STXingkai" w:hAnsi="STXingkai" w:eastAsia="STXingkai" w:cs="STXingkai"/>
          <w:sz w:val="21"/>
          <w:szCs w:val="21"/>
          <w:spacing w:val="9"/>
        </w:rPr>
        <w:t xml:space="preserve">   </w:t>
      </w:r>
      <w:r>
        <w:rPr>
          <w:rFonts w:ascii="STXingkai" w:hAnsi="STXingkai" w:eastAsia="STXingkai" w:cs="STXingkai"/>
          <w:sz w:val="21"/>
          <w:szCs w:val="21"/>
          <w:b/>
          <w:bCs/>
          <w:spacing w:val="-21"/>
        </w:rPr>
        <w:t>附</w:t>
      </w:r>
      <w:r>
        <w:rPr>
          <w:rFonts w:ascii="STXingkai" w:hAnsi="STXingkai" w:eastAsia="STXingkai" w:cs="STXingkai"/>
          <w:sz w:val="21"/>
          <w:szCs w:val="21"/>
          <w:spacing w:val="10"/>
        </w:rPr>
        <w:t xml:space="preserve">    </w:t>
      </w:r>
      <w:r>
        <w:rPr>
          <w:rFonts w:ascii="STXingkai" w:hAnsi="STXingkai" w:eastAsia="STXingkai" w:cs="STXingkai"/>
          <w:sz w:val="21"/>
          <w:szCs w:val="21"/>
          <w:b/>
          <w:bCs/>
          <w:spacing w:val="-21"/>
        </w:rPr>
        <w:t>灵</w:t>
      </w:r>
      <w:r>
        <w:rPr>
          <w:rFonts w:ascii="STXingkai" w:hAnsi="STXingkai" w:eastAsia="STXingkai" w:cs="STXingkai"/>
          <w:sz w:val="21"/>
          <w:szCs w:val="21"/>
          <w:spacing w:val="-21"/>
        </w:rPr>
        <w:t xml:space="preserve">       </w:t>
      </w:r>
      <w:r>
        <w:rPr>
          <w:rFonts w:ascii="STXingkai" w:hAnsi="STXingkai" w:eastAsia="STXingkai" w:cs="STXingkai"/>
          <w:sz w:val="21"/>
          <w:szCs w:val="21"/>
          <w:b/>
          <w:bCs/>
          <w:spacing w:val="-21"/>
        </w:rPr>
        <w:t>·</w:t>
      </w:r>
      <w:r>
        <w:rPr>
          <w:rFonts w:ascii="STXingkai" w:hAnsi="STXingkai" w:eastAsia="STXingkai" w:cs="STXingkai"/>
          <w:sz w:val="21"/>
          <w:szCs w:val="21"/>
          <w:spacing w:val="10"/>
        </w:rPr>
        <w:t xml:space="preserve">    </w:t>
      </w:r>
      <w:r>
        <w:rPr>
          <w:rFonts w:ascii="STXingkai" w:hAnsi="STXingkai" w:eastAsia="STXingkai" w:cs="STXingkai"/>
          <w:sz w:val="21"/>
          <w:szCs w:val="21"/>
          <w:b/>
          <w:bCs/>
          <w:spacing w:val="-21"/>
        </w:rPr>
        <w:t>指</w:t>
      </w:r>
      <w:r>
        <w:rPr>
          <w:rFonts w:ascii="STXingkai" w:hAnsi="STXingkai" w:eastAsia="STXingkai" w:cs="STXingkai"/>
          <w:sz w:val="21"/>
          <w:szCs w:val="21"/>
          <w:spacing w:val="10"/>
        </w:rPr>
        <w:t xml:space="preserve">    </w:t>
      </w:r>
      <w:r>
        <w:rPr>
          <w:rFonts w:ascii="STXingkai" w:hAnsi="STXingkai" w:eastAsia="STXingkai" w:cs="STXingkai"/>
          <w:sz w:val="21"/>
          <w:szCs w:val="21"/>
          <w:b/>
          <w:bCs/>
          <w:spacing w:val="-21"/>
        </w:rPr>
        <w:t>直</w:t>
      </w:r>
    </w:p>
    <w:p>
      <w:pPr>
        <w:spacing w:line="213" w:lineRule="auto"/>
        <w:sectPr>
          <w:type w:val="continuous"/>
          <w:pgSz w:w="11850" w:h="16140"/>
          <w:pgMar w:top="400" w:right="1709" w:bottom="0" w:left="380" w:header="0" w:footer="0" w:gutter="0"/>
          <w:cols w:equalWidth="0" w:num="2">
            <w:col w:w="6970" w:space="100"/>
            <w:col w:w="2691" w:space="0"/>
          </w:cols>
        </w:sectPr>
        <w:rPr>
          <w:rFonts w:ascii="STXingkai" w:hAnsi="STXingkai" w:eastAsia="STXingkai" w:cs="STXingkai"/>
          <w:sz w:val="21"/>
          <w:szCs w:val="21"/>
        </w:rPr>
      </w:pPr>
    </w:p>
    <w:p>
      <w:pPr>
        <w:spacing w:before="99"/>
        <w:rPr/>
      </w:pPr>
      <w:r/>
    </w:p>
    <w:tbl>
      <w:tblPr>
        <w:tblStyle w:val="TableNormal"/>
        <w:tblW w:w="6240" w:type="dxa"/>
        <w:tblInd w:w="11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9"/>
        <w:gridCol w:w="1214"/>
        <w:gridCol w:w="3867"/>
      </w:tblGrid>
      <w:tr>
        <w:trPr>
          <w:trHeight w:val="903" w:hRule="atLeast"/>
        </w:trPr>
        <w:tc>
          <w:tcPr>
            <w:tcW w:w="6240" w:type="dxa"/>
            <w:vAlign w:val="top"/>
            <w:gridSpan w:val="3"/>
          </w:tcPr>
          <w:p>
            <w:pPr>
              <w:pStyle w:val="TableText"/>
              <w:ind w:left="5"/>
              <w:spacing w:before="7" w:line="194" w:lineRule="auto"/>
              <w:rPr>
                <w:sz w:val="19"/>
                <w:szCs w:val="19"/>
              </w:rPr>
            </w:pPr>
            <w:r>
              <w:rPr>
                <w:sz w:val="19"/>
                <w:szCs w:val="19"/>
              </w:rPr>
              <w:t>pH</w:t>
            </w:r>
            <w:r>
              <w:rPr>
                <w:sz w:val="19"/>
                <w:szCs w:val="19"/>
                <w:spacing w:val="13"/>
              </w:rPr>
              <w:t>值习</w:t>
            </w:r>
          </w:p>
          <w:p>
            <w:pPr>
              <w:pStyle w:val="TableText"/>
              <w:ind w:left="15"/>
              <w:spacing w:line="214" w:lineRule="auto"/>
              <w:rPr>
                <w:sz w:val="19"/>
                <w:szCs w:val="19"/>
              </w:rPr>
            </w:pPr>
            <w:r>
              <w:rPr>
                <w:sz w:val="19"/>
                <w:szCs w:val="19"/>
                <w:spacing w:val="1"/>
              </w:rPr>
              <w:t>24小时重复</w:t>
            </w:r>
            <w:r>
              <w:rPr>
                <w:sz w:val="19"/>
                <w:szCs w:val="19"/>
              </w:rPr>
              <w:t>pH</w:t>
            </w:r>
            <w:r>
              <w:rPr>
                <w:sz w:val="19"/>
                <w:szCs w:val="19"/>
                <w:spacing w:val="1"/>
              </w:rPr>
              <w:t>测定</w:t>
            </w:r>
          </w:p>
          <w:p>
            <w:pPr>
              <w:pStyle w:val="TableText"/>
              <w:ind w:left="5" w:right="1320" w:firstLine="349"/>
              <w:spacing w:before="10" w:line="209" w:lineRule="auto"/>
              <w:rPr>
                <w:sz w:val="19"/>
                <w:szCs w:val="19"/>
              </w:rPr>
            </w:pPr>
            <w:r>
              <w:rPr>
                <w:sz w:val="19"/>
                <w:szCs w:val="19"/>
                <w:spacing w:val="-1"/>
              </w:rPr>
              <w:t>所有尿样应该收集后立即用pH试纸或者玻璃电极测量。</w:t>
            </w:r>
            <w:r>
              <w:rPr>
                <w:sz w:val="19"/>
                <w:szCs w:val="19"/>
                <w:spacing w:val="18"/>
              </w:rPr>
              <w:t xml:space="preserve"> </w:t>
            </w:r>
            <w:r>
              <w:rPr>
                <w:sz w:val="19"/>
                <w:szCs w:val="19"/>
                <w:spacing w:val="-1"/>
              </w:rPr>
              <w:t>尿祥每2小时收集一次或者其他合适的方法</w:t>
            </w:r>
          </w:p>
        </w:tc>
      </w:tr>
      <w:tr>
        <w:trPr>
          <w:trHeight w:val="2934" w:hRule="atLeast"/>
        </w:trPr>
        <w:tc>
          <w:tcPr>
            <w:tcW w:w="6240" w:type="dxa"/>
            <w:vAlign w:val="top"/>
            <w:gridSpan w:val="3"/>
          </w:tcPr>
          <w:p>
            <w:pPr>
              <w:pStyle w:val="TableText"/>
              <w:ind w:left="5"/>
              <w:spacing w:before="49" w:line="219" w:lineRule="auto"/>
              <w:rPr>
                <w:sz w:val="19"/>
                <w:szCs w:val="19"/>
              </w:rPr>
            </w:pPr>
            <w:r>
              <w:rPr>
                <w:sz w:val="19"/>
                <w:szCs w:val="19"/>
              </w:rPr>
              <w:t>酸负荷04-12。</w:t>
            </w:r>
          </w:p>
          <w:p>
            <w:pPr>
              <w:pStyle w:val="TableText"/>
              <w:ind w:left="294" w:right="140" w:hanging="289"/>
              <w:spacing w:before="104" w:line="323" w:lineRule="auto"/>
              <w:rPr>
                <w:sz w:val="19"/>
                <w:szCs w:val="19"/>
              </w:rPr>
            </w:pPr>
            <w:r>
              <w:rPr>
                <w:sz w:val="19"/>
                <w:szCs w:val="19"/>
              </w:rPr>
              <w:t>该试验联合血样测定可以观察患者是否患有完全或者不完全的酸化缺陷：</w:t>
            </w:r>
            <w:r>
              <w:rPr>
                <w:sz w:val="19"/>
                <w:szCs w:val="19"/>
                <w:spacing w:val="3"/>
              </w:rPr>
              <w:t xml:space="preserve"> </w:t>
            </w:r>
            <w:r>
              <w:rPr>
                <w:sz w:val="19"/>
                <w:szCs w:val="19"/>
                <w:spacing w:val="-1"/>
                <w:position w:val="-3"/>
              </w:rPr>
              <w:t>08:00</w:t>
            </w:r>
            <w:r>
              <w:rPr>
                <w:sz w:val="19"/>
                <w:szCs w:val="19"/>
                <w:spacing w:val="16"/>
                <w:position w:val="-3"/>
              </w:rPr>
              <w:t xml:space="preserve">      </w:t>
            </w:r>
            <w:r>
              <w:rPr>
                <w:sz w:val="19"/>
                <w:szCs w:val="19"/>
                <w:spacing w:val="-1"/>
              </w:rPr>
              <w:t>早餐+氯化铵片剂(每公斤体重0.1克),喝150mL水</w:t>
            </w:r>
          </w:p>
          <w:p>
            <w:pPr>
              <w:pStyle w:val="TableText"/>
              <w:ind w:left="295"/>
              <w:spacing w:line="300" w:lineRule="exact"/>
              <w:rPr>
                <w:sz w:val="19"/>
                <w:szCs w:val="19"/>
              </w:rPr>
            </w:pPr>
            <w:r>
              <w:rPr>
                <w:sz w:val="19"/>
                <w:szCs w:val="19"/>
                <w:spacing w:val="-1"/>
                <w:position w:val="-1"/>
              </w:rPr>
              <w:t>09:00</w:t>
            </w:r>
            <w:r>
              <w:rPr>
                <w:sz w:val="19"/>
                <w:szCs w:val="19"/>
                <w:spacing w:val="13"/>
                <w:position w:val="-1"/>
              </w:rPr>
              <w:t xml:space="preserve">      </w:t>
            </w:r>
            <w:r>
              <w:rPr>
                <w:sz w:val="19"/>
                <w:szCs w:val="19"/>
                <w:spacing w:val="-1"/>
                <w:position w:val="4"/>
              </w:rPr>
              <w:t>收集尿液并测pH值，赐150mL水</w:t>
            </w:r>
          </w:p>
          <w:p>
            <w:pPr>
              <w:pStyle w:val="TableText"/>
              <w:ind w:left="315"/>
              <w:spacing w:before="39" w:line="291" w:lineRule="exact"/>
              <w:rPr>
                <w:sz w:val="19"/>
                <w:szCs w:val="19"/>
              </w:rPr>
            </w:pPr>
            <w:r>
              <w:rPr>
                <w:sz w:val="19"/>
                <w:szCs w:val="19"/>
                <w:spacing w:val="-2"/>
                <w:position w:val="-1"/>
              </w:rPr>
              <w:t>10:00</w:t>
            </w:r>
            <w:r>
              <w:rPr>
                <w:sz w:val="19"/>
                <w:szCs w:val="19"/>
                <w:spacing w:val="14"/>
                <w:position w:val="-1"/>
              </w:rPr>
              <w:t xml:space="preserve">      </w:t>
            </w:r>
            <w:r>
              <w:rPr>
                <w:sz w:val="19"/>
                <w:szCs w:val="19"/>
                <w:spacing w:val="-2"/>
                <w:position w:val="3"/>
              </w:rPr>
              <w:t>收集尿液并测pH值，喝150mL水</w:t>
            </w:r>
          </w:p>
          <w:p>
            <w:pPr>
              <w:pStyle w:val="TableText"/>
              <w:ind w:left="315"/>
              <w:spacing w:before="49" w:line="275" w:lineRule="exact"/>
              <w:rPr>
                <w:sz w:val="19"/>
                <w:szCs w:val="19"/>
              </w:rPr>
            </w:pPr>
            <w:r>
              <w:rPr>
                <w:sz w:val="19"/>
                <w:szCs w:val="19"/>
                <w:spacing w:val="-2"/>
              </w:rPr>
              <w:t>11:00</w:t>
            </w:r>
            <w:r>
              <w:rPr>
                <w:sz w:val="19"/>
                <w:szCs w:val="19"/>
                <w:spacing w:val="14"/>
              </w:rPr>
              <w:t xml:space="preserve">      </w:t>
            </w:r>
            <w:r>
              <w:rPr>
                <w:sz w:val="19"/>
                <w:szCs w:val="19"/>
                <w:spacing w:val="-2"/>
                <w:position w:val="2"/>
              </w:rPr>
              <w:t>收集尿液并测pH值，喝150mL水</w:t>
            </w:r>
          </w:p>
          <w:p>
            <w:pPr>
              <w:pStyle w:val="TableText"/>
              <w:ind w:left="325"/>
              <w:spacing w:before="85" w:line="238" w:lineRule="auto"/>
              <w:rPr>
                <w:sz w:val="19"/>
                <w:szCs w:val="19"/>
              </w:rPr>
            </w:pPr>
            <w:r>
              <w:rPr>
                <w:sz w:val="19"/>
                <w:szCs w:val="19"/>
                <w:spacing w:val="-2"/>
                <w:position w:val="-1"/>
              </w:rPr>
              <w:t>12:00</w:t>
            </w:r>
            <w:r>
              <w:rPr>
                <w:sz w:val="19"/>
                <w:szCs w:val="19"/>
                <w:spacing w:val="10"/>
                <w:position w:val="-1"/>
              </w:rPr>
              <w:t xml:space="preserve">      </w:t>
            </w:r>
            <w:r>
              <w:rPr>
                <w:sz w:val="19"/>
                <w:szCs w:val="19"/>
                <w:spacing w:val="-2"/>
              </w:rPr>
              <w:t>收集尿液并测pH值，喝150mL水</w:t>
            </w:r>
          </w:p>
          <w:p>
            <w:pPr>
              <w:pStyle w:val="TableText"/>
              <w:ind w:left="325"/>
              <w:spacing w:before="95" w:line="233" w:lineRule="auto"/>
              <w:rPr>
                <w:sz w:val="19"/>
                <w:szCs w:val="19"/>
              </w:rPr>
            </w:pPr>
            <w:r>
              <w:rPr>
                <w:sz w:val="19"/>
                <w:szCs w:val="19"/>
                <w:spacing w:val="-1"/>
                <w:position w:val="-1"/>
              </w:rPr>
              <w:t>13:00</w:t>
            </w:r>
            <w:r>
              <w:rPr>
                <w:sz w:val="19"/>
                <w:szCs w:val="19"/>
                <w:spacing w:val="11"/>
                <w:position w:val="-1"/>
              </w:rPr>
              <w:t xml:space="preserve">      </w:t>
            </w:r>
            <w:r>
              <w:rPr>
                <w:sz w:val="19"/>
                <w:szCs w:val="19"/>
                <w:spacing w:val="-1"/>
              </w:rPr>
              <w:t>收集尿液并测pH值，吃午餐</w:t>
            </w:r>
          </w:p>
          <w:p>
            <w:pPr>
              <w:pStyle w:val="TableText"/>
              <w:ind w:left="304"/>
              <w:spacing w:before="1" w:line="203" w:lineRule="auto"/>
              <w:rPr>
                <w:sz w:val="19"/>
                <w:szCs w:val="19"/>
              </w:rPr>
            </w:pPr>
            <w:r>
              <w:rPr>
                <w:sz w:val="19"/>
                <w:szCs w:val="19"/>
                <w:spacing w:val="-1"/>
              </w:rPr>
              <w:t>说明：pH值54或以下显示没有KTA</w:t>
            </w:r>
          </w:p>
        </w:tc>
      </w:tr>
      <w:tr>
        <w:trPr>
          <w:trHeight w:val="220" w:hRule="atLeast"/>
        </w:trPr>
        <w:tc>
          <w:tcPr>
            <w:tcW w:w="6240" w:type="dxa"/>
            <w:vAlign w:val="top"/>
            <w:gridSpan w:val="3"/>
          </w:tcPr>
          <w:p>
            <w:pPr>
              <w:pStyle w:val="TableText"/>
              <w:ind w:left="5"/>
              <w:spacing w:before="15" w:line="189" w:lineRule="auto"/>
              <w:rPr>
                <w:sz w:val="19"/>
                <w:szCs w:val="19"/>
              </w:rPr>
            </w:pPr>
            <w:r>
              <w:rPr>
                <w:sz w:val="19"/>
                <w:szCs w:val="19"/>
                <w:spacing w:val="-2"/>
              </w:rPr>
              <w:t>血液成份</w:t>
            </w:r>
            <w:r>
              <w:rPr>
                <w:sz w:val="19"/>
                <w:szCs w:val="19"/>
                <w:spacing w:val="5"/>
              </w:rPr>
              <w:t xml:space="preserve">        </w:t>
            </w:r>
            <w:r>
              <w:rPr>
                <w:sz w:val="19"/>
                <w:szCs w:val="19"/>
                <w:spacing w:val="-2"/>
              </w:rPr>
              <w:t>完全性RTA</w:t>
            </w:r>
            <w:r>
              <w:rPr>
                <w:sz w:val="19"/>
                <w:szCs w:val="19"/>
                <w:spacing w:val="6"/>
              </w:rPr>
              <w:t xml:space="preserve">      </w:t>
            </w:r>
            <w:r>
              <w:rPr>
                <w:sz w:val="19"/>
                <w:szCs w:val="19"/>
                <w:spacing w:val="-2"/>
              </w:rPr>
              <w:t>不完全性RTA</w:t>
            </w:r>
          </w:p>
        </w:tc>
      </w:tr>
      <w:tr>
        <w:trPr>
          <w:trHeight w:val="928" w:hRule="atLeast"/>
        </w:trPr>
        <w:tc>
          <w:tcPr>
            <w:tcW w:w="1159" w:type="dxa"/>
            <w:vAlign w:val="top"/>
            <w:tcBorders>
              <w:right w:val="nil"/>
            </w:tcBorders>
          </w:tcPr>
          <w:p>
            <w:pPr>
              <w:pStyle w:val="TableText"/>
              <w:ind w:left="5"/>
              <w:spacing w:before="71" w:line="160" w:lineRule="auto"/>
              <w:rPr>
                <w:sz w:val="19"/>
                <w:szCs w:val="19"/>
              </w:rPr>
            </w:pPr>
            <w:r>
              <w:rPr>
                <w:sz w:val="19"/>
                <w:szCs w:val="19"/>
                <w:spacing w:val="-2"/>
              </w:rPr>
              <w:t>pH</w:t>
            </w:r>
          </w:p>
          <w:p>
            <w:pPr>
              <w:pStyle w:val="TableText"/>
              <w:ind w:left="5" w:right="386" w:firstLine="9"/>
              <w:spacing w:line="238" w:lineRule="auto"/>
              <w:rPr>
                <w:sz w:val="19"/>
                <w:szCs w:val="19"/>
              </w:rPr>
            </w:pPr>
            <w:r>
              <w:rPr>
                <w:sz w:val="19"/>
                <w:szCs w:val="19"/>
                <w:spacing w:val="-2"/>
              </w:rPr>
              <w:t>碳酸氢盐</w:t>
            </w:r>
            <w:r>
              <w:rPr>
                <w:sz w:val="19"/>
                <w:szCs w:val="19"/>
              </w:rPr>
              <w:t xml:space="preserve"> </w:t>
            </w:r>
            <w:r>
              <w:rPr>
                <w:sz w:val="19"/>
                <w:szCs w:val="19"/>
              </w:rPr>
              <w:t>钾</w:t>
            </w:r>
          </w:p>
          <w:p>
            <w:pPr>
              <w:pStyle w:val="TableText"/>
              <w:ind w:left="5"/>
              <w:spacing w:line="185" w:lineRule="auto"/>
              <w:rPr>
                <w:sz w:val="19"/>
                <w:szCs w:val="19"/>
              </w:rPr>
            </w:pPr>
            <w:r>
              <w:rPr>
                <w:sz w:val="19"/>
                <w:szCs w:val="19"/>
                <w:spacing w:val="3"/>
              </w:rPr>
              <w:t>氯化物</w:t>
            </w:r>
          </w:p>
        </w:tc>
        <w:tc>
          <w:tcPr>
            <w:tcW w:w="1214" w:type="dxa"/>
            <w:vAlign w:val="top"/>
            <w:textDirection w:val="tbRlV"/>
            <w:tcBorders>
              <w:left w:val="nil"/>
              <w:right w:val="nil"/>
            </w:tcBorders>
          </w:tcPr>
          <w:p>
            <w:pPr>
              <w:spacing w:line="274" w:lineRule="auto"/>
              <w:rPr>
                <w:rFonts w:ascii="Arial"/>
                <w:sz w:val="21"/>
              </w:rPr>
            </w:pPr>
            <w:r/>
          </w:p>
          <w:p>
            <w:pPr>
              <w:spacing w:line="275" w:lineRule="auto"/>
              <w:rPr>
                <w:rFonts w:ascii="Arial"/>
                <w:sz w:val="21"/>
              </w:rPr>
            </w:pPr>
            <w:r/>
          </w:p>
          <w:p>
            <w:pPr>
              <w:pStyle w:val="TableText"/>
              <w:ind w:left="37"/>
              <w:spacing w:before="63" w:line="218" w:lineRule="auto"/>
              <w:rPr>
                <w:sz w:val="19"/>
                <w:szCs w:val="19"/>
              </w:rPr>
            </w:pPr>
            <w:r>
              <w:rPr>
                <w:sz w:val="19"/>
                <w:szCs w:val="19"/>
                <w:spacing w:val="12"/>
              </w:rPr>
              <w:t>低低低</w:t>
            </w:r>
            <w:r>
              <w:rPr>
                <w:sz w:val="19"/>
                <w:szCs w:val="19"/>
                <w:spacing w:val="-36"/>
              </w:rPr>
              <w:t xml:space="preserve"> </w:t>
            </w:r>
            <w:r>
              <w:rPr>
                <w:sz w:val="19"/>
                <w:szCs w:val="19"/>
                <w:spacing w:val="12"/>
                <w:position w:val="-1"/>
              </w:rPr>
              <w:t>高</w:t>
            </w:r>
          </w:p>
        </w:tc>
        <w:tc>
          <w:tcPr>
            <w:tcW w:w="3867" w:type="dxa"/>
            <w:vAlign w:val="top"/>
            <w:tcBorders>
              <w:left w:val="nil"/>
            </w:tcBorders>
          </w:tcPr>
          <w:p>
            <w:pPr>
              <w:pStyle w:val="TableText"/>
              <w:ind w:left="647"/>
              <w:spacing w:before="36" w:line="204" w:lineRule="auto"/>
              <w:rPr>
                <w:sz w:val="19"/>
                <w:szCs w:val="19"/>
              </w:rPr>
            </w:pPr>
            <w:r>
              <w:rPr>
                <w:sz w:val="19"/>
                <w:szCs w:val="19"/>
                <w:spacing w:val="5"/>
              </w:rPr>
              <w:t>正常</w:t>
            </w:r>
          </w:p>
          <w:p>
            <w:pPr>
              <w:pStyle w:val="TableText"/>
              <w:ind w:left="647"/>
              <w:spacing w:line="220" w:lineRule="auto"/>
              <w:rPr>
                <w:sz w:val="19"/>
                <w:szCs w:val="19"/>
              </w:rPr>
            </w:pPr>
            <w:r>
              <w:rPr>
                <w:sz w:val="19"/>
                <w:szCs w:val="19"/>
                <w:spacing w:val="5"/>
              </w:rPr>
              <w:t>正常</w:t>
            </w:r>
          </w:p>
          <w:p>
            <w:pPr>
              <w:pStyle w:val="TableText"/>
              <w:ind w:left="627"/>
              <w:spacing w:before="23" w:line="214" w:lineRule="auto"/>
              <w:rPr>
                <w:sz w:val="19"/>
                <w:szCs w:val="19"/>
              </w:rPr>
            </w:pPr>
            <w:r>
              <w:rPr>
                <w:sz w:val="19"/>
                <w:szCs w:val="19"/>
                <w:spacing w:val="5"/>
              </w:rPr>
              <w:t>正常</w:t>
            </w:r>
          </w:p>
          <w:p>
            <w:pPr>
              <w:pStyle w:val="TableText"/>
              <w:ind w:left="647"/>
              <w:spacing w:line="195" w:lineRule="auto"/>
              <w:rPr>
                <w:sz w:val="19"/>
                <w:szCs w:val="19"/>
              </w:rPr>
            </w:pPr>
            <w:r>
              <w:rPr>
                <w:sz w:val="19"/>
                <w:szCs w:val="19"/>
                <w:spacing w:val="5"/>
              </w:rPr>
              <w:t>正常</w:t>
            </w:r>
          </w:p>
        </w:tc>
      </w:tr>
      <w:tr>
        <w:trPr>
          <w:trHeight w:val="225" w:hRule="atLeast"/>
        </w:trPr>
        <w:tc>
          <w:tcPr>
            <w:tcW w:w="6240" w:type="dxa"/>
            <w:vAlign w:val="top"/>
            <w:gridSpan w:val="3"/>
          </w:tcPr>
          <w:p>
            <w:pPr>
              <w:pStyle w:val="TableText"/>
              <w:ind w:left="5"/>
              <w:spacing w:before="27" w:line="182" w:lineRule="auto"/>
              <w:rPr>
                <w:sz w:val="19"/>
                <w:szCs w:val="19"/>
              </w:rPr>
            </w:pPr>
            <w:r>
              <w:rPr>
                <w:sz w:val="19"/>
                <w:szCs w:val="19"/>
              </w:rPr>
              <w:t>NH CL=氟化饺：RTA=绎小管酸中录。</w:t>
            </w:r>
          </w:p>
        </w:tc>
      </w:tr>
    </w:tbl>
    <w:p>
      <w:pPr>
        <w:pStyle w:val="BodyText"/>
        <w:ind w:left="609"/>
        <w:spacing w:before="173" w:line="219" w:lineRule="auto"/>
        <w:rPr/>
      </w:pPr>
      <w:r>
        <w:rPr>
          <w:spacing w:val="-2"/>
        </w:rPr>
        <w:t>3.3.4参考文献</w:t>
      </w:r>
    </w:p>
    <w:p>
      <w:pPr>
        <w:ind w:left="180" w:right="29"/>
        <w:spacing w:before="149" w:line="30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1.Hobarth   K,Hofbauer   J,Szabo   N.Value   of   repeated   analysis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of   24-hour   urine   in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recurrent</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calcium</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urolithiasis.Urology</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1</w:t>
      </w:r>
      <w:r>
        <w:rPr>
          <w:rFonts w:ascii="Times New Roman" w:hAnsi="Times New Roman" w:eastAsia="Times New Roman" w:cs="Times New Roman"/>
          <w:sz w:val="21"/>
          <w:szCs w:val="21"/>
          <w:spacing w:val="-1"/>
        </w:rPr>
        <w:t>994;44:20-25.</w:t>
      </w:r>
    </w:p>
    <w:p>
      <w:pPr>
        <w:ind w:left="180" w:right="81"/>
        <w:spacing w:before="42" w:line="318" w:lineRule="auto"/>
        <w:rPr>
          <w:rFonts w:ascii="Times New Roman" w:hAnsi="Times New Roman" w:eastAsia="Times New Roman" w:cs="Times New Roman"/>
          <w:sz w:val="21"/>
          <w:szCs w:val="21"/>
        </w:rPr>
      </w:pPr>
      <w:hyperlink w:history="true" r:id="rId62">
        <w:r>
          <w:rPr>
            <w:rFonts w:ascii="Times New Roman" w:hAnsi="Times New Roman" w:eastAsia="Times New Roman" w:cs="Times New Roman"/>
            <w:sz w:val="21"/>
            <w:szCs w:val="21"/>
          </w:rPr>
          <w:t>http://www.ncbi.nlm.nih.gov/entrez/query.fcgi?cmd=Retrieve&amp;db=PubMed&amp;list_uids=8042263&amp;do</w:t>
        </w:r>
        <w:r>
          <w:rPr>
            <w:rFonts w:ascii="Times New Roman" w:hAnsi="Times New Roman" w:eastAsia="Times New Roman" w:cs="Times New Roman"/>
            <w:sz w:val="21"/>
            <w:szCs w:val="21"/>
            <w:spacing w:val="-1"/>
          </w:rPr>
          <w:t>pt=Abstract</w:t>
        </w:r>
      </w:hyperlink>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&amp;itool=iconabstr</w:t>
      </w:r>
    </w:p>
    <w:p>
      <w:pPr>
        <w:ind w:left="180" w:right="3"/>
        <w:spacing w:before="51" w:line="32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2.Hess</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B,Hasler-Strub</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U,Ackermann</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D,Jaeger</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PH.Metabolic  evaluation  of</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patients</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w</w:t>
      </w:r>
      <w:r>
        <w:rPr>
          <w:rFonts w:ascii="Times New Roman" w:hAnsi="Times New Roman" w:eastAsia="Times New Roman" w:cs="Times New Roman"/>
          <w:sz w:val="21"/>
          <w:szCs w:val="21"/>
          <w:spacing w:val="-1"/>
        </w:rPr>
        <w:t>ith</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recurrent  idiopathic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calcium  nephrolithiasis.Nephrol  dial  transplant   1997;12:1362-1368.</w:t>
      </w:r>
    </w:p>
    <w:p>
      <w:pPr>
        <w:ind w:left="180" w:right="81"/>
        <w:spacing w:before="31" w:line="318" w:lineRule="auto"/>
        <w:rPr>
          <w:rFonts w:ascii="Times New Roman" w:hAnsi="Times New Roman" w:eastAsia="Times New Roman" w:cs="Times New Roman"/>
          <w:sz w:val="21"/>
          <w:szCs w:val="21"/>
        </w:rPr>
      </w:pPr>
      <w:hyperlink w:history="true" r:id="rId63">
        <w:r>
          <w:rPr>
            <w:rFonts w:ascii="Times New Roman" w:hAnsi="Times New Roman" w:eastAsia="Times New Roman" w:cs="Times New Roman"/>
            <w:sz w:val="21"/>
            <w:szCs w:val="21"/>
          </w:rPr>
          <w:t>http://www.ncbi.nlm.nih.gov/entrez/query.fcgi?cmd=Retrieve&amp;db=PubMed&amp;list_uids=9249770&amp;do</w:t>
        </w:r>
        <w:r>
          <w:rPr>
            <w:rFonts w:ascii="Times New Roman" w:hAnsi="Times New Roman" w:eastAsia="Times New Roman" w:cs="Times New Roman"/>
            <w:sz w:val="21"/>
            <w:szCs w:val="21"/>
            <w:spacing w:val="-1"/>
          </w:rPr>
          <w:t>pt=Abstract</w:t>
        </w:r>
      </w:hyperlink>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&amp;itool=iconfft</w:t>
      </w:r>
    </w:p>
    <w:p>
      <w:pPr>
        <w:ind w:left="180" w:right="26"/>
        <w:spacing w:before="41" w:line="30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3.Bek-Jensen   H,Tiselius   HG.Repeated</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urine   analysis  </w:t>
      </w:r>
      <w:r>
        <w:rPr>
          <w:rFonts w:ascii="Times New Roman" w:hAnsi="Times New Roman" w:eastAsia="Times New Roman" w:cs="Times New Roman"/>
          <w:sz w:val="21"/>
          <w:szCs w:val="21"/>
          <w:spacing w:val="-1"/>
        </w:rPr>
        <w:t xml:space="preserve"> in   patients   with   calcium   stone   disease.Eur   Urol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1998;33:323-332.</w:t>
      </w:r>
    </w:p>
    <w:p>
      <w:pPr>
        <w:ind w:left="180" w:right="81"/>
        <w:spacing w:before="69" w:line="309" w:lineRule="auto"/>
        <w:rPr>
          <w:rFonts w:ascii="Times New Roman" w:hAnsi="Times New Roman" w:eastAsia="Times New Roman" w:cs="Times New Roman"/>
          <w:sz w:val="21"/>
          <w:szCs w:val="21"/>
        </w:rPr>
      </w:pPr>
      <w:hyperlink w:history="true" r:id="rId64">
        <w:r>
          <w:rPr>
            <w:rFonts w:ascii="Times New Roman" w:hAnsi="Times New Roman" w:eastAsia="Times New Roman" w:cs="Times New Roman"/>
            <w:sz w:val="21"/>
            <w:szCs w:val="21"/>
          </w:rPr>
          <w:t>http://www.ncbi.nlm.nih.govlentrez/query.fcgi?cmd=Retrieve&amp;db=PubMed&amp;list_uids=9555561&amp;do</w:t>
        </w:r>
        <w:r>
          <w:rPr>
            <w:rFonts w:ascii="Times New Roman" w:hAnsi="Times New Roman" w:eastAsia="Times New Roman" w:cs="Times New Roman"/>
            <w:sz w:val="21"/>
            <w:szCs w:val="21"/>
            <w:spacing w:val="-1"/>
          </w:rPr>
          <w:t>pt=Abstract</w:t>
        </w:r>
      </w:hyperlink>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&amp;itool=iconabstr</w:t>
      </w:r>
    </w:p>
    <w:p>
      <w:pPr>
        <w:ind w:left="180" w:right="9"/>
        <w:spacing w:before="59" w:line="31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4.Berg  C,Larsson  L,Tiselius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HG.The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composition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of  four-hour  urine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samples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from</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patients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wit</w:t>
      </w:r>
      <w:r>
        <w:rPr>
          <w:rFonts w:ascii="Times New Roman" w:hAnsi="Times New Roman" w:eastAsia="Times New Roman" w:cs="Times New Roman"/>
          <w:sz w:val="21"/>
          <w:szCs w:val="21"/>
          <w:spacing w:val="-1"/>
        </w:rPr>
        <w:t>h</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calcium</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oxalate</w:t>
      </w:r>
      <w:r>
        <w:rPr>
          <w:rFonts w:ascii="Times New Roman" w:hAnsi="Times New Roman" w:eastAsia="Times New Roman" w:cs="Times New Roman"/>
          <w:sz w:val="21"/>
          <w:szCs w:val="21"/>
          <w:spacing w:val="60"/>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disease.Br</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Urol  1987;60:301-306.</w:t>
      </w:r>
    </w:p>
    <w:p>
      <w:pPr>
        <w:ind w:left="180" w:right="81"/>
        <w:spacing w:before="44" w:line="318" w:lineRule="auto"/>
        <w:rPr>
          <w:rFonts w:ascii="Times New Roman" w:hAnsi="Times New Roman" w:eastAsia="Times New Roman" w:cs="Times New Roman"/>
          <w:sz w:val="21"/>
          <w:szCs w:val="21"/>
        </w:rPr>
      </w:pPr>
      <w:hyperlink w:history="true" r:id="rId65">
        <w:r>
          <w:rPr>
            <w:rFonts w:ascii="Times New Roman" w:hAnsi="Times New Roman" w:eastAsia="Times New Roman" w:cs="Times New Roman"/>
            <w:sz w:val="21"/>
            <w:szCs w:val="21"/>
          </w:rPr>
          <w:t>http://www.ncbi.nlm.nih.gov/entrez/query.fcgi?cmd=Retrieve&amp;db=PubMed&amp;list_uids=3690199&amp;do</w:t>
        </w:r>
        <w:r>
          <w:rPr>
            <w:rFonts w:ascii="Times New Roman" w:hAnsi="Times New Roman" w:eastAsia="Times New Roman" w:cs="Times New Roman"/>
            <w:sz w:val="21"/>
            <w:szCs w:val="21"/>
            <w:spacing w:val="-1"/>
          </w:rPr>
          <w:t>pt=Abstract</w:t>
        </w:r>
      </w:hyperlink>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&amp;itool=iconabstr</w:t>
      </w:r>
    </w:p>
    <w:p>
      <w:pPr>
        <w:ind w:left="180"/>
        <w:spacing w:before="50" w:line="27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5.Tiselius HG.Solution</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chemistry</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of supersaturation.In:Kidney</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stones:medica</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surgical management.Coe FL,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Favus</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MJ,Pak</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CYC,Parks</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HG,Preminger</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GM(eds).Lippincott</w:t>
      </w:r>
      <w:r>
        <w:rPr>
          <w:rFonts w:ascii="Times New Roman" w:hAnsi="Times New Roman" w:eastAsia="Times New Roman" w:cs="Times New Roman"/>
          <w:sz w:val="21"/>
          <w:szCs w:val="21"/>
          <w:spacing w:val="-1"/>
        </w:rPr>
        <w:t>-Raven</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Publishers,Philadelphia:1996,pp</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33-64.</w:t>
      </w:r>
    </w:p>
    <w:p>
      <w:pPr>
        <w:ind w:left="180" w:right="9"/>
        <w:spacing w:before="127" w:line="26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6.Bek-Jensen  H,Tiselius  HG.Evaluation  of  urine  composition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calcium</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salt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crystallizatio</w:t>
      </w:r>
      <w:r>
        <w:rPr>
          <w:rFonts w:ascii="Times New Roman" w:hAnsi="Times New Roman" w:eastAsia="Times New Roman" w:cs="Times New Roman"/>
          <w:sz w:val="21"/>
          <w:szCs w:val="21"/>
          <w:spacing w:val="-1"/>
        </w:rPr>
        <w:t>n  properties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standardized  12-h</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night</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urine</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from</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normal</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subjects</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calcium</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formers.Urol</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Res  199</w:t>
      </w:r>
      <w:r>
        <w:rPr>
          <w:rFonts w:ascii="Times New Roman" w:hAnsi="Times New Roman" w:eastAsia="Times New Roman" w:cs="Times New Roman"/>
          <w:sz w:val="21"/>
          <w:szCs w:val="21"/>
          <w:spacing w:val="-2"/>
        </w:rPr>
        <w:t>7;25:365-372.</w:t>
      </w:r>
    </w:p>
    <w:p>
      <w:pPr>
        <w:ind w:left="180"/>
        <w:spacing w:before="147" w:line="192" w:lineRule="auto"/>
        <w:rPr>
          <w:rFonts w:ascii="Times New Roman" w:hAnsi="Times New Roman" w:eastAsia="Times New Roman" w:cs="Times New Roman"/>
          <w:sz w:val="21"/>
          <w:szCs w:val="21"/>
        </w:rPr>
      </w:pPr>
      <w:hyperlink w:history="true" r:id="rId66">
        <w:r>
          <w:rPr>
            <w:rFonts w:ascii="Times New Roman" w:hAnsi="Times New Roman" w:eastAsia="Times New Roman" w:cs="Times New Roman"/>
            <w:sz w:val="21"/>
            <w:szCs w:val="21"/>
          </w:rPr>
          <w:t>http://www.ncbi.nlm.nih.gov/entrez/query.fcgi?cmd=Retrieve&amp;db=PubMed&amp;list_uids=9373919&amp;do</w:t>
        </w:r>
        <w:r>
          <w:rPr>
            <w:rFonts w:ascii="Times New Roman" w:hAnsi="Times New Roman" w:eastAsia="Times New Roman" w:cs="Times New Roman"/>
            <w:sz w:val="21"/>
            <w:szCs w:val="21"/>
            <w:spacing w:val="-1"/>
          </w:rPr>
          <w:t>pt=Abstract</w:t>
        </w:r>
      </w:hyperlink>
    </w:p>
    <w:p>
      <w:pPr>
        <w:spacing w:line="310" w:lineRule="auto"/>
        <w:rPr>
          <w:rFonts w:ascii="Arial"/>
          <w:sz w:val="21"/>
        </w:rPr>
      </w:pPr>
      <w:r/>
    </w:p>
    <w:p>
      <w:pPr>
        <w:ind w:left="4799"/>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—191—</w:t>
      </w:r>
    </w:p>
    <w:p>
      <w:pPr>
        <w:spacing w:line="391"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4">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type w:val="continuous"/>
          <w:pgSz w:w="11850" w:h="16140"/>
          <w:pgMar w:top="400" w:right="1709" w:bottom="0" w:left="380" w:header="0" w:footer="0" w:gutter="0"/>
          <w:cols w:equalWidth="0" w:num="1">
            <w:col w:w="9761" w:space="0"/>
          </w:cols>
        </w:sectPr>
        <w:rPr>
          <w:rFonts w:ascii="Times New Roman" w:hAnsi="Times New Roman" w:eastAsia="Times New Roman" w:cs="Times New Roman"/>
          <w:sz w:val="21"/>
          <w:szCs w:val="21"/>
        </w:rPr>
      </w:pPr>
    </w:p>
    <w:p>
      <w:pPr>
        <w:ind w:firstLine="399"/>
        <w:spacing w:before="239" w:line="391" w:lineRule="exact"/>
        <w:rPr/>
      </w:pPr>
      <w:r>
        <w:rPr>
          <w:position w:val="-7"/>
        </w:rPr>
        <w:drawing>
          <wp:inline distT="0" distB="0" distL="0" distR="0">
            <wp:extent cx="1714514" cy="247715"/>
            <wp:effectExtent l="0" t="0" r="0" b="0"/>
            <wp:docPr id="62" name="IM 62"/>
            <wp:cNvGraphicFramePr/>
            <a:graphic>
              <a:graphicData uri="http://schemas.openxmlformats.org/drawingml/2006/picture">
                <pic:pic>
                  <pic:nvPicPr>
                    <pic:cNvPr id="62" name="IM 62"/>
                    <pic:cNvPicPr/>
                  </pic:nvPicPr>
                  <pic:blipFill>
                    <a:blip r:embed="rId67"/>
                    <a:stretch>
                      <a:fillRect/>
                    </a:stretch>
                  </pic:blipFill>
                  <pic:spPr>
                    <a:xfrm rot="0">
                      <a:off x="0" y="0"/>
                      <a:ext cx="1714514" cy="247715"/>
                    </a:xfrm>
                    <a:prstGeom prst="rect">
                      <a:avLst/>
                    </a:prstGeom>
                  </pic:spPr>
                </pic:pic>
              </a:graphicData>
            </a:graphic>
          </wp:inline>
        </w:drawing>
      </w:r>
    </w:p>
    <w:p>
      <w:pPr>
        <w:ind w:left="349"/>
        <w:spacing w:before="23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&amp;itool=iconabstr</w:t>
      </w:r>
    </w:p>
    <w:p>
      <w:pPr>
        <w:ind w:left="349" w:right="16"/>
        <w:spacing w:before="125" w:line="30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7.Strohmaier</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WL,Hoelz</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K-J,Bichler</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KH.Spot  urine   samples</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for  the   metabo</w:t>
      </w:r>
      <w:r>
        <w:rPr>
          <w:rFonts w:ascii="Times New Roman" w:hAnsi="Times New Roman" w:eastAsia="Times New Roman" w:cs="Times New Roman"/>
          <w:sz w:val="21"/>
          <w:szCs w:val="21"/>
          <w:spacing w:val="-1"/>
        </w:rPr>
        <w:t>lic</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evaluation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of  urolithiasis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patients.Eur  Urol   1997;32:294-300.</w:t>
      </w:r>
    </w:p>
    <w:p>
      <w:pPr>
        <w:ind w:left="349"/>
        <w:spacing w:line="191" w:lineRule="auto"/>
        <w:rPr>
          <w:rFonts w:ascii="Times New Roman" w:hAnsi="Times New Roman" w:eastAsia="Times New Roman" w:cs="Times New Roman"/>
          <w:sz w:val="21"/>
          <w:szCs w:val="21"/>
        </w:rPr>
      </w:pPr>
      <w:hyperlink w:history="true" r:id="rId68">
        <w:r>
          <w:rPr>
            <w:rFonts w:ascii="Times New Roman" w:hAnsi="Times New Roman" w:eastAsia="Times New Roman" w:cs="Times New Roman"/>
            <w:sz w:val="21"/>
            <w:szCs w:val="21"/>
          </w:rPr>
          <w:t>http://www.ncbi.nlm.nih.gov/entrez/query.fcgi?cmd=Retrieve&amp;db=PubMed&amp;list_uids=9358216&amp;do</w:t>
        </w:r>
        <w:r>
          <w:rPr>
            <w:rFonts w:ascii="Times New Roman" w:hAnsi="Times New Roman" w:eastAsia="Times New Roman" w:cs="Times New Roman"/>
            <w:sz w:val="21"/>
            <w:szCs w:val="21"/>
            <w:spacing w:val="-1"/>
          </w:rPr>
          <w:t>pt=Abstract</w:t>
        </w:r>
      </w:hyperlink>
    </w:p>
    <w:p>
      <w:pPr>
        <w:ind w:left="349"/>
        <w:spacing w:before="20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&amp;itool=iconabstr</w:t>
      </w:r>
    </w:p>
    <w:p>
      <w:pPr>
        <w:ind w:left="349" w:right="23"/>
        <w:spacing w:before="64" w:line="34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8.Tiselius</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HG.An</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improved</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method</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routine</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biochemical</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e</w:t>
      </w:r>
      <w:r>
        <w:rPr>
          <w:rFonts w:ascii="Times New Roman" w:hAnsi="Times New Roman" w:eastAsia="Times New Roman" w:cs="Times New Roman"/>
          <w:sz w:val="21"/>
          <w:szCs w:val="21"/>
          <w:spacing w:val="-1"/>
        </w:rPr>
        <w:t>valuation</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of patients</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recurrent</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calcium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oxalate</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disease.Clin</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Chim</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Acta  1982;122:409-418.</w:t>
      </w:r>
    </w:p>
    <w:p>
      <w:pPr>
        <w:ind w:left="349" w:right="35"/>
        <w:spacing w:line="353" w:lineRule="auto"/>
        <w:rPr>
          <w:rFonts w:ascii="Times New Roman" w:hAnsi="Times New Roman" w:eastAsia="Times New Roman" w:cs="Times New Roman"/>
          <w:sz w:val="21"/>
          <w:szCs w:val="21"/>
        </w:rPr>
      </w:pPr>
      <w:hyperlink w:history="true" r:id="rId69">
        <w:r>
          <w:rPr>
            <w:rFonts w:ascii="Times New Roman" w:hAnsi="Times New Roman" w:eastAsia="Times New Roman" w:cs="Times New Roman"/>
            <w:sz w:val="21"/>
            <w:szCs w:val="21"/>
          </w:rPr>
          <w:t>http://www.ncbi.nlm.nih.govlentrez/query.fcgi?cmd=Retrieve&amp;db=PubMed&amp;list_uids=7105424&amp;do</w:t>
        </w:r>
        <w:r>
          <w:rPr>
            <w:rFonts w:ascii="Times New Roman" w:hAnsi="Times New Roman" w:eastAsia="Times New Roman" w:cs="Times New Roman"/>
            <w:sz w:val="21"/>
            <w:szCs w:val="21"/>
            <w:spacing w:val="-1"/>
          </w:rPr>
          <w:t>pt=Abstract</w:t>
        </w:r>
      </w:hyperlink>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&amp;itool=iconabstr</w:t>
      </w:r>
    </w:p>
    <w:p>
      <w:pPr>
        <w:ind w:left="349"/>
        <w:spacing w:before="20" w:line="2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9.</w:t>
      </w:r>
      <w:r>
        <w:rPr>
          <w:rFonts w:ascii="Times New Roman" w:hAnsi="Times New Roman" w:eastAsia="Times New Roman" w:cs="Times New Roman"/>
          <w:sz w:val="21"/>
          <w:szCs w:val="21"/>
        </w:rPr>
        <w:t>Tiselius</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HG</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simplified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estimate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ion</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activity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product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calcium</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phosphate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urine</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Eur</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Urol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1984;10:191-195.</w:t>
      </w:r>
    </w:p>
    <w:p>
      <w:pPr>
        <w:ind w:left="349" w:right="35"/>
        <w:spacing w:before="30" w:line="333" w:lineRule="auto"/>
        <w:rPr>
          <w:rFonts w:ascii="Times New Roman" w:hAnsi="Times New Roman" w:eastAsia="Times New Roman" w:cs="Times New Roman"/>
          <w:sz w:val="21"/>
          <w:szCs w:val="21"/>
        </w:rPr>
      </w:pPr>
      <w:hyperlink w:history="true" r:id="rId70">
        <w:r>
          <w:rPr>
            <w:rFonts w:ascii="Times New Roman" w:hAnsi="Times New Roman" w:eastAsia="Times New Roman" w:cs="Times New Roman"/>
            <w:sz w:val="21"/>
            <w:szCs w:val="21"/>
          </w:rPr>
          <w:t>http://www.ncbi.nlm.nih.gov/entrez/query.fcgi?cmd=Retrieve&amp;db=PubMed&amp;list_uids=6547093&amp;do</w:t>
        </w:r>
        <w:r>
          <w:rPr>
            <w:rFonts w:ascii="Times New Roman" w:hAnsi="Times New Roman" w:eastAsia="Times New Roman" w:cs="Times New Roman"/>
            <w:sz w:val="21"/>
            <w:szCs w:val="21"/>
            <w:spacing w:val="-1"/>
          </w:rPr>
          <w:t>pt=Abstract</w:t>
        </w:r>
      </w:hyperlink>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&amp;itool=iconabstr</w:t>
      </w:r>
    </w:p>
    <w:p>
      <w:pPr>
        <w:ind w:left="349" w:right="15"/>
        <w:spacing w:before="2" w:line="3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10.Tiselius</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HG.Aspects</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estima</w:t>
      </w:r>
      <w:r>
        <w:rPr>
          <w:rFonts w:ascii="Times New Roman" w:hAnsi="Times New Roman" w:eastAsia="Times New Roman" w:cs="Times New Roman"/>
          <w:sz w:val="21"/>
          <w:szCs w:val="21"/>
          <w:spacing w:val="-1"/>
        </w:rPr>
        <w:t>tion</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of risk</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of calcium</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oxalate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crystallization</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urine.Urol</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Int  1991;47:255-</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259.</w:t>
      </w:r>
    </w:p>
    <w:p>
      <w:pPr>
        <w:ind w:left="349" w:right="35"/>
        <w:spacing w:before="1" w:line="335" w:lineRule="auto"/>
        <w:rPr>
          <w:rFonts w:ascii="Times New Roman" w:hAnsi="Times New Roman" w:eastAsia="Times New Roman" w:cs="Times New Roman"/>
          <w:sz w:val="21"/>
          <w:szCs w:val="21"/>
        </w:rPr>
      </w:pPr>
      <w:hyperlink w:history="true" r:id="rId71">
        <w:r>
          <w:rPr>
            <w:rFonts w:ascii="Times New Roman" w:hAnsi="Times New Roman" w:eastAsia="Times New Roman" w:cs="Times New Roman"/>
            <w:sz w:val="21"/>
            <w:szCs w:val="21"/>
          </w:rPr>
          <w:t>http://www.ncbi.nlm.nih.gov/entrez/query.fcgi?cmd=Retrieve&amp;db=PubMed&amp;list_uids=1781112&amp;do</w:t>
        </w:r>
        <w:r>
          <w:rPr>
            <w:rFonts w:ascii="Times New Roman" w:hAnsi="Times New Roman" w:eastAsia="Times New Roman" w:cs="Times New Roman"/>
            <w:sz w:val="21"/>
            <w:szCs w:val="21"/>
            <w:spacing w:val="-1"/>
          </w:rPr>
          <w:t>pt=Abstract</w:t>
        </w:r>
      </w:hyperlink>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&amp;itool=iconabstr</w:t>
      </w:r>
    </w:p>
    <w:p>
      <w:pPr>
        <w:ind w:left="349"/>
        <w:spacing w:before="3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11.Tiselius</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HG.Risk</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formulas</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calcium</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oxalate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urolithiasis.World</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Urol  1997;15:176-185.</w:t>
      </w:r>
    </w:p>
    <w:p>
      <w:pPr>
        <w:ind w:left="349" w:right="35"/>
        <w:spacing w:before="146" w:line="266" w:lineRule="auto"/>
        <w:rPr>
          <w:rFonts w:ascii="Times New Roman" w:hAnsi="Times New Roman" w:eastAsia="Times New Roman" w:cs="Times New Roman"/>
          <w:sz w:val="21"/>
          <w:szCs w:val="21"/>
        </w:rPr>
      </w:pPr>
      <w:hyperlink w:history="true" r:id="rId72">
        <w:r>
          <w:rPr>
            <w:rFonts w:ascii="Times New Roman" w:hAnsi="Times New Roman" w:eastAsia="Times New Roman" w:cs="Times New Roman"/>
            <w:sz w:val="21"/>
            <w:szCs w:val="21"/>
          </w:rPr>
          <w:t>http://www.ncbi.nlm.nih.govlentrez/query.fcgi?cmd=Retrieve&amp;db=PubMed&amp;list_uids=9228725&amp;do</w:t>
        </w:r>
        <w:r>
          <w:rPr>
            <w:rFonts w:ascii="Times New Roman" w:hAnsi="Times New Roman" w:eastAsia="Times New Roman" w:cs="Times New Roman"/>
            <w:sz w:val="21"/>
            <w:szCs w:val="21"/>
            <w:spacing w:val="-1"/>
          </w:rPr>
          <w:t>pt=Abstract</w:t>
        </w:r>
      </w:hyperlink>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&amp;itool=iconabstr</w:t>
      </w:r>
    </w:p>
    <w:p>
      <w:pPr>
        <w:ind w:left="349"/>
        <w:spacing w:before="14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12.Tiselius</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HG.Metabolic</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evaluation</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of patients</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uro</w:t>
      </w:r>
      <w:r>
        <w:rPr>
          <w:rFonts w:ascii="Times New Roman" w:hAnsi="Times New Roman" w:eastAsia="Times New Roman" w:cs="Times New Roman"/>
          <w:sz w:val="21"/>
          <w:szCs w:val="21"/>
          <w:spacing w:val="-1"/>
        </w:rPr>
        <w:t>lithiasis.Urol</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Int  1997;59:131-141.</w:t>
      </w:r>
    </w:p>
    <w:p>
      <w:pPr>
        <w:ind w:left="349" w:right="35"/>
        <w:spacing w:before="156" w:line="261" w:lineRule="auto"/>
        <w:rPr>
          <w:rFonts w:ascii="Times New Roman" w:hAnsi="Times New Roman" w:eastAsia="Times New Roman" w:cs="Times New Roman"/>
          <w:sz w:val="21"/>
          <w:szCs w:val="21"/>
        </w:rPr>
      </w:pPr>
      <w:hyperlink w:history="true" r:id="rId73">
        <w:r>
          <w:rPr>
            <w:rFonts w:ascii="Times New Roman" w:hAnsi="Times New Roman" w:eastAsia="Times New Roman" w:cs="Times New Roman"/>
            <w:sz w:val="21"/>
            <w:szCs w:val="21"/>
          </w:rPr>
          <w:t>http://www.ncbi.nlm.nih.gov/entrez/query.fcgi?cmd=Retrieve&amp;db=PubMed&amp;list_uids=9428428&amp;do</w:t>
        </w:r>
        <w:r>
          <w:rPr>
            <w:rFonts w:ascii="Times New Roman" w:hAnsi="Times New Roman" w:eastAsia="Times New Roman" w:cs="Times New Roman"/>
            <w:sz w:val="21"/>
            <w:szCs w:val="21"/>
            <w:spacing w:val="-1"/>
          </w:rPr>
          <w:t>pt=Abstract</w:t>
        </w:r>
      </w:hyperlink>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&amp;itool=iconnoabstr</w:t>
      </w:r>
    </w:p>
    <w:p>
      <w:pPr>
        <w:ind w:left="349" w:right="24"/>
        <w:spacing w:before="155" w:line="2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13.Hesse    A,Tiselius    HG.Jahnen     A(eds).In:Urinary    stones     -diagnosis,treatment    and</w:t>
      </w:r>
      <w:r>
        <w:rPr>
          <w:rFonts w:ascii="Times New Roman" w:hAnsi="Times New Roman" w:eastAsia="Times New Roman" w:cs="Times New Roman"/>
          <w:sz w:val="21"/>
          <w:szCs w:val="21"/>
          <w:spacing w:val="-1"/>
        </w:rPr>
        <w:t xml:space="preserve">     prevention    of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recurrence.Karger:New   York,1996,pp</w:t>
      </w:r>
      <w:r>
        <w:rPr>
          <w:rFonts w:ascii="Times New Roman" w:hAnsi="Times New Roman" w:eastAsia="Times New Roman" w:cs="Times New Roman"/>
          <w:sz w:val="21"/>
          <w:szCs w:val="21"/>
          <w:spacing w:val="-1"/>
        </w:rPr>
        <w:t xml:space="preserve">    52.</w:t>
      </w:r>
    </w:p>
    <w:p>
      <w:pPr>
        <w:ind w:right="24"/>
        <w:spacing w:before="156"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rPr>
        <w:t>14.Backman  U,Danielson  BG,Johansson   </w:t>
      </w:r>
      <w:r>
        <w:rPr>
          <w:rFonts w:ascii="Times New Roman" w:hAnsi="Times New Roman" w:eastAsia="Times New Roman" w:cs="Times New Roman"/>
          <w:sz w:val="21"/>
          <w:szCs w:val="21"/>
          <w:spacing w:val="-1"/>
        </w:rPr>
        <w:t>G,Ljunghall   S,Wikstr?m  B.Incidence   and</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clinical</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importance</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of</w:t>
      </w:r>
    </w:p>
    <w:p>
      <w:pPr>
        <w:ind w:left="349"/>
        <w:spacing w:before="14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renal</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tubular</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defects</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recurrent</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renal</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formers.Nephron  1980;25:96-101.</w:t>
      </w:r>
    </w:p>
    <w:p>
      <w:pPr>
        <w:ind w:left="349" w:right="35"/>
        <w:spacing w:before="86" w:line="343" w:lineRule="auto"/>
        <w:rPr>
          <w:rFonts w:ascii="Times New Roman" w:hAnsi="Times New Roman" w:eastAsia="Times New Roman" w:cs="Times New Roman"/>
          <w:sz w:val="21"/>
          <w:szCs w:val="21"/>
        </w:rPr>
      </w:pPr>
      <w:hyperlink w:history="true" r:id="rId74">
        <w:r>
          <w:rPr>
            <w:rFonts w:ascii="Times New Roman" w:hAnsi="Times New Roman" w:eastAsia="Times New Roman" w:cs="Times New Roman"/>
            <w:sz w:val="21"/>
            <w:szCs w:val="21"/>
          </w:rPr>
          <w:t>http://www.ncbi.nlm.nih.gov/entrez/query.fcgi?cmd=Retrieve&amp;db=PubMed&amp;list_uids=6243755&amp;do</w:t>
        </w:r>
        <w:r>
          <w:rPr>
            <w:rFonts w:ascii="Times New Roman" w:hAnsi="Times New Roman" w:eastAsia="Times New Roman" w:cs="Times New Roman"/>
            <w:sz w:val="21"/>
            <w:szCs w:val="21"/>
            <w:spacing w:val="-1"/>
          </w:rPr>
          <w:t>pt=Abstract</w:t>
        </w:r>
      </w:hyperlink>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&amp;itool=iconabstr</w:t>
      </w:r>
    </w:p>
    <w:p>
      <w:pPr>
        <w:ind w:left="349" w:right="44"/>
        <w:spacing w:before="1" w:line="32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15.Knispel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HH,Fitzner  R,Kaiser   M,Butz</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M.Acute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acid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load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in  recurrent   oxalate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formers.Urol</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Int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1988;43:93-96.</w:t>
      </w:r>
    </w:p>
    <w:p>
      <w:pPr>
        <w:ind w:left="349" w:right="64"/>
        <w:spacing w:before="21" w:line="333" w:lineRule="auto"/>
        <w:rPr>
          <w:rFonts w:ascii="Times New Roman" w:hAnsi="Times New Roman" w:eastAsia="Times New Roman" w:cs="Times New Roman"/>
          <w:sz w:val="21"/>
          <w:szCs w:val="21"/>
        </w:rPr>
      </w:pPr>
      <w:hyperlink w:history="true" r:id="rId75">
        <w:r>
          <w:rPr>
            <w:rFonts w:ascii="Times New Roman" w:hAnsi="Times New Roman" w:eastAsia="Times New Roman" w:cs="Times New Roman"/>
            <w:sz w:val="21"/>
            <w:szCs w:val="21"/>
          </w:rPr>
          <w:t>http://www.ncbi.nlm.nih.gov/entrez/query.fcgi?cmd=Retrieve&amp;d</w:t>
        </w:r>
        <w:r>
          <w:rPr>
            <w:rFonts w:ascii="Times New Roman" w:hAnsi="Times New Roman" w:eastAsia="Times New Roman" w:cs="Times New Roman"/>
            <w:sz w:val="21"/>
            <w:szCs w:val="21"/>
            <w:spacing w:val="-1"/>
          </w:rPr>
          <w:t>b=PubMed&amp;list_uids=3388639&amp;dopt=Abstract</w:t>
        </w:r>
      </w:hyperlink>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&amp;itool=iconabstr</w:t>
      </w:r>
    </w:p>
    <w:p>
      <w:pPr>
        <w:ind w:left="349" w:right="22"/>
        <w:spacing w:line="33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16.Nnatahara   K,Higashihara   E,IshiiY,Nijima   T.Renal   hyper</w:t>
      </w:r>
      <w:r>
        <w:rPr>
          <w:rFonts w:ascii="Times New Roman" w:hAnsi="Times New Roman" w:eastAsia="Times New Roman" w:cs="Times New Roman"/>
          <w:sz w:val="21"/>
          <w:szCs w:val="21"/>
          <w:spacing w:val="-1"/>
        </w:rPr>
        <w:t>calciuria   and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acidifcation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defect</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kidney</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stone  patients.J  Urol  1989;141:813-818.</w:t>
      </w:r>
    </w:p>
    <w:p>
      <w:pPr>
        <w:ind w:left="348" w:right="45" w:hanging="9"/>
        <w:spacing w:before="1" w:line="335" w:lineRule="auto"/>
        <w:rPr>
          <w:rFonts w:ascii="Times New Roman" w:hAnsi="Times New Roman" w:eastAsia="Times New Roman" w:cs="Times New Roman"/>
          <w:sz w:val="21"/>
          <w:szCs w:val="21"/>
        </w:rPr>
      </w:pPr>
      <w:hyperlink w:history="true" r:id="rId76">
        <w:r>
          <w:rPr>
            <w:rFonts w:ascii="Times New Roman" w:hAnsi="Times New Roman" w:eastAsia="Times New Roman" w:cs="Times New Roman"/>
            <w:sz w:val="21"/>
            <w:szCs w:val="21"/>
          </w:rPr>
          <w:t>http://www.ncbi.nlm.nih.gov/entrez/query.fcgi?cmd=Retrieve&amp;db=PubMed&amp;list_uids=2926870&amp;do</w:t>
        </w:r>
        <w:r>
          <w:rPr>
            <w:rFonts w:ascii="Times New Roman" w:hAnsi="Times New Roman" w:eastAsia="Times New Roman" w:cs="Times New Roman"/>
            <w:sz w:val="21"/>
            <w:szCs w:val="21"/>
            <w:spacing w:val="-1"/>
          </w:rPr>
          <w:t>pt=Abstract</w:t>
        </w:r>
      </w:hyperlink>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&amp;itool=iconabstr</w:t>
      </w:r>
    </w:p>
    <w:p>
      <w:pPr>
        <w:ind w:left="349" w:right="52"/>
        <w:spacing w:before="15" w:line="33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rPr>
        <w:t>17.0sther PJ,Hansen AB,Rohl</w:t>
      </w:r>
      <w:r>
        <w:rPr>
          <w:rFonts w:ascii="Times New Roman" w:hAnsi="Times New Roman" w:eastAsia="Times New Roman" w:cs="Times New Roman"/>
          <w:sz w:val="21"/>
          <w:szCs w:val="21"/>
          <w:b/>
          <w:bCs/>
          <w:spacing w:val="-1"/>
        </w:rPr>
        <w:t xml:space="preserve"> HF.Screening renal stone formers for</w:t>
      </w:r>
      <w:r>
        <w:rPr>
          <w:rFonts w:ascii="Times New Roman" w:hAnsi="Times New Roman" w:eastAsia="Times New Roman" w:cs="Times New Roman"/>
          <w:sz w:val="21"/>
          <w:szCs w:val="21"/>
          <w:b/>
          <w:bCs/>
          <w:spacing w:val="9"/>
        </w:rPr>
        <w:t xml:space="preserve"> </w:t>
      </w:r>
      <w:r>
        <w:rPr>
          <w:rFonts w:ascii="Times New Roman" w:hAnsi="Times New Roman" w:eastAsia="Times New Roman" w:cs="Times New Roman"/>
          <w:sz w:val="21"/>
          <w:szCs w:val="21"/>
          <w:b/>
          <w:bCs/>
          <w:spacing w:val="-1"/>
        </w:rPr>
        <w:t>distal</w:t>
      </w:r>
      <w:r>
        <w:rPr>
          <w:rFonts w:ascii="Times New Roman" w:hAnsi="Times New Roman" w:eastAsia="Times New Roman" w:cs="Times New Roman"/>
          <w:sz w:val="21"/>
          <w:szCs w:val="21"/>
          <w:b/>
          <w:bCs/>
          <w:spacing w:val="7"/>
        </w:rPr>
        <w:t xml:space="preserve"> </w:t>
      </w:r>
      <w:r>
        <w:rPr>
          <w:rFonts w:ascii="Times New Roman" w:hAnsi="Times New Roman" w:eastAsia="Times New Roman" w:cs="Times New Roman"/>
          <w:sz w:val="21"/>
          <w:szCs w:val="21"/>
          <w:b/>
          <w:bCs/>
          <w:spacing w:val="-1"/>
        </w:rPr>
        <w:t>renal tubular</w:t>
      </w:r>
      <w:r>
        <w:rPr>
          <w:rFonts w:ascii="Times New Roman" w:hAnsi="Times New Roman" w:eastAsia="Times New Roman" w:cs="Times New Roman"/>
          <w:sz w:val="21"/>
          <w:szCs w:val="21"/>
          <w:b/>
          <w:bCs/>
          <w:spacing w:val="10"/>
        </w:rPr>
        <w:t xml:space="preserve"> </w:t>
      </w:r>
      <w:r>
        <w:rPr>
          <w:rFonts w:ascii="Times New Roman" w:hAnsi="Times New Roman" w:eastAsia="Times New Roman" w:cs="Times New Roman"/>
          <w:sz w:val="21"/>
          <w:szCs w:val="21"/>
          <w:b/>
          <w:bCs/>
          <w:spacing w:val="-1"/>
        </w:rPr>
        <w:t>acidosis.Br</w:t>
      </w:r>
      <w:r>
        <w:rPr>
          <w:rFonts w:ascii="Times New Roman" w:hAnsi="Times New Roman" w:eastAsia="Times New Roman" w:cs="Times New Roman"/>
          <w:sz w:val="21"/>
          <w:szCs w:val="21"/>
          <w:b/>
          <w:bCs/>
          <w:spacing w:val="2"/>
        </w:rPr>
        <w:t xml:space="preserve"> </w:t>
      </w:r>
      <w:r>
        <w:rPr>
          <w:rFonts w:ascii="Times New Roman" w:hAnsi="Times New Roman" w:eastAsia="Times New Roman" w:cs="Times New Roman"/>
          <w:sz w:val="21"/>
          <w:szCs w:val="21"/>
          <w:b/>
          <w:bCs/>
          <w:spacing w:val="-1"/>
        </w:rPr>
        <w:t>J</w:t>
      </w:r>
      <w:r>
        <w:rPr>
          <w:rFonts w:ascii="Times New Roman" w:hAnsi="Times New Roman" w:eastAsia="Times New Roman" w:cs="Times New Roman"/>
          <w:sz w:val="21"/>
          <w:szCs w:val="21"/>
          <w:b/>
          <w:bCs/>
          <w:spacing w:val="5"/>
        </w:rPr>
        <w:t xml:space="preserve"> </w:t>
      </w:r>
      <w:r>
        <w:rPr>
          <w:rFonts w:ascii="Times New Roman" w:hAnsi="Times New Roman" w:eastAsia="Times New Roman" w:cs="Times New Roman"/>
          <w:sz w:val="21"/>
          <w:szCs w:val="21"/>
          <w:b/>
          <w:bCs/>
          <w:spacing w:val="-1"/>
        </w:rPr>
        <w:t>Uro</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b/>
          <w:bCs/>
          <w:spacing w:val="-1"/>
        </w:rPr>
        <w:t>1989;63:581~583.</w:t>
      </w:r>
    </w:p>
    <w:p>
      <w:pPr>
        <w:ind w:left="330"/>
        <w:spacing w:before="7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ht </w:t>
      </w:r>
      <w:r>
        <w:rPr>
          <w:rFonts w:ascii="Times New Roman" w:hAnsi="Times New Roman" w:eastAsia="Times New Roman" w:cs="Times New Roman"/>
          <w:sz w:val="21"/>
          <w:szCs w:val="21"/>
          <w:b/>
          <w:bCs/>
          <w:spacing w:val="-5"/>
        </w:rPr>
        <w:t>p:/www.ncbi.nlm.nih.gov/entrez/query.fcgi?cmd=Retrieve&amp;db=PubMed&amp;list_uids=2752250&amp;dopt=Abstrac</w:t>
      </w:r>
      <w:r>
        <w:rPr>
          <w:rFonts w:ascii="Times New Roman" w:hAnsi="Times New Roman" w:eastAsia="Times New Roman" w:cs="Times New Roman"/>
          <w:sz w:val="21"/>
          <w:szCs w:val="21"/>
          <w:spacing w:val="-5"/>
        </w:rPr>
        <w:t>t</w:t>
      </w:r>
    </w:p>
    <w:p>
      <w:pPr>
        <w:ind w:left="4840"/>
        <w:spacing w:before="279"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rPr>
        <w:t>—192—</w:t>
      </w:r>
    </w:p>
    <w:p>
      <w:pPr>
        <w:rPr>
          <w:rFonts w:ascii="Arial"/>
          <w:sz w:val="21"/>
        </w:rPr>
      </w:pPr>
      <w:r/>
    </w:p>
    <w:p>
      <w:pPr>
        <w:spacing w:line="241" w:lineRule="auto"/>
        <w:rPr>
          <w:rFonts w:ascii="Arial"/>
          <w:sz w:val="21"/>
        </w:rPr>
      </w:pPr>
      <w:r/>
    </w:p>
    <w:p>
      <w:pPr>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4">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pgSz w:w="11850" w:h="16140"/>
          <w:pgMar w:top="400" w:right="1585" w:bottom="0" w:left="380" w:header="0" w:footer="0" w:gutter="0"/>
        </w:sectPr>
        <w:rPr>
          <w:rFonts w:ascii="Times New Roman" w:hAnsi="Times New Roman" w:eastAsia="Times New Roman" w:cs="Times New Roman"/>
          <w:sz w:val="21"/>
          <w:szCs w:val="21"/>
        </w:rPr>
      </w:pPr>
    </w:p>
    <w:p>
      <w:pPr>
        <w:spacing w:line="337" w:lineRule="auto"/>
        <w:rPr>
          <w:rFonts w:ascii="Arial"/>
          <w:sz w:val="21"/>
        </w:rPr>
      </w:pPr>
      <w:r/>
    </w:p>
    <w:p>
      <w:pPr>
        <w:ind w:firstLine="7369"/>
        <w:spacing w:line="480" w:lineRule="exact"/>
        <w:rPr/>
      </w:pPr>
      <w:r>
        <w:rPr>
          <w:position w:val="-9"/>
        </w:rPr>
        <w:drawing>
          <wp:inline distT="0" distB="0" distL="0" distR="0">
            <wp:extent cx="1739872" cy="304802"/>
            <wp:effectExtent l="0" t="0" r="0" b="0"/>
            <wp:docPr id="64" name="IM 64"/>
            <wp:cNvGraphicFramePr/>
            <a:graphic>
              <a:graphicData uri="http://schemas.openxmlformats.org/drawingml/2006/picture">
                <pic:pic>
                  <pic:nvPicPr>
                    <pic:cNvPr id="64" name="IM 64"/>
                    <pic:cNvPicPr/>
                  </pic:nvPicPr>
                  <pic:blipFill>
                    <a:blip r:embed="rId77"/>
                    <a:stretch>
                      <a:fillRect/>
                    </a:stretch>
                  </pic:blipFill>
                  <pic:spPr>
                    <a:xfrm rot="0">
                      <a:off x="0" y="0"/>
                      <a:ext cx="1739872" cy="304802"/>
                    </a:xfrm>
                    <a:prstGeom prst="rect">
                      <a:avLst/>
                    </a:prstGeom>
                  </pic:spPr>
                </pic:pic>
              </a:graphicData>
            </a:graphic>
          </wp:inline>
        </w:drawing>
      </w:r>
    </w:p>
    <w:p>
      <w:pPr>
        <w:ind w:left="439"/>
        <w:spacing w:before="21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18.Buckalew</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VM</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Jr.Nephrolit</w:t>
      </w:r>
      <w:r>
        <w:rPr>
          <w:rFonts w:ascii="Times New Roman" w:hAnsi="Times New Roman" w:eastAsia="Times New Roman" w:cs="Times New Roman"/>
          <w:sz w:val="21"/>
          <w:szCs w:val="21"/>
          <w:spacing w:val="-1"/>
        </w:rPr>
        <w:t>hiasis</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renal</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tubular</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acidosis.J</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Urol  1989;141:731-737.</w:t>
      </w:r>
    </w:p>
    <w:p>
      <w:pPr>
        <w:ind w:left="439"/>
        <w:spacing w:before="176" w:line="192" w:lineRule="auto"/>
        <w:rPr>
          <w:rFonts w:ascii="Times New Roman" w:hAnsi="Times New Roman" w:eastAsia="Times New Roman" w:cs="Times New Roman"/>
          <w:sz w:val="21"/>
          <w:szCs w:val="21"/>
        </w:rPr>
      </w:pPr>
      <w:hyperlink w:history="true" r:id="rId78">
        <w:r>
          <w:rPr>
            <w:rFonts w:ascii="Times New Roman" w:hAnsi="Times New Roman" w:eastAsia="Times New Roman" w:cs="Times New Roman"/>
            <w:sz w:val="21"/>
            <w:szCs w:val="21"/>
          </w:rPr>
          <w:t>http://www.ncbi.nlm.nih.gov/entrez/query.fcgi?cmd=Retrieve&amp;db=PubMed&amp;list_uids=2645431&amp;do</w:t>
        </w:r>
        <w:r>
          <w:rPr>
            <w:rFonts w:ascii="Times New Roman" w:hAnsi="Times New Roman" w:eastAsia="Times New Roman" w:cs="Times New Roman"/>
            <w:sz w:val="21"/>
            <w:szCs w:val="21"/>
            <w:spacing w:val="-1"/>
          </w:rPr>
          <w:t>pt=Abstract</w:t>
        </w:r>
      </w:hyperlink>
    </w:p>
    <w:p>
      <w:pPr>
        <w:ind w:left="439" w:right="102"/>
        <w:spacing w:before="116" w:line="284" w:lineRule="auto"/>
        <w:rPr>
          <w:rFonts w:ascii="Times New Roman" w:hAnsi="Times New Roman" w:eastAsia="Times New Roman" w:cs="Times New Roman"/>
          <w:sz w:val="21"/>
          <w:szCs w:val="21"/>
        </w:rPr>
      </w:pPr>
      <w:hyperlink w:history="true" r:id="rId78">
        <w:r>
          <w:rPr>
            <w:rFonts w:ascii="Times New Roman" w:hAnsi="Times New Roman" w:eastAsia="Times New Roman" w:cs="Times New Roman"/>
            <w:sz w:val="21"/>
            <w:szCs w:val="21"/>
          </w:rPr>
          <w:t>19.Halabe  A</w:t>
        </w:r>
      </w:hyperlink>
      <w:r>
        <w:rPr>
          <w:rFonts w:ascii="Times New Roman" w:hAnsi="Times New Roman" w:eastAsia="Times New Roman" w:cs="Times New Roman"/>
          <w:sz w:val="21"/>
          <w:szCs w:val="21"/>
        </w:rPr>
        <w:t>,</w:t>
      </w:r>
      <w:hyperlink w:history="true" r:id="rId79">
        <w:r>
          <w:rPr>
            <w:rFonts w:ascii="Times New Roman" w:hAnsi="Times New Roman" w:eastAsia="Times New Roman" w:cs="Times New Roman"/>
            <w:sz w:val="21"/>
            <w:szCs w:val="21"/>
          </w:rPr>
          <w:t>Sutton</w:t>
        </w:r>
      </w:hyperlink>
      <w:r>
        <w:rPr>
          <w:rFonts w:ascii="Times New Roman" w:hAnsi="Times New Roman" w:eastAsia="Times New Roman" w:cs="Times New Roman"/>
          <w:sz w:val="21"/>
          <w:szCs w:val="21"/>
        </w:rPr>
        <w:t xml:space="preserve">  RA.Primary  hyperparathyroidism  and  idiopathic  hypercalciuria.Min</w:t>
      </w:r>
      <w:r>
        <w:rPr>
          <w:rFonts w:ascii="Times New Roman" w:hAnsi="Times New Roman" w:eastAsia="Times New Roman" w:cs="Times New Roman"/>
          <w:sz w:val="21"/>
          <w:szCs w:val="21"/>
          <w:spacing w:val="-1"/>
        </w:rPr>
        <w:t>er  Electrolyte  Metab</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1987;13:235-241.</w:t>
      </w:r>
    </w:p>
    <w:p>
      <w:pPr>
        <w:ind w:left="439"/>
        <w:spacing w:before="108" w:line="192" w:lineRule="auto"/>
        <w:rPr>
          <w:rFonts w:ascii="Times New Roman" w:hAnsi="Times New Roman" w:eastAsia="Times New Roman" w:cs="Times New Roman"/>
          <w:sz w:val="21"/>
          <w:szCs w:val="21"/>
        </w:rPr>
      </w:pPr>
      <w:hyperlink w:history="true" r:id="rId78">
        <w:r>
          <w:rPr>
            <w:rFonts w:ascii="Times New Roman" w:hAnsi="Times New Roman" w:eastAsia="Times New Roman" w:cs="Times New Roman"/>
            <w:sz w:val="21"/>
            <w:szCs w:val="21"/>
          </w:rPr>
          <w:t>http://www.ncbi.nlm.nih.gov/entrez/query.fcgi?cmd=Retrieve&amp;db=PubMed&amp;list_uids=3306315&amp;do</w:t>
        </w:r>
        <w:r>
          <w:rPr>
            <w:rFonts w:ascii="Times New Roman" w:hAnsi="Times New Roman" w:eastAsia="Times New Roman" w:cs="Times New Roman"/>
            <w:sz w:val="21"/>
            <w:szCs w:val="21"/>
            <w:spacing w:val="-1"/>
          </w:rPr>
          <w:t>pt=Abstract</w:t>
        </w:r>
      </w:hyperlink>
    </w:p>
    <w:p>
      <w:pPr>
        <w:ind w:left="439" w:right="89"/>
        <w:spacing w:before="138" w:line="302" w:lineRule="auto"/>
        <w:rPr>
          <w:rFonts w:ascii="Times New Roman" w:hAnsi="Times New Roman" w:eastAsia="Times New Roman" w:cs="Times New Roman"/>
          <w:sz w:val="21"/>
          <w:szCs w:val="21"/>
        </w:rPr>
      </w:pPr>
      <w:hyperlink w:history="true" r:id="rId78">
        <w:r>
          <w:rPr>
            <w:rFonts w:ascii="Times New Roman" w:hAnsi="Times New Roman" w:eastAsia="Times New Roman" w:cs="Times New Roman"/>
            <w:sz w:val="21"/>
            <w:szCs w:val="21"/>
          </w:rPr>
          <w:t>20.Fuss  M</w:t>
        </w:r>
      </w:hyperlink>
      <w:r>
        <w:rPr>
          <w:rFonts w:ascii="Times New Roman" w:hAnsi="Times New Roman" w:eastAsia="Times New Roman" w:cs="Times New Roman"/>
          <w:sz w:val="21"/>
          <w:szCs w:val="21"/>
        </w:rPr>
        <w:t>,</w:t>
      </w:r>
      <w:hyperlink w:history="true" r:id="rId80">
        <w:r>
          <w:rPr>
            <w:rFonts w:ascii="Times New Roman" w:hAnsi="Times New Roman" w:eastAsia="Times New Roman" w:cs="Times New Roman"/>
            <w:sz w:val="21"/>
            <w:szCs w:val="21"/>
          </w:rPr>
          <w:t>Pepersack</w:t>
        </w:r>
      </w:hyperlink>
      <w:r>
        <w:rPr>
          <w:rFonts w:ascii="Times New Roman" w:hAnsi="Times New Roman" w:eastAsia="Times New Roman" w:cs="Times New Roman"/>
          <w:sz w:val="21"/>
          <w:szCs w:val="21"/>
        </w:rPr>
        <w:t xml:space="preserve">  T,Corvilain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J,Vandewalle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JC,Van   Geertruyden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J,S</w:t>
      </w:r>
      <w:r>
        <w:rPr>
          <w:rFonts w:ascii="Times New Roman" w:hAnsi="Times New Roman" w:eastAsia="Times New Roman" w:cs="Times New Roman"/>
          <w:sz w:val="21"/>
          <w:szCs w:val="21"/>
          <w:spacing w:val="-1"/>
        </w:rPr>
        <w:t>imon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J,Kinnaert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P.Infrequency   of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primary</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hyperparathyroidism</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i</w:t>
      </w:r>
      <w:r>
        <w:rPr>
          <w:rFonts w:ascii="Times New Roman" w:hAnsi="Times New Roman" w:eastAsia="Times New Roman" w:cs="Times New Roman"/>
          <w:sz w:val="21"/>
          <w:szCs w:val="21"/>
          <w:spacing w:val="-1"/>
        </w:rPr>
        <w:t>n</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renal</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formers.Br</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JUrol  1988;62:4-6.</w:t>
      </w:r>
    </w:p>
    <w:p>
      <w:pPr>
        <w:ind w:left="439"/>
        <w:spacing w:before="62" w:line="192" w:lineRule="auto"/>
        <w:rPr>
          <w:rFonts w:ascii="Times New Roman" w:hAnsi="Times New Roman" w:eastAsia="Times New Roman" w:cs="Times New Roman"/>
          <w:sz w:val="21"/>
          <w:szCs w:val="21"/>
        </w:rPr>
      </w:pPr>
      <w:hyperlink w:history="true" r:id="rId78">
        <w:r>
          <w:rPr>
            <w:rFonts w:ascii="Times New Roman" w:hAnsi="Times New Roman" w:eastAsia="Times New Roman" w:cs="Times New Roman"/>
            <w:sz w:val="21"/>
            <w:szCs w:val="21"/>
          </w:rPr>
          <w:t>http://www.ncbi.nlm.nih.gov/entrez/query.fcgi?cmd=Retrieve&amp;db=PubMed&amp;list_uids=3408867&amp;do</w:t>
        </w:r>
        <w:r>
          <w:rPr>
            <w:rFonts w:ascii="Times New Roman" w:hAnsi="Times New Roman" w:eastAsia="Times New Roman" w:cs="Times New Roman"/>
            <w:sz w:val="21"/>
            <w:szCs w:val="21"/>
            <w:spacing w:val="-1"/>
          </w:rPr>
          <w:t>pt=Abstract</w:t>
        </w:r>
      </w:hyperlink>
    </w:p>
    <w:p>
      <w:pPr>
        <w:ind w:left="439"/>
        <w:spacing w:before="126" w:line="192" w:lineRule="auto"/>
        <w:rPr>
          <w:rFonts w:ascii="Times New Roman" w:hAnsi="Times New Roman" w:eastAsia="Times New Roman" w:cs="Times New Roman"/>
          <w:sz w:val="21"/>
          <w:szCs w:val="21"/>
        </w:rPr>
      </w:pPr>
      <w:hyperlink w:history="true" r:id="rId78">
        <w:r>
          <w:rPr>
            <w:rFonts w:ascii="Times New Roman" w:hAnsi="Times New Roman" w:eastAsia="Times New Roman" w:cs="Times New Roman"/>
            <w:sz w:val="21"/>
            <w:szCs w:val="21"/>
          </w:rPr>
          <w:t>21.Broadus  AE.Primary  hyperparathyro</w:t>
        </w:r>
        <w:r>
          <w:rPr>
            <w:rFonts w:ascii="Times New Roman" w:hAnsi="Times New Roman" w:eastAsia="Times New Roman" w:cs="Times New Roman"/>
            <w:sz w:val="21"/>
            <w:szCs w:val="21"/>
            <w:spacing w:val="-1"/>
          </w:rPr>
          <w:t>idism.J  Urol   1989</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8"/>
        </w:rPr>
        <w:t xml:space="preserve"> </w:t>
      </w:r>
      <w:hyperlink w:history="true" r:id="rId81">
        <w:r>
          <w:rPr>
            <w:rFonts w:ascii="Times New Roman" w:hAnsi="Times New Roman" w:eastAsia="Times New Roman" w:cs="Times New Roman"/>
            <w:sz w:val="21"/>
            <w:szCs w:val="21"/>
            <w:spacing w:val="-1"/>
          </w:rPr>
          <w:t>141:723-730</w:t>
        </w:r>
      </w:hyperlink>
      <w:r>
        <w:rPr>
          <w:rFonts w:ascii="Times New Roman" w:hAnsi="Times New Roman" w:eastAsia="Times New Roman" w:cs="Times New Roman"/>
          <w:sz w:val="21"/>
          <w:szCs w:val="21"/>
          <w:spacing w:val="-1"/>
        </w:rPr>
        <w:t>.</w:t>
      </w:r>
    </w:p>
    <w:p>
      <w:pPr>
        <w:ind w:left="439"/>
        <w:spacing w:before="137" w:line="192" w:lineRule="auto"/>
        <w:rPr>
          <w:rFonts w:ascii="Times New Roman" w:hAnsi="Times New Roman" w:eastAsia="Times New Roman" w:cs="Times New Roman"/>
          <w:sz w:val="21"/>
          <w:szCs w:val="21"/>
        </w:rPr>
      </w:pPr>
      <w:hyperlink w:history="true" r:id="rId78">
        <w:r>
          <w:rPr>
            <w:rFonts w:ascii="Times New Roman" w:hAnsi="Times New Roman" w:eastAsia="Times New Roman" w:cs="Times New Roman"/>
            <w:sz w:val="21"/>
            <w:szCs w:val="21"/>
          </w:rPr>
          <w:t>http://www.ncbi.nlm.nih.gov/entrez/query.fcgi?cmd=Retrieve&amp;db=PubMed&amp;list_uids=2918615&amp;do</w:t>
        </w:r>
        <w:r>
          <w:rPr>
            <w:rFonts w:ascii="Times New Roman" w:hAnsi="Times New Roman" w:eastAsia="Times New Roman" w:cs="Times New Roman"/>
            <w:sz w:val="21"/>
            <w:szCs w:val="21"/>
            <w:spacing w:val="-1"/>
          </w:rPr>
          <w:t>pt=Abstract</w:t>
        </w:r>
      </w:hyperlink>
    </w:p>
    <w:p>
      <w:pPr>
        <w:ind w:left="439" w:right="81"/>
        <w:spacing w:before="147" w:line="301" w:lineRule="auto"/>
        <w:rPr>
          <w:rFonts w:ascii="Times New Roman" w:hAnsi="Times New Roman" w:eastAsia="Times New Roman" w:cs="Times New Roman"/>
          <w:sz w:val="21"/>
          <w:szCs w:val="21"/>
        </w:rPr>
      </w:pPr>
      <w:hyperlink w:history="true" r:id="rId78">
        <w:r>
          <w:rPr>
            <w:rFonts w:ascii="Times New Roman" w:hAnsi="Times New Roman" w:eastAsia="Times New Roman" w:cs="Times New Roman"/>
            <w:sz w:val="21"/>
            <w:szCs w:val="21"/>
            <w:spacing w:val="-1"/>
          </w:rPr>
          <w:t>22.Thomas  WC  Jr.Urinary  calculi</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in  hypercalcemic</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states.Endocrinol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Metab</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Clin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North</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Am   1990</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7"/>
        </w:rPr>
        <w:t xml:space="preserve"> </w:t>
      </w:r>
      <w:hyperlink w:history="true" r:id="rId82">
        <w:r>
          <w:rPr>
            <w:rFonts w:ascii="Times New Roman" w:hAnsi="Times New Roman" w:eastAsia="Times New Roman" w:cs="Times New Roman"/>
            <w:sz w:val="21"/>
            <w:szCs w:val="21"/>
            <w:spacing w:val="-1"/>
          </w:rPr>
          <w:t>19:839</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3"/>
        </w:rPr>
        <w:t>849.</w:t>
      </w:r>
    </w:p>
    <w:p>
      <w:pPr>
        <w:ind w:left="439"/>
        <w:spacing w:before="64" w:line="192" w:lineRule="auto"/>
        <w:rPr>
          <w:rFonts w:ascii="Times New Roman" w:hAnsi="Times New Roman" w:eastAsia="Times New Roman" w:cs="Times New Roman"/>
          <w:sz w:val="21"/>
          <w:szCs w:val="21"/>
        </w:rPr>
      </w:pPr>
      <w:hyperlink w:history="true" r:id="rId78">
        <w:r>
          <w:rPr>
            <w:rFonts w:ascii="Times New Roman" w:hAnsi="Times New Roman" w:eastAsia="Times New Roman" w:cs="Times New Roman"/>
            <w:sz w:val="21"/>
            <w:szCs w:val="21"/>
          </w:rPr>
          <w:t>http://www.ncbi.nlm.nih.gov/entrez/query.fcgi?cmd=Retrieve&amp;db=PubMed&amp;list_uids=2081514&amp;do</w:t>
        </w:r>
        <w:r>
          <w:rPr>
            <w:rFonts w:ascii="Times New Roman" w:hAnsi="Times New Roman" w:eastAsia="Times New Roman" w:cs="Times New Roman"/>
            <w:sz w:val="21"/>
            <w:szCs w:val="21"/>
            <w:spacing w:val="-1"/>
          </w:rPr>
          <w:t>pt=Abstract</w:t>
        </w:r>
      </w:hyperlink>
    </w:p>
    <w:p>
      <w:pPr>
        <w:ind w:left="439" w:right="85"/>
        <w:spacing w:before="147" w:line="255" w:lineRule="auto"/>
        <w:rPr>
          <w:rFonts w:ascii="Times New Roman" w:hAnsi="Times New Roman" w:eastAsia="Times New Roman" w:cs="Times New Roman"/>
          <w:sz w:val="21"/>
          <w:szCs w:val="21"/>
        </w:rPr>
      </w:pPr>
      <w:hyperlink w:history="true" r:id="rId78">
        <w:r>
          <w:rPr>
            <w:rFonts w:ascii="Times New Roman" w:hAnsi="Times New Roman" w:eastAsia="Times New Roman" w:cs="Times New Roman"/>
            <w:sz w:val="21"/>
            <w:szCs w:val="21"/>
          </w:rPr>
          <w:t>23.Rose    GA.Primary    hyperparathyroidism.In:Renal    tract    stone.Wickham    JEA</w:t>
        </w:r>
      </w:hyperlink>
      <w:r>
        <w:rPr>
          <w:rFonts w:ascii="Times New Roman" w:hAnsi="Times New Roman" w:eastAsia="Times New Roman" w:cs="Times New Roman"/>
          <w:sz w:val="21"/>
          <w:szCs w:val="21"/>
        </w:rPr>
        <w:t>,</w:t>
      </w:r>
      <w:hyperlink w:history="true" r:id="rId83">
        <w:r>
          <w:rPr>
            <w:rFonts w:ascii="Times New Roman" w:hAnsi="Times New Roman" w:eastAsia="Times New Roman" w:cs="Times New Roman"/>
            <w:sz w:val="21"/>
            <w:szCs w:val="21"/>
          </w:rPr>
          <w:t>Buck</w:t>
        </w:r>
      </w:hyperlink>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AC(eds).Churchill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Livingstone:Edinburgh,1990,pp     401-413.</w:t>
      </w:r>
    </w:p>
    <w:p>
      <w:pPr>
        <w:ind w:left="439" w:right="88"/>
        <w:spacing w:before="157" w:line="25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24.Alvarez-Arroyo    MV,Traba     ML,Rapado    A,de     la     Piedra </w:t>
      </w:r>
      <w:r>
        <w:rPr>
          <w:rFonts w:ascii="Times New Roman" w:hAnsi="Times New Roman" w:eastAsia="Times New Roman" w:cs="Times New Roman"/>
          <w:sz w:val="21"/>
          <w:szCs w:val="21"/>
          <w:spacing w:val="-1"/>
        </w:rPr>
        <w:t xml:space="preserve">    C.Role    of     citric    acid     in     primary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hyperparathyroidism</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renal</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lithiasis.Urol</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Res </w:t>
      </w:r>
      <w:r>
        <w:rPr>
          <w:rFonts w:ascii="Times New Roman" w:hAnsi="Times New Roman" w:eastAsia="Times New Roman" w:cs="Times New Roman"/>
          <w:sz w:val="21"/>
          <w:szCs w:val="21"/>
          <w:spacing w:val="-1"/>
        </w:rPr>
        <w:t xml:space="preserve"> 1992;20:88-90.</w:t>
      </w:r>
    </w:p>
    <w:p>
      <w:pPr>
        <w:ind w:left="439"/>
        <w:spacing w:before="167" w:line="192" w:lineRule="auto"/>
        <w:rPr>
          <w:rFonts w:ascii="Times New Roman" w:hAnsi="Times New Roman" w:eastAsia="Times New Roman" w:cs="Times New Roman"/>
          <w:sz w:val="21"/>
          <w:szCs w:val="21"/>
        </w:rPr>
      </w:pPr>
      <w:hyperlink w:history="true" r:id="rId78">
        <w:r>
          <w:rPr>
            <w:rFonts w:ascii="Times New Roman" w:hAnsi="Times New Roman" w:eastAsia="Times New Roman" w:cs="Times New Roman"/>
            <w:sz w:val="21"/>
            <w:szCs w:val="21"/>
          </w:rPr>
          <w:t>http://www.ncbi.nlm.nih.gov/entrez/query.fegi?cmd=Retrieve&amp;db=PubMed&amp;list_uids=1736494&amp;do</w:t>
        </w:r>
        <w:r>
          <w:rPr>
            <w:rFonts w:ascii="Times New Roman" w:hAnsi="Times New Roman" w:eastAsia="Times New Roman" w:cs="Times New Roman"/>
            <w:sz w:val="21"/>
            <w:szCs w:val="21"/>
            <w:spacing w:val="-1"/>
          </w:rPr>
          <w:t>pt=Abstract</w:t>
        </w:r>
      </w:hyperlink>
    </w:p>
    <w:p>
      <w:pPr>
        <w:ind w:left="439"/>
        <w:spacing w:before="137" w:line="192" w:lineRule="auto"/>
        <w:rPr>
          <w:rFonts w:ascii="Times New Roman" w:hAnsi="Times New Roman" w:eastAsia="Times New Roman" w:cs="Times New Roman"/>
          <w:sz w:val="21"/>
          <w:szCs w:val="21"/>
        </w:rPr>
      </w:pPr>
      <w:hyperlink w:history="true" r:id="rId78">
        <w:r>
          <w:rPr>
            <w:rFonts w:ascii="Times New Roman" w:hAnsi="Times New Roman" w:eastAsia="Times New Roman" w:cs="Times New Roman"/>
            <w:sz w:val="21"/>
            <w:szCs w:val="21"/>
          </w:rPr>
          <w:t>25.Elliot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JS</w:t>
        </w:r>
      </w:hyperlink>
      <w:r>
        <w:rPr>
          <w:rFonts w:ascii="Times New Roman" w:hAnsi="Times New Roman" w:eastAsia="Times New Roman" w:cs="Times New Roman"/>
          <w:sz w:val="21"/>
          <w:szCs w:val="21"/>
        </w:rPr>
        <w:t>,</w:t>
      </w:r>
      <w:hyperlink w:history="true" r:id="rId84">
        <w:r>
          <w:rPr>
            <w:rFonts w:ascii="Times New Roman" w:hAnsi="Times New Roman" w:eastAsia="Times New Roman" w:cs="Times New Roman"/>
            <w:sz w:val="21"/>
            <w:szCs w:val="21"/>
          </w:rPr>
          <w:t>Sharp</w:t>
        </w:r>
      </w:hyperlink>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RF,Lewis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L.</w:t>
      </w:r>
      <w:r>
        <w:rPr>
          <w:rFonts w:ascii="Times New Roman" w:hAnsi="Times New Roman" w:eastAsia="Times New Roman" w:cs="Times New Roman"/>
          <w:sz w:val="21"/>
          <w:szCs w:val="21"/>
          <w:spacing w:val="-1"/>
        </w:rPr>
        <w:t>Urinary</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pH.J</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1959;81:339-343.</w:t>
      </w:r>
    </w:p>
    <w:p>
      <w:pPr>
        <w:ind w:left="439"/>
        <w:spacing w:before="146" w:line="192" w:lineRule="auto"/>
        <w:rPr>
          <w:rFonts w:ascii="Times New Roman" w:hAnsi="Times New Roman" w:eastAsia="Times New Roman" w:cs="Times New Roman"/>
          <w:sz w:val="21"/>
          <w:szCs w:val="21"/>
        </w:rPr>
      </w:pPr>
      <w:hyperlink w:history="true" r:id="rId78">
        <w:r>
          <w:rPr>
            <w:rFonts w:ascii="Times New Roman" w:hAnsi="Times New Roman" w:eastAsia="Times New Roman" w:cs="Times New Roman"/>
            <w:sz w:val="21"/>
            <w:szCs w:val="21"/>
            <w:spacing w:val="-3"/>
          </w:rPr>
          <w:t>http://www.ncbi.nlm.ni</w:t>
        </w:r>
        <w:r>
          <w:rPr>
            <w:rFonts w:ascii="Times New Roman" w:hAnsi="Times New Roman" w:eastAsia="Times New Roman" w:cs="Times New Roman"/>
            <w:sz w:val="21"/>
            <w:szCs w:val="21"/>
            <w:spacing w:val="-4"/>
          </w:rPr>
          <w:t>h.gov/entrez/query.fcgi?cmd=Retrieve&amp;db=PubMed&amp;list_uids=13631832&amp;dopt=Abstract</w:t>
        </w:r>
      </w:hyperlink>
    </w:p>
    <w:p>
      <w:pPr>
        <w:ind w:left="439"/>
        <w:spacing w:before="137" w:line="192" w:lineRule="auto"/>
        <w:rPr>
          <w:rFonts w:ascii="Times New Roman" w:hAnsi="Times New Roman" w:eastAsia="Times New Roman" w:cs="Times New Roman"/>
          <w:sz w:val="21"/>
          <w:szCs w:val="21"/>
        </w:rPr>
      </w:pPr>
      <w:hyperlink w:history="true" r:id="rId78">
        <w:r>
          <w:rPr>
            <w:rFonts w:ascii="Times New Roman" w:hAnsi="Times New Roman" w:eastAsia="Times New Roman" w:cs="Times New Roman"/>
            <w:sz w:val="21"/>
            <w:szCs w:val="21"/>
          </w:rPr>
          <w:t>26.Chafe</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L</w:t>
        </w:r>
      </w:hyperlink>
      <w:r>
        <w:rPr>
          <w:rFonts w:ascii="Times New Roman" w:hAnsi="Times New Roman" w:eastAsia="Times New Roman" w:cs="Times New Roman"/>
          <w:sz w:val="21"/>
          <w:szCs w:val="21"/>
        </w:rPr>
        <w:t>,</w:t>
      </w:r>
      <w:hyperlink w:history="true" r:id="rId44">
        <w:r>
          <w:rPr>
            <w:rFonts w:ascii="Times New Roman" w:hAnsi="Times New Roman" w:eastAsia="Times New Roman" w:cs="Times New Roman"/>
            <w:sz w:val="21"/>
            <w:szCs w:val="21"/>
          </w:rPr>
          <w:t>Gault</w:t>
        </w:r>
      </w:hyperlink>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MH.First</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morning</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urine</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pH</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diagnosis</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renal</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tubular</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acidosis</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nephrolithiasis.</w:t>
      </w:r>
    </w:p>
    <w:p>
      <w:pPr>
        <w:ind w:left="439"/>
        <w:spacing w:before="12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Clin</w:t>
      </w:r>
      <w:r>
        <w:rPr>
          <w:rFonts w:ascii="Times New Roman" w:hAnsi="Times New Roman" w:eastAsia="Times New Roman" w:cs="Times New Roman"/>
          <w:sz w:val="21"/>
          <w:szCs w:val="21"/>
          <w:spacing w:val="52"/>
        </w:rPr>
        <w:t xml:space="preserve"> </w:t>
      </w:r>
      <w:r>
        <w:rPr>
          <w:rFonts w:ascii="Times New Roman" w:hAnsi="Times New Roman" w:eastAsia="Times New Roman" w:cs="Times New Roman"/>
          <w:sz w:val="21"/>
          <w:szCs w:val="21"/>
        </w:rPr>
        <w:t>Nephrol  1994;41:159-162.</w:t>
      </w:r>
    </w:p>
    <w:p>
      <w:pPr>
        <w:ind w:left="439"/>
        <w:spacing w:before="176" w:line="192" w:lineRule="auto"/>
        <w:rPr>
          <w:rFonts w:ascii="Times New Roman" w:hAnsi="Times New Roman" w:eastAsia="Times New Roman" w:cs="Times New Roman"/>
          <w:sz w:val="21"/>
          <w:szCs w:val="21"/>
        </w:rPr>
      </w:pPr>
      <w:hyperlink w:history="true" r:id="rId78">
        <w:r>
          <w:rPr>
            <w:rFonts w:ascii="Times New Roman" w:hAnsi="Times New Roman" w:eastAsia="Times New Roman" w:cs="Times New Roman"/>
            <w:sz w:val="21"/>
            <w:szCs w:val="21"/>
          </w:rPr>
          <w:t>http://www.ncbi.nlm.nih.gov/entrez/query.fcgi?cmd=Retrieve&amp;db=PubMed&amp;list_uids=8187359&amp;do</w:t>
        </w:r>
        <w:r>
          <w:rPr>
            <w:rFonts w:ascii="Times New Roman" w:hAnsi="Times New Roman" w:eastAsia="Times New Roman" w:cs="Times New Roman"/>
            <w:sz w:val="21"/>
            <w:szCs w:val="21"/>
            <w:spacing w:val="-1"/>
          </w:rPr>
          <w:t>pt=Abstract</w:t>
        </w:r>
      </w:hyperlink>
    </w:p>
    <w:p>
      <w:pPr>
        <w:ind w:left="439" w:right="84"/>
        <w:spacing w:before="137" w:line="255" w:lineRule="auto"/>
        <w:rPr>
          <w:rFonts w:ascii="Times New Roman" w:hAnsi="Times New Roman" w:eastAsia="Times New Roman" w:cs="Times New Roman"/>
          <w:sz w:val="21"/>
          <w:szCs w:val="21"/>
        </w:rPr>
      </w:pPr>
      <w:hyperlink w:history="true" r:id="rId78">
        <w:r>
          <w:rPr>
            <w:rFonts w:ascii="Times New Roman" w:hAnsi="Times New Roman" w:eastAsia="Times New Roman" w:cs="Times New Roman"/>
            <w:sz w:val="21"/>
            <w:szCs w:val="21"/>
          </w:rPr>
          <w:t>27.Brand  E</w:t>
        </w:r>
      </w:hyperlink>
      <w:r>
        <w:rPr>
          <w:rFonts w:ascii="Times New Roman" w:hAnsi="Times New Roman" w:eastAsia="Times New Roman" w:cs="Times New Roman"/>
          <w:sz w:val="21"/>
          <w:szCs w:val="21"/>
        </w:rPr>
        <w:t>,</w:t>
      </w:r>
      <w:hyperlink w:history="true" r:id="rId54">
        <w:r>
          <w:rPr>
            <w:rFonts w:ascii="Times New Roman" w:hAnsi="Times New Roman" w:eastAsia="Times New Roman" w:cs="Times New Roman"/>
            <w:sz w:val="21"/>
            <w:szCs w:val="21"/>
          </w:rPr>
          <w:t>Harris</w:t>
        </w:r>
      </w:hyperlink>
      <w:r>
        <w:rPr>
          <w:rFonts w:ascii="Times New Roman" w:hAnsi="Times New Roman" w:eastAsia="Times New Roman" w:cs="Times New Roman"/>
          <w:sz w:val="21"/>
          <w:szCs w:val="21"/>
        </w:rPr>
        <w:t xml:space="preserve">  MM,Bildon  S.Cystinuria:excretion  of  a  cystine  complex  which  decomposes</w:t>
      </w:r>
      <w:r>
        <w:rPr>
          <w:rFonts w:ascii="Times New Roman" w:hAnsi="Times New Roman" w:eastAsia="Times New Roman" w:cs="Times New Roman"/>
          <w:sz w:val="21"/>
          <w:szCs w:val="21"/>
          <w:spacing w:val="-1"/>
        </w:rPr>
        <w:t xml:space="preserve">  in  the  urine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liberation</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of free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cystine.J</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Biol</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Chem</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1930;86:315.</w:t>
      </w:r>
    </w:p>
    <w:p>
      <w:pPr>
        <w:ind w:left="439" w:right="89"/>
        <w:spacing w:before="167" w:line="2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28.Brown</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JM,Chalmers</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AH,Coxley</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DM,MeWhinney</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1"/>
        </w:rPr>
        <w:t>C.Enteric</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hyperoxaluria</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urolithiasis.N</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Engl</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Med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1986;32:2073-2074   an</w:t>
      </w:r>
      <w:r>
        <w:rPr>
          <w:rFonts w:ascii="Times New Roman" w:hAnsi="Times New Roman" w:eastAsia="Times New Roman" w:cs="Times New Roman"/>
          <w:sz w:val="21"/>
          <w:szCs w:val="21"/>
          <w:spacing w:val="-1"/>
        </w:rPr>
        <w:t>d   1986;315:970-971.</w:t>
      </w:r>
    </w:p>
    <w:p>
      <w:pPr>
        <w:ind w:left="439"/>
        <w:spacing w:before="156" w:line="192" w:lineRule="auto"/>
        <w:rPr>
          <w:rFonts w:ascii="Times New Roman" w:hAnsi="Times New Roman" w:eastAsia="Times New Roman" w:cs="Times New Roman"/>
          <w:sz w:val="21"/>
          <w:szCs w:val="21"/>
        </w:rPr>
      </w:pPr>
      <w:hyperlink w:history="true" r:id="rId78">
        <w:r>
          <w:rPr>
            <w:rFonts w:ascii="Times New Roman" w:hAnsi="Times New Roman" w:eastAsia="Times New Roman" w:cs="Times New Roman"/>
            <w:sz w:val="21"/>
            <w:szCs w:val="21"/>
          </w:rPr>
          <w:t>http://www.ncbi.nlm.nih.gov/entrez/query.fcgi?cmd=Retrieve&amp;db=PubMed&amp;list_uids=3762602&amp;do</w:t>
        </w:r>
        <w:r>
          <w:rPr>
            <w:rFonts w:ascii="Times New Roman" w:hAnsi="Times New Roman" w:eastAsia="Times New Roman" w:cs="Times New Roman"/>
            <w:sz w:val="21"/>
            <w:szCs w:val="21"/>
            <w:spacing w:val="-1"/>
          </w:rPr>
          <w:t>pt=Abstract</w:t>
        </w:r>
      </w:hyperlink>
    </w:p>
    <w:p>
      <w:pPr>
        <w:ind w:left="439" w:right="84"/>
        <w:spacing w:before="138" w:line="311" w:lineRule="auto"/>
        <w:rPr>
          <w:rFonts w:ascii="Times New Roman" w:hAnsi="Times New Roman" w:eastAsia="Times New Roman" w:cs="Times New Roman"/>
          <w:sz w:val="21"/>
          <w:szCs w:val="21"/>
        </w:rPr>
      </w:pPr>
      <w:hyperlink w:history="true" r:id="rId78">
        <w:r>
          <w:rPr>
            <w:rFonts w:ascii="Times New Roman" w:hAnsi="Times New Roman" w:eastAsia="Times New Roman" w:cs="Times New Roman"/>
            <w:sz w:val="21"/>
            <w:szCs w:val="21"/>
          </w:rPr>
          <w:t>29.Wandzilak  TR</w:t>
        </w:r>
      </w:hyperlink>
      <w:r>
        <w:rPr>
          <w:rFonts w:ascii="Times New Roman" w:hAnsi="Times New Roman" w:eastAsia="Times New Roman" w:cs="Times New Roman"/>
          <w:sz w:val="21"/>
          <w:szCs w:val="21"/>
        </w:rPr>
        <w:t>,</w:t>
      </w:r>
      <w:hyperlink w:history="true" r:id="rId85">
        <w:r>
          <w:rPr>
            <w:rFonts w:ascii="Times New Roman" w:hAnsi="Times New Roman" w:eastAsia="Times New Roman" w:cs="Times New Roman"/>
            <w:sz w:val="21"/>
            <w:szCs w:val="21"/>
          </w:rPr>
          <w:t>D</w:t>
        </w:r>
      </w:hyperlink>
      <w:r>
        <w:rPr>
          <w:rFonts w:ascii="Times New Roman" w:hAnsi="Times New Roman" w:eastAsia="Times New Roman" w:cs="Times New Roman"/>
          <w:sz w:val="21"/>
          <w:szCs w:val="21"/>
        </w:rPr>
        <w:t>’</w:t>
      </w:r>
      <w:hyperlink w:history="true" r:id="rId86">
        <w:r>
          <w:rPr>
            <w:rFonts w:ascii="Times New Roman" w:hAnsi="Times New Roman" w:eastAsia="Times New Roman" w:cs="Times New Roman"/>
            <w:sz w:val="21"/>
            <w:szCs w:val="21"/>
          </w:rPr>
          <w:t>Andre</w:t>
        </w:r>
      </w:hyperlink>
      <w:r>
        <w:rPr>
          <w:rFonts w:ascii="Times New Roman" w:hAnsi="Times New Roman" w:eastAsia="Times New Roman" w:cs="Times New Roman"/>
          <w:sz w:val="21"/>
          <w:szCs w:val="21"/>
        </w:rPr>
        <w:t xml:space="preserve">   SD,Davis  PA,Williams  HE.Effect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of  high</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dose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vitamin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urinary</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oxalate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levels.J</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Urol   1994;151:834-837.</w:t>
      </w:r>
    </w:p>
    <w:p>
      <w:pPr>
        <w:ind w:left="439"/>
        <w:spacing w:before="53" w:line="192" w:lineRule="auto"/>
        <w:rPr>
          <w:rFonts w:ascii="Times New Roman" w:hAnsi="Times New Roman" w:eastAsia="Times New Roman" w:cs="Times New Roman"/>
          <w:sz w:val="21"/>
          <w:szCs w:val="21"/>
        </w:rPr>
      </w:pPr>
      <w:hyperlink w:history="true" r:id="rId78">
        <w:r>
          <w:rPr>
            <w:rFonts w:ascii="Times New Roman" w:hAnsi="Times New Roman" w:eastAsia="Times New Roman" w:cs="Times New Roman"/>
            <w:sz w:val="21"/>
            <w:szCs w:val="21"/>
          </w:rPr>
          <w:t>http://www.ncbi.nlm.nih.gov/entrez/query.fcgi?cmd=Retrieve&amp;db=PubMed&amp;list_uids=8126804&amp;do</w:t>
        </w:r>
        <w:r>
          <w:rPr>
            <w:rFonts w:ascii="Times New Roman" w:hAnsi="Times New Roman" w:eastAsia="Times New Roman" w:cs="Times New Roman"/>
            <w:sz w:val="21"/>
            <w:szCs w:val="21"/>
            <w:spacing w:val="-1"/>
          </w:rPr>
          <w:t>pt=Abstract</w:t>
        </w:r>
      </w:hyperlink>
    </w:p>
    <w:p>
      <w:pPr>
        <w:ind w:left="439" w:right="89"/>
        <w:spacing w:before="147" w:line="270" w:lineRule="auto"/>
        <w:rPr>
          <w:rFonts w:ascii="Times New Roman" w:hAnsi="Times New Roman" w:eastAsia="Times New Roman" w:cs="Times New Roman"/>
          <w:sz w:val="21"/>
          <w:szCs w:val="21"/>
        </w:rPr>
      </w:pPr>
      <w:hyperlink w:history="true" r:id="rId78">
        <w:r>
          <w:rPr>
            <w:rFonts w:ascii="Times New Roman" w:hAnsi="Times New Roman" w:eastAsia="Times New Roman" w:cs="Times New Roman"/>
            <w:sz w:val="21"/>
            <w:szCs w:val="21"/>
            <w:spacing w:val="1"/>
          </w:rPr>
          <w:t>30.</w:t>
        </w:r>
        <w:r>
          <w:rPr>
            <w:rFonts w:ascii="Times New Roman" w:hAnsi="Times New Roman" w:eastAsia="Times New Roman" w:cs="Times New Roman"/>
            <w:sz w:val="21"/>
            <w:szCs w:val="21"/>
          </w:rPr>
          <w:t>Mitch</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WE</w:t>
        </w:r>
      </w:hyperlink>
      <w:r>
        <w:rPr>
          <w:rFonts w:ascii="Times New Roman" w:hAnsi="Times New Roman" w:eastAsia="Times New Roman" w:cs="Times New Roman"/>
          <w:sz w:val="21"/>
          <w:szCs w:val="21"/>
          <w:spacing w:val="1"/>
        </w:rPr>
        <w:t>,</w:t>
      </w:r>
      <w:hyperlink w:history="true" r:id="rId87">
        <w:r>
          <w:rPr>
            <w:rFonts w:ascii="Times New Roman" w:hAnsi="Times New Roman" w:eastAsia="Times New Roman" w:cs="Times New Roman"/>
            <w:sz w:val="21"/>
            <w:szCs w:val="21"/>
          </w:rPr>
          <w:t>Walser</w:t>
        </w:r>
      </w:hyperlink>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Nutritional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therapy</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uremic</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patient</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kidney</w:t>
      </w:r>
      <w:r>
        <w:rPr>
          <w:rFonts w:ascii="Times New Roman" w:hAnsi="Times New Roman" w:eastAsia="Times New Roman" w:cs="Times New Roman"/>
          <w:sz w:val="21"/>
          <w:szCs w:val="21"/>
          <w:spacing w:val="1"/>
        </w:rPr>
        <w:t>.3</w:t>
      </w:r>
      <w:r>
        <w:rPr>
          <w:rFonts w:ascii="Times New Roman" w:hAnsi="Times New Roman" w:eastAsia="Times New Roman" w:cs="Times New Roman"/>
          <w:sz w:val="21"/>
          <w:szCs w:val="21"/>
        </w:rPr>
        <w:t>rd  ed.Brenner</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BM,Rector</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FC    Jr(eds).Saunders:Philadelphia</w:t>
      </w:r>
      <w:r>
        <w:rPr>
          <w:rFonts w:ascii="Times New Roman" w:hAnsi="Times New Roman" w:eastAsia="Times New Roman" w:cs="Times New Roman"/>
          <w:sz w:val="21"/>
          <w:szCs w:val="21"/>
          <w:spacing w:val="-1"/>
        </w:rPr>
        <w:t>,1986,Vol    II,pp     1759-1790.</w:t>
      </w:r>
    </w:p>
    <w:p>
      <w:pPr>
        <w:ind w:left="439" w:right="75"/>
        <w:spacing w:before="137" w:line="2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31.Eisenberger</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F,Bub</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P,Schmidt</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A.The</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fate</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of residual</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fragments</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after</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extracorporeal</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J  Endourol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1992;6:217-218.</w:t>
      </w:r>
    </w:p>
    <w:p>
      <w:pPr>
        <w:ind w:left="439" w:right="75"/>
        <w:spacing w:before="167" w:line="26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32.Liedl   B,Jocham   D,Schuster    C,Lunz   C.Long-term    result</w:t>
      </w:r>
      <w:r>
        <w:rPr>
          <w:rFonts w:ascii="Times New Roman" w:hAnsi="Times New Roman" w:eastAsia="Times New Roman" w:cs="Times New Roman"/>
          <w:sz w:val="21"/>
          <w:szCs w:val="21"/>
          <w:spacing w:val="-1"/>
        </w:rPr>
        <w:t>s   in    ESWL-treated   urinary    stone   patients.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Abstract.Urol  Res</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1988;16:256.</w:t>
      </w:r>
    </w:p>
    <w:p>
      <w:pPr>
        <w:ind w:left="439" w:right="104"/>
        <w:spacing w:before="136" w:line="26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33.Cicerello   E,Merlo   F,Gambaro   G,Maccatrozzo   L,Fandella   A,Bagg</w:t>
      </w:r>
      <w:r>
        <w:rPr>
          <w:rFonts w:ascii="Times New Roman" w:hAnsi="Times New Roman" w:eastAsia="Times New Roman" w:cs="Times New Roman"/>
          <w:sz w:val="21"/>
          <w:szCs w:val="21"/>
          <w:spacing w:val="-1"/>
        </w:rPr>
        <w:t>io   B,Anselmo   G.Effect   of   alkaline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citrate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therapy</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clearance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o</w:t>
      </w:r>
      <w:r>
        <w:rPr>
          <w:rFonts w:ascii="Times New Roman" w:hAnsi="Times New Roman" w:eastAsia="Times New Roman" w:cs="Times New Roman"/>
          <w:sz w:val="21"/>
          <w:szCs w:val="21"/>
          <w:spacing w:val="-1"/>
        </w:rPr>
        <w:t>f residual</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renal</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fragments</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after</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extracorporeal</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shock wave</w:t>
      </w:r>
    </w:p>
    <w:p>
      <w:pPr>
        <w:ind w:left="439"/>
        <w:spacing w:before="14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lithotripsy</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sterile</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calci</w:t>
      </w:r>
      <w:r>
        <w:rPr>
          <w:rFonts w:ascii="Times New Roman" w:hAnsi="Times New Roman" w:eastAsia="Times New Roman" w:cs="Times New Roman"/>
          <w:sz w:val="21"/>
          <w:szCs w:val="21"/>
          <w:spacing w:val="-1"/>
        </w:rPr>
        <w:t>um</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infection</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nephrolithiasis</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patients.J</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Urol  1994;151:5-9.</w:t>
      </w:r>
    </w:p>
    <w:p>
      <w:pPr>
        <w:spacing w:line="260" w:lineRule="auto"/>
        <w:rPr>
          <w:rFonts w:ascii="Arial"/>
          <w:sz w:val="21"/>
        </w:rPr>
      </w:pPr>
      <w:r/>
    </w:p>
    <w:p>
      <w:pPr>
        <w:ind w:left="5020"/>
        <w:spacing w:before="5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rPr>
        <w:t>—193—</w:t>
      </w:r>
    </w:p>
    <w:p>
      <w:pPr>
        <w:spacing w:line="280" w:lineRule="auto"/>
        <w:rPr>
          <w:rFonts w:ascii="Arial"/>
          <w:sz w:val="21"/>
        </w:rPr>
      </w:pPr>
      <w:r/>
    </w:p>
    <w:p>
      <w:pPr>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4">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pgSz w:w="11850" w:h="16140"/>
          <w:pgMar w:top="400" w:right="1360" w:bottom="0" w:left="380" w:header="0" w:footer="0" w:gutter="0"/>
        </w:sectPr>
        <w:rPr>
          <w:rFonts w:ascii="Times New Roman" w:hAnsi="Times New Roman" w:eastAsia="Times New Roman" w:cs="Times New Roman"/>
          <w:sz w:val="21"/>
          <w:szCs w:val="21"/>
        </w:rPr>
      </w:pPr>
    </w:p>
    <w:p>
      <w:pPr>
        <w:ind w:firstLine="369"/>
        <w:spacing w:before="160" w:line="509" w:lineRule="exact"/>
        <w:rPr/>
      </w:pPr>
      <w:r>
        <w:rPr>
          <w:position w:val="-10"/>
        </w:rPr>
        <w:drawing>
          <wp:inline distT="0" distB="0" distL="0" distR="0">
            <wp:extent cx="1720834" cy="323762"/>
            <wp:effectExtent l="0" t="0" r="0" b="0"/>
            <wp:docPr id="66" name="IM 66"/>
            <wp:cNvGraphicFramePr/>
            <a:graphic>
              <a:graphicData uri="http://schemas.openxmlformats.org/drawingml/2006/picture">
                <pic:pic>
                  <pic:nvPicPr>
                    <pic:cNvPr id="66" name="IM 66"/>
                    <pic:cNvPicPr/>
                  </pic:nvPicPr>
                  <pic:blipFill>
                    <a:blip r:embed="rId88"/>
                    <a:stretch>
                      <a:fillRect/>
                    </a:stretch>
                  </pic:blipFill>
                  <pic:spPr>
                    <a:xfrm rot="0">
                      <a:off x="0" y="0"/>
                      <a:ext cx="1720834" cy="323762"/>
                    </a:xfrm>
                    <a:prstGeom prst="rect">
                      <a:avLst/>
                    </a:prstGeom>
                  </pic:spPr>
                </pic:pic>
              </a:graphicData>
            </a:graphic>
          </wp:inline>
        </w:drawing>
      </w:r>
    </w:p>
    <w:p>
      <w:pPr>
        <w:ind w:left="299" w:right="7"/>
        <w:spacing w:before="248" w:line="322" w:lineRule="auto"/>
        <w:jc w:val="both"/>
        <w:rPr>
          <w:rFonts w:ascii="Times New Roman" w:hAnsi="Times New Roman" w:eastAsia="Times New Roman" w:cs="Times New Roman"/>
          <w:sz w:val="21"/>
          <w:szCs w:val="21"/>
        </w:rPr>
      </w:pPr>
      <w:hyperlink w:history="true" r:id="rId89">
        <w:r>
          <w:rPr>
            <w:rFonts w:ascii="Times New Roman" w:hAnsi="Times New Roman" w:eastAsia="Times New Roman" w:cs="Times New Roman"/>
            <w:sz w:val="21"/>
            <w:szCs w:val="21"/>
          </w:rPr>
          <w:t>http://www.ncbi.nlm.nih.gov/entrez/query.fcgi?cmd=</w:t>
        </w:r>
        <w:r>
          <w:rPr>
            <w:rFonts w:ascii="Times New Roman" w:hAnsi="Times New Roman" w:eastAsia="Times New Roman" w:cs="Times New Roman"/>
            <w:sz w:val="21"/>
            <w:szCs w:val="21"/>
            <w:spacing w:val="-1"/>
          </w:rPr>
          <w:t>Retrieve&amp;db=PubMed&amp;list_uids=8254832&amp;dopt=Abstract</w:t>
        </w:r>
      </w:hyperlink>
      <w:r>
        <w:rPr>
          <w:rFonts w:ascii="Times New Roman" w:hAnsi="Times New Roman" w:eastAsia="Times New Roman" w:cs="Times New Roman"/>
          <w:sz w:val="21"/>
          <w:szCs w:val="21"/>
        </w:rPr>
        <w:t xml:space="preserve">  </w:t>
      </w:r>
      <w:hyperlink w:history="true" r:id="rId89">
        <w:r>
          <w:rPr>
            <w:rFonts w:ascii="Times New Roman" w:hAnsi="Times New Roman" w:eastAsia="Times New Roman" w:cs="Times New Roman"/>
            <w:sz w:val="21"/>
            <w:szCs w:val="21"/>
          </w:rPr>
          <w:t>34.Fine</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JK</w:t>
        </w:r>
      </w:hyperlink>
      <w:r>
        <w:rPr>
          <w:rFonts w:ascii="Times New Roman" w:hAnsi="Times New Roman" w:eastAsia="Times New Roman" w:cs="Times New Roman"/>
          <w:sz w:val="21"/>
          <w:szCs w:val="21"/>
        </w:rPr>
        <w:t>,</w:t>
      </w:r>
      <w:hyperlink w:history="true" r:id="rId90">
        <w:r>
          <w:rPr>
            <w:rFonts w:ascii="Times New Roman" w:hAnsi="Times New Roman" w:eastAsia="Times New Roman" w:cs="Times New Roman"/>
            <w:sz w:val="21"/>
            <w:szCs w:val="21"/>
          </w:rPr>
          <w:t>Pak</w:t>
        </w:r>
      </w:hyperlink>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YC,Preminger</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GM.Effect</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
        </w:rPr>
        <w:t>edical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management</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residual</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fragments</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recurrent</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formation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following</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shock wave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litho</w:t>
      </w:r>
      <w:r>
        <w:rPr>
          <w:rFonts w:ascii="Times New Roman" w:hAnsi="Times New Roman" w:eastAsia="Times New Roman" w:cs="Times New Roman"/>
          <w:sz w:val="21"/>
          <w:szCs w:val="21"/>
          <w:spacing w:val="-1"/>
        </w:rPr>
        <w:t>tripsy.J Urol</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1995;153:27-32.</w:t>
      </w:r>
    </w:p>
    <w:p>
      <w:pPr>
        <w:ind w:left="299"/>
        <w:spacing w:before="16" w:line="192" w:lineRule="auto"/>
        <w:rPr>
          <w:rFonts w:ascii="Times New Roman" w:hAnsi="Times New Roman" w:eastAsia="Times New Roman" w:cs="Times New Roman"/>
          <w:sz w:val="21"/>
          <w:szCs w:val="21"/>
        </w:rPr>
      </w:pPr>
      <w:hyperlink w:history="true" r:id="rId89">
        <w:r>
          <w:rPr>
            <w:rFonts w:ascii="Times New Roman" w:hAnsi="Times New Roman" w:eastAsia="Times New Roman" w:cs="Times New Roman"/>
            <w:sz w:val="21"/>
            <w:szCs w:val="21"/>
          </w:rPr>
          <w:t>http://www.ncbi.nlm.nih.gov/entrez/query.fcgi?cmd=R</w:t>
        </w:r>
        <w:r>
          <w:rPr>
            <w:rFonts w:ascii="Times New Roman" w:hAnsi="Times New Roman" w:eastAsia="Times New Roman" w:cs="Times New Roman"/>
            <w:sz w:val="21"/>
            <w:szCs w:val="21"/>
            <w:spacing w:val="-1"/>
          </w:rPr>
          <w:t>etrieve&amp;db=PubMed&amp;list_uids=7966783&amp;dopt=Abstract</w:t>
        </w:r>
      </w:hyperlink>
    </w:p>
    <w:p>
      <w:pPr>
        <w:ind w:left="299" w:right="13"/>
        <w:spacing w:before="135" w:line="283" w:lineRule="auto"/>
        <w:rPr>
          <w:rFonts w:ascii="Times New Roman" w:hAnsi="Times New Roman" w:eastAsia="Times New Roman" w:cs="Times New Roman"/>
          <w:sz w:val="21"/>
          <w:szCs w:val="21"/>
        </w:rPr>
      </w:pPr>
      <w:hyperlink w:history="true" r:id="rId89">
        <w:r>
          <w:rPr>
            <w:rFonts w:ascii="Times New Roman" w:hAnsi="Times New Roman" w:eastAsia="Times New Roman" w:cs="Times New Roman"/>
            <w:sz w:val="21"/>
            <w:szCs w:val="21"/>
          </w:rPr>
          <w:t>35.Streem   SB</w:t>
        </w:r>
      </w:hyperlink>
      <w:r>
        <w:rPr>
          <w:rFonts w:ascii="Times New Roman" w:hAnsi="Times New Roman" w:eastAsia="Times New Roman" w:cs="Times New Roman"/>
          <w:sz w:val="21"/>
          <w:szCs w:val="21"/>
        </w:rPr>
        <w:t>,</w:t>
      </w:r>
      <w:hyperlink w:history="true" r:id="rId91">
        <w:r>
          <w:rPr>
            <w:rFonts w:ascii="Times New Roman" w:hAnsi="Times New Roman" w:eastAsia="Times New Roman" w:cs="Times New Roman"/>
            <w:sz w:val="21"/>
            <w:szCs w:val="21"/>
          </w:rPr>
          <w:t>Yost</w:t>
        </w:r>
      </w:hyperlink>
      <w:r>
        <w:rPr>
          <w:rFonts w:ascii="Times New Roman" w:hAnsi="Times New Roman" w:eastAsia="Times New Roman" w:cs="Times New Roman"/>
          <w:sz w:val="21"/>
          <w:szCs w:val="21"/>
        </w:rPr>
        <w:t xml:space="preserve">   A,Mascha   E.Clinical   implications   of   clinieall</w:t>
      </w:r>
      <w:r>
        <w:rPr>
          <w:rFonts w:ascii="Times New Roman" w:hAnsi="Times New Roman" w:eastAsia="Times New Roman" w:cs="Times New Roman"/>
          <w:sz w:val="21"/>
          <w:szCs w:val="21"/>
          <w:spacing w:val="-1"/>
        </w:rPr>
        <w:t>y   insignificant   stone   fragments   after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extracorporealshockwave</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lithotripsy.J</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Urol</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1996;155:1186-11</w:t>
      </w:r>
      <w:r>
        <w:rPr>
          <w:rFonts w:ascii="Times New Roman" w:hAnsi="Times New Roman" w:eastAsia="Times New Roman" w:cs="Times New Roman"/>
          <w:sz w:val="21"/>
          <w:szCs w:val="21"/>
          <w:spacing w:val="-1"/>
        </w:rPr>
        <w:t>90.</w:t>
      </w:r>
      <w:hyperlink w:history="true" r:id="rId89">
        <w:r>
          <w:rPr>
            <w:rFonts w:ascii="Times New Roman" w:hAnsi="Times New Roman" w:eastAsia="Times New Roman" w:cs="Times New Roman"/>
            <w:sz w:val="21"/>
            <w:szCs w:val="21"/>
            <w:spacing w:val="-1"/>
          </w:rPr>
          <w:t>http://www.ncbi.nlm.nih.gov/entrez/query.fcgi</w:t>
        </w:r>
      </w:hyperlink>
      <w:r>
        <w:rPr>
          <w:rFonts w:ascii="Times New Roman" w:hAnsi="Times New Roman" w:eastAsia="Times New Roman" w:cs="Times New Roman"/>
          <w:sz w:val="21"/>
          <w:szCs w:val="21"/>
        </w:rPr>
        <w:t xml:space="preserve">  </w:t>
      </w:r>
      <w:hyperlink w:history="true" r:id="rId89">
        <w:r>
          <w:rPr>
            <w:rFonts w:ascii="Times New Roman" w:hAnsi="Times New Roman" w:eastAsia="Times New Roman" w:cs="Times New Roman"/>
            <w:sz w:val="21"/>
            <w:szCs w:val="21"/>
          </w:rPr>
          <w:t>cmd=Retrieve&amp;db=PubMed&amp;list_uids=8632527&amp;</w:t>
        </w:r>
        <w:r>
          <w:rPr>
            <w:rFonts w:ascii="Times New Roman" w:hAnsi="Times New Roman" w:eastAsia="Times New Roman" w:cs="Times New Roman"/>
            <w:sz w:val="21"/>
            <w:szCs w:val="21"/>
            <w:spacing w:val="-1"/>
          </w:rPr>
          <w:t>dopt=Abstract</w:t>
        </w:r>
      </w:hyperlink>
    </w:p>
    <w:p>
      <w:pPr>
        <w:ind w:left="299" w:right="5"/>
        <w:spacing w:before="157" w:line="26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36.Zanetti  G,Seveso  M,Montanari  E,Guarneri  A,Del  Nero  A,Nespoli  R,Trinchieri  </w:t>
      </w:r>
      <w:r>
        <w:rPr>
          <w:rFonts w:ascii="Times New Roman" w:hAnsi="Times New Roman" w:eastAsia="Times New Roman" w:cs="Times New Roman"/>
          <w:sz w:val="21"/>
          <w:szCs w:val="21"/>
          <w:spacing w:val="-1"/>
        </w:rPr>
        <w:t>A.Renal  stone  fragments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following</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lithotripsy.J</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1997;158:352-355.</w:t>
      </w:r>
    </w:p>
    <w:p>
      <w:pPr>
        <w:ind w:left="299" w:right="7"/>
        <w:spacing w:before="138" w:line="317" w:lineRule="auto"/>
        <w:jc w:val="both"/>
        <w:rPr>
          <w:rFonts w:ascii="Times New Roman" w:hAnsi="Times New Roman" w:eastAsia="Times New Roman" w:cs="Times New Roman"/>
          <w:sz w:val="21"/>
          <w:szCs w:val="21"/>
        </w:rPr>
      </w:pPr>
      <w:hyperlink w:history="true" r:id="rId89">
        <w:r>
          <w:rPr>
            <w:rFonts w:ascii="Times New Roman" w:hAnsi="Times New Roman" w:eastAsia="Times New Roman" w:cs="Times New Roman"/>
            <w:sz w:val="21"/>
            <w:szCs w:val="21"/>
          </w:rPr>
          <w:t>http://www.ncbi.nlm.nih.gov/entrez/query.fcgi?cmd=</w:t>
        </w:r>
        <w:r>
          <w:rPr>
            <w:rFonts w:ascii="Times New Roman" w:hAnsi="Times New Roman" w:eastAsia="Times New Roman" w:cs="Times New Roman"/>
            <w:sz w:val="21"/>
            <w:szCs w:val="21"/>
            <w:spacing w:val="-1"/>
          </w:rPr>
          <w:t>Retrieve&amp;db=PubMed&amp;list_uids=9224301&amp;dopt=Abstract</w:t>
        </w:r>
      </w:hyperlink>
      <w:r>
        <w:rPr>
          <w:rFonts w:ascii="Times New Roman" w:hAnsi="Times New Roman" w:eastAsia="Times New Roman" w:cs="Times New Roman"/>
          <w:sz w:val="21"/>
          <w:szCs w:val="21"/>
        </w:rPr>
        <w:t xml:space="preserve">  </w:t>
      </w:r>
      <w:hyperlink w:history="true" r:id="rId89">
        <w:r>
          <w:rPr>
            <w:rFonts w:ascii="Times New Roman" w:hAnsi="Times New Roman" w:eastAsia="Times New Roman" w:cs="Times New Roman"/>
            <w:sz w:val="21"/>
            <w:szCs w:val="21"/>
          </w:rPr>
          <w:t>37.Pacik  D</w:t>
        </w:r>
      </w:hyperlink>
      <w:r>
        <w:rPr>
          <w:rFonts w:ascii="Times New Roman" w:hAnsi="Times New Roman" w:eastAsia="Times New Roman" w:cs="Times New Roman"/>
          <w:sz w:val="21"/>
          <w:szCs w:val="21"/>
        </w:rPr>
        <w:t>,</w:t>
      </w:r>
      <w:hyperlink w:history="true" r:id="rId92">
        <w:r>
          <w:rPr>
            <w:rFonts w:ascii="Times New Roman" w:hAnsi="Times New Roman" w:eastAsia="Times New Roman" w:cs="Times New Roman"/>
            <w:sz w:val="21"/>
            <w:szCs w:val="21"/>
          </w:rPr>
          <w:t>Hanak</w:t>
        </w:r>
      </w:hyperlink>
      <w:r>
        <w:rPr>
          <w:rFonts w:ascii="Times New Roman" w:hAnsi="Times New Roman" w:eastAsia="Times New Roman" w:cs="Times New Roman"/>
          <w:sz w:val="21"/>
          <w:szCs w:val="21"/>
        </w:rPr>
        <w:t xml:space="preserve">  T,Kumstat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P,Turjanica</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M,Jelinek  P,Kladensky</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J.Effectiveness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of  ESWL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lowerpole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caliceal  nephrolithiasis:evaluation  of  452  cases.JEndourol   1997;11:305-307.</w:t>
      </w:r>
    </w:p>
    <w:p>
      <w:pPr>
        <w:ind w:left="299"/>
        <w:spacing w:before="52" w:line="192" w:lineRule="auto"/>
        <w:rPr>
          <w:rFonts w:ascii="Times New Roman" w:hAnsi="Times New Roman" w:eastAsia="Times New Roman" w:cs="Times New Roman"/>
          <w:sz w:val="21"/>
          <w:szCs w:val="21"/>
        </w:rPr>
      </w:pPr>
      <w:hyperlink w:history="true" r:id="rId89">
        <w:r>
          <w:rPr>
            <w:rFonts w:ascii="Times New Roman" w:hAnsi="Times New Roman" w:eastAsia="Times New Roman" w:cs="Times New Roman"/>
            <w:sz w:val="21"/>
            <w:szCs w:val="21"/>
          </w:rPr>
          <w:t>http://www.ncbi.nlm.nih.gov/entrez/query.fcgi?cmd=R</w:t>
        </w:r>
        <w:r>
          <w:rPr>
            <w:rFonts w:ascii="Times New Roman" w:hAnsi="Times New Roman" w:eastAsia="Times New Roman" w:cs="Times New Roman"/>
            <w:sz w:val="21"/>
            <w:szCs w:val="21"/>
            <w:spacing w:val="-1"/>
          </w:rPr>
          <w:t>etrieve&amp;db=PubMed&amp;list_uids=9355942&amp;dopt=Abstract</w:t>
        </w:r>
      </w:hyperlink>
    </w:p>
    <w:p>
      <w:pPr>
        <w:ind w:left="299"/>
        <w:spacing w:before="137" w:line="192" w:lineRule="auto"/>
        <w:rPr>
          <w:rFonts w:ascii="Times New Roman" w:hAnsi="Times New Roman" w:eastAsia="Times New Roman" w:cs="Times New Roman"/>
          <w:sz w:val="21"/>
          <w:szCs w:val="21"/>
        </w:rPr>
      </w:pPr>
      <w:hyperlink w:history="true" r:id="rId89">
        <w:r>
          <w:rPr>
            <w:rFonts w:ascii="Times New Roman" w:hAnsi="Times New Roman" w:eastAsia="Times New Roman" w:cs="Times New Roman"/>
            <w:sz w:val="21"/>
            <w:szCs w:val="21"/>
          </w:rPr>
          <w:t>38.Tiselius</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HG.Factors</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influencing</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cour</w:t>
        </w:r>
        <w:r>
          <w:rPr>
            <w:rFonts w:ascii="Times New Roman" w:hAnsi="Times New Roman" w:eastAsia="Times New Roman" w:cs="Times New Roman"/>
            <w:sz w:val="21"/>
            <w:szCs w:val="21"/>
            <w:spacing w:val="-1"/>
          </w:rPr>
          <w:t>se</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of calcium</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oxalate</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disease.Eur</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Urol  1999</w:t>
        </w:r>
      </w:hyperlink>
      <w:r>
        <w:rPr>
          <w:rFonts w:ascii="Times New Roman" w:hAnsi="Times New Roman" w:eastAsia="Times New Roman" w:cs="Times New Roman"/>
          <w:sz w:val="21"/>
          <w:szCs w:val="21"/>
          <w:spacing w:val="-1"/>
        </w:rPr>
        <w:t>;</w:t>
      </w:r>
      <w:hyperlink w:history="true" r:id="rId93">
        <w:r>
          <w:rPr>
            <w:rFonts w:ascii="Times New Roman" w:hAnsi="Times New Roman" w:eastAsia="Times New Roman" w:cs="Times New Roman"/>
            <w:sz w:val="21"/>
            <w:szCs w:val="21"/>
            <w:spacing w:val="-1"/>
          </w:rPr>
          <w:t>36:363-370</w:t>
        </w:r>
      </w:hyperlink>
      <w:r>
        <w:rPr>
          <w:rFonts w:ascii="Times New Roman" w:hAnsi="Times New Roman" w:eastAsia="Times New Roman" w:cs="Times New Roman"/>
          <w:sz w:val="21"/>
          <w:szCs w:val="21"/>
          <w:spacing w:val="-1"/>
        </w:rPr>
        <w:t>.</w:t>
      </w:r>
    </w:p>
    <w:p>
      <w:pPr>
        <w:ind w:left="299" w:right="59"/>
        <w:spacing w:before="137" w:line="260" w:lineRule="auto"/>
        <w:rPr>
          <w:rFonts w:ascii="Times New Roman" w:hAnsi="Times New Roman" w:eastAsia="Times New Roman" w:cs="Times New Roman"/>
          <w:sz w:val="21"/>
          <w:szCs w:val="21"/>
        </w:rPr>
      </w:pPr>
      <w:hyperlink w:history="true" r:id="rId89">
        <w:r>
          <w:rPr>
            <w:rFonts w:ascii="Times New Roman" w:hAnsi="Times New Roman" w:eastAsia="Times New Roman" w:cs="Times New Roman"/>
            <w:sz w:val="21"/>
            <w:szCs w:val="21"/>
          </w:rPr>
          <w:t>http://www.ncbi.nlm.nih.govlentrez/query.fcgi?cmd=Retrieve&amp;db=pubmed&amp;dopt=Abstract&amp;list_u</w:t>
        </w:r>
        <w:r>
          <w:rPr>
            <w:rFonts w:ascii="Times New Roman" w:hAnsi="Times New Roman" w:eastAsia="Times New Roman" w:cs="Times New Roman"/>
            <w:sz w:val="21"/>
            <w:szCs w:val="21"/>
            <w:spacing w:val="-1"/>
          </w:rPr>
          <w:t>ids=1051644</w:t>
        </w:r>
      </w:hyperlink>
      <w:r>
        <w:rPr>
          <w:rFonts w:ascii="Times New Roman" w:hAnsi="Times New Roman" w:eastAsia="Times New Roman" w:cs="Times New Roman"/>
          <w:sz w:val="21"/>
          <w:szCs w:val="21"/>
        </w:rPr>
        <w:t xml:space="preserve"> </w:t>
      </w:r>
      <w:hyperlink w:history="true" r:id="rId89">
        <w:r>
          <w:rPr>
            <w:rFonts w:ascii="Times New Roman" w:hAnsi="Times New Roman" w:eastAsia="Times New Roman" w:cs="Times New Roman"/>
            <w:sz w:val="21"/>
            <w:szCs w:val="21"/>
            <w:spacing w:val="-1"/>
          </w:rPr>
          <w:t>3&amp;query_hl=1</w:t>
        </w:r>
      </w:hyperlink>
    </w:p>
    <w:p>
      <w:pPr>
        <w:ind w:left="299"/>
        <w:spacing w:before="14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39.Robertson</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WG.A</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risk</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factor</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model</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of stone</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formation.Front</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Biosci</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2003;8:1330-1338.</w:t>
      </w:r>
    </w:p>
    <w:p>
      <w:pPr>
        <w:ind w:left="299" w:right="59"/>
        <w:spacing w:before="136" w:line="260" w:lineRule="auto"/>
        <w:rPr>
          <w:rFonts w:ascii="Times New Roman" w:hAnsi="Times New Roman" w:eastAsia="Times New Roman" w:cs="Times New Roman"/>
          <w:sz w:val="21"/>
          <w:szCs w:val="21"/>
        </w:rPr>
      </w:pPr>
      <w:hyperlink w:history="true" r:id="rId89">
        <w:r>
          <w:rPr>
            <w:rFonts w:ascii="Times New Roman" w:hAnsi="Times New Roman" w:eastAsia="Times New Roman" w:cs="Times New Roman"/>
            <w:sz w:val="21"/>
            <w:szCs w:val="21"/>
          </w:rPr>
          <w:t>http://www.ncbi.nlm.nih.govlentrez/query.fcgi?cmd=Retrieve&amp;db=pubmed&amp;dopt=Abstract&amp;list_u</w:t>
        </w:r>
        <w:r>
          <w:rPr>
            <w:rFonts w:ascii="Times New Roman" w:hAnsi="Times New Roman" w:eastAsia="Times New Roman" w:cs="Times New Roman"/>
            <w:sz w:val="21"/>
            <w:szCs w:val="21"/>
            <w:spacing w:val="-1"/>
          </w:rPr>
          <w:t>ids=1295784</w:t>
        </w:r>
      </w:hyperlink>
      <w:r>
        <w:rPr>
          <w:rFonts w:ascii="Times New Roman" w:hAnsi="Times New Roman" w:eastAsia="Times New Roman" w:cs="Times New Roman"/>
          <w:sz w:val="21"/>
          <w:szCs w:val="21"/>
        </w:rPr>
        <w:t xml:space="preserve"> </w:t>
      </w:r>
      <w:hyperlink w:history="true" r:id="rId89">
        <w:r>
          <w:rPr>
            <w:rFonts w:ascii="Times New Roman" w:hAnsi="Times New Roman" w:eastAsia="Times New Roman" w:cs="Times New Roman"/>
            <w:sz w:val="21"/>
            <w:szCs w:val="21"/>
            <w:spacing w:val="-2"/>
          </w:rPr>
          <w:t>8&amp;query_hl=3</w:t>
        </w:r>
      </w:hyperlink>
    </w:p>
    <w:p>
      <w:pPr>
        <w:ind w:left="299" w:right="29"/>
        <w:spacing w:before="147" w:line="27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40.Strauss</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AL,Coe</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FL,Deutsch</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L,Parks</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JH.Factors</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that</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predict</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relap</w:t>
      </w:r>
      <w:r>
        <w:rPr>
          <w:rFonts w:ascii="Times New Roman" w:hAnsi="Times New Roman" w:eastAsia="Times New Roman" w:cs="Times New Roman"/>
          <w:sz w:val="21"/>
          <w:szCs w:val="21"/>
          <w:spacing w:val="-1"/>
        </w:rPr>
        <w:t>se</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calcium</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nephrolithiasis</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during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treatment.A  prospective  study.AmJ  Me</w:t>
      </w:r>
      <w:r>
        <w:rPr>
          <w:rFonts w:ascii="Times New Roman" w:hAnsi="Times New Roman" w:eastAsia="Times New Roman" w:cs="Times New Roman"/>
          <w:sz w:val="21"/>
          <w:szCs w:val="21"/>
          <w:spacing w:val="-1"/>
        </w:rPr>
        <w:t>d   1982;72:17-24.</w:t>
      </w:r>
    </w:p>
    <w:p>
      <w:pPr>
        <w:ind w:left="299" w:right="59"/>
        <w:spacing w:before="137" w:line="302" w:lineRule="auto"/>
        <w:rPr>
          <w:rFonts w:ascii="Times New Roman" w:hAnsi="Times New Roman" w:eastAsia="Times New Roman" w:cs="Times New Roman"/>
          <w:sz w:val="21"/>
          <w:szCs w:val="21"/>
        </w:rPr>
      </w:pPr>
      <w:hyperlink w:history="true" r:id="rId89">
        <w:r>
          <w:rPr>
            <w:rFonts w:ascii="Times New Roman" w:hAnsi="Times New Roman" w:eastAsia="Times New Roman" w:cs="Times New Roman"/>
            <w:sz w:val="21"/>
            <w:szCs w:val="21"/>
          </w:rPr>
          <w:t>http://www.ncbi.nlm.nih.govlentrez/query.fcgi?cmd=Retrieve&amp;db=pubmed&amp;dopt=Abstract&amp;list_u</w:t>
        </w:r>
        <w:r>
          <w:rPr>
            <w:rFonts w:ascii="Times New Roman" w:hAnsi="Times New Roman" w:eastAsia="Times New Roman" w:cs="Times New Roman"/>
            <w:sz w:val="21"/>
            <w:szCs w:val="21"/>
            <w:spacing w:val="-1"/>
          </w:rPr>
          <w:t>ids=7058820</w:t>
        </w:r>
      </w:hyperlink>
      <w:r>
        <w:rPr>
          <w:rFonts w:ascii="Times New Roman" w:hAnsi="Times New Roman" w:eastAsia="Times New Roman" w:cs="Times New Roman"/>
          <w:sz w:val="21"/>
          <w:szCs w:val="21"/>
        </w:rPr>
        <w:t xml:space="preserve"> </w:t>
      </w:r>
      <w:hyperlink w:history="true" r:id="rId89">
        <w:r>
          <w:rPr>
            <w:rFonts w:ascii="Times New Roman" w:hAnsi="Times New Roman" w:eastAsia="Times New Roman" w:cs="Times New Roman"/>
            <w:sz w:val="21"/>
            <w:szCs w:val="21"/>
            <w:spacing w:val="-1"/>
          </w:rPr>
          <w:t>&amp;query_hl=5</w:t>
        </w:r>
      </w:hyperlink>
    </w:p>
    <w:p>
      <w:pPr>
        <w:spacing w:before="72"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rPr>
        <w:t>41.Hsu  TH,Streem   SB.Metabolic  abnormalit</w:t>
      </w:r>
      <w:r>
        <w:rPr>
          <w:rFonts w:ascii="Times New Roman" w:hAnsi="Times New Roman" w:eastAsia="Times New Roman" w:cs="Times New Roman"/>
          <w:sz w:val="21"/>
          <w:szCs w:val="21"/>
          <w:spacing w:val="-1"/>
        </w:rPr>
        <w:t>ies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in  patients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caliceal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diverticular</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calculi.J</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Urol   1998;</w:t>
      </w:r>
    </w:p>
    <w:p>
      <w:pPr>
        <w:ind w:left="299"/>
        <w:spacing w:before="143"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160:1640-1642.</w:t>
      </w:r>
    </w:p>
    <w:p>
      <w:pPr>
        <w:ind w:left="299" w:right="59"/>
        <w:spacing w:before="145" w:line="322" w:lineRule="auto"/>
        <w:rPr>
          <w:rFonts w:ascii="Times New Roman" w:hAnsi="Times New Roman" w:eastAsia="Times New Roman" w:cs="Times New Roman"/>
          <w:sz w:val="21"/>
          <w:szCs w:val="21"/>
        </w:rPr>
      </w:pPr>
      <w:hyperlink w:history="true" r:id="rId89">
        <w:r>
          <w:rPr>
            <w:rFonts w:ascii="Times New Roman" w:hAnsi="Times New Roman" w:eastAsia="Times New Roman" w:cs="Times New Roman"/>
            <w:sz w:val="21"/>
            <w:szCs w:val="21"/>
          </w:rPr>
          <w:t>http://www.ncbi.nim.nih.gov/entrezlquery.fcgi?cmd=Retrieve&amp;db=pubmed&amp;dopt=Abstract&amp;list_u</w:t>
        </w:r>
        <w:r>
          <w:rPr>
            <w:rFonts w:ascii="Times New Roman" w:hAnsi="Times New Roman" w:eastAsia="Times New Roman" w:cs="Times New Roman"/>
            <w:sz w:val="21"/>
            <w:szCs w:val="21"/>
            <w:spacing w:val="-1"/>
          </w:rPr>
          <w:t>ids=9783922</w:t>
        </w:r>
      </w:hyperlink>
      <w:r>
        <w:rPr>
          <w:rFonts w:ascii="Times New Roman" w:hAnsi="Times New Roman" w:eastAsia="Times New Roman" w:cs="Times New Roman"/>
          <w:sz w:val="21"/>
          <w:szCs w:val="21"/>
        </w:rPr>
        <w:t xml:space="preserve"> </w:t>
      </w:r>
      <w:hyperlink w:history="true" r:id="rId89">
        <w:r>
          <w:rPr>
            <w:rFonts w:ascii="Times New Roman" w:hAnsi="Times New Roman" w:eastAsia="Times New Roman" w:cs="Times New Roman"/>
            <w:sz w:val="21"/>
            <w:szCs w:val="21"/>
            <w:spacing w:val="-1"/>
          </w:rPr>
          <w:t>&amp;query_hl=7</w:t>
        </w:r>
      </w:hyperlink>
    </w:p>
    <w:p>
      <w:pPr>
        <w:ind w:left="299" w:right="13"/>
        <w:spacing w:before="52" w:line="32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42.Daudon</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M,Hennequin</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C,Boujelben</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G,Lacour</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B,Jungers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P.Serial</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crystalluria</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determination</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risk</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o</w:t>
      </w:r>
      <w:r>
        <w:rPr>
          <w:rFonts w:ascii="Times New Roman" w:hAnsi="Times New Roman" w:eastAsia="Times New Roman" w:cs="Times New Roman"/>
          <w:sz w:val="21"/>
          <w:szCs w:val="21"/>
          <w:spacing w:val="8"/>
        </w:rPr>
        <w:t>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recurrence</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calcium</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stone</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fo</w:t>
      </w:r>
      <w:r>
        <w:rPr>
          <w:rFonts w:ascii="Times New Roman" w:hAnsi="Times New Roman" w:eastAsia="Times New Roman" w:cs="Times New Roman"/>
          <w:sz w:val="21"/>
          <w:szCs w:val="21"/>
          <w:spacing w:val="-1"/>
        </w:rPr>
        <w:t>rmers.Kidney</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Int</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2005;67:1934-1943.</w:t>
      </w:r>
    </w:p>
    <w:p>
      <w:pPr>
        <w:ind w:left="299"/>
        <w:spacing w:before="41" w:line="192" w:lineRule="auto"/>
        <w:rPr>
          <w:rFonts w:ascii="Times New Roman" w:hAnsi="Times New Roman" w:eastAsia="Times New Roman" w:cs="Times New Roman"/>
          <w:sz w:val="21"/>
          <w:szCs w:val="21"/>
        </w:rPr>
      </w:pPr>
      <w:hyperlink w:history="true" r:id="rId89">
        <w:r>
          <w:rPr>
            <w:rFonts w:ascii="Times New Roman" w:hAnsi="Times New Roman" w:eastAsia="Times New Roman" w:cs="Times New Roman"/>
            <w:sz w:val="21"/>
            <w:szCs w:val="21"/>
          </w:rPr>
          <w:t>http://www.ncbi.nlm.nih.gov/entrez/query.fegi?emd=Retrieve&amp;db=pubmed&amp;dopt=Abstract&amp;list_u</w:t>
        </w:r>
        <w:r>
          <w:rPr>
            <w:rFonts w:ascii="Times New Roman" w:hAnsi="Times New Roman" w:eastAsia="Times New Roman" w:cs="Times New Roman"/>
            <w:sz w:val="21"/>
            <w:szCs w:val="21"/>
            <w:spacing w:val="-1"/>
          </w:rPr>
          <w:t>ids=1584004</w:t>
        </w:r>
      </w:hyperlink>
    </w:p>
    <w:p>
      <w:pPr>
        <w:ind w:left="299"/>
        <w:spacing w:before="101" w:line="188" w:lineRule="auto"/>
        <w:rPr>
          <w:rFonts w:ascii="Times New Roman" w:hAnsi="Times New Roman" w:eastAsia="Times New Roman" w:cs="Times New Roman"/>
          <w:sz w:val="21"/>
          <w:szCs w:val="21"/>
        </w:rPr>
      </w:pPr>
      <w:hyperlink w:history="true" r:id="rId89">
        <w:r>
          <w:rPr>
            <w:rFonts w:ascii="Times New Roman" w:hAnsi="Times New Roman" w:eastAsia="Times New Roman" w:cs="Times New Roman"/>
            <w:sz w:val="21"/>
            <w:szCs w:val="21"/>
            <w:b/>
            <w:bCs/>
            <w:spacing w:val="-7"/>
          </w:rPr>
          <w:t>1&amp;query_hl=10</w:t>
        </w:r>
      </w:hyperlink>
    </w:p>
    <w:p>
      <w:pPr>
        <w:ind w:right="14"/>
        <w:spacing w:before="170" w:line="189" w:lineRule="auto"/>
        <w:outlineLvl w:val="4"/>
        <w:jc w:val="right"/>
        <w:rPr>
          <w:rFonts w:ascii="Times New Roman" w:hAnsi="Times New Roman" w:eastAsia="Times New Roman" w:cs="Times New Roman"/>
          <w:sz w:val="21"/>
          <w:szCs w:val="21"/>
        </w:rPr>
      </w:pPr>
      <w:r>
        <w:rPr>
          <w:rFonts w:ascii="Times New Roman" w:hAnsi="Times New Roman" w:eastAsia="Times New Roman" w:cs="Times New Roman"/>
          <w:sz w:val="21"/>
          <w:szCs w:val="21"/>
          <w:b/>
          <w:bCs/>
        </w:rPr>
        <w:t>43.Tiselius HG,Bek-Jensen H,Fornander AM,Nilsson MA.Crystallization properties in urine</w:t>
      </w:r>
      <w:r>
        <w:rPr>
          <w:rFonts w:ascii="Times New Roman" w:hAnsi="Times New Roman" w:eastAsia="Times New Roman" w:cs="Times New Roman"/>
          <w:sz w:val="21"/>
          <w:szCs w:val="21"/>
          <w:b/>
          <w:bCs/>
          <w:spacing w:val="-1"/>
        </w:rPr>
        <w:t xml:space="preserve"> from calcium</w:t>
      </w:r>
    </w:p>
    <w:p>
      <w:pPr>
        <w:ind w:left="299"/>
        <w:spacing w:before="12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oxalate</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formers.J</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Urol  1995;154:940-946.</w:t>
      </w:r>
    </w:p>
    <w:p>
      <w:pPr>
        <w:ind w:left="299" w:right="5" w:hanging="19"/>
        <w:spacing w:before="168" w:line="282" w:lineRule="auto"/>
        <w:rPr>
          <w:rFonts w:ascii="Times New Roman" w:hAnsi="Times New Roman" w:eastAsia="Times New Roman" w:cs="Times New Roman"/>
          <w:sz w:val="21"/>
          <w:szCs w:val="21"/>
        </w:rPr>
      </w:pPr>
      <w:hyperlink w:history="true" r:id="rId89">
        <w:r>
          <w:rPr>
            <w:rFonts w:ascii="Times New Roman" w:hAnsi="Times New Roman" w:eastAsia="Times New Roman" w:cs="Times New Roman"/>
            <w:sz w:val="21"/>
            <w:szCs w:val="21"/>
            <w:spacing w:val="-5"/>
          </w:rPr>
          <w:t>h</w:t>
        </w:r>
        <w:r>
          <w:rPr>
            <w:rFonts w:ascii="Times New Roman" w:hAnsi="Times New Roman" w:eastAsia="Times New Roman" w:cs="Times New Roman"/>
            <w:sz w:val="21"/>
            <w:szCs w:val="21"/>
            <w:b/>
            <w:bCs/>
            <w:spacing w:val="-5"/>
          </w:rPr>
          <w:t>ttp://www.ncbi.nlm.nih.govlentrez/query.fcgi?cmd=Retrieve&amp;db=pubmed&amp;dopt=Abstract&amp;list_uids=7637098</w:t>
        </w:r>
      </w:hyperlink>
      <w:r>
        <w:rPr>
          <w:rFonts w:ascii="Times New Roman" w:hAnsi="Times New Roman" w:eastAsia="Times New Roman" w:cs="Times New Roman"/>
          <w:sz w:val="21"/>
          <w:szCs w:val="21"/>
          <w:b/>
          <w:bCs/>
          <w:spacing w:val="8"/>
        </w:rPr>
        <w:t xml:space="preserve"> </w:t>
      </w:r>
      <w:hyperlink w:history="true" r:id="rId89">
        <w:r>
          <w:rPr>
            <w:rFonts w:ascii="Times New Roman" w:hAnsi="Times New Roman" w:eastAsia="Times New Roman" w:cs="Times New Roman"/>
            <w:sz w:val="21"/>
            <w:szCs w:val="21"/>
            <w:spacing w:val="-1"/>
          </w:rPr>
          <w:t>&amp;query_hl=12</w:t>
        </w:r>
      </w:hyperlink>
    </w:p>
    <w:p>
      <w:pPr>
        <w:ind w:left="299" w:right="6"/>
        <w:spacing w:before="106" w:line="3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44.Raj</w:t>
      </w:r>
      <w:r>
        <w:rPr>
          <w:rFonts w:ascii="Times New Roman" w:hAnsi="Times New Roman" w:eastAsia="Times New Roman" w:cs="Times New Roman"/>
          <w:sz w:val="21"/>
          <w:szCs w:val="21"/>
          <w:b/>
          <w:bCs/>
          <w:spacing w:val="42"/>
        </w:rPr>
        <w:t xml:space="preserve"> </w:t>
      </w:r>
      <w:r>
        <w:rPr>
          <w:rFonts w:ascii="Times New Roman" w:hAnsi="Times New Roman" w:eastAsia="Times New Roman" w:cs="Times New Roman"/>
          <w:sz w:val="21"/>
          <w:szCs w:val="21"/>
          <w:b/>
          <w:bCs/>
          <w:spacing w:val="-1"/>
        </w:rPr>
        <w:t>GV,Auge</w:t>
      </w:r>
      <w:r>
        <w:rPr>
          <w:rFonts w:ascii="Times New Roman" w:hAnsi="Times New Roman" w:eastAsia="Times New Roman" w:cs="Times New Roman"/>
          <w:sz w:val="21"/>
          <w:szCs w:val="21"/>
          <w:b/>
          <w:bCs/>
          <w:spacing w:val="29"/>
        </w:rPr>
        <w:t xml:space="preserve"> </w:t>
      </w:r>
      <w:r>
        <w:rPr>
          <w:rFonts w:ascii="Times New Roman" w:hAnsi="Times New Roman" w:eastAsia="Times New Roman" w:cs="Times New Roman"/>
          <w:sz w:val="21"/>
          <w:szCs w:val="21"/>
          <w:b/>
          <w:bCs/>
          <w:spacing w:val="-1"/>
        </w:rPr>
        <w:t>BK,Assimos</w:t>
      </w:r>
      <w:r>
        <w:rPr>
          <w:rFonts w:ascii="Times New Roman" w:hAnsi="Times New Roman" w:eastAsia="Times New Roman" w:cs="Times New Roman"/>
          <w:sz w:val="21"/>
          <w:szCs w:val="21"/>
          <w:b/>
          <w:bCs/>
          <w:spacing w:val="27"/>
          <w:w w:val="101"/>
        </w:rPr>
        <w:t xml:space="preserve"> </w:t>
      </w:r>
      <w:r>
        <w:rPr>
          <w:rFonts w:ascii="Times New Roman" w:hAnsi="Times New Roman" w:eastAsia="Times New Roman" w:cs="Times New Roman"/>
          <w:sz w:val="21"/>
          <w:szCs w:val="21"/>
          <w:b/>
          <w:bCs/>
          <w:spacing w:val="-1"/>
        </w:rPr>
        <w:t>D,Preminger</w:t>
      </w:r>
      <w:r>
        <w:rPr>
          <w:rFonts w:ascii="Times New Roman" w:hAnsi="Times New Roman" w:eastAsia="Times New Roman" w:cs="Times New Roman"/>
          <w:sz w:val="21"/>
          <w:szCs w:val="21"/>
          <w:b/>
          <w:bCs/>
          <w:spacing w:val="33"/>
          <w:w w:val="101"/>
        </w:rPr>
        <w:t xml:space="preserve"> </w:t>
      </w:r>
      <w:r>
        <w:rPr>
          <w:rFonts w:ascii="Times New Roman" w:hAnsi="Times New Roman" w:eastAsia="Times New Roman" w:cs="Times New Roman"/>
          <w:sz w:val="21"/>
          <w:szCs w:val="21"/>
          <w:b/>
          <w:bCs/>
          <w:spacing w:val="-1"/>
        </w:rPr>
        <w:t>GM.Metabolic</w:t>
      </w:r>
      <w:r>
        <w:rPr>
          <w:rFonts w:ascii="Times New Roman" w:hAnsi="Times New Roman" w:eastAsia="Times New Roman" w:cs="Times New Roman"/>
          <w:sz w:val="21"/>
          <w:szCs w:val="21"/>
          <w:b/>
          <w:bCs/>
          <w:spacing w:val="34"/>
          <w:w w:val="101"/>
        </w:rPr>
        <w:t xml:space="preserve"> </w:t>
      </w:r>
      <w:r>
        <w:rPr>
          <w:rFonts w:ascii="Times New Roman" w:hAnsi="Times New Roman" w:eastAsia="Times New Roman" w:cs="Times New Roman"/>
          <w:sz w:val="21"/>
          <w:szCs w:val="21"/>
          <w:b/>
          <w:bCs/>
          <w:spacing w:val="-1"/>
        </w:rPr>
        <w:t>abnormalities</w:t>
      </w:r>
      <w:r>
        <w:rPr>
          <w:rFonts w:ascii="Times New Roman" w:hAnsi="Times New Roman" w:eastAsia="Times New Roman" w:cs="Times New Roman"/>
          <w:sz w:val="21"/>
          <w:szCs w:val="21"/>
          <w:b/>
          <w:bCs/>
          <w:spacing w:val="34"/>
        </w:rPr>
        <w:t xml:space="preserve"> </w:t>
      </w:r>
      <w:r>
        <w:rPr>
          <w:rFonts w:ascii="Times New Roman" w:hAnsi="Times New Roman" w:eastAsia="Times New Roman" w:cs="Times New Roman"/>
          <w:sz w:val="21"/>
          <w:szCs w:val="21"/>
          <w:b/>
          <w:bCs/>
          <w:spacing w:val="-1"/>
        </w:rPr>
        <w:t>associated</w:t>
      </w:r>
      <w:r>
        <w:rPr>
          <w:rFonts w:ascii="Times New Roman" w:hAnsi="Times New Roman" w:eastAsia="Times New Roman" w:cs="Times New Roman"/>
          <w:sz w:val="21"/>
          <w:szCs w:val="21"/>
          <w:b/>
          <w:bCs/>
          <w:spacing w:val="26"/>
          <w:w w:val="101"/>
        </w:rPr>
        <w:t xml:space="preserve"> </w:t>
      </w:r>
      <w:r>
        <w:rPr>
          <w:rFonts w:ascii="Times New Roman" w:hAnsi="Times New Roman" w:eastAsia="Times New Roman" w:cs="Times New Roman"/>
          <w:sz w:val="21"/>
          <w:szCs w:val="21"/>
          <w:b/>
          <w:bCs/>
          <w:spacing w:val="-1"/>
        </w:rPr>
        <w:t>with</w:t>
      </w:r>
      <w:r>
        <w:rPr>
          <w:rFonts w:ascii="Times New Roman" w:hAnsi="Times New Roman" w:eastAsia="Times New Roman" w:cs="Times New Roman"/>
          <w:sz w:val="21"/>
          <w:szCs w:val="21"/>
          <w:b/>
          <w:bCs/>
          <w:spacing w:val="33"/>
        </w:rPr>
        <w:t xml:space="preserve"> </w:t>
      </w:r>
      <w:r>
        <w:rPr>
          <w:rFonts w:ascii="Times New Roman" w:hAnsi="Times New Roman" w:eastAsia="Times New Roman" w:cs="Times New Roman"/>
          <w:sz w:val="21"/>
          <w:szCs w:val="21"/>
          <w:b/>
          <w:bCs/>
          <w:spacing w:val="-1"/>
        </w:rPr>
        <w:t>renal</w:t>
      </w:r>
      <w:r>
        <w:rPr>
          <w:rFonts w:ascii="Times New Roman" w:hAnsi="Times New Roman" w:eastAsia="Times New Roman" w:cs="Times New Roman"/>
          <w:sz w:val="21"/>
          <w:szCs w:val="21"/>
          <w:b/>
          <w:bCs/>
          <w:spacing w:val="32"/>
          <w:w w:val="101"/>
        </w:rPr>
        <w:t xml:space="preserve"> </w:t>
      </w:r>
      <w:r>
        <w:rPr>
          <w:rFonts w:ascii="Times New Roman" w:hAnsi="Times New Roman" w:eastAsia="Times New Roman" w:cs="Times New Roman"/>
          <w:sz w:val="21"/>
          <w:szCs w:val="21"/>
          <w:b/>
          <w:bCs/>
          <w:spacing w:val="-1"/>
        </w:rPr>
        <w:t>calculi</w:t>
      </w:r>
      <w:r>
        <w:rPr>
          <w:rFonts w:ascii="Times New Roman" w:hAnsi="Times New Roman" w:eastAsia="Times New Roman" w:cs="Times New Roman"/>
          <w:sz w:val="21"/>
          <w:szCs w:val="21"/>
          <w:b/>
          <w:bCs/>
          <w:spacing w:val="29"/>
          <w:w w:val="101"/>
        </w:rPr>
        <w:t xml:space="preserve"> </w:t>
      </w:r>
      <w:r>
        <w:rPr>
          <w:rFonts w:ascii="Times New Roman" w:hAnsi="Times New Roman" w:eastAsia="Times New Roman" w:cs="Times New Roman"/>
          <w:sz w:val="21"/>
          <w:szCs w:val="21"/>
          <w:b/>
          <w:bCs/>
          <w:spacing w:val="-1"/>
        </w:rPr>
        <w:t>in</w:t>
      </w:r>
      <w:r>
        <w:rPr>
          <w:rFonts w:ascii="Times New Roman" w:hAnsi="Times New Roman" w:eastAsia="Times New Roman" w:cs="Times New Roman"/>
          <w:sz w:val="21"/>
          <w:szCs w:val="21"/>
          <w:b/>
          <w:bCs/>
        </w:rPr>
        <w:t xml:space="preserve"> </w:t>
      </w:r>
      <w:r>
        <w:rPr>
          <w:rFonts w:ascii="Times New Roman" w:hAnsi="Times New Roman" w:eastAsia="Times New Roman" w:cs="Times New Roman"/>
          <w:sz w:val="21"/>
          <w:szCs w:val="21"/>
          <w:b/>
          <w:bCs/>
          <w:spacing w:val="-1"/>
        </w:rPr>
        <w:t>patients with horseshoe kidneys.JEndo</w:t>
      </w:r>
      <w:r>
        <w:rPr>
          <w:rFonts w:ascii="Times New Roman" w:hAnsi="Times New Roman" w:eastAsia="Times New Roman" w:cs="Times New Roman"/>
          <w:sz w:val="21"/>
          <w:szCs w:val="21"/>
          <w:b/>
          <w:bCs/>
          <w:spacing w:val="-2"/>
        </w:rPr>
        <w:t>urol 2004;18:157-161</w:t>
      </w:r>
      <w:r>
        <w:rPr>
          <w:rFonts w:ascii="Times New Roman" w:hAnsi="Times New Roman" w:eastAsia="Times New Roman" w:cs="Times New Roman"/>
          <w:sz w:val="21"/>
          <w:szCs w:val="21"/>
          <w:spacing w:val="-2"/>
        </w:rPr>
        <w:t>.</w:t>
      </w:r>
    </w:p>
    <w:p>
      <w:pPr>
        <w:ind w:left="280" w:right="23"/>
        <w:spacing w:before="62" w:line="312" w:lineRule="auto"/>
        <w:rPr>
          <w:rFonts w:ascii="Times New Roman" w:hAnsi="Times New Roman" w:eastAsia="Times New Roman" w:cs="Times New Roman"/>
          <w:sz w:val="21"/>
          <w:szCs w:val="21"/>
        </w:rPr>
      </w:pPr>
      <w:hyperlink w:history="true" r:id="rId89">
        <w:r>
          <w:rPr>
            <w:rFonts w:ascii="Times New Roman" w:hAnsi="Times New Roman" w:eastAsia="Times New Roman" w:cs="Times New Roman"/>
            <w:sz w:val="21"/>
            <w:szCs w:val="21"/>
            <w:b/>
            <w:bCs/>
            <w:spacing w:val="-5"/>
          </w:rPr>
          <w:t>http://www.ncbi.nlm.nih.gov/entrezlquery.fcgi?cmd=Retrieve&amp;db=pubmed&amp;dopt=Abstr</w:t>
        </w:r>
        <w:r>
          <w:rPr>
            <w:rFonts w:ascii="Times New Roman" w:hAnsi="Times New Roman" w:eastAsia="Times New Roman" w:cs="Times New Roman"/>
            <w:sz w:val="21"/>
            <w:szCs w:val="21"/>
            <w:b/>
            <w:bCs/>
            <w:spacing w:val="-6"/>
          </w:rPr>
          <w:t>act&amp;list_uids=1507262</w:t>
        </w:r>
      </w:hyperlink>
      <w:r>
        <w:rPr>
          <w:rFonts w:ascii="Times New Roman" w:hAnsi="Times New Roman" w:eastAsia="Times New Roman" w:cs="Times New Roman"/>
          <w:sz w:val="21"/>
          <w:szCs w:val="21"/>
          <w:b/>
          <w:bCs/>
        </w:rPr>
        <w:t xml:space="preserve"> </w:t>
      </w:r>
      <w:hyperlink w:history="true" r:id="rId89">
        <w:r>
          <w:rPr>
            <w:rFonts w:ascii="Times New Roman" w:hAnsi="Times New Roman" w:eastAsia="Times New Roman" w:cs="Times New Roman"/>
            <w:sz w:val="21"/>
            <w:szCs w:val="21"/>
            <w:b/>
            <w:bCs/>
            <w:spacing w:val="-5"/>
          </w:rPr>
          <w:t>3&amp;query_hl=15</w:t>
        </w:r>
      </w:hyperlink>
    </w:p>
    <w:p>
      <w:pPr>
        <w:pStyle w:val="BodyText"/>
        <w:ind w:left="720"/>
        <w:spacing w:before="10" w:line="220" w:lineRule="auto"/>
        <w:rPr/>
      </w:pPr>
      <w:r>
        <w:rPr>
          <w:spacing w:val="4"/>
        </w:rPr>
        <w:t>4. 结石大小</w:t>
      </w:r>
    </w:p>
    <w:p>
      <w:pPr>
        <w:spacing w:line="241" w:lineRule="auto"/>
        <w:rPr>
          <w:rFonts w:ascii="Arial"/>
          <w:sz w:val="21"/>
        </w:rPr>
      </w:pPr>
      <w:r/>
    </w:p>
    <w:p>
      <w:pPr>
        <w:ind w:left="4779"/>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rPr>
        <w:t>—194—</w:t>
      </w:r>
    </w:p>
    <w:p>
      <w:pPr>
        <w:spacing w:line="431"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4">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pgSz w:w="11850" w:h="16140"/>
          <w:pgMar w:top="400" w:right="1646" w:bottom="0" w:left="380" w:header="0" w:footer="0" w:gutter="0"/>
        </w:sectPr>
        <w:rPr>
          <w:rFonts w:ascii="Times New Roman" w:hAnsi="Times New Roman" w:eastAsia="Times New Roman" w:cs="Times New Roman"/>
          <w:sz w:val="21"/>
          <w:szCs w:val="21"/>
        </w:rPr>
      </w:pPr>
    </w:p>
    <w:p>
      <w:pPr>
        <w:spacing w:line="258" w:lineRule="auto"/>
        <w:rPr>
          <w:rFonts w:ascii="Arial"/>
          <w:sz w:val="21"/>
        </w:rPr>
      </w:pPr>
      <w:r/>
    </w:p>
    <w:p>
      <w:pPr>
        <w:ind w:firstLine="7269"/>
        <w:spacing w:line="480" w:lineRule="exact"/>
        <w:rPr/>
      </w:pPr>
      <w:r>
        <w:rPr>
          <w:position w:val="-9"/>
        </w:rPr>
        <w:drawing>
          <wp:inline distT="0" distB="0" distL="0" distR="0">
            <wp:extent cx="1733551" cy="304802"/>
            <wp:effectExtent l="0" t="0" r="0" b="0"/>
            <wp:docPr id="68" name="IM 68"/>
            <wp:cNvGraphicFramePr/>
            <a:graphic>
              <a:graphicData uri="http://schemas.openxmlformats.org/drawingml/2006/picture">
                <pic:pic>
                  <pic:nvPicPr>
                    <pic:cNvPr id="68" name="IM 68"/>
                    <pic:cNvPicPr/>
                  </pic:nvPicPr>
                  <pic:blipFill>
                    <a:blip r:embed="rId94"/>
                    <a:stretch>
                      <a:fillRect/>
                    </a:stretch>
                  </pic:blipFill>
                  <pic:spPr>
                    <a:xfrm rot="0">
                      <a:off x="0" y="0"/>
                      <a:ext cx="1733551" cy="304802"/>
                    </a:xfrm>
                    <a:prstGeom prst="rect">
                      <a:avLst/>
                    </a:prstGeom>
                  </pic:spPr>
                </pic:pic>
              </a:graphicData>
            </a:graphic>
          </wp:inline>
        </w:drawing>
      </w:r>
    </w:p>
    <w:p>
      <w:pPr>
        <w:pStyle w:val="BodyText"/>
        <w:ind w:left="389" w:right="39" w:firstLine="360"/>
        <w:spacing w:before="206" w:line="285" w:lineRule="auto"/>
        <w:jc w:val="both"/>
        <w:rPr>
          <w:rFonts w:ascii="Times New Roman" w:hAnsi="Times New Roman" w:eastAsia="Times New Roman" w:cs="Times New Roman"/>
        </w:rPr>
      </w:pPr>
      <w:r>
        <w:rPr>
          <w:spacing w:val="3"/>
        </w:rPr>
        <w:t>结石的大小可以用不同的方法表示。在文献中，以结石的最大直径表示其大小是最常用的方法，比</w:t>
      </w:r>
      <w:r>
        <w:rPr>
          <w:spacing w:val="2"/>
        </w:rPr>
        <w:t xml:space="preserve"> </w:t>
      </w:r>
      <w:r>
        <w:rPr>
          <w:spacing w:val="8"/>
        </w:rPr>
        <w:t>如，以在平片上测得的结石长度表示。对于大多数结石来说，当知道了结石的长(1)和宽</w:t>
      </w:r>
      <w:r>
        <w:rPr>
          <w:rFonts w:ascii="Times New Roman" w:hAnsi="Times New Roman" w:eastAsia="Times New Roman" w:cs="Times New Roman"/>
          <w:spacing w:val="8"/>
        </w:rPr>
        <w:t>(w),      </w:t>
      </w:r>
      <w:r>
        <w:rPr>
          <w:spacing w:val="8"/>
        </w:rPr>
        <w:t>可以</w:t>
      </w:r>
      <w:r>
        <w:rPr>
          <w:spacing w:val="7"/>
        </w:rPr>
        <w:t xml:space="preserve"> </w:t>
      </w:r>
      <w:r>
        <w:rPr>
          <w:spacing w:val="3"/>
        </w:rPr>
        <w:t>估计结石表面积</w:t>
      </w:r>
      <w:r>
        <w:rPr>
          <w:rFonts w:ascii="Times New Roman" w:hAnsi="Times New Roman" w:eastAsia="Times New Roman" w:cs="Times New Roman"/>
          <w:spacing w:val="3"/>
        </w:rPr>
        <w:t>(</w:t>
      </w:r>
      <w:r>
        <w:rPr>
          <w:rFonts w:ascii="Times New Roman" w:hAnsi="Times New Roman" w:eastAsia="Times New Roman" w:cs="Times New Roman"/>
        </w:rPr>
        <w:t>SA</w:t>
      </w:r>
      <w:r>
        <w:rPr>
          <w:rFonts w:ascii="Times New Roman" w:hAnsi="Times New Roman" w:eastAsia="Times New Roman" w:cs="Times New Roman"/>
          <w:spacing w:val="3"/>
        </w:rPr>
        <w:t>)[1]:</w:t>
      </w:r>
    </w:p>
    <w:p>
      <w:pPr>
        <w:ind w:left="749"/>
        <w:spacing w:before="8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SA=l×w×π×0.25</w:t>
      </w:r>
    </w:p>
    <w:p>
      <w:pPr>
        <w:pStyle w:val="BodyText"/>
        <w:ind w:left="749"/>
        <w:spacing w:before="84" w:line="218" w:lineRule="auto"/>
        <w:rPr/>
      </w:pPr>
      <w:r>
        <w:rPr/>
        <w:t>要快速估计结石表面积，请参看表</w:t>
      </w:r>
      <w:r>
        <w:rPr>
          <w:rFonts w:ascii="Times New Roman" w:hAnsi="Times New Roman" w:eastAsia="Times New Roman" w:cs="Times New Roman"/>
        </w:rPr>
        <w:t>A1</w:t>
      </w:r>
      <w:r>
        <w:rPr/>
        <w:t>(</w:t>
      </w:r>
      <w:r>
        <w:rPr>
          <w:spacing w:val="-11"/>
        </w:rPr>
        <w:t xml:space="preserve"> </w:t>
      </w:r>
      <w:r>
        <w:rPr/>
        <w:t>附</w:t>
      </w:r>
      <w:r>
        <w:rPr>
          <w:spacing w:val="-41"/>
        </w:rPr>
        <w:t xml:space="preserve"> </w:t>
      </w:r>
      <w:r>
        <w:rPr/>
        <w:t>录</w:t>
      </w:r>
      <w:r>
        <w:rPr>
          <w:spacing w:val="-41"/>
        </w:rPr>
        <w:t xml:space="preserve"> </w:t>
      </w:r>
      <w:r>
        <w:rPr/>
        <w:t>)</w:t>
      </w:r>
      <w:r>
        <w:rPr>
          <w:spacing w:val="-50"/>
        </w:rPr>
        <w:t xml:space="preserve"> </w:t>
      </w:r>
      <w:r>
        <w:rPr/>
        <w:t>。</w:t>
      </w:r>
    </w:p>
    <w:p>
      <w:pPr>
        <w:pStyle w:val="BodyText"/>
        <w:ind w:left="389" w:right="49" w:firstLine="360"/>
        <w:spacing w:before="63" w:line="295" w:lineRule="auto"/>
        <w:rPr/>
      </w:pPr>
      <w:r>
        <w:rPr>
          <w:spacing w:val="3"/>
        </w:rPr>
        <w:t>结石表面积也可以通过计算机系统和</w:t>
      </w:r>
      <w:r>
        <w:rPr>
          <w:rFonts w:ascii="Times New Roman" w:hAnsi="Times New Roman" w:eastAsia="Times New Roman" w:cs="Times New Roman"/>
        </w:rPr>
        <w:t>CT</w:t>
      </w:r>
      <w:r>
        <w:rPr>
          <w:spacing w:val="3"/>
        </w:rPr>
        <w:t>扫描获得，但这些方法也并不都是那么简单的。借助于表面 </w:t>
      </w:r>
      <w:r>
        <w:rPr>
          <w:spacing w:val="-1"/>
        </w:rPr>
        <w:t>积，结石体积也可以通过下面的公式计算出来[2]:</w:t>
      </w:r>
    </w:p>
    <w:p>
      <w:pPr>
        <w:pStyle w:val="BodyText"/>
        <w:ind w:left="749"/>
        <w:spacing w:line="220" w:lineRule="auto"/>
        <w:rPr>
          <w:rFonts w:ascii="Times New Roman" w:hAnsi="Times New Roman" w:eastAsia="Times New Roman" w:cs="Times New Roman"/>
        </w:rPr>
      </w:pPr>
      <w:r>
        <w:rPr>
          <w:spacing w:val="-5"/>
        </w:rPr>
        <w:t>结石体积=0.6×</w:t>
      </w:r>
      <w:r>
        <w:rPr>
          <w:rFonts w:ascii="Times New Roman" w:hAnsi="Times New Roman" w:eastAsia="Times New Roman" w:cs="Times New Roman"/>
          <w:spacing w:val="-5"/>
        </w:rPr>
        <w:t>SA1.27</w:t>
      </w:r>
    </w:p>
    <w:p>
      <w:pPr>
        <w:pStyle w:val="BodyText"/>
        <w:ind w:left="749"/>
        <w:spacing w:before="98" w:line="219" w:lineRule="auto"/>
        <w:rPr/>
      </w:pPr>
      <w:r>
        <w:rPr>
          <w:spacing w:val="3"/>
        </w:rPr>
        <w:t>在本指南中，我们给予的“推荐”是基于结石表面积和结石的最大直径。</w:t>
      </w:r>
    </w:p>
    <w:p>
      <w:pPr>
        <w:pStyle w:val="BodyText"/>
        <w:ind w:left="749"/>
        <w:spacing w:before="62" w:line="219" w:lineRule="auto"/>
        <w:rPr/>
      </w:pPr>
      <w:r>
        <w:rPr>
          <w:spacing w:val="3"/>
        </w:rPr>
        <w:t>4.1参考文献</w:t>
      </w:r>
    </w:p>
    <w:p>
      <w:pPr>
        <w:ind w:left="389" w:right="52"/>
        <w:spacing w:before="130" w:line="26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1.Tiselius</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HG,Andersson</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A.Stone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burden</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an</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average</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Swedish</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population</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formers</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requiring</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active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stone</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removal:how</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can</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size</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be</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estimated</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clinical</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routine?Eur</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2003;43:275-281.</w:t>
      </w:r>
    </w:p>
    <w:p>
      <w:pPr>
        <w:ind w:left="389"/>
        <w:spacing w:before="126" w:line="192" w:lineRule="auto"/>
        <w:rPr>
          <w:rFonts w:ascii="Times New Roman" w:hAnsi="Times New Roman" w:eastAsia="Times New Roman" w:cs="Times New Roman"/>
          <w:sz w:val="21"/>
          <w:szCs w:val="21"/>
        </w:rPr>
      </w:pPr>
      <w:hyperlink w:history="true" r:id="rId95">
        <w:r>
          <w:rPr>
            <w:rFonts w:ascii="Times New Roman" w:hAnsi="Times New Roman" w:eastAsia="Times New Roman" w:cs="Times New Roman"/>
            <w:sz w:val="21"/>
            <w:szCs w:val="21"/>
            <w:spacing w:val="-3"/>
          </w:rPr>
          <w:t>http://www.ncbi.nlm.nih.govlentre</w:t>
        </w:r>
        <w:r>
          <w:rPr>
            <w:rFonts w:ascii="Times New Roman" w:hAnsi="Times New Roman" w:eastAsia="Times New Roman" w:cs="Times New Roman"/>
            <w:sz w:val="21"/>
            <w:szCs w:val="21"/>
            <w:spacing w:val="-4"/>
          </w:rPr>
          <w:t>z/query.fcgi?cmd=Retrieve&amp;db=pubmed&amp;dopt=Abstract&amp;list_uids=12600431</w:t>
        </w:r>
      </w:hyperlink>
    </w:p>
    <w:p>
      <w:pPr>
        <w:ind w:left="389" w:right="57"/>
        <w:spacing w:before="147" w:line="270" w:lineRule="auto"/>
        <w:rPr>
          <w:rFonts w:ascii="Times New Roman" w:hAnsi="Times New Roman" w:eastAsia="Times New Roman" w:cs="Times New Roman"/>
          <w:sz w:val="21"/>
          <w:szCs w:val="21"/>
        </w:rPr>
      </w:pPr>
      <w:hyperlink w:history="true" r:id="rId95">
        <w:r>
          <w:rPr>
            <w:rFonts w:ascii="Times New Roman" w:hAnsi="Times New Roman" w:eastAsia="Times New Roman" w:cs="Times New Roman"/>
            <w:sz w:val="21"/>
            <w:szCs w:val="21"/>
          </w:rPr>
          <w:t>2.Ackermann</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D</w:t>
        </w:r>
      </w:hyperlink>
      <w:r>
        <w:rPr>
          <w:rFonts w:ascii="Times New Roman" w:hAnsi="Times New Roman" w:eastAsia="Times New Roman" w:cs="Times New Roman"/>
          <w:sz w:val="21"/>
          <w:szCs w:val="21"/>
        </w:rPr>
        <w:t>,</w:t>
      </w:r>
      <w:hyperlink w:history="true" r:id="rId96">
        <w:r>
          <w:rPr>
            <w:rFonts w:ascii="Times New Roman" w:hAnsi="Times New Roman" w:eastAsia="Times New Roman" w:cs="Times New Roman"/>
            <w:sz w:val="21"/>
            <w:szCs w:val="21"/>
          </w:rPr>
          <w:t>Griffith</w:t>
        </w:r>
      </w:hyperlink>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DP,Dunthorn</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M,Newman</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RC,Finlayson</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B.Calcula</w:t>
      </w:r>
      <w:r>
        <w:rPr>
          <w:rFonts w:ascii="Times New Roman" w:hAnsi="Times New Roman" w:eastAsia="Times New Roman" w:cs="Times New Roman"/>
          <w:sz w:val="21"/>
          <w:szCs w:val="21"/>
          <w:spacing w:val="-1"/>
        </w:rPr>
        <w:t>tion  of</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volume  and</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urinary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stone  staging  with  computer  assistan</w:t>
      </w:r>
      <w:r>
        <w:rPr>
          <w:rFonts w:ascii="Times New Roman" w:hAnsi="Times New Roman" w:eastAsia="Times New Roman" w:cs="Times New Roman"/>
          <w:sz w:val="21"/>
          <w:szCs w:val="21"/>
          <w:spacing w:val="-1"/>
        </w:rPr>
        <w:t>ce.JEndourol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1989;3:355-359.</w:t>
      </w:r>
    </w:p>
    <w:p>
      <w:pPr>
        <w:pStyle w:val="BodyText"/>
        <w:ind w:left="752"/>
        <w:spacing w:before="96" w:line="219" w:lineRule="auto"/>
        <w:rPr/>
      </w:pPr>
      <w:r>
        <w:rPr>
          <w:b/>
          <w:bCs/>
          <w:spacing w:val="-1"/>
        </w:rPr>
        <w:t>5.</w:t>
      </w:r>
      <w:r>
        <w:rPr>
          <w:spacing w:val="17"/>
        </w:rPr>
        <w:t xml:space="preserve"> </w:t>
      </w:r>
      <w:r>
        <w:rPr>
          <w:b/>
          <w:bCs/>
          <w:spacing w:val="-1"/>
        </w:rPr>
        <w:t>肾绞痛的治疗</w:t>
      </w:r>
    </w:p>
    <w:p>
      <w:pPr>
        <w:pStyle w:val="BodyText"/>
        <w:ind w:left="752"/>
        <w:spacing w:before="80" w:line="219" w:lineRule="auto"/>
        <w:outlineLvl w:val="4"/>
        <w:rPr/>
      </w:pPr>
      <w:r>
        <w:rPr>
          <w:b/>
          <w:bCs/>
          <w:spacing w:val="9"/>
        </w:rPr>
        <w:t>5.1镇痛</w:t>
      </w:r>
    </w:p>
    <w:p>
      <w:pPr>
        <w:pStyle w:val="BodyText"/>
        <w:ind w:left="739"/>
        <w:spacing w:before="104" w:line="219" w:lineRule="auto"/>
        <w:rPr/>
      </w:pPr>
      <w:r>
        <w:rPr>
          <w:spacing w:val="-6"/>
        </w:rPr>
        <w:t>对于急性结石发作的患者，止痛通常是最紧急的医疗措施</w:t>
      </w:r>
      <w:r>
        <w:rPr>
          <w:spacing w:val="-7"/>
        </w:rPr>
        <w:t>。止痛包括通过不同的方法给予下面的药物：</w:t>
      </w:r>
    </w:p>
    <w:p>
      <w:pPr>
        <w:pStyle w:val="BodyText"/>
        <w:ind w:left="749"/>
        <w:spacing w:before="57" w:line="212" w:lineRule="auto"/>
        <w:rPr>
          <w:rFonts w:ascii="Times New Roman" w:hAnsi="Times New Roman" w:eastAsia="Times New Roman" w:cs="Times New Roman"/>
        </w:rPr>
      </w:pPr>
      <w:r>
        <w:rPr>
          <w:spacing w:val="-2"/>
        </w:rPr>
        <w:t>双氯酚酸钠</w:t>
      </w:r>
      <w:r>
        <w:rPr>
          <w:spacing w:val="-31"/>
        </w:rPr>
        <w:t xml:space="preserve"> </w:t>
      </w:r>
      <w:r>
        <w:rPr>
          <w:rFonts w:ascii="Times New Roman" w:hAnsi="Times New Roman" w:eastAsia="Times New Roman" w:cs="Times New Roman"/>
          <w:spacing w:val="-2"/>
        </w:rPr>
        <w:t>(LE:1b)</w:t>
      </w:r>
    </w:p>
    <w:p>
      <w:pPr>
        <w:pStyle w:val="BodyText"/>
        <w:ind w:left="749"/>
        <w:spacing w:before="114" w:line="220" w:lineRule="auto"/>
        <w:rPr/>
      </w:pPr>
      <w:r>
        <w:rPr>
          <w:spacing w:val="-3"/>
        </w:rPr>
        <w:t>消炎痛</w:t>
      </w:r>
    </w:p>
    <w:p>
      <w:pPr>
        <w:pStyle w:val="BodyText"/>
        <w:ind w:left="749"/>
        <w:spacing w:before="77" w:line="219" w:lineRule="auto"/>
        <w:rPr/>
      </w:pPr>
      <w:r>
        <w:rPr>
          <w:spacing w:val="-2"/>
        </w:rPr>
        <w:t>布洛芬</w:t>
      </w:r>
    </w:p>
    <w:p>
      <w:pPr>
        <w:pStyle w:val="BodyText"/>
        <w:ind w:left="749"/>
        <w:spacing w:before="114" w:line="221" w:lineRule="auto"/>
        <w:rPr/>
      </w:pPr>
      <w:r>
        <w:rPr>
          <w:spacing w:val="13"/>
        </w:rPr>
        <w:t>盐酸氢吗啡酮+硫酸阿托品</w:t>
      </w:r>
    </w:p>
    <w:p>
      <w:pPr>
        <w:pStyle w:val="BodyText"/>
        <w:ind w:left="749"/>
        <w:spacing w:before="87" w:line="219" w:lineRule="auto"/>
        <w:rPr/>
      </w:pPr>
      <w:r>
        <w:rPr>
          <w:spacing w:val="-2"/>
        </w:rPr>
        <w:t>美沙莫托</w:t>
      </w:r>
    </w:p>
    <w:p>
      <w:pPr>
        <w:pStyle w:val="BodyText"/>
        <w:ind w:left="749"/>
        <w:spacing w:before="92" w:line="220" w:lineRule="auto"/>
        <w:rPr/>
      </w:pPr>
      <w:r>
        <w:rPr>
          <w:spacing w:val="3"/>
        </w:rPr>
        <w:t>喷他佐辛</w:t>
      </w:r>
    </w:p>
    <w:p>
      <w:pPr>
        <w:pStyle w:val="BodyText"/>
        <w:ind w:left="749"/>
        <w:spacing w:before="90" w:line="220" w:lineRule="auto"/>
        <w:rPr/>
      </w:pPr>
      <w:r>
        <w:rPr>
          <w:spacing w:val="3"/>
        </w:rPr>
        <w:t>曲马多</w:t>
      </w:r>
    </w:p>
    <w:p>
      <w:pPr>
        <w:pStyle w:val="BodyText"/>
        <w:ind w:left="749"/>
        <w:spacing w:before="89" w:line="220" w:lineRule="auto"/>
        <w:rPr/>
      </w:pPr>
      <w:r>
        <w:rPr/>
        <w:t>5.1.1非甾体消炎药(NSAIDs)</w:t>
      </w:r>
    </w:p>
    <w:p>
      <w:pPr>
        <w:pStyle w:val="BodyText"/>
        <w:ind w:left="389" w:right="92" w:firstLine="360"/>
        <w:spacing w:before="65" w:line="305" w:lineRule="auto"/>
        <w:rPr/>
      </w:pPr>
      <w:r>
        <w:rPr/>
        <w:t>对双氯芬酸钠和</w:t>
      </w:r>
      <w:r>
        <w:rPr>
          <w:rFonts w:ascii="Times New Roman" w:hAnsi="Times New Roman" w:eastAsia="Times New Roman" w:cs="Times New Roman"/>
        </w:rPr>
        <w:t>spasmofen</w:t>
      </w:r>
      <w:r>
        <w:rPr/>
        <w:t>(一种麻醉镇痛药)[1]的双盲研</w:t>
      </w:r>
      <w:r>
        <w:rPr>
          <w:spacing w:val="-1"/>
        </w:rPr>
        <w:t>究显示：双氯芬酸钠的效果好且副作用少。</w:t>
      </w:r>
      <w:r>
        <w:rPr/>
        <w:t xml:space="preserve"> </w:t>
      </w:r>
      <w:r>
        <w:rPr>
          <w:spacing w:val="3"/>
        </w:rPr>
        <w:t>在另一项使用安慰剂的双盲研究中[2],双氯芬酸钠的治疗效果同样被明确证实。</w:t>
      </w:r>
    </w:p>
    <w:p>
      <w:pPr>
        <w:pStyle w:val="BodyText"/>
        <w:ind w:left="389" w:right="109" w:firstLine="360"/>
        <w:spacing w:line="293" w:lineRule="auto"/>
        <w:rPr/>
      </w:pPr>
      <w:r>
        <w:rPr>
          <w:spacing w:val="1"/>
        </w:rPr>
        <w:t>当双氯芬酸钠被用来与酮洛芬进行随机、双盲、对</w:t>
      </w:r>
      <w:r>
        <w:rPr/>
        <w:t>照研究，两种药的效果并无差别[3]。而且，当给 </w:t>
      </w:r>
      <w:r>
        <w:rPr>
          <w:spacing w:val="-3"/>
        </w:rPr>
        <w:t>予</w:t>
      </w:r>
      <w:r>
        <w:rPr>
          <w:rFonts w:ascii="Times New Roman" w:hAnsi="Times New Roman" w:eastAsia="Times New Roman" w:cs="Times New Roman"/>
          <w:spacing w:val="-3"/>
        </w:rPr>
        <w:t>NSAIDs</w:t>
      </w:r>
      <w:r>
        <w:rPr>
          <w:spacing w:val="-3"/>
        </w:rPr>
        <w:t>时，肾绞痛的患者的输尿管阻力指数将会减小[4]。</w:t>
      </w:r>
    </w:p>
    <w:p>
      <w:pPr>
        <w:pStyle w:val="BodyText"/>
        <w:ind w:left="389" w:firstLine="469"/>
        <w:spacing w:before="2" w:line="312" w:lineRule="auto"/>
        <w:rPr/>
      </w:pPr>
      <w:r>
        <w:rPr>
          <w:spacing w:val="10"/>
        </w:rPr>
        <w:t>推荐在可能的情况下，从使用双氯芬酸钠开始镇痛(表13),如果疼痛持续性存在，则改用可供选</w:t>
      </w:r>
      <w:r>
        <w:rPr>
          <w:spacing w:val="2"/>
        </w:rPr>
        <w:t xml:space="preserve"> </w:t>
      </w:r>
      <w:r>
        <w:rPr>
          <w:spacing w:val="3"/>
        </w:rPr>
        <w:t>择的其他药物。氢吗啡酮和其它阿片类药物应避免单独使用，与阿托品联用可减少呕吐的副作用。</w:t>
      </w:r>
    </w:p>
    <w:p>
      <w:pPr>
        <w:pStyle w:val="BodyText"/>
        <w:ind w:left="389" w:right="57" w:firstLine="360"/>
        <w:spacing w:before="3" w:line="303" w:lineRule="auto"/>
        <w:rPr/>
      </w:pPr>
      <w:r>
        <w:rPr>
          <w:spacing w:val="8"/>
        </w:rPr>
        <w:t>评价：在法国，酮洛芬是唯一被认证的治疗肾绞痛的药物。对于有禁忌症(孕妇)或者对</w:t>
      </w:r>
      <w:r>
        <w:rPr/>
        <w:t>NSAIDs</w:t>
      </w:r>
      <w:r>
        <w:rPr>
          <w:spacing w:val="-35"/>
        </w:rPr>
        <w:t xml:space="preserve"> </w:t>
      </w:r>
      <w:r>
        <w:rPr>
          <w:spacing w:val="8"/>
        </w:rPr>
        <w:t>过</w:t>
      </w:r>
      <w:r>
        <w:rPr/>
        <w:t xml:space="preserve"> </w:t>
      </w:r>
      <w:r>
        <w:rPr>
          <w:spacing w:val="3"/>
        </w:rPr>
        <w:t>敏的患者来说，可以用盐酸吗啡替代，但同时也会增加一些</w:t>
      </w:r>
      <w:r>
        <w:rPr>
          <w:spacing w:val="2"/>
        </w:rPr>
        <w:t>副作用。</w:t>
      </w:r>
    </w:p>
    <w:p>
      <w:pPr>
        <w:pStyle w:val="BodyText"/>
        <w:ind w:left="879"/>
        <w:spacing w:line="219" w:lineRule="auto"/>
        <w:rPr/>
      </w:pPr>
      <w:r>
        <w:rPr>
          <w:spacing w:val="-1"/>
        </w:rPr>
        <w:t>5.1.2预防肾绞痛复发</w:t>
      </w:r>
    </w:p>
    <w:p>
      <w:pPr>
        <w:pStyle w:val="BodyText"/>
        <w:ind w:left="389" w:right="32" w:firstLine="360"/>
        <w:spacing w:before="74" w:line="295" w:lineRule="auto"/>
        <w:rPr/>
      </w:pPr>
      <w:r>
        <w:rPr>
          <w:spacing w:val="4"/>
        </w:rPr>
        <w:t>一项双盲、安慰剂对照的研究显示：在肾绞痛发作的前7天中，给予双氯芬酸钠50</w:t>
      </w:r>
      <w:r>
        <w:rPr>
          <w:rFonts w:ascii="Times New Roman" w:hAnsi="Times New Roman" w:eastAsia="Times New Roman" w:cs="Times New Roman"/>
        </w:rPr>
        <w:t>mg</w:t>
      </w:r>
      <w:r>
        <w:rPr>
          <w:rFonts w:ascii="Times New Roman" w:hAnsi="Times New Roman" w:eastAsia="Times New Roman" w:cs="Times New Roman"/>
          <w:spacing w:val="4"/>
        </w:rPr>
        <w:t>,  </w:t>
      </w:r>
      <w:r>
        <w:rPr>
          <w:spacing w:val="4"/>
        </w:rPr>
        <w:t>一天3次</w:t>
      </w:r>
      <w:r>
        <w:rPr>
          <w:spacing w:val="3"/>
        </w:rPr>
        <w:t>，其</w:t>
      </w:r>
      <w:r>
        <w:rPr/>
        <w:t xml:space="preserve"> </w:t>
      </w:r>
      <w:r>
        <w:rPr>
          <w:spacing w:val="2"/>
        </w:rPr>
        <w:t>肾绞痛的复发显著减少。在治疗的前4天给药，治疗效果最为显著[5]。对于有希望可以自行排石的输尿 </w:t>
      </w:r>
      <w:r>
        <w:rPr>
          <w:spacing w:val="6"/>
        </w:rPr>
        <w:t>管结石患者来说，给予双氯芬酸钠的栓剂或片剂，50</w:t>
      </w:r>
      <w:r>
        <w:rPr>
          <w:rFonts w:ascii="Times New Roman" w:hAnsi="Times New Roman" w:eastAsia="Times New Roman" w:cs="Times New Roman"/>
        </w:rPr>
        <w:t>mg</w:t>
      </w:r>
      <w:r>
        <w:rPr>
          <w:rFonts w:ascii="Times New Roman" w:hAnsi="Times New Roman" w:eastAsia="Times New Roman" w:cs="Times New Roman"/>
          <w:spacing w:val="6"/>
        </w:rPr>
        <w:t>,</w:t>
      </w:r>
      <w:r>
        <w:rPr>
          <w:rFonts w:ascii="Times New Roman" w:hAnsi="Times New Roman" w:eastAsia="Times New Roman" w:cs="Times New Roman"/>
          <w:spacing w:val="20"/>
          <w:w w:val="101"/>
        </w:rPr>
        <w:t xml:space="preserve">  </w:t>
      </w:r>
      <w:r>
        <w:rPr>
          <w:spacing w:val="6"/>
        </w:rPr>
        <w:t>一天2次，3～10天，可有效缩短炎症过程、</w:t>
      </w:r>
      <w:r>
        <w:rPr/>
        <w:t xml:space="preserve"> </w:t>
      </w:r>
      <w:r>
        <w:rPr>
          <w:spacing w:val="8"/>
        </w:rPr>
        <w:t>减少疼痛复发的风险。应该指导患者如何过滤尿液以获得排除的结石来进行成分分析。我们应该使用</w:t>
      </w:r>
      <w:r>
        <w:rPr>
          <w:spacing w:val="2"/>
        </w:rPr>
        <w:t xml:space="preserve"> </w:t>
      </w:r>
      <w:r>
        <w:rPr>
          <w:spacing w:val="8"/>
        </w:rPr>
        <w:t>合理的方法保证结石的排出和肾功能的正常。当用药物不能缓解疼</w:t>
      </w:r>
      <w:r>
        <w:rPr>
          <w:spacing w:val="7"/>
        </w:rPr>
        <w:t>痛，应通过支架管、经皮穿刺肾造</w:t>
      </w:r>
    </w:p>
    <w:p>
      <w:pPr>
        <w:ind w:left="4859"/>
        <w:spacing w:before="211"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4"/>
        </w:rPr>
        <w:t>—195—</w:t>
      </w:r>
    </w:p>
    <w:p>
      <w:pPr>
        <w:spacing w:line="349" w:lineRule="auto"/>
        <w:rPr>
          <w:rFonts w:ascii="Arial"/>
          <w:sz w:val="21"/>
        </w:rPr>
      </w:pPr>
      <w:r/>
    </w:p>
    <w:p>
      <w:pPr>
        <w:spacing w:before="6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4">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pgSz w:w="11850" w:h="16140"/>
          <w:pgMar w:top="400" w:right="1451" w:bottom="0" w:left="380" w:header="0" w:footer="0" w:gutter="0"/>
        </w:sectPr>
        <w:rPr>
          <w:rFonts w:ascii="Times New Roman" w:hAnsi="Times New Roman" w:eastAsia="Times New Roman" w:cs="Times New Roman"/>
          <w:sz w:val="21"/>
          <w:szCs w:val="21"/>
        </w:rPr>
      </w:pPr>
    </w:p>
    <w:p>
      <w:pPr>
        <w:ind w:left="704"/>
        <w:spacing w:before="229" w:line="196" w:lineRule="auto"/>
        <w:rPr>
          <w:sz w:val="24"/>
          <w:szCs w:val="24"/>
        </w:rPr>
      </w:pPr>
      <w:r>
        <w:drawing>
          <wp:anchor distT="0" distB="0" distL="0" distR="0" simplePos="0" relativeHeight="251751424" behindDoc="1" locked="0" layoutInCell="1" allowOverlap="1">
            <wp:simplePos x="0" y="0"/>
            <wp:positionH relativeFrom="column">
              <wp:posOffset>266677</wp:posOffset>
            </wp:positionH>
            <wp:positionV relativeFrom="paragraph">
              <wp:posOffset>293501</wp:posOffset>
            </wp:positionV>
            <wp:extent cx="1555742" cy="7619"/>
            <wp:effectExtent l="0" t="0" r="0" b="0"/>
            <wp:wrapNone/>
            <wp:docPr id="70" name="IM 70"/>
            <wp:cNvGraphicFramePr/>
            <a:graphic>
              <a:graphicData uri="http://schemas.openxmlformats.org/drawingml/2006/picture">
                <pic:pic>
                  <pic:nvPicPr>
                    <pic:cNvPr id="70" name="IM 70"/>
                    <pic:cNvPicPr/>
                  </pic:nvPicPr>
                  <pic:blipFill>
                    <a:blip r:embed="rId97"/>
                    <a:stretch>
                      <a:fillRect/>
                    </a:stretch>
                  </pic:blipFill>
                  <pic:spPr>
                    <a:xfrm rot="0">
                      <a:off x="0" y="0"/>
                      <a:ext cx="1555742" cy="7619"/>
                    </a:xfrm>
                    <a:prstGeom prst="rect">
                      <a:avLst/>
                    </a:prstGeom>
                  </pic:spPr>
                </pic:pic>
              </a:graphicData>
            </a:graphic>
          </wp:anchor>
        </w:drawing>
      </w:r>
      <w:r>
        <w:rPr>
          <w:rFonts w:ascii="STXingkai" w:hAnsi="STXingkai" w:eastAsia="STXingkai" w:cs="STXingkai"/>
          <w:sz w:val="24"/>
          <w:szCs w:val="24"/>
          <w:b/>
          <w:bCs/>
          <w:spacing w:val="-28"/>
        </w:rPr>
        <w:t>附</w:t>
      </w:r>
      <w:r>
        <w:rPr>
          <w:rFonts w:ascii="STXingkai" w:hAnsi="STXingkai" w:eastAsia="STXingkai" w:cs="STXingkai"/>
          <w:sz w:val="24"/>
          <w:szCs w:val="24"/>
          <w:spacing w:val="15"/>
          <w:w w:val="101"/>
        </w:rPr>
        <w:t xml:space="preserve">   </w:t>
      </w:r>
      <w:r>
        <w:rPr>
          <w:rFonts w:ascii="STXingkai" w:hAnsi="STXingkai" w:eastAsia="STXingkai" w:cs="STXingkai"/>
          <w:sz w:val="24"/>
          <w:szCs w:val="24"/>
          <w:b/>
          <w:bCs/>
          <w:spacing w:val="-28"/>
        </w:rPr>
        <w:t>灵</w:t>
      </w:r>
      <w:r>
        <w:rPr>
          <w:rFonts w:ascii="STXingkai" w:hAnsi="STXingkai" w:eastAsia="STXingkai" w:cs="STXingkai"/>
          <w:sz w:val="24"/>
          <w:szCs w:val="24"/>
          <w:spacing w:val="-28"/>
        </w:rPr>
        <w:t xml:space="preserve">      </w:t>
      </w:r>
      <w:r>
        <w:rPr>
          <w:rFonts w:ascii="STXingkai" w:hAnsi="STXingkai" w:eastAsia="STXingkai" w:cs="STXingkai"/>
          <w:sz w:val="24"/>
          <w:szCs w:val="24"/>
          <w:b/>
          <w:bCs/>
          <w:spacing w:val="-28"/>
        </w:rPr>
        <w:t>·</w:t>
      </w:r>
      <w:r>
        <w:rPr>
          <w:rFonts w:ascii="STXingkai" w:hAnsi="STXingkai" w:eastAsia="STXingkai" w:cs="STXingkai"/>
          <w:sz w:val="24"/>
          <w:szCs w:val="24"/>
          <w:spacing w:val="14"/>
        </w:rPr>
        <w:t xml:space="preserve">   </w:t>
      </w:r>
      <w:r>
        <w:rPr>
          <w:rFonts w:ascii="STXingkai" w:hAnsi="STXingkai" w:eastAsia="STXingkai" w:cs="STXingkai"/>
          <w:sz w:val="24"/>
          <w:szCs w:val="24"/>
          <w:b/>
          <w:bCs/>
          <w:spacing w:val="-28"/>
        </w:rPr>
        <w:t>指</w:t>
      </w:r>
      <w:r>
        <w:rPr>
          <w:rFonts w:ascii="STXingkai" w:hAnsi="STXingkai" w:eastAsia="STXingkai" w:cs="STXingkai"/>
          <w:sz w:val="24"/>
          <w:szCs w:val="24"/>
          <w:spacing w:val="15"/>
        </w:rPr>
        <w:t xml:space="preserve">   </w:t>
      </w:r>
      <w:r>
        <w:rPr>
          <w:rFonts w:ascii="STXingkai" w:hAnsi="STXingkai" w:eastAsia="STXingkai" w:cs="STXingkai"/>
          <w:sz w:val="24"/>
          <w:szCs w:val="24"/>
          <w:b/>
          <w:bCs/>
          <w:spacing w:val="-28"/>
        </w:rPr>
        <w:t>直</w:t>
      </w:r>
      <w:r>
        <w:rPr>
          <w:rFonts w:ascii="STXingkai" w:hAnsi="STXingkai" w:eastAsia="STXingkai" w:cs="STXingkai"/>
          <w:sz w:val="24"/>
          <w:szCs w:val="24"/>
        </w:rPr>
        <w:t xml:space="preserve">  </w:t>
      </w:r>
      <w:r>
        <w:rPr>
          <w:sz w:val="24"/>
          <w:szCs w:val="24"/>
          <w:position w:val="-20"/>
        </w:rPr>
        <w:drawing>
          <wp:inline distT="0" distB="0" distL="0" distR="0">
            <wp:extent cx="228601" cy="215944"/>
            <wp:effectExtent l="0" t="0" r="0" b="0"/>
            <wp:docPr id="72" name="IM 72"/>
            <wp:cNvGraphicFramePr/>
            <a:graphic>
              <a:graphicData uri="http://schemas.openxmlformats.org/drawingml/2006/picture">
                <pic:pic>
                  <pic:nvPicPr>
                    <pic:cNvPr id="72" name="IM 72"/>
                    <pic:cNvPicPr/>
                  </pic:nvPicPr>
                  <pic:blipFill>
                    <a:blip r:embed="rId98"/>
                    <a:stretch>
                      <a:fillRect/>
                    </a:stretch>
                  </pic:blipFill>
                  <pic:spPr>
                    <a:xfrm rot="0">
                      <a:off x="0" y="0"/>
                      <a:ext cx="228601" cy="215944"/>
                    </a:xfrm>
                    <a:prstGeom prst="rect">
                      <a:avLst/>
                    </a:prstGeom>
                  </pic:spPr>
                </pic:pic>
              </a:graphicData>
            </a:graphic>
          </wp:inline>
        </w:drawing>
      </w:r>
    </w:p>
    <w:p>
      <w:pPr>
        <w:pStyle w:val="BodyText"/>
        <w:ind w:left="422"/>
        <w:spacing w:before="197" w:line="212" w:lineRule="auto"/>
        <w:rPr/>
      </w:pPr>
      <w:r>
        <w:rPr>
          <w:b/>
          <w:bCs/>
        </w:rPr>
        <w:t>瘘术</w:t>
      </w:r>
      <w:r>
        <w:rPr>
          <w:spacing w:val="-58"/>
        </w:rPr>
        <w:t xml:space="preserve"> </w:t>
      </w:r>
      <w:r>
        <w:rPr>
          <w:rFonts w:ascii="Times New Roman" w:hAnsi="Times New Roman" w:eastAsia="Times New Roman" w:cs="Times New Roman"/>
          <w:b/>
          <w:bCs/>
        </w:rPr>
        <w:t>(PN)</w:t>
      </w:r>
      <w:r>
        <w:rPr>
          <w:rFonts w:ascii="Times New Roman" w:hAnsi="Times New Roman" w:eastAsia="Times New Roman" w:cs="Times New Roman"/>
          <w:b/>
          <w:bCs/>
          <w:spacing w:val="15"/>
        </w:rPr>
        <w:t xml:space="preserve">   </w:t>
      </w:r>
      <w:r>
        <w:rPr>
          <w:b/>
          <w:bCs/>
        </w:rPr>
        <w:t>或取石来保证尿液引流。</w:t>
      </w:r>
    </w:p>
    <w:p>
      <w:pPr>
        <w:pStyle w:val="BodyText"/>
        <w:ind w:left="823"/>
        <w:spacing w:before="96" w:line="219" w:lineRule="auto"/>
        <w:outlineLvl w:val="4"/>
        <w:rPr/>
      </w:pPr>
      <w:r>
        <w:rPr>
          <w:b/>
          <w:bCs/>
          <w:spacing w:val="-3"/>
        </w:rPr>
        <w:t>5.1.3双氯芬酸钠对肾功能的影响</w:t>
      </w:r>
    </w:p>
    <w:p>
      <w:pPr>
        <w:pStyle w:val="BodyText"/>
        <w:ind w:left="422" w:firstLine="400"/>
        <w:spacing w:before="101" w:line="299" w:lineRule="auto"/>
        <w:rPr/>
      </w:pPr>
      <w:r>
        <w:rPr>
          <w:b/>
          <w:bCs/>
        </w:rPr>
        <w:t>尽管对于一个已经存在肾功能不全的患者来说，双氯芬酸钠会对其肾功能产生</w:t>
      </w:r>
      <w:r>
        <w:rPr>
          <w:b/>
          <w:bCs/>
          <w:spacing w:val="-1"/>
        </w:rPr>
        <w:t>不良影响，但对于功</w:t>
      </w:r>
      <w:r>
        <w:rPr/>
        <w:t xml:space="preserve"> </w:t>
      </w:r>
      <w:r>
        <w:rPr>
          <w:b/>
          <w:bCs/>
          <w:spacing w:val="-9"/>
        </w:rPr>
        <w:t>能正常的肾并无影响[6]。</w:t>
      </w:r>
    </w:p>
    <w:p>
      <w:pPr>
        <w:pStyle w:val="BodyText"/>
        <w:ind w:left="2089"/>
        <w:spacing w:line="218" w:lineRule="auto"/>
        <w:rPr>
          <w:sz w:val="16"/>
          <w:szCs w:val="16"/>
        </w:rPr>
      </w:pPr>
      <w:r>
        <w:rPr>
          <w:sz w:val="16"/>
          <w:szCs w:val="16"/>
          <w:spacing w:val="-1"/>
        </w:rPr>
        <w:t>表13关于督绞痛治疗的推荐及注意事顶</w:t>
      </w:r>
    </w:p>
    <w:p>
      <w:pPr>
        <w:spacing w:before="68"/>
        <w:rPr/>
      </w:pPr>
      <w:r/>
    </w:p>
    <w:tbl>
      <w:tblPr>
        <w:tblStyle w:val="TableNormal"/>
        <w:tblW w:w="5849" w:type="dxa"/>
        <w:tblInd w:w="8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41"/>
        <w:gridCol w:w="775"/>
        <w:gridCol w:w="1133"/>
      </w:tblGrid>
      <w:tr>
        <w:trPr>
          <w:trHeight w:val="213" w:hRule="atLeast"/>
        </w:trPr>
        <w:tc>
          <w:tcPr>
            <w:tcW w:w="3941" w:type="dxa"/>
            <w:vAlign w:val="top"/>
            <w:tcBorders>
              <w:right w:val="nil"/>
            </w:tcBorders>
          </w:tcPr>
          <w:p>
            <w:pPr>
              <w:pStyle w:val="TableText"/>
              <w:ind w:left="54"/>
              <w:spacing w:before="11" w:line="197" w:lineRule="auto"/>
              <w:rPr>
                <w:sz w:val="17"/>
                <w:szCs w:val="17"/>
              </w:rPr>
            </w:pPr>
            <w:r>
              <w:rPr>
                <w:sz w:val="17"/>
                <w:szCs w:val="17"/>
                <w:spacing w:val="-1"/>
                <w:position w:val="1"/>
              </w:rPr>
              <w:t>推荐                                  </w:t>
            </w:r>
            <w:r>
              <w:rPr>
                <w:sz w:val="17"/>
                <w:szCs w:val="17"/>
                <w:spacing w:val="-2"/>
              </w:rPr>
              <w:t>LE/GR</w:t>
            </w:r>
          </w:p>
        </w:tc>
        <w:tc>
          <w:tcPr>
            <w:tcW w:w="775" w:type="dxa"/>
            <w:vAlign w:val="top"/>
            <w:tcBorders>
              <w:left w:val="nil"/>
              <w:right w:val="nil"/>
            </w:tcBorders>
          </w:tcPr>
          <w:p>
            <w:pPr>
              <w:pStyle w:val="TableText"/>
              <w:ind w:left="39"/>
              <w:spacing w:before="11" w:line="208" w:lineRule="auto"/>
              <w:rPr>
                <w:sz w:val="17"/>
                <w:szCs w:val="17"/>
              </w:rPr>
            </w:pPr>
            <w:r>
              <w:rPr>
                <w:sz w:val="17"/>
                <w:szCs w:val="17"/>
                <w:spacing w:val="-2"/>
              </w:rPr>
              <w:t>参考文献</w:t>
            </w:r>
          </w:p>
        </w:tc>
        <w:tc>
          <w:tcPr>
            <w:tcW w:w="1133" w:type="dxa"/>
            <w:vAlign w:val="top"/>
            <w:tcBorders>
              <w:left w:val="nil"/>
            </w:tcBorders>
          </w:tcPr>
          <w:p>
            <w:pPr>
              <w:pStyle w:val="TableText"/>
              <w:ind w:left="474"/>
              <w:spacing w:before="11" w:line="208" w:lineRule="auto"/>
              <w:rPr>
                <w:sz w:val="17"/>
                <w:szCs w:val="17"/>
              </w:rPr>
            </w:pPr>
            <w:r>
              <w:rPr>
                <w:sz w:val="17"/>
                <w:szCs w:val="17"/>
                <w:spacing w:val="-2"/>
              </w:rPr>
              <w:t>参见</w:t>
            </w:r>
          </w:p>
        </w:tc>
      </w:tr>
      <w:tr>
        <w:trPr>
          <w:trHeight w:val="189" w:hRule="atLeast"/>
        </w:trPr>
        <w:tc>
          <w:tcPr>
            <w:tcW w:w="3941" w:type="dxa"/>
            <w:vAlign w:val="top"/>
            <w:tcBorders>
              <w:right w:val="nil"/>
            </w:tcBorders>
          </w:tcPr>
          <w:p>
            <w:pPr>
              <w:pStyle w:val="TableText"/>
              <w:ind w:left="15"/>
              <w:spacing w:before="3" w:line="191" w:lineRule="auto"/>
              <w:rPr>
                <w:sz w:val="17"/>
                <w:szCs w:val="17"/>
              </w:rPr>
            </w:pPr>
            <w:r>
              <w:rPr>
                <w:sz w:val="17"/>
                <w:szCs w:val="17"/>
                <w:spacing w:val="-1"/>
              </w:rPr>
              <w:t>从使用NSAIDs开始镇痛                   1b/A</w:t>
            </w:r>
          </w:p>
        </w:tc>
        <w:tc>
          <w:tcPr>
            <w:tcW w:w="775" w:type="dxa"/>
            <w:vAlign w:val="top"/>
            <w:tcBorders>
              <w:left w:val="nil"/>
              <w:right w:val="nil"/>
            </w:tcBorders>
          </w:tcPr>
          <w:p>
            <w:pPr>
              <w:pStyle w:val="TableText"/>
              <w:ind w:left="459"/>
              <w:spacing w:before="16" w:line="177" w:lineRule="auto"/>
              <w:rPr>
                <w:sz w:val="17"/>
                <w:szCs w:val="17"/>
              </w:rPr>
            </w:pPr>
            <w:r>
              <w:rPr>
                <w:sz w:val="17"/>
                <w:szCs w:val="17"/>
                <w:spacing w:val="-7"/>
              </w:rPr>
              <w:t>1-4</w:t>
            </w:r>
          </w:p>
        </w:tc>
        <w:tc>
          <w:tcPr>
            <w:tcW w:w="1133" w:type="dxa"/>
            <w:vAlign w:val="top"/>
            <w:tcBorders>
              <w:left w:val="nil"/>
            </w:tcBorders>
          </w:tcPr>
          <w:p>
            <w:pPr>
              <w:pStyle w:val="TableText"/>
              <w:ind w:left="393"/>
              <w:spacing w:before="8" w:line="185" w:lineRule="auto"/>
              <w:rPr>
                <w:sz w:val="17"/>
                <w:szCs w:val="17"/>
              </w:rPr>
            </w:pPr>
            <w:r>
              <w:rPr>
                <w:sz w:val="17"/>
                <w:szCs w:val="17"/>
                <w:spacing w:val="3"/>
              </w:rPr>
              <w:t>见511</w:t>
            </w:r>
          </w:p>
        </w:tc>
      </w:tr>
      <w:tr>
        <w:trPr>
          <w:trHeight w:val="497" w:hRule="atLeast"/>
        </w:trPr>
        <w:tc>
          <w:tcPr>
            <w:tcW w:w="3941" w:type="dxa"/>
            <w:vAlign w:val="top"/>
            <w:tcBorders>
              <w:right w:val="nil"/>
            </w:tcBorders>
          </w:tcPr>
          <w:p>
            <w:pPr>
              <w:pStyle w:val="TableText"/>
              <w:ind w:left="35"/>
              <w:spacing w:before="9" w:line="183" w:lineRule="auto"/>
              <w:rPr>
                <w:sz w:val="17"/>
                <w:szCs w:val="17"/>
              </w:rPr>
            </w:pPr>
            <w:r>
              <w:rPr>
                <w:sz w:val="17"/>
                <w:szCs w:val="17"/>
                <w:spacing w:val="-1"/>
              </w:rPr>
              <w:t>双氯芬酸钠会影响督功能不全患者的</w:t>
            </w:r>
          </w:p>
          <w:p>
            <w:pPr>
              <w:pStyle w:val="TableText"/>
              <w:ind w:left="54"/>
              <w:spacing w:line="226" w:lineRule="auto"/>
              <w:rPr>
                <w:sz w:val="17"/>
                <w:szCs w:val="17"/>
              </w:rPr>
            </w:pPr>
            <w:r>
              <w:rPr>
                <w:sz w:val="17"/>
                <w:szCs w:val="17"/>
              </w:rPr>
              <w:t>GFR,但对肾功能正常的患者无影响         </w:t>
            </w:r>
            <w:r>
              <w:rPr>
                <w:sz w:val="17"/>
                <w:szCs w:val="17"/>
                <w:position w:val="1"/>
              </w:rPr>
              <w:t>2a</w:t>
            </w:r>
          </w:p>
        </w:tc>
        <w:tc>
          <w:tcPr>
            <w:tcW w:w="775" w:type="dxa"/>
            <w:vAlign w:val="top"/>
            <w:tcBorders>
              <w:left w:val="nil"/>
              <w:right w:val="nil"/>
            </w:tcBorders>
          </w:tcPr>
          <w:p>
            <w:pPr>
              <w:pStyle w:val="TableText"/>
              <w:ind w:left="548"/>
              <w:spacing w:before="186"/>
              <w:rPr>
                <w:sz w:val="17"/>
                <w:szCs w:val="17"/>
              </w:rPr>
            </w:pPr>
            <w:r>
              <w:rPr>
                <w:sz w:val="17"/>
                <w:szCs w:val="17"/>
                <w:spacing w:val="-2"/>
              </w:rPr>
              <w:t>60</w:t>
            </w:r>
          </w:p>
        </w:tc>
        <w:tc>
          <w:tcPr>
            <w:tcW w:w="1133" w:type="dxa"/>
            <w:vAlign w:val="top"/>
            <w:tcBorders>
              <w:left w:val="nil"/>
            </w:tcBorders>
          </w:tcPr>
          <w:p>
            <w:pPr>
              <w:pStyle w:val="TableText"/>
              <w:ind w:left="374"/>
              <w:spacing w:before="150" w:line="219" w:lineRule="auto"/>
              <w:rPr>
                <w:sz w:val="17"/>
                <w:szCs w:val="17"/>
              </w:rPr>
            </w:pPr>
            <w:r>
              <w:rPr>
                <w:sz w:val="17"/>
                <w:szCs w:val="17"/>
                <w:spacing w:val="-2"/>
              </w:rPr>
              <w:t>见513</w:t>
            </w:r>
          </w:p>
        </w:tc>
      </w:tr>
      <w:tr>
        <w:trPr>
          <w:trHeight w:val="358" w:hRule="atLeast"/>
        </w:trPr>
        <w:tc>
          <w:tcPr>
            <w:tcW w:w="3941" w:type="dxa"/>
            <w:vAlign w:val="top"/>
            <w:tcBorders>
              <w:right w:val="nil"/>
            </w:tcBorders>
          </w:tcPr>
          <w:p>
            <w:pPr>
              <w:pStyle w:val="TableText"/>
              <w:ind w:left="35"/>
              <w:spacing w:before="12" w:line="174" w:lineRule="auto"/>
              <w:rPr>
                <w:sz w:val="17"/>
                <w:szCs w:val="17"/>
              </w:rPr>
            </w:pPr>
            <w:r>
              <w:rPr>
                <w:sz w:val="17"/>
                <w:szCs w:val="17"/>
                <w:spacing w:val="-1"/>
              </w:rPr>
              <w:t>双氯芬酸钠被推荐作为在首次输尿管绞痛</w:t>
            </w:r>
          </w:p>
          <w:p>
            <w:pPr>
              <w:pStyle w:val="TableText"/>
              <w:ind w:left="45"/>
              <w:spacing w:line="175" w:lineRule="exact"/>
              <w:rPr>
                <w:sz w:val="17"/>
                <w:szCs w:val="17"/>
              </w:rPr>
            </w:pPr>
            <w:r>
              <w:rPr>
                <w:sz w:val="17"/>
                <w:szCs w:val="17"/>
                <w:spacing w:val="-2"/>
                <w:position w:val="-2"/>
              </w:rPr>
              <w:t>发作后疼痛反复发作患者的治疗方法</w:t>
            </w:r>
            <w:r>
              <w:rPr>
                <w:sz w:val="17"/>
                <w:szCs w:val="17"/>
                <w:spacing w:val="12"/>
                <w:position w:val="-2"/>
              </w:rPr>
              <w:t xml:space="preserve">      </w:t>
            </w:r>
            <w:r>
              <w:rPr>
                <w:sz w:val="17"/>
                <w:szCs w:val="17"/>
                <w:spacing w:val="-2"/>
                <w:position w:val="3"/>
              </w:rPr>
              <w:t>1bA</w:t>
            </w:r>
          </w:p>
        </w:tc>
        <w:tc>
          <w:tcPr>
            <w:tcW w:w="775" w:type="dxa"/>
            <w:vAlign w:val="top"/>
            <w:tcBorders>
              <w:left w:val="nil"/>
              <w:right w:val="nil"/>
            </w:tcBorders>
          </w:tcPr>
          <w:p>
            <w:pPr>
              <w:pStyle w:val="TableText"/>
              <w:ind w:left="548"/>
              <w:spacing w:before="146" w:line="183" w:lineRule="auto"/>
              <w:rPr>
                <w:sz w:val="17"/>
                <w:szCs w:val="17"/>
              </w:rPr>
            </w:pPr>
            <w:r>
              <w:rPr>
                <w:sz w:val="17"/>
                <w:szCs w:val="17"/>
                <w:spacing w:val="-2"/>
              </w:rPr>
              <w:t>Se</w:t>
            </w:r>
          </w:p>
        </w:tc>
        <w:tc>
          <w:tcPr>
            <w:tcW w:w="1133" w:type="dxa"/>
            <w:vAlign w:val="top"/>
            <w:tcBorders>
              <w:left w:val="nil"/>
            </w:tcBorders>
          </w:tcPr>
          <w:p>
            <w:pPr>
              <w:pStyle w:val="TableText"/>
              <w:ind w:left="384"/>
              <w:spacing w:before="93" w:line="219" w:lineRule="auto"/>
              <w:rPr>
                <w:sz w:val="17"/>
                <w:szCs w:val="17"/>
              </w:rPr>
            </w:pPr>
            <w:r>
              <w:rPr>
                <w:sz w:val="17"/>
                <w:szCs w:val="17"/>
                <w:spacing w:val="-2"/>
              </w:rPr>
              <w:t>见512</w:t>
            </w:r>
          </w:p>
        </w:tc>
      </w:tr>
      <w:tr>
        <w:trPr>
          <w:trHeight w:val="203" w:hRule="atLeast"/>
        </w:trPr>
        <w:tc>
          <w:tcPr>
            <w:tcW w:w="3941" w:type="dxa"/>
            <w:vAlign w:val="top"/>
            <w:tcBorders>
              <w:right w:val="nil"/>
            </w:tcBorders>
          </w:tcPr>
          <w:p>
            <w:pPr>
              <w:pStyle w:val="TableText"/>
              <w:spacing w:before="24" w:line="183" w:lineRule="auto"/>
              <w:jc w:val="right"/>
              <w:rPr>
                <w:sz w:val="17"/>
                <w:szCs w:val="17"/>
              </w:rPr>
            </w:pPr>
            <w:r>
              <w:rPr>
                <w:sz w:val="17"/>
                <w:szCs w:val="17"/>
                <w:spacing w:val="-4"/>
              </w:rPr>
              <w:t>LE=证据的级别：GR一簇荐的族：GFR=肾小咪率过战：</w:t>
            </w:r>
          </w:p>
        </w:tc>
        <w:tc>
          <w:tcPr>
            <w:tcW w:w="775" w:type="dxa"/>
            <w:vAlign w:val="top"/>
            <w:tcBorders>
              <w:left w:val="nil"/>
              <w:right w:val="nil"/>
            </w:tcBorders>
          </w:tcPr>
          <w:p>
            <w:pPr>
              <w:pStyle w:val="TableText"/>
              <w:ind w:right="6"/>
              <w:spacing w:before="24" w:line="183" w:lineRule="auto"/>
              <w:jc w:val="right"/>
              <w:rPr>
                <w:sz w:val="17"/>
                <w:szCs w:val="17"/>
              </w:rPr>
            </w:pPr>
            <w:r>
              <w:rPr>
                <w:sz w:val="17"/>
                <w:szCs w:val="17"/>
                <w:spacing w:val="-1"/>
              </w:rPr>
              <w:t>NAIDs:非</w:t>
            </w:r>
          </w:p>
        </w:tc>
        <w:tc>
          <w:tcPr>
            <w:tcW w:w="1133" w:type="dxa"/>
            <w:vAlign w:val="top"/>
            <w:tcBorders>
              <w:left w:val="nil"/>
            </w:tcBorders>
          </w:tcPr>
          <w:p>
            <w:pPr>
              <w:pStyle w:val="TableText"/>
              <w:ind w:left="20"/>
              <w:spacing w:before="24" w:line="183" w:lineRule="auto"/>
              <w:rPr>
                <w:sz w:val="17"/>
                <w:szCs w:val="17"/>
              </w:rPr>
            </w:pPr>
            <w:r>
              <w:rPr>
                <w:sz w:val="17"/>
                <w:szCs w:val="17"/>
                <w:spacing w:val="-5"/>
              </w:rPr>
              <w:t>甾体消炎药</w:t>
            </w:r>
          </w:p>
        </w:tc>
      </w:tr>
    </w:tbl>
    <w:p>
      <w:pPr>
        <w:pStyle w:val="BodyText"/>
        <w:ind w:left="823"/>
        <w:spacing w:before="291" w:line="219" w:lineRule="auto"/>
        <w:outlineLvl w:val="4"/>
        <w:rPr/>
      </w:pPr>
      <w:r>
        <w:rPr>
          <w:b/>
          <w:bCs/>
          <w:spacing w:val="-4"/>
        </w:rPr>
        <w:t>5.2参考文献</w:t>
      </w:r>
    </w:p>
    <w:p>
      <w:pPr>
        <w:ind w:left="339" w:right="3" w:firstLine="79"/>
        <w:spacing w:before="122" w:line="2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1.Laerum  E,Ommundsen  OE,Gronseth</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JE,Christiansen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A,Fagertun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HE.O</w:t>
      </w:r>
      <w:r>
        <w:rPr>
          <w:rFonts w:ascii="Times New Roman" w:hAnsi="Times New Roman" w:eastAsia="Times New Roman" w:cs="Times New Roman"/>
          <w:sz w:val="21"/>
          <w:szCs w:val="21"/>
          <w:spacing w:val="-1"/>
        </w:rPr>
        <w:t>ral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diclofenac</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prophylactic</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of recurrent</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renal</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colic.A</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double-blind</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comparison</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placebo.Eur</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Urol  1995</w:t>
      </w:r>
      <w:r>
        <w:rPr>
          <w:rFonts w:ascii="Times New Roman" w:hAnsi="Times New Roman" w:eastAsia="Times New Roman" w:cs="Times New Roman"/>
          <w:sz w:val="21"/>
          <w:szCs w:val="21"/>
          <w:spacing w:val="-1"/>
        </w:rPr>
        <w:t>;28:108-111.</w:t>
      </w:r>
    </w:p>
    <w:p>
      <w:pPr>
        <w:ind w:left="339"/>
        <w:spacing w:before="137" w:line="192" w:lineRule="auto"/>
        <w:rPr>
          <w:rFonts w:ascii="Times New Roman" w:hAnsi="Times New Roman" w:eastAsia="Times New Roman" w:cs="Times New Roman"/>
          <w:sz w:val="21"/>
          <w:szCs w:val="21"/>
        </w:rPr>
      </w:pPr>
      <w:hyperlink w:history="true" r:id="rId99">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ids=8529732</w:t>
        </w:r>
      </w:hyperlink>
    </w:p>
    <w:p>
      <w:pPr>
        <w:ind w:left="339" w:right="63"/>
        <w:spacing w:before="156" w:line="265" w:lineRule="auto"/>
        <w:rPr>
          <w:rFonts w:ascii="Times New Roman" w:hAnsi="Times New Roman" w:eastAsia="Times New Roman" w:cs="Times New Roman"/>
          <w:sz w:val="21"/>
          <w:szCs w:val="21"/>
        </w:rPr>
      </w:pPr>
      <w:hyperlink w:history="true" r:id="rId99">
        <w:r>
          <w:rPr>
            <w:rFonts w:ascii="Times New Roman" w:hAnsi="Times New Roman" w:eastAsia="Times New Roman" w:cs="Times New Roman"/>
            <w:sz w:val="21"/>
            <w:szCs w:val="21"/>
          </w:rPr>
          <w:t>2.Lundstam   SO</w:t>
        </w:r>
      </w:hyperlink>
      <w:r>
        <w:rPr>
          <w:rFonts w:ascii="Times New Roman" w:hAnsi="Times New Roman" w:eastAsia="Times New Roman" w:cs="Times New Roman"/>
          <w:sz w:val="21"/>
          <w:szCs w:val="21"/>
        </w:rPr>
        <w:t>,</w:t>
      </w:r>
      <w:hyperlink w:history="true" r:id="rId100">
        <w:r>
          <w:rPr>
            <w:rFonts w:ascii="Times New Roman" w:hAnsi="Times New Roman" w:eastAsia="Times New Roman" w:cs="Times New Roman"/>
            <w:sz w:val="21"/>
            <w:szCs w:val="21"/>
          </w:rPr>
          <w:t>Leissner</w:t>
        </w:r>
      </w:hyperlink>
      <w:r>
        <w:rPr>
          <w:rFonts w:ascii="Times New Roman" w:hAnsi="Times New Roman" w:eastAsia="Times New Roman" w:cs="Times New Roman"/>
          <w:sz w:val="21"/>
          <w:szCs w:val="21"/>
        </w:rPr>
        <w:t xml:space="preserve">    KH,W?hlander   LA,Kral    JG.Prostaglandin-synthetase    inhibition   of   diclofenac</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sodium</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of renal</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colic:comparison</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use</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of a</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narcotic</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analgesic</w:t>
      </w:r>
      <w:r>
        <w:rPr>
          <w:rFonts w:ascii="Times New Roman" w:hAnsi="Times New Roman" w:eastAsia="Times New Roman" w:cs="Times New Roman"/>
          <w:sz w:val="21"/>
          <w:szCs w:val="21"/>
          <w:spacing w:val="-1"/>
        </w:rPr>
        <w:t>.Lancet  1982;1096-1097.</w:t>
      </w:r>
    </w:p>
    <w:p>
      <w:pPr>
        <w:ind w:left="339"/>
        <w:spacing w:before="147" w:line="192" w:lineRule="auto"/>
        <w:rPr>
          <w:rFonts w:ascii="Times New Roman" w:hAnsi="Times New Roman" w:eastAsia="Times New Roman" w:cs="Times New Roman"/>
          <w:sz w:val="21"/>
          <w:szCs w:val="21"/>
        </w:rPr>
      </w:pPr>
      <w:hyperlink w:history="true" r:id="rId99">
        <w:r>
          <w:rPr>
            <w:rFonts w:ascii="Times New Roman" w:hAnsi="Times New Roman" w:eastAsia="Times New Roman" w:cs="Times New Roman"/>
            <w:sz w:val="21"/>
            <w:szCs w:val="21"/>
          </w:rPr>
          <w:t>http://www.ncbi.nlm.nih.govlentrez/query.fcgi?cmd=Retrieve&amp;db=pubmed&amp;dopt=Abstract&amp;list_u</w:t>
        </w:r>
        <w:r>
          <w:rPr>
            <w:rFonts w:ascii="Times New Roman" w:hAnsi="Times New Roman" w:eastAsia="Times New Roman" w:cs="Times New Roman"/>
            <w:sz w:val="21"/>
            <w:szCs w:val="21"/>
            <w:spacing w:val="-1"/>
          </w:rPr>
          <w:t>ids=6122892</w:t>
        </w:r>
      </w:hyperlink>
    </w:p>
    <w:p>
      <w:pPr>
        <w:ind w:left="339" w:right="89"/>
        <w:spacing w:before="148" w:line="250" w:lineRule="auto"/>
        <w:rPr>
          <w:rFonts w:ascii="Times New Roman" w:hAnsi="Times New Roman" w:eastAsia="Times New Roman" w:cs="Times New Roman"/>
          <w:sz w:val="21"/>
          <w:szCs w:val="21"/>
        </w:rPr>
      </w:pPr>
      <w:hyperlink w:history="true" r:id="rId99">
        <w:r>
          <w:rPr>
            <w:rFonts w:ascii="Times New Roman" w:hAnsi="Times New Roman" w:eastAsia="Times New Roman" w:cs="Times New Roman"/>
            <w:sz w:val="21"/>
            <w:szCs w:val="21"/>
          </w:rPr>
          <w:t>3.Lundstam  SO</w:t>
        </w:r>
      </w:hyperlink>
      <w:r>
        <w:rPr>
          <w:rFonts w:ascii="Times New Roman" w:hAnsi="Times New Roman" w:eastAsia="Times New Roman" w:cs="Times New Roman"/>
          <w:sz w:val="21"/>
          <w:szCs w:val="21"/>
        </w:rPr>
        <w:t>,</w:t>
      </w:r>
      <w:hyperlink w:history="true" r:id="rId101">
        <w:r>
          <w:rPr>
            <w:rFonts w:ascii="Times New Roman" w:hAnsi="Times New Roman" w:eastAsia="Times New Roman" w:cs="Times New Roman"/>
            <w:sz w:val="21"/>
            <w:szCs w:val="21"/>
          </w:rPr>
          <w:t>W?hlander</w:t>
        </w:r>
      </w:hyperlink>
      <w:r>
        <w:rPr>
          <w:rFonts w:ascii="Times New Roman" w:hAnsi="Times New Roman" w:eastAsia="Times New Roman" w:cs="Times New Roman"/>
          <w:sz w:val="21"/>
          <w:szCs w:val="21"/>
        </w:rPr>
        <w:t xml:space="preserve">  LA,Kral</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LG.Treatment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of  ureteral  colic</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by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prostaglandin-synthetase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inhibition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diclofenac</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sodium.Curr</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Ther</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Res  1980;28:355-358.</w:t>
      </w:r>
    </w:p>
    <w:p>
      <w:pPr>
        <w:ind w:left="339" w:right="84"/>
        <w:spacing w:before="186" w:line="25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4.Walden  M,Lahtinen  J,Elvander  E.Analgesic</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effect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tolerance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of  ketoprofen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diclofenac</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acute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ureteral</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colic.Scand</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Urol</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Nephrol </w:t>
      </w:r>
      <w:r>
        <w:rPr>
          <w:rFonts w:ascii="Times New Roman" w:hAnsi="Times New Roman" w:eastAsia="Times New Roman" w:cs="Times New Roman"/>
          <w:sz w:val="21"/>
          <w:szCs w:val="21"/>
          <w:spacing w:val="-1"/>
        </w:rPr>
        <w:t xml:space="preserve"> 1993;27:323-325.</w:t>
      </w:r>
    </w:p>
    <w:p>
      <w:pPr>
        <w:ind w:left="339"/>
        <w:spacing w:before="157" w:line="192" w:lineRule="auto"/>
        <w:rPr>
          <w:rFonts w:ascii="Times New Roman" w:hAnsi="Times New Roman" w:eastAsia="Times New Roman" w:cs="Times New Roman"/>
          <w:sz w:val="21"/>
          <w:szCs w:val="21"/>
        </w:rPr>
      </w:pPr>
      <w:hyperlink w:history="true" r:id="rId99">
        <w:r>
          <w:rPr>
            <w:rFonts w:ascii="Times New Roman" w:hAnsi="Times New Roman" w:eastAsia="Times New Roman" w:cs="Times New Roman"/>
            <w:sz w:val="21"/>
            <w:szCs w:val="21"/>
          </w:rPr>
          <w:t>http://www.ncbi.nlm.nih.gov/entrez/query.fcgi?cmd=Retrieve&amp;db=p</w:t>
        </w:r>
        <w:r>
          <w:rPr>
            <w:rFonts w:ascii="Times New Roman" w:hAnsi="Times New Roman" w:eastAsia="Times New Roman" w:cs="Times New Roman"/>
            <w:sz w:val="21"/>
            <w:szCs w:val="21"/>
            <w:spacing w:val="-1"/>
          </w:rPr>
          <w:t>ubmed&amp;dopt=Abstract&amp;list_uids=8290910</w:t>
        </w:r>
      </w:hyperlink>
    </w:p>
    <w:p>
      <w:pPr>
        <w:ind w:left="339" w:right="84"/>
        <w:spacing w:before="147" w:line="292" w:lineRule="auto"/>
        <w:rPr>
          <w:rFonts w:ascii="Times New Roman" w:hAnsi="Times New Roman" w:eastAsia="Times New Roman" w:cs="Times New Roman"/>
          <w:sz w:val="21"/>
          <w:szCs w:val="21"/>
        </w:rPr>
      </w:pPr>
      <w:hyperlink w:history="true" r:id="rId99">
        <w:r>
          <w:rPr>
            <w:rFonts w:ascii="Times New Roman" w:hAnsi="Times New Roman" w:eastAsia="Times New Roman" w:cs="Times New Roman"/>
            <w:sz w:val="21"/>
            <w:szCs w:val="21"/>
          </w:rPr>
          <w:t>5.Cohen   E</w:t>
        </w:r>
      </w:hyperlink>
      <w:r>
        <w:rPr>
          <w:rFonts w:ascii="Times New Roman" w:hAnsi="Times New Roman" w:eastAsia="Times New Roman" w:cs="Times New Roman"/>
          <w:sz w:val="21"/>
          <w:szCs w:val="21"/>
        </w:rPr>
        <w:t>,</w:t>
      </w:r>
      <w:hyperlink w:history="true" r:id="rId102">
        <w:r>
          <w:rPr>
            <w:rFonts w:ascii="Times New Roman" w:hAnsi="Times New Roman" w:eastAsia="Times New Roman" w:cs="Times New Roman"/>
            <w:sz w:val="21"/>
            <w:szCs w:val="21"/>
          </w:rPr>
          <w:t>Hafner</w:t>
        </w:r>
      </w:hyperlink>
      <w:r>
        <w:rPr>
          <w:rFonts w:ascii="Times New Roman" w:hAnsi="Times New Roman" w:eastAsia="Times New Roman" w:cs="Times New Roman"/>
          <w:sz w:val="21"/>
          <w:szCs w:val="21"/>
        </w:rPr>
        <w:t xml:space="preserve">   R,Rotenberg   Z,Fadilla   M,Garty   M.Comparison   of</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ketoro</w:t>
      </w:r>
      <w:r>
        <w:rPr>
          <w:rFonts w:ascii="Times New Roman" w:hAnsi="Times New Roman" w:eastAsia="Times New Roman" w:cs="Times New Roman"/>
          <w:sz w:val="21"/>
          <w:szCs w:val="21"/>
          <w:spacing w:val="-1"/>
        </w:rPr>
        <w:t>lac   and   diclofenac   in   the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of renal</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colic.Eur</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Clin</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Pharm</w:t>
      </w:r>
      <w:r>
        <w:rPr>
          <w:rFonts w:ascii="Times New Roman" w:hAnsi="Times New Roman" w:eastAsia="Times New Roman" w:cs="Times New Roman"/>
          <w:sz w:val="21"/>
          <w:szCs w:val="21"/>
          <w:spacing w:val="-1"/>
        </w:rPr>
        <w:t>acol  1998;54:455-458.</w:t>
      </w:r>
    </w:p>
    <w:p>
      <w:pPr>
        <w:ind w:left="339"/>
        <w:spacing w:before="9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htp:/www.ncbi.nlm.nih.gov/entrez/query.fcgi?cmd=Retrieve&amp;db=PubMed&amp;list_uids=9776434&amp;dop</w:t>
      </w:r>
      <w:r>
        <w:rPr>
          <w:rFonts w:ascii="Times New Roman" w:hAnsi="Times New Roman" w:eastAsia="Times New Roman" w:cs="Times New Roman"/>
          <w:sz w:val="21"/>
          <w:szCs w:val="21"/>
          <w:spacing w:val="-1"/>
        </w:rPr>
        <w:t>t=Abstract</w:t>
      </w:r>
    </w:p>
    <w:p>
      <w:pPr>
        <w:ind w:left="339" w:right="70"/>
        <w:spacing w:before="147" w:line="30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6.Shokeir   AA,Abdulmaaboud   M,Farage   Y,Mutabagani   H.Resistive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index</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in   renal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colic:the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effect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 </w:t>
      </w:r>
      <w:r>
        <w:rPr>
          <w:rFonts w:ascii="Times New Roman" w:hAnsi="Times New Roman" w:eastAsia="Times New Roman" w:cs="Times New Roman"/>
          <w:sz w:val="21"/>
          <w:szCs w:val="21"/>
        </w:rPr>
        <w:t>nonsteroidal  anti-inflammatory  drugs.BJU  Int  199</w:t>
      </w:r>
      <w:r>
        <w:rPr>
          <w:rFonts w:ascii="Times New Roman" w:hAnsi="Times New Roman" w:eastAsia="Times New Roman" w:cs="Times New Roman"/>
          <w:sz w:val="21"/>
          <w:szCs w:val="21"/>
          <w:spacing w:val="-1"/>
        </w:rPr>
        <w:t>9;84:249-251.</w:t>
      </w:r>
    </w:p>
    <w:p>
      <w:pPr>
        <w:ind w:left="330"/>
        <w:spacing w:before="82" w:line="192" w:lineRule="auto"/>
        <w:rPr>
          <w:rFonts w:ascii="Times New Roman" w:hAnsi="Times New Roman" w:eastAsia="Times New Roman" w:cs="Times New Roman"/>
          <w:sz w:val="21"/>
          <w:szCs w:val="21"/>
        </w:rPr>
      </w:pPr>
      <w:hyperlink w:history="true" r:id="rId99">
        <w:r>
          <w:rPr>
            <w:rFonts w:ascii="Times New Roman" w:hAnsi="Times New Roman" w:eastAsia="Times New Roman" w:cs="Times New Roman"/>
            <w:sz w:val="21"/>
            <w:szCs w:val="21"/>
            <w:spacing w:val="-4"/>
          </w:rPr>
          <w:t>http://www.ncbi.nlm.nih.gov/entrez/query.fcgi?cmd=Retrieve&amp;db=pubmed&amp;dopt=Abstract&amp;</w:t>
        </w:r>
        <w:r>
          <w:rPr>
            <w:rFonts w:ascii="Times New Roman" w:hAnsi="Times New Roman" w:eastAsia="Times New Roman" w:cs="Times New Roman"/>
            <w:sz w:val="21"/>
            <w:szCs w:val="21"/>
            <w:spacing w:val="-5"/>
          </w:rPr>
          <w:t>list_uids=10468715</w:t>
        </w:r>
      </w:hyperlink>
    </w:p>
    <w:p>
      <w:pPr>
        <w:pStyle w:val="BodyText"/>
        <w:ind w:left="699"/>
        <w:spacing w:before="82" w:line="221" w:lineRule="auto"/>
        <w:rPr/>
      </w:pPr>
      <w:hyperlink w:history="true" r:id="rId99">
        <w:r>
          <w:rPr>
            <w:spacing w:val="1"/>
          </w:rPr>
          <w:t>6</w:t>
        </w:r>
      </w:hyperlink>
      <w:r>
        <w:rPr>
          <w:spacing w:val="1"/>
        </w:rPr>
        <w:t>. 取石的适应症</w:t>
      </w:r>
    </w:p>
    <w:p>
      <w:pPr>
        <w:pStyle w:val="BodyText"/>
        <w:ind w:left="339" w:right="79" w:firstLine="360"/>
        <w:spacing w:before="135" w:line="283" w:lineRule="auto"/>
        <w:jc w:val="both"/>
        <w:rPr/>
      </w:pPr>
      <w:r>
        <w:rPr>
          <w:spacing w:val="7"/>
        </w:rPr>
        <w:t>先前陈述的结石的大小、位置和形状都是影响和</w:t>
      </w:r>
      <w:r>
        <w:rPr>
          <w:spacing w:val="6"/>
        </w:rPr>
        <w:t>决定是否取石的因素(表14)。同时，自行排石的</w:t>
      </w:r>
      <w:r>
        <w:rPr/>
        <w:t xml:space="preserve"> </w:t>
      </w:r>
      <w:r>
        <w:rPr>
          <w:spacing w:val="11"/>
        </w:rPr>
        <w:t>可能性必须被评估。对于结石直径≤4</w:t>
      </w:r>
      <w:r>
        <w:rPr>
          <w:rFonts w:ascii="Times New Roman" w:hAnsi="Times New Roman" w:eastAsia="Times New Roman" w:cs="Times New Roman"/>
        </w:rPr>
        <w:t>mm</w:t>
      </w:r>
      <w:r>
        <w:rPr>
          <w:spacing w:val="11"/>
        </w:rPr>
        <w:t>的患者来说，自行排石的可能性高达80%,而</w:t>
      </w:r>
      <w:r>
        <w:rPr>
          <w:spacing w:val="10"/>
        </w:rPr>
        <w:t>对于结石直径</w:t>
      </w:r>
      <w:r>
        <w:rPr/>
        <w:t xml:space="preserve"> </w:t>
      </w:r>
      <w:r>
        <w:rPr>
          <w:spacing w:val="-4"/>
        </w:rPr>
        <w:t>≥7mm</w:t>
      </w:r>
      <w:r>
        <w:rPr>
          <w:spacing w:val="46"/>
        </w:rPr>
        <w:t xml:space="preserve"> </w:t>
      </w:r>
      <w:r>
        <w:rPr>
          <w:spacing w:val="-4"/>
        </w:rPr>
        <w:t>的患者来说，自行排石的可能性却相当低[1-4]。</w:t>
      </w:r>
    </w:p>
    <w:p>
      <w:pPr>
        <w:pStyle w:val="BodyText"/>
        <w:ind w:left="339"/>
        <w:spacing w:before="13" w:line="219" w:lineRule="auto"/>
        <w:rPr/>
      </w:pPr>
      <w:r>
        <w:rPr/>
        <w:t>总体来说，不同部位的输尿管结石自行排除的机率如下：</w:t>
      </w:r>
    </w:p>
    <w:p>
      <w:pPr>
        <w:pStyle w:val="BodyText"/>
        <w:ind w:left="699"/>
        <w:spacing w:before="73" w:line="219" w:lineRule="auto"/>
        <w:rPr/>
      </w:pPr>
      <w:r>
        <w:rPr>
          <w:spacing w:val="8"/>
        </w:rPr>
        <w:t>上段输尿管结石：25%。</w:t>
      </w:r>
    </w:p>
    <w:p>
      <w:pPr>
        <w:pStyle w:val="BodyText"/>
        <w:ind w:left="702"/>
        <w:spacing w:before="88" w:line="219" w:lineRule="auto"/>
        <w:rPr/>
      </w:pPr>
      <w:r>
        <w:rPr>
          <w:b/>
          <w:bCs/>
          <w:spacing w:val="5"/>
        </w:rPr>
        <w:t>中段输尿管结石：45%。</w:t>
      </w:r>
    </w:p>
    <w:p>
      <w:pPr>
        <w:pStyle w:val="BodyText"/>
        <w:ind w:left="702"/>
        <w:spacing w:before="90" w:line="219" w:lineRule="auto"/>
        <w:rPr/>
      </w:pPr>
      <w:r>
        <w:rPr>
          <w:b/>
          <w:bCs/>
          <w:spacing w:val="7"/>
        </w:rPr>
        <w:t>下段输尿管结石：70%。</w:t>
      </w:r>
    </w:p>
    <w:p>
      <w:pPr>
        <w:pStyle w:val="BodyText"/>
        <w:ind w:left="699"/>
        <w:spacing w:before="133" w:line="219" w:lineRule="auto"/>
        <w:rPr/>
      </w:pPr>
      <w:r>
        <w:rPr>
          <w:spacing w:val="-1"/>
        </w:rPr>
        <w:t>取石适合于结石直径超过6～7</w:t>
      </w:r>
      <w:r>
        <w:rPr>
          <w:rFonts w:ascii="Times New Roman" w:hAnsi="Times New Roman" w:eastAsia="Times New Roman" w:cs="Times New Roman"/>
          <w:spacing w:val="-1"/>
        </w:rPr>
        <w:t>mm</w:t>
      </w:r>
      <w:r>
        <w:rPr>
          <w:spacing w:val="-1"/>
        </w:rPr>
        <w:t>的患者，研究显示，无症状肾结石患者迟早</w:t>
      </w:r>
      <w:r>
        <w:rPr>
          <w:spacing w:val="-2"/>
        </w:rPr>
        <w:t>需要临床处理[5]。</w:t>
      </w:r>
    </w:p>
    <w:p>
      <w:pPr>
        <w:pStyle w:val="BodyText"/>
        <w:ind w:left="309" w:right="139" w:firstLine="389"/>
        <w:spacing w:before="68" w:line="313" w:lineRule="auto"/>
        <w:rPr/>
      </w:pPr>
      <w:r>
        <w:rPr>
          <w:spacing w:val="7"/>
        </w:rPr>
        <w:t>临床观察显示，肾盏小结石(&lt;6~7</w:t>
      </w:r>
      <w:r>
        <w:rPr>
          <w:rFonts w:ascii="Times New Roman" w:hAnsi="Times New Roman" w:eastAsia="Times New Roman" w:cs="Times New Roman"/>
        </w:rPr>
        <w:t>mm</w:t>
      </w:r>
      <w:r>
        <w:rPr>
          <w:rFonts w:ascii="Times New Roman" w:hAnsi="Times New Roman" w:eastAsia="Times New Roman" w:cs="Times New Roman"/>
          <w:spacing w:val="7"/>
        </w:rPr>
        <w:t>)</w:t>
      </w:r>
      <w:r>
        <w:rPr>
          <w:rFonts w:ascii="Times New Roman" w:hAnsi="Times New Roman" w:eastAsia="Times New Roman" w:cs="Times New Roman"/>
        </w:rPr>
        <w:t xml:space="preserve">  </w:t>
      </w:r>
      <w:r>
        <w:rPr>
          <w:spacing w:val="7"/>
        </w:rPr>
        <w:t>亦能够引起较严重</w:t>
      </w:r>
      <w:r>
        <w:rPr>
          <w:spacing w:val="6"/>
        </w:rPr>
        <w:t>的疼痛和不适[6-12]。因此，这类结石</w:t>
      </w:r>
      <w:r>
        <w:rPr>
          <w:spacing w:val="1"/>
        </w:rPr>
        <w:t xml:space="preserve"> </w:t>
      </w:r>
      <w:r>
        <w:rPr>
          <w:spacing w:val="1"/>
        </w:rPr>
        <w:t>应该尽量通过微创的的技术进行治疗。肾盏颈部狭窄可能需要进行扩张治疗。</w:t>
      </w:r>
    </w:p>
    <w:p>
      <w:pPr>
        <w:ind w:left="4809"/>
        <w:spacing w:before="155"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rPr>
        <w:t>—196—</w:t>
      </w:r>
    </w:p>
    <w:p>
      <w:pPr>
        <w:spacing w:line="254" w:lineRule="auto"/>
        <w:rPr>
          <w:rFonts w:ascii="Arial"/>
          <w:sz w:val="21"/>
        </w:rPr>
      </w:pPr>
      <w:r/>
    </w:p>
    <w:p>
      <w:pPr>
        <w:spacing w:line="254"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4">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pgSz w:w="11850" w:h="16140"/>
          <w:pgMar w:top="400" w:right="1529" w:bottom="0" w:left="380" w:header="0" w:footer="0" w:gutter="0"/>
        </w:sectPr>
        <w:rPr>
          <w:rFonts w:ascii="Times New Roman" w:hAnsi="Times New Roman" w:eastAsia="Times New Roman" w:cs="Times New Roman"/>
          <w:sz w:val="21"/>
          <w:szCs w:val="21"/>
        </w:rPr>
      </w:pPr>
    </w:p>
    <w:p>
      <w:pPr>
        <w:spacing w:line="376" w:lineRule="auto"/>
        <w:rPr>
          <w:rFonts w:ascii="Arial"/>
          <w:sz w:val="21"/>
        </w:rPr>
      </w:pPr>
      <w:r/>
    </w:p>
    <w:p>
      <w:pPr>
        <w:ind w:left="7971"/>
        <w:spacing w:before="72" w:line="211" w:lineRule="auto"/>
        <w:rPr>
          <w:rFonts w:ascii="STXingkai" w:hAnsi="STXingkai" w:eastAsia="STXingkai" w:cs="STXingkai"/>
          <w:sz w:val="21"/>
          <w:szCs w:val="21"/>
        </w:rPr>
      </w:pPr>
      <w:r>
        <w:drawing>
          <wp:anchor distT="0" distB="0" distL="0" distR="0" simplePos="0" relativeHeight="251758592" behindDoc="0" locked="0" layoutInCell="1" allowOverlap="1">
            <wp:simplePos x="0" y="0"/>
            <wp:positionH relativeFrom="column">
              <wp:posOffset>4895828</wp:posOffset>
            </wp:positionH>
            <wp:positionV relativeFrom="paragraph">
              <wp:posOffset>178492</wp:posOffset>
            </wp:positionV>
            <wp:extent cx="1555742" cy="6667"/>
            <wp:effectExtent l="0" t="0" r="0" b="0"/>
            <wp:wrapNone/>
            <wp:docPr id="74" name="IM 74"/>
            <wp:cNvGraphicFramePr/>
            <a:graphic>
              <a:graphicData uri="http://schemas.openxmlformats.org/drawingml/2006/picture">
                <pic:pic>
                  <pic:nvPicPr>
                    <pic:cNvPr id="74" name="IM 74"/>
                    <pic:cNvPicPr/>
                  </pic:nvPicPr>
                  <pic:blipFill>
                    <a:blip r:embed="rId103"/>
                    <a:stretch>
                      <a:fillRect/>
                    </a:stretch>
                  </pic:blipFill>
                  <pic:spPr>
                    <a:xfrm rot="0">
                      <a:off x="0" y="0"/>
                      <a:ext cx="1555742" cy="6667"/>
                    </a:xfrm>
                    <a:prstGeom prst="rect">
                      <a:avLst/>
                    </a:prstGeom>
                  </pic:spPr>
                </pic:pic>
              </a:graphicData>
            </a:graphic>
          </wp:anchor>
        </w:drawing>
      </w:r>
      <w:r>
        <w:drawing>
          <wp:anchor distT="0" distB="0" distL="0" distR="0" simplePos="0" relativeHeight="251759616" behindDoc="0" locked="0" layoutInCell="1" allowOverlap="1">
            <wp:simplePos x="0" y="0"/>
            <wp:positionH relativeFrom="column">
              <wp:posOffset>4749772</wp:posOffset>
            </wp:positionH>
            <wp:positionV relativeFrom="paragraph">
              <wp:posOffset>96366</wp:posOffset>
            </wp:positionV>
            <wp:extent cx="222281" cy="209590"/>
            <wp:effectExtent l="0" t="0" r="0" b="0"/>
            <wp:wrapNone/>
            <wp:docPr id="76" name="IM 76"/>
            <wp:cNvGraphicFramePr/>
            <a:graphic>
              <a:graphicData uri="http://schemas.openxmlformats.org/drawingml/2006/picture">
                <pic:pic>
                  <pic:nvPicPr>
                    <pic:cNvPr id="76" name="IM 76"/>
                    <pic:cNvPicPr/>
                  </pic:nvPicPr>
                  <pic:blipFill>
                    <a:blip r:embed="rId104"/>
                    <a:stretch>
                      <a:fillRect/>
                    </a:stretch>
                  </pic:blipFill>
                  <pic:spPr>
                    <a:xfrm rot="0">
                      <a:off x="0" y="0"/>
                      <a:ext cx="222281" cy="209590"/>
                    </a:xfrm>
                    <a:prstGeom prst="rect">
                      <a:avLst/>
                    </a:prstGeom>
                  </pic:spPr>
                </pic:pic>
              </a:graphicData>
            </a:graphic>
          </wp:anchor>
        </w:drawing>
      </w:r>
      <w:r>
        <w:rPr>
          <w:rFonts w:ascii="STXingkai" w:hAnsi="STXingkai" w:eastAsia="STXingkai" w:cs="STXingkai"/>
          <w:sz w:val="21"/>
          <w:szCs w:val="21"/>
          <w:b/>
          <w:bCs/>
          <w:spacing w:val="-23"/>
        </w:rPr>
        <w:t>附</w:t>
      </w:r>
      <w:r>
        <w:rPr>
          <w:rFonts w:ascii="STXingkai" w:hAnsi="STXingkai" w:eastAsia="STXingkai" w:cs="STXingkai"/>
          <w:sz w:val="21"/>
          <w:szCs w:val="21"/>
          <w:spacing w:val="2"/>
        </w:rPr>
        <w:t xml:space="preserve">    </w:t>
      </w:r>
      <w:r>
        <w:rPr>
          <w:rFonts w:ascii="STXingkai" w:hAnsi="STXingkai" w:eastAsia="STXingkai" w:cs="STXingkai"/>
          <w:sz w:val="21"/>
          <w:szCs w:val="21"/>
          <w:b/>
          <w:bCs/>
          <w:spacing w:val="-23"/>
        </w:rPr>
        <w:t>灵</w:t>
      </w:r>
      <w:r>
        <w:rPr>
          <w:rFonts w:ascii="STXingkai" w:hAnsi="STXingkai" w:eastAsia="STXingkai" w:cs="STXingkai"/>
          <w:sz w:val="21"/>
          <w:szCs w:val="21"/>
          <w:spacing w:val="2"/>
        </w:rPr>
        <w:t xml:space="preserve">     </w:t>
      </w:r>
      <w:r>
        <w:rPr>
          <w:rFonts w:ascii="STXingkai" w:hAnsi="STXingkai" w:eastAsia="STXingkai" w:cs="STXingkai"/>
          <w:sz w:val="21"/>
          <w:szCs w:val="21"/>
          <w:b/>
          <w:bCs/>
          <w:spacing w:val="-23"/>
        </w:rPr>
        <w:t>·</w:t>
      </w:r>
      <w:r>
        <w:rPr>
          <w:rFonts w:ascii="STXingkai" w:hAnsi="STXingkai" w:eastAsia="STXingkai" w:cs="STXingkai"/>
          <w:sz w:val="21"/>
          <w:szCs w:val="21"/>
          <w:spacing w:val="17"/>
          <w:w w:val="101"/>
        </w:rPr>
        <w:t xml:space="preserve">   </w:t>
      </w:r>
      <w:r>
        <w:rPr>
          <w:rFonts w:ascii="STXingkai" w:hAnsi="STXingkai" w:eastAsia="STXingkai" w:cs="STXingkai"/>
          <w:sz w:val="21"/>
          <w:szCs w:val="21"/>
          <w:b/>
          <w:bCs/>
          <w:spacing w:val="-23"/>
        </w:rPr>
        <w:t>指</w:t>
      </w:r>
      <w:r>
        <w:rPr>
          <w:rFonts w:ascii="STXingkai" w:hAnsi="STXingkai" w:eastAsia="STXingkai" w:cs="STXingkai"/>
          <w:sz w:val="21"/>
          <w:szCs w:val="21"/>
          <w:spacing w:val="-23"/>
        </w:rPr>
        <w:t xml:space="preserve">     </w:t>
      </w:r>
      <w:r>
        <w:rPr>
          <w:rFonts w:ascii="STXingkai" w:hAnsi="STXingkai" w:eastAsia="STXingkai" w:cs="STXingkai"/>
          <w:sz w:val="21"/>
          <w:szCs w:val="21"/>
          <w:b/>
          <w:bCs/>
          <w:spacing w:val="-23"/>
        </w:rPr>
        <w:t>南</w:t>
      </w:r>
    </w:p>
    <w:p>
      <w:pPr>
        <w:spacing w:line="333" w:lineRule="auto"/>
        <w:rPr>
          <w:rFonts w:ascii="Arial"/>
          <w:sz w:val="21"/>
        </w:rPr>
      </w:pPr>
      <w:r/>
    </w:p>
    <w:p>
      <w:pPr>
        <w:pStyle w:val="BodyText"/>
        <w:ind w:left="3542"/>
        <w:spacing w:before="69" w:line="221" w:lineRule="auto"/>
        <w:rPr/>
      </w:pPr>
      <w:r>
        <w:rPr>
          <w:b/>
          <w:bCs/>
        </w:rPr>
        <w:t>表14</w:t>
      </w:r>
      <w:r>
        <w:rPr>
          <w:spacing w:val="55"/>
        </w:rPr>
        <w:t xml:space="preserve"> </w:t>
      </w:r>
      <w:r>
        <w:rPr>
          <w:b/>
          <w:bCs/>
        </w:rPr>
        <w:t>取石的适应症</w:t>
      </w:r>
    </w:p>
    <w:p>
      <w:pPr>
        <w:spacing w:before="155"/>
        <w:rPr/>
      </w:pPr>
      <w:r/>
    </w:p>
    <w:tbl>
      <w:tblPr>
        <w:tblStyle w:val="TableNormal"/>
        <w:tblW w:w="6980" w:type="dxa"/>
        <w:tblInd w:w="10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21"/>
        <w:gridCol w:w="2359"/>
      </w:tblGrid>
      <w:tr>
        <w:trPr>
          <w:trHeight w:val="254" w:hRule="atLeast"/>
        </w:trPr>
        <w:tc>
          <w:tcPr>
            <w:tcW w:w="4621" w:type="dxa"/>
            <w:vAlign w:val="top"/>
            <w:tcBorders>
              <w:right w:val="nil"/>
            </w:tcBorders>
          </w:tcPr>
          <w:p>
            <w:pPr>
              <w:rPr>
                <w:rFonts w:ascii="Arial"/>
                <w:sz w:val="21"/>
              </w:rPr>
            </w:pPr>
            <w:r/>
          </w:p>
        </w:tc>
        <w:tc>
          <w:tcPr>
            <w:tcW w:w="2359" w:type="dxa"/>
            <w:vAlign w:val="top"/>
            <w:tcBorders>
              <w:left w:val="nil"/>
            </w:tcBorders>
          </w:tcPr>
          <w:p>
            <w:pPr>
              <w:pStyle w:val="TableText"/>
              <w:ind w:left="468"/>
              <w:spacing w:before="12" w:line="195" w:lineRule="auto"/>
              <w:rPr>
                <w:sz w:val="20"/>
                <w:szCs w:val="20"/>
              </w:rPr>
            </w:pPr>
            <w:r>
              <w:rPr>
                <w:sz w:val="20"/>
                <w:szCs w:val="20"/>
                <w:spacing w:val="-2"/>
                <w:position w:val="-2"/>
              </w:rPr>
              <w:t>LEGR</w:t>
            </w:r>
            <w:r>
              <w:rPr>
                <w:sz w:val="20"/>
                <w:szCs w:val="20"/>
                <w:spacing w:val="9"/>
                <w:position w:val="-2"/>
              </w:rPr>
              <w:t xml:space="preserve">    </w:t>
            </w:r>
            <w:r>
              <w:rPr>
                <w:sz w:val="20"/>
                <w:szCs w:val="20"/>
                <w:spacing w:val="-2"/>
              </w:rPr>
              <w:t>参考立献</w:t>
            </w:r>
          </w:p>
        </w:tc>
      </w:tr>
      <w:tr>
        <w:trPr>
          <w:trHeight w:val="767" w:hRule="atLeast"/>
        </w:trPr>
        <w:tc>
          <w:tcPr>
            <w:tcW w:w="4621" w:type="dxa"/>
            <w:vAlign w:val="top"/>
            <w:tcBorders>
              <w:right w:val="nil"/>
            </w:tcBorders>
          </w:tcPr>
          <w:p>
            <w:pPr>
              <w:pStyle w:val="TableText"/>
              <w:ind w:left="64" w:right="233" w:firstLine="10"/>
              <w:spacing w:before="9" w:line="229" w:lineRule="auto"/>
              <w:rPr>
                <w:sz w:val="20"/>
                <w:szCs w:val="20"/>
              </w:rPr>
            </w:pPr>
            <w:r>
              <w:rPr>
                <w:sz w:val="20"/>
                <w:szCs w:val="20"/>
              </w:rPr>
              <w:t>当结石直径》7mm应取石，因为它们很少能自行排</w:t>
            </w:r>
            <w:r>
              <w:rPr>
                <w:sz w:val="20"/>
                <w:szCs w:val="20"/>
                <w:spacing w:val="6"/>
              </w:rPr>
              <w:t xml:space="preserve"> </w:t>
            </w:r>
            <w:r>
              <w:rPr>
                <w:sz w:val="20"/>
                <w:szCs w:val="20"/>
                <w:spacing w:val="-13"/>
              </w:rPr>
              <w:t>出</w:t>
            </w:r>
            <w:r>
              <w:rPr>
                <w:sz w:val="20"/>
                <w:szCs w:val="20"/>
                <w:spacing w:val="-46"/>
              </w:rPr>
              <w:t xml:space="preserve"> </w:t>
            </w:r>
            <w:r>
              <w:rPr>
                <w:sz w:val="20"/>
                <w:szCs w:val="20"/>
                <w:spacing w:val="-13"/>
              </w:rPr>
              <w:t>。</w:t>
            </w:r>
          </w:p>
          <w:p>
            <w:pPr>
              <w:pStyle w:val="TableText"/>
              <w:ind w:left="95"/>
              <w:spacing w:before="24" w:line="210" w:lineRule="auto"/>
              <w:rPr>
                <w:sz w:val="20"/>
                <w:szCs w:val="20"/>
              </w:rPr>
            </w:pPr>
            <w:r>
              <w:rPr>
                <w:sz w:val="20"/>
                <w:szCs w:val="20"/>
                <w:spacing w:val="1"/>
              </w:rPr>
              <w:t>当疼痛不能充分缓解时</w:t>
            </w:r>
          </w:p>
        </w:tc>
        <w:tc>
          <w:tcPr>
            <w:tcW w:w="2359" w:type="dxa"/>
            <w:vAlign w:val="top"/>
            <w:tcBorders>
              <w:left w:val="nil"/>
            </w:tcBorders>
          </w:tcPr>
          <w:p>
            <w:pPr>
              <w:pStyle w:val="TableText"/>
              <w:ind w:left="508" w:right="1655" w:hanging="200"/>
              <w:spacing w:before="63" w:line="222" w:lineRule="auto"/>
              <w:rPr>
                <w:rFonts w:ascii="MS Gothic" w:hAnsi="MS Gothic" w:eastAsia="MS Gothic" w:cs="MS Gothic"/>
                <w:sz w:val="20"/>
                <w:szCs w:val="20"/>
              </w:rPr>
            </w:pPr>
            <w:r>
              <w:rPr>
                <w:sz w:val="20"/>
                <w:szCs w:val="20"/>
                <w:spacing w:val="-3"/>
              </w:rPr>
              <w:t>2A/B</w:t>
            </w:r>
            <w:r>
              <w:rPr>
                <w:sz w:val="20"/>
                <w:szCs w:val="20"/>
              </w:rPr>
              <w:t xml:space="preserve"> </w:t>
            </w:r>
            <w:r>
              <w:rPr>
                <w:rFonts w:ascii="MS Gothic" w:hAnsi="MS Gothic" w:eastAsia="MS Gothic" w:cs="MS Gothic"/>
                <w:sz w:val="20"/>
                <w:szCs w:val="20"/>
              </w:rPr>
              <w:t>↵</w:t>
            </w:r>
          </w:p>
          <w:p>
            <w:pPr>
              <w:pStyle w:val="TableText"/>
              <w:ind w:left="388"/>
              <w:spacing w:line="196" w:lineRule="auto"/>
              <w:rPr>
                <w:sz w:val="20"/>
                <w:szCs w:val="20"/>
              </w:rPr>
            </w:pPr>
            <w:r>
              <w:rPr>
                <w:sz w:val="20"/>
                <w:szCs w:val="20"/>
                <w:spacing w:val="-2"/>
              </w:rPr>
              <w:t>4/B</w:t>
            </w:r>
            <w:r>
              <w:rPr>
                <w:sz w:val="20"/>
                <w:szCs w:val="20"/>
                <w:spacing w:val="2"/>
              </w:rPr>
              <w:t xml:space="preserve">          </w:t>
            </w:r>
            <w:r>
              <w:rPr>
                <w:sz w:val="20"/>
                <w:szCs w:val="20"/>
                <w:spacing w:val="-2"/>
              </w:rPr>
              <w:t>3</w:t>
            </w:r>
          </w:p>
        </w:tc>
      </w:tr>
      <w:tr>
        <w:trPr>
          <w:trHeight w:val="238" w:hRule="atLeast"/>
        </w:trPr>
        <w:tc>
          <w:tcPr>
            <w:tcW w:w="4621" w:type="dxa"/>
            <w:vAlign w:val="top"/>
            <w:tcBorders>
              <w:right w:val="nil"/>
            </w:tcBorders>
          </w:tcPr>
          <w:p>
            <w:pPr>
              <w:pStyle w:val="TableText"/>
              <w:ind w:left="54"/>
              <w:spacing w:before="12" w:line="199" w:lineRule="auto"/>
              <w:rPr>
                <w:sz w:val="20"/>
                <w:szCs w:val="20"/>
              </w:rPr>
            </w:pPr>
            <w:r>
              <w:rPr>
                <w:sz w:val="20"/>
                <w:szCs w:val="20"/>
                <w:spacing w:val="-1"/>
              </w:rPr>
              <w:t>当结石梗阻合并感染，</w:t>
            </w:r>
          </w:p>
        </w:tc>
        <w:tc>
          <w:tcPr>
            <w:tcW w:w="2359" w:type="dxa"/>
            <w:vAlign w:val="top"/>
            <w:tcBorders>
              <w:left w:val="nil"/>
            </w:tcBorders>
          </w:tcPr>
          <w:p>
            <w:pPr>
              <w:pStyle w:val="TableText"/>
              <w:ind w:left="668"/>
              <w:spacing w:before="63" w:line="165" w:lineRule="exact"/>
              <w:rPr>
                <w:sz w:val="20"/>
                <w:szCs w:val="20"/>
              </w:rPr>
            </w:pPr>
            <w:r>
              <w:rPr>
                <w:sz w:val="20"/>
                <w:szCs w:val="20"/>
                <w:spacing w:val="-2"/>
                <w:position w:val="-2"/>
              </w:rPr>
              <w:t>4B</w:t>
            </w:r>
          </w:p>
        </w:tc>
      </w:tr>
      <w:tr>
        <w:trPr>
          <w:trHeight w:val="239" w:hRule="atLeast"/>
        </w:trPr>
        <w:tc>
          <w:tcPr>
            <w:tcW w:w="4621" w:type="dxa"/>
            <w:vAlign w:val="top"/>
            <w:tcBorders>
              <w:right w:val="nil"/>
            </w:tcBorders>
          </w:tcPr>
          <w:p>
            <w:pPr>
              <w:pStyle w:val="TableText"/>
              <w:ind w:left="74"/>
              <w:spacing w:before="24" w:line="189" w:lineRule="auto"/>
              <w:rPr>
                <w:sz w:val="20"/>
                <w:szCs w:val="20"/>
              </w:rPr>
            </w:pPr>
            <w:r>
              <w:rPr>
                <w:sz w:val="20"/>
                <w:szCs w:val="20"/>
              </w:rPr>
              <w:t>当有形成脓肾和尿脓毒症的可能时</w:t>
            </w:r>
          </w:p>
        </w:tc>
        <w:tc>
          <w:tcPr>
            <w:tcW w:w="2359" w:type="dxa"/>
            <w:vAlign w:val="top"/>
            <w:tcBorders>
              <w:left w:val="nil"/>
            </w:tcBorders>
          </w:tcPr>
          <w:p>
            <w:pPr>
              <w:pStyle w:val="TableText"/>
              <w:ind w:left="568"/>
              <w:spacing w:before="19" w:line="193" w:lineRule="auto"/>
              <w:rPr>
                <w:sz w:val="20"/>
                <w:szCs w:val="20"/>
              </w:rPr>
            </w:pPr>
            <w:r>
              <w:rPr>
                <w:sz w:val="20"/>
                <w:szCs w:val="20"/>
                <w:spacing w:val="-2"/>
              </w:rPr>
              <w:t>4/B</w:t>
            </w:r>
          </w:p>
        </w:tc>
      </w:tr>
      <w:tr>
        <w:trPr>
          <w:trHeight w:val="249" w:hRule="atLeast"/>
        </w:trPr>
        <w:tc>
          <w:tcPr>
            <w:tcW w:w="4621" w:type="dxa"/>
            <w:vAlign w:val="top"/>
            <w:tcBorders>
              <w:right w:val="nil"/>
            </w:tcBorders>
          </w:tcPr>
          <w:p>
            <w:pPr>
              <w:pStyle w:val="TableText"/>
              <w:ind w:left="54"/>
              <w:spacing w:before="14" w:line="207" w:lineRule="auto"/>
              <w:rPr>
                <w:sz w:val="20"/>
                <w:szCs w:val="20"/>
              </w:rPr>
            </w:pPr>
            <w:r>
              <w:rPr>
                <w:sz w:val="20"/>
                <w:szCs w:val="20"/>
                <w:spacing w:val="-1"/>
              </w:rPr>
              <w:t>孤立督梗阻</w:t>
            </w:r>
          </w:p>
        </w:tc>
        <w:tc>
          <w:tcPr>
            <w:tcW w:w="2359" w:type="dxa"/>
            <w:vAlign w:val="top"/>
            <w:tcBorders>
              <w:left w:val="nil"/>
            </w:tcBorders>
          </w:tcPr>
          <w:p>
            <w:pPr>
              <w:pStyle w:val="TableText"/>
              <w:ind w:left="568"/>
              <w:spacing w:before="31" w:line="192" w:lineRule="auto"/>
              <w:rPr>
                <w:sz w:val="20"/>
                <w:szCs w:val="20"/>
              </w:rPr>
            </w:pPr>
            <w:r>
              <w:rPr>
                <w:sz w:val="20"/>
                <w:szCs w:val="20"/>
                <w:spacing w:val="-2"/>
              </w:rPr>
              <w:t>4/B</w:t>
            </w:r>
          </w:p>
        </w:tc>
      </w:tr>
      <w:tr>
        <w:trPr>
          <w:trHeight w:val="259" w:hRule="atLeast"/>
        </w:trPr>
        <w:tc>
          <w:tcPr>
            <w:tcW w:w="4621" w:type="dxa"/>
            <w:vAlign w:val="top"/>
            <w:tcBorders>
              <w:right w:val="nil"/>
            </w:tcBorders>
          </w:tcPr>
          <w:p>
            <w:pPr>
              <w:pStyle w:val="TableText"/>
              <w:ind w:left="54"/>
              <w:spacing w:before="16" w:line="215" w:lineRule="auto"/>
              <w:rPr>
                <w:sz w:val="20"/>
                <w:szCs w:val="20"/>
              </w:rPr>
            </w:pPr>
            <w:r>
              <w:rPr>
                <w:sz w:val="20"/>
                <w:szCs w:val="20"/>
                <w:spacing w:val="-2"/>
              </w:rPr>
              <w:t>双肾梗阻</w:t>
            </w:r>
          </w:p>
        </w:tc>
        <w:tc>
          <w:tcPr>
            <w:tcW w:w="2359" w:type="dxa"/>
            <w:vAlign w:val="top"/>
            <w:tcBorders>
              <w:left w:val="nil"/>
            </w:tcBorders>
          </w:tcPr>
          <w:p>
            <w:pPr>
              <w:pStyle w:val="TableText"/>
              <w:ind w:left="568"/>
              <w:spacing w:before="51" w:line="182" w:lineRule="auto"/>
              <w:rPr>
                <w:sz w:val="20"/>
                <w:szCs w:val="20"/>
              </w:rPr>
            </w:pPr>
            <w:r>
              <w:rPr>
                <w:sz w:val="20"/>
                <w:szCs w:val="20"/>
                <w:spacing w:val="-2"/>
              </w:rPr>
              <w:t>4/B</w:t>
            </w:r>
          </w:p>
        </w:tc>
      </w:tr>
      <w:tr>
        <w:trPr>
          <w:trHeight w:val="493" w:hRule="atLeast"/>
        </w:trPr>
        <w:tc>
          <w:tcPr>
            <w:tcW w:w="6980" w:type="dxa"/>
            <w:vAlign w:val="top"/>
            <w:gridSpan w:val="2"/>
          </w:tcPr>
          <w:p>
            <w:pPr>
              <w:pStyle w:val="TableText"/>
              <w:ind w:left="74" w:right="2354" w:firstLine="39"/>
              <w:spacing w:before="56" w:line="197" w:lineRule="auto"/>
              <w:rPr>
                <w:sz w:val="20"/>
                <w:szCs w:val="20"/>
              </w:rPr>
            </w:pPr>
            <w:r>
              <w:rPr>
                <w:sz w:val="20"/>
                <w:szCs w:val="20"/>
              </w:rPr>
              <w:t>*这类患者至少蒙利罗肾逆产管成支架管引旅尿膜。 </w:t>
            </w:r>
            <w:r>
              <w:rPr>
                <w:sz w:val="20"/>
                <w:szCs w:val="20"/>
                <w:spacing w:val="-1"/>
              </w:rPr>
              <w:t>LE=证据的级别；GR=族荐的攀级</w:t>
            </w:r>
          </w:p>
        </w:tc>
      </w:tr>
    </w:tbl>
    <w:p>
      <w:pPr>
        <w:pStyle w:val="BodyText"/>
        <w:ind w:left="979"/>
        <w:spacing w:before="83" w:line="219" w:lineRule="auto"/>
        <w:rPr/>
      </w:pPr>
      <w:r>
        <w:rPr>
          <w:spacing w:val="-1"/>
        </w:rPr>
        <w:t>6.1参考文献</w:t>
      </w:r>
    </w:p>
    <w:p>
      <w:pPr>
        <w:ind w:left="590"/>
        <w:spacing w:before="9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1.Sandegard</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E.Prognosis</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ureter.Acta</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Chir</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Scand  1956;(Suppl</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219):1-67.</w:t>
      </w:r>
    </w:p>
    <w:p>
      <w:pPr>
        <w:ind w:left="590"/>
        <w:spacing w:before="157" w:line="1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spacing w:val="-4"/>
          </w:rPr>
          <w:t>http://www.ncbi.nlm.nih.gov/entrez/query.fcgi?cmd=Retrieve&amp;db=PubMed&amp;list_uids=13394022&amp;dopt=Abstract</w:t>
        </w:r>
      </w:hyperlink>
    </w:p>
    <w:p>
      <w:pPr>
        <w:ind w:left="590" w:right="22"/>
        <w:spacing w:before="136" w:line="2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2.Morse  RM</w:t>
        </w:r>
      </w:hyperlink>
      <w:r>
        <w:rPr>
          <w:rFonts w:ascii="Times New Roman" w:hAnsi="Times New Roman" w:eastAsia="Times New Roman" w:cs="Times New Roman"/>
          <w:sz w:val="21"/>
          <w:szCs w:val="21"/>
        </w:rPr>
        <w:t>,</w:t>
      </w:r>
      <w:hyperlink w:history="true" r:id="rId106">
        <w:r>
          <w:rPr>
            <w:rFonts w:ascii="Times New Roman" w:hAnsi="Times New Roman" w:eastAsia="Times New Roman" w:cs="Times New Roman"/>
            <w:sz w:val="21"/>
            <w:szCs w:val="21"/>
          </w:rPr>
          <w:t>Resnick</w:t>
        </w:r>
      </w:hyperlink>
      <w:r>
        <w:rPr>
          <w:rFonts w:ascii="Times New Roman" w:hAnsi="Times New Roman" w:eastAsia="Times New Roman" w:cs="Times New Roman"/>
          <w:sz w:val="21"/>
          <w:szCs w:val="21"/>
        </w:rPr>
        <w:t xml:space="preserve">  MI.Ureteral  calculi:natural  history  and  treatment</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era</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  advanced </w:t>
      </w:r>
      <w:r>
        <w:rPr>
          <w:rFonts w:ascii="Times New Roman" w:hAnsi="Times New Roman" w:eastAsia="Times New Roman" w:cs="Times New Roman"/>
          <w:sz w:val="21"/>
          <w:szCs w:val="21"/>
          <w:spacing w:val="-1"/>
        </w:rPr>
        <w:t xml:space="preserve"> technology.J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1991;145:263-265.</w:t>
      </w:r>
    </w:p>
    <w:p>
      <w:pPr>
        <w:ind w:left="590"/>
        <w:spacing w:before="83" w:line="1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http://www.ncbi.nlm.nih.gov/entrez/query.fcgi?cmd=Retrieve&amp;db=PubMed&amp;list_uids=1988715&amp;do</w:t>
        </w:r>
        <w:r>
          <w:rPr>
            <w:rFonts w:ascii="Times New Roman" w:hAnsi="Times New Roman" w:eastAsia="Times New Roman" w:cs="Times New Roman"/>
            <w:sz w:val="21"/>
            <w:szCs w:val="21"/>
            <w:spacing w:val="-1"/>
          </w:rPr>
          <w:t>pt=Abstract</w:t>
        </w:r>
      </w:hyperlink>
    </w:p>
    <w:p>
      <w:pPr>
        <w:ind w:left="590" w:right="17"/>
        <w:spacing w:before="148" w:line="311"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3.Ibrahim</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AI</w:t>
        </w:r>
      </w:hyperlink>
      <w:r>
        <w:rPr>
          <w:rFonts w:ascii="Times New Roman" w:hAnsi="Times New Roman" w:eastAsia="Times New Roman" w:cs="Times New Roman"/>
          <w:sz w:val="21"/>
          <w:szCs w:val="21"/>
        </w:rPr>
        <w:t>,</w:t>
      </w:r>
      <w:hyperlink w:history="true" r:id="rId107">
        <w:r>
          <w:rPr>
            <w:rFonts w:ascii="Times New Roman" w:hAnsi="Times New Roman" w:eastAsia="Times New Roman" w:cs="Times New Roman"/>
            <w:sz w:val="21"/>
            <w:szCs w:val="21"/>
          </w:rPr>
          <w:t>Shelty</w:t>
        </w:r>
      </w:hyperlink>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SD,Awad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RM,Patel</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KP.Prognostic</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f</w:t>
      </w:r>
      <w:r>
        <w:rPr>
          <w:rFonts w:ascii="Times New Roman" w:hAnsi="Times New Roman" w:eastAsia="Times New Roman" w:cs="Times New Roman"/>
          <w:sz w:val="21"/>
          <w:szCs w:val="21"/>
          <w:spacing w:val="-1"/>
        </w:rPr>
        <w:t>actors</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conservative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treatment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of  ureteric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stones.BrJ   Urol</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1991;67:358-361.</w:t>
      </w:r>
    </w:p>
    <w:p>
      <w:pPr>
        <w:ind w:left="590"/>
        <w:spacing w:before="33" w:line="1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http://www.ncbi.nlm.nih.gov/entrez/query.fcgi?cmd=Retrieve&amp;db=PubMed&amp;list_uids=2032074&amp;do</w:t>
        </w:r>
        <w:r>
          <w:rPr>
            <w:rFonts w:ascii="Times New Roman" w:hAnsi="Times New Roman" w:eastAsia="Times New Roman" w:cs="Times New Roman"/>
            <w:sz w:val="21"/>
            <w:szCs w:val="21"/>
            <w:spacing w:val="-1"/>
          </w:rPr>
          <w:t>pt=Abstract</w:t>
        </w:r>
      </w:hyperlink>
    </w:p>
    <w:p>
      <w:pPr>
        <w:ind w:left="590"/>
        <w:spacing w:before="146" w:line="313"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spacing w:val="-1"/>
          </w:rPr>
          <w:t>4.Miller</w:t>
        </w:r>
        <w:r>
          <w:rPr>
            <w:rFonts w:ascii="Times New Roman" w:hAnsi="Times New Roman" w:eastAsia="Times New Roman" w:cs="Times New Roman"/>
            <w:sz w:val="21"/>
            <w:szCs w:val="21"/>
            <w:spacing w:val="53"/>
          </w:rPr>
          <w:t xml:space="preserve"> </w:t>
        </w:r>
        <w:r>
          <w:rPr>
            <w:rFonts w:ascii="Times New Roman" w:hAnsi="Times New Roman" w:eastAsia="Times New Roman" w:cs="Times New Roman"/>
            <w:sz w:val="21"/>
            <w:szCs w:val="21"/>
            <w:spacing w:val="-1"/>
          </w:rPr>
          <w:t>OF</w:t>
        </w:r>
      </w:hyperlink>
      <w:r>
        <w:rPr>
          <w:rFonts w:ascii="Times New Roman" w:hAnsi="Times New Roman" w:eastAsia="Times New Roman" w:cs="Times New Roman"/>
          <w:sz w:val="21"/>
          <w:szCs w:val="21"/>
          <w:spacing w:val="-1"/>
        </w:rPr>
        <w:t>,</w:t>
      </w:r>
      <w:hyperlink w:history="true" r:id="rId108">
        <w:r>
          <w:rPr>
            <w:rFonts w:ascii="Times New Roman" w:hAnsi="Times New Roman" w:eastAsia="Times New Roman" w:cs="Times New Roman"/>
            <w:sz w:val="21"/>
            <w:szCs w:val="21"/>
            <w:spacing w:val="-1"/>
          </w:rPr>
          <w:t>Kane</w:t>
        </w:r>
      </w:hyperlink>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CJ.Time</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passage</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observed</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ureteral</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calculi:a</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guide</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patient</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education.J</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1999;162:688-691.</w:t>
      </w:r>
    </w:p>
    <w:sdt>
      <w:sdtPr>
        <w:rPr>
          <w:rFonts w:ascii="Times New Roman" w:hAnsi="Times New Roman" w:eastAsia="Times New Roman" w:cs="Times New Roman"/>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ind w:left="590"/>
            <w:spacing w:before="61" w:line="1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spacing w:val="-4"/>
              </w:rPr>
              <w:t>http://www.ncbi.nlm.nih.govlentrez/query.fcgi?cmd=Retrieve&amp;db=PubMed&amp;list_uids=10458343&amp;dopt=Abstract</w:t>
            </w:r>
          </w:hyperlink>
        </w:p>
        <w:p>
          <w:pPr>
            <w:ind w:left="590"/>
            <w:spacing w:before="157" w:line="1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5.Andersson</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L</w:t>
            </w:r>
          </w:hyperlink>
          <w:r>
            <w:rPr>
              <w:rFonts w:ascii="Times New Roman" w:hAnsi="Times New Roman" w:eastAsia="Times New Roman" w:cs="Times New Roman"/>
              <w:sz w:val="21"/>
              <w:szCs w:val="21"/>
            </w:rPr>
            <w:t>,</w:t>
          </w:r>
          <w:hyperlink w:history="true" r:id="rId109">
            <w:r>
              <w:rPr>
                <w:rFonts w:ascii="Times New Roman" w:hAnsi="Times New Roman" w:eastAsia="Times New Roman" w:cs="Times New Roman"/>
                <w:sz w:val="21"/>
                <w:szCs w:val="21"/>
              </w:rPr>
              <w:t>Sylven</w:t>
            </w:r>
          </w:hyperlink>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M.Small</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renal</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calicea</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calculi</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as</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cause</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of pain.J</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Urol  1983;130:752-753.</w:t>
          </w:r>
        </w:p>
        <w:p>
          <w:pPr>
            <w:ind w:left="590"/>
            <w:spacing w:before="147" w:line="1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http://www.ncbi.nlm.nih.gov/entrez/query.fegi?cmd=Retrieve&amp;db=pubmed&amp;dopt=Abstract&amp;list_u</w:t>
            </w:r>
            <w:r>
              <w:rPr>
                <w:rFonts w:ascii="Times New Roman" w:hAnsi="Times New Roman" w:eastAsia="Times New Roman" w:cs="Times New Roman"/>
                <w:sz w:val="21"/>
                <w:szCs w:val="21"/>
                <w:spacing w:val="-1"/>
              </w:rPr>
              <w:t>ids=6887409</w:t>
            </w:r>
          </w:hyperlink>
        </w:p>
        <w:p>
          <w:pPr>
            <w:ind w:right="19"/>
            <w:spacing w:before="137" w:line="192" w:lineRule="auto"/>
            <w:jc w:val="right"/>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6.Psihramis   KE</w:t>
            </w:r>
          </w:hyperlink>
          <w:r>
            <w:rPr>
              <w:rFonts w:ascii="Times New Roman" w:hAnsi="Times New Roman" w:eastAsia="Times New Roman" w:cs="Times New Roman"/>
              <w:sz w:val="21"/>
              <w:szCs w:val="21"/>
            </w:rPr>
            <w:t>,</w:t>
          </w:r>
          <w:hyperlink w:history="true" r:id="rId110">
            <w:r>
              <w:rPr>
                <w:rFonts w:ascii="Times New Roman" w:hAnsi="Times New Roman" w:eastAsia="Times New Roman" w:cs="Times New Roman"/>
                <w:sz w:val="21"/>
                <w:szCs w:val="21"/>
              </w:rPr>
              <w:t>Dretler</w:t>
            </w:r>
          </w:hyperlink>
          <w:r>
            <w:rPr>
              <w:rFonts w:ascii="Times New Roman" w:hAnsi="Times New Roman" w:eastAsia="Times New Roman" w:cs="Times New Roman"/>
              <w:sz w:val="21"/>
              <w:szCs w:val="21"/>
            </w:rPr>
            <w:t xml:space="preserve">   SP.Extracorporeal   shock   wave   lithotripsy   of   cal</w:t>
          </w:r>
          <w:r>
            <w:rPr>
              <w:rFonts w:ascii="Times New Roman" w:hAnsi="Times New Roman" w:eastAsia="Times New Roman" w:cs="Times New Roman"/>
              <w:sz w:val="21"/>
              <w:szCs w:val="21"/>
              <w:spacing w:val="-1"/>
            </w:rPr>
            <w:t>iceal   diverticula   calculi.J   Urol</w:t>
          </w:r>
        </w:p>
      </w:sdtContent>
    </w:sdt>
    <w:p>
      <w:pPr>
        <w:ind w:left="590"/>
        <w:spacing w:before="14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1987;138:707-711.</w:t>
      </w:r>
    </w:p>
    <w:p>
      <w:pPr>
        <w:ind w:left="590"/>
        <w:spacing w:before="156" w:line="1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http://www.ncbi.nlm.nih.govlentrez/query.fcgi?cmd=Retrieve&amp;db=pubmed&amp;dopt=Abstract&amp;list_u</w:t>
        </w:r>
        <w:r>
          <w:rPr>
            <w:rFonts w:ascii="Times New Roman" w:hAnsi="Times New Roman" w:eastAsia="Times New Roman" w:cs="Times New Roman"/>
            <w:sz w:val="21"/>
            <w:szCs w:val="21"/>
            <w:spacing w:val="-1"/>
          </w:rPr>
          <w:t>ids=3116280</w:t>
        </w:r>
      </w:hyperlink>
    </w:p>
    <w:p>
      <w:pPr>
        <w:ind w:left="590" w:right="130"/>
        <w:spacing w:before="127" w:line="275"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spacing w:val="-1"/>
          </w:rPr>
          <w:t>7.Coury TA</w:t>
        </w:r>
      </w:hyperlink>
      <w:r>
        <w:rPr>
          <w:rFonts w:ascii="Times New Roman" w:hAnsi="Times New Roman" w:eastAsia="Times New Roman" w:cs="Times New Roman"/>
          <w:sz w:val="21"/>
          <w:szCs w:val="21"/>
          <w:spacing w:val="-1"/>
        </w:rPr>
        <w:t>,</w:t>
      </w:r>
      <w:hyperlink w:history="true" r:id="rId111">
        <w:r>
          <w:rPr>
            <w:rFonts w:ascii="Times New Roman" w:hAnsi="Times New Roman" w:eastAsia="Times New Roman" w:cs="Times New Roman"/>
            <w:sz w:val="21"/>
            <w:szCs w:val="21"/>
            <w:spacing w:val="-1"/>
          </w:rPr>
          <w:t>Sonda LP</w:t>
        </w:r>
      </w:hyperlink>
      <w:r>
        <w:rPr>
          <w:rFonts w:ascii="Times New Roman" w:hAnsi="Times New Roman" w:eastAsia="Times New Roman" w:cs="Times New Roman"/>
          <w:sz w:val="21"/>
          <w:szCs w:val="21"/>
          <w:spacing w:val="-1"/>
        </w:rPr>
        <w:t>,</w:t>
      </w:r>
      <w:hyperlink w:history="true" r:id="rId112">
        <w:r>
          <w:rPr>
            <w:rFonts w:ascii="Times New Roman" w:hAnsi="Times New Roman" w:eastAsia="Times New Roman" w:cs="Times New Roman"/>
            <w:sz w:val="21"/>
            <w:szCs w:val="21"/>
            <w:spacing w:val="-1"/>
          </w:rPr>
          <w:t>Lingeman JE</w:t>
        </w:r>
      </w:hyperlink>
      <w:r>
        <w:rPr>
          <w:rFonts w:ascii="Times New Roman" w:hAnsi="Times New Roman" w:eastAsia="Times New Roman" w:cs="Times New Roman"/>
          <w:sz w:val="21"/>
          <w:szCs w:val="21"/>
          <w:spacing w:val="-1"/>
        </w:rPr>
        <w:t>,</w:t>
      </w:r>
      <w:hyperlink w:history="true" r:id="rId113">
        <w:r>
          <w:rPr>
            <w:rFonts w:ascii="Times New Roman" w:hAnsi="Times New Roman" w:eastAsia="Times New Roman" w:cs="Times New Roman"/>
            <w:sz w:val="21"/>
            <w:szCs w:val="21"/>
            <w:spacing w:val="-1"/>
          </w:rPr>
          <w:t>Kahnoski RJ.Treatment o</w:t>
        </w:r>
        <w:r>
          <w:rPr>
            <w:rFonts w:ascii="Times New Roman" w:hAnsi="Times New Roman" w:eastAsia="Times New Roman" w:cs="Times New Roman"/>
            <w:sz w:val="21"/>
            <w:szCs w:val="21"/>
            <w:spacing w:val="-2"/>
          </w:rPr>
          <w:t>f</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painful caliceal stones.Urology</w:t>
        </w:r>
      </w:hyperlink>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1988;32:119-123.</w:t>
      </w:r>
      <w:r>
        <w:rPr>
          <w:rFonts w:ascii="Times New Roman" w:hAnsi="Times New Roman" w:eastAsia="Times New Roman" w:cs="Times New Roman"/>
          <w:sz w:val="21"/>
          <w:szCs w:val="21"/>
        </w:rPr>
        <w:t xml:space="preserve">  </w:t>
      </w:r>
      <w:hyperlink w:history="true" r:id="rId105">
        <w:r>
          <w:rPr>
            <w:rFonts w:ascii="Times New Roman" w:hAnsi="Times New Roman" w:eastAsia="Times New Roman" w:cs="Times New Roman"/>
            <w:sz w:val="21"/>
            <w:szCs w:val="21"/>
          </w:rPr>
          <w:t>http://www.ncbi.nlm.nih.govlentrez/query.fcgi?cmd=Retrieve&amp;db=pubmed&amp;dopt=Abstract&amp;list_u</w:t>
        </w:r>
        <w:r>
          <w:rPr>
            <w:rFonts w:ascii="Times New Roman" w:hAnsi="Times New Roman" w:eastAsia="Times New Roman" w:cs="Times New Roman"/>
            <w:sz w:val="21"/>
            <w:szCs w:val="21"/>
            <w:spacing w:val="-1"/>
          </w:rPr>
          <w:t>ids=3400135</w:t>
        </w:r>
      </w:hyperlink>
    </w:p>
    <w:p>
      <w:pPr>
        <w:ind w:left="590" w:right="20"/>
        <w:spacing w:before="116" w:line="280"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8.Lee</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MH</w:t>
        </w:r>
      </w:hyperlink>
      <w:r>
        <w:rPr>
          <w:rFonts w:ascii="Times New Roman" w:hAnsi="Times New Roman" w:eastAsia="Times New Roman" w:cs="Times New Roman"/>
          <w:sz w:val="21"/>
          <w:szCs w:val="21"/>
        </w:rPr>
        <w:t>,</w:t>
      </w:r>
      <w:hyperlink w:history="true" r:id="rId114">
        <w:r>
          <w:rPr>
            <w:rFonts w:ascii="Times New Roman" w:hAnsi="Times New Roman" w:eastAsia="Times New Roman" w:cs="Times New Roman"/>
            <w:sz w:val="21"/>
            <w:szCs w:val="21"/>
          </w:rPr>
          <w:t>Lee</w:t>
        </w:r>
      </w:hyperlink>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YH,Chen</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MT,Huang  JK,Chang  LS.Management  of</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pain</w:t>
      </w:r>
      <w:r>
        <w:rPr>
          <w:rFonts w:ascii="Times New Roman" w:hAnsi="Times New Roman" w:eastAsia="Times New Roman" w:cs="Times New Roman"/>
          <w:sz w:val="21"/>
          <w:szCs w:val="21"/>
          <w:spacing w:val="-1"/>
        </w:rPr>
        <w:t>ful  caliceal  stones  by  extracorporeal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shock</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wave</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lithotripsy.Eur</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Urol  1</w:t>
      </w:r>
      <w:r>
        <w:rPr>
          <w:rFonts w:ascii="Times New Roman" w:hAnsi="Times New Roman" w:eastAsia="Times New Roman" w:cs="Times New Roman"/>
          <w:sz w:val="21"/>
          <w:szCs w:val="21"/>
          <w:spacing w:val="-1"/>
        </w:rPr>
        <w:t>990;18:211-214.</w:t>
      </w:r>
    </w:p>
    <w:p>
      <w:pPr>
        <w:ind w:left="590"/>
        <w:spacing w:before="147" w:line="1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http://www.ncbi.nlm.nih.govlentrezlquery.fcgi?cmd=Retrieve&amp;db=pubmed&amp;dopt=Abstract&amp;list_u</w:t>
        </w:r>
        <w:r>
          <w:rPr>
            <w:rFonts w:ascii="Times New Roman" w:hAnsi="Times New Roman" w:eastAsia="Times New Roman" w:cs="Times New Roman"/>
            <w:sz w:val="21"/>
            <w:szCs w:val="21"/>
            <w:spacing w:val="-1"/>
          </w:rPr>
          <w:t>ids=2261935</w:t>
        </w:r>
      </w:hyperlink>
    </w:p>
    <w:sdt>
      <w:sdtPr>
        <w:rPr>
          <w:rFonts w:ascii="Times New Roman" w:hAnsi="Times New Roman" w:eastAsia="Times New Roman" w:cs="Times New Roman"/>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ind w:left="590"/>
            <w:spacing w:before="167" w:line="1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spacing w:val="1"/>
              </w:rPr>
              <w:t>9.H</w:t>
            </w:r>
          </w:hyperlink>
          <w:r>
            <w:rPr>
              <w:rFonts w:ascii="Times New Roman" w:hAnsi="Times New Roman" w:eastAsia="Times New Roman" w:cs="Times New Roman"/>
              <w:sz w:val="21"/>
              <w:szCs w:val="21"/>
              <w:spacing w:val="1"/>
            </w:rPr>
            <w:t>ü</w:t>
          </w:r>
          <w:hyperlink w:history="true" r:id="rId115">
            <w:r>
              <w:rPr>
                <w:rFonts w:ascii="Times New Roman" w:hAnsi="Times New Roman" w:eastAsia="Times New Roman" w:cs="Times New Roman"/>
                <w:sz w:val="21"/>
                <w:szCs w:val="21"/>
              </w:rPr>
              <w:t>bner</w:t>
            </w:r>
          </w:hyperlink>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W</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Porpaczy</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caliceal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calculi</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Br</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Urol</w:t>
          </w:r>
          <w:r>
            <w:rPr>
              <w:rFonts w:ascii="Times New Roman" w:hAnsi="Times New Roman" w:eastAsia="Times New Roman" w:cs="Times New Roman"/>
              <w:sz w:val="21"/>
              <w:szCs w:val="21"/>
              <w:spacing w:val="1"/>
            </w:rPr>
            <w:t>1990</w:t>
          </w:r>
          <w:r>
            <w:rPr>
              <w:rFonts w:ascii="Times New Roman" w:hAnsi="Times New Roman" w:eastAsia="Times New Roman" w:cs="Times New Roman"/>
              <w:sz w:val="21"/>
              <w:szCs w:val="21"/>
            </w:rPr>
            <w:t>;66:9-11.</w:t>
          </w:r>
        </w:p>
        <w:p>
          <w:pPr>
            <w:ind w:left="590"/>
            <w:spacing w:before="117" w:line="1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http://www.ncbi.nlm.nih.gov/entrezlquery  fcgi?cmd=Retrieve&amp;db=pubmed&amp;dopt=Abstract&amp;list_ui</w:t>
            </w:r>
            <w:r>
              <w:rPr>
                <w:rFonts w:ascii="Times New Roman" w:hAnsi="Times New Roman" w:eastAsia="Times New Roman" w:cs="Times New Roman"/>
                <w:sz w:val="21"/>
                <w:szCs w:val="21"/>
                <w:spacing w:val="-1"/>
              </w:rPr>
              <w:t>ds=2393803</w:t>
            </w:r>
          </w:hyperlink>
        </w:p>
        <w:p>
          <w:pPr>
            <w:ind w:right="6"/>
            <w:spacing w:before="147" w:line="192" w:lineRule="auto"/>
            <w:jc w:val="right"/>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10.Streem  SB</w:t>
            </w:r>
          </w:hyperlink>
          <w:r>
            <w:rPr>
              <w:rFonts w:ascii="Times New Roman" w:hAnsi="Times New Roman" w:eastAsia="Times New Roman" w:cs="Times New Roman"/>
              <w:sz w:val="21"/>
              <w:szCs w:val="21"/>
            </w:rPr>
            <w:t>,</w:t>
          </w:r>
          <w:hyperlink w:history="true" r:id="rId91">
            <w:r>
              <w:rPr>
                <w:rFonts w:ascii="Times New Roman" w:hAnsi="Times New Roman" w:eastAsia="Times New Roman" w:cs="Times New Roman"/>
                <w:sz w:val="21"/>
                <w:szCs w:val="21"/>
              </w:rPr>
              <w:t>Yost</w:t>
            </w:r>
          </w:hyperlink>
          <w:r>
            <w:rPr>
              <w:rFonts w:ascii="Times New Roman" w:hAnsi="Times New Roman" w:eastAsia="Times New Roman" w:cs="Times New Roman"/>
              <w:sz w:val="21"/>
              <w:szCs w:val="21"/>
            </w:rPr>
            <w:t xml:space="preserve">  A.Treatment  of  caliceal  diverticular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calculi  w</w:t>
          </w:r>
          <w:r>
            <w:rPr>
              <w:rFonts w:ascii="Times New Roman" w:hAnsi="Times New Roman" w:eastAsia="Times New Roman" w:cs="Times New Roman"/>
              <w:sz w:val="21"/>
              <w:szCs w:val="21"/>
              <w:spacing w:val="-1"/>
            </w:rPr>
            <w:t>ith</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extracorporeal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lithotripsy:</w:t>
          </w:r>
        </w:p>
      </w:sdtContent>
    </w:sdt>
    <w:p>
      <w:pPr>
        <w:ind w:left="590"/>
        <w:spacing w:before="16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patient</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selection</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e</w:t>
      </w:r>
      <w:r>
        <w:rPr>
          <w:rFonts w:ascii="Times New Roman" w:hAnsi="Times New Roman" w:eastAsia="Times New Roman" w:cs="Times New Roman"/>
          <w:sz w:val="21"/>
          <w:szCs w:val="21"/>
          <w:spacing w:val="-1"/>
        </w:rPr>
        <w:t>xtended</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followup.J</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Urol  1992;148:1043-1046.</w:t>
      </w:r>
    </w:p>
    <w:p>
      <w:pPr>
        <w:ind w:left="590"/>
        <w:spacing w:before="136" w:line="19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ids=1507327</w:t>
        </w:r>
      </w:hyperlink>
    </w:p>
    <w:p>
      <w:pPr>
        <w:ind w:left="690" w:right="20" w:hanging="100"/>
        <w:spacing w:before="117" w:line="352" w:lineRule="auto"/>
        <w:rPr>
          <w:rFonts w:ascii="Times New Roman" w:hAnsi="Times New Roman" w:eastAsia="Times New Roman" w:cs="Times New Roman"/>
          <w:sz w:val="21"/>
          <w:szCs w:val="21"/>
        </w:rPr>
      </w:pPr>
      <w:hyperlink w:history="true" r:id="rId105">
        <w:r>
          <w:rPr>
            <w:rFonts w:ascii="Times New Roman" w:hAnsi="Times New Roman" w:eastAsia="Times New Roman" w:cs="Times New Roman"/>
            <w:sz w:val="21"/>
            <w:szCs w:val="21"/>
          </w:rPr>
          <w:t>11.Brandt    B</w:t>
        </w:r>
      </w:hyperlink>
      <w:r>
        <w:rPr>
          <w:rFonts w:ascii="Times New Roman" w:hAnsi="Times New Roman" w:eastAsia="Times New Roman" w:cs="Times New Roman"/>
          <w:sz w:val="21"/>
          <w:szCs w:val="21"/>
        </w:rPr>
        <w:t>,</w:t>
      </w:r>
      <w:hyperlink w:history="true" r:id="rId116">
        <w:r>
          <w:rPr>
            <w:rFonts w:ascii="Times New Roman" w:hAnsi="Times New Roman" w:eastAsia="Times New Roman" w:cs="Times New Roman"/>
            <w:sz w:val="21"/>
            <w:szCs w:val="21"/>
          </w:rPr>
          <w:t>Ostri</w:t>
        </w:r>
      </w:hyperlink>
      <w:r>
        <w:rPr>
          <w:rFonts w:ascii="Times New Roman" w:hAnsi="Times New Roman" w:eastAsia="Times New Roman" w:cs="Times New Roman"/>
          <w:sz w:val="21"/>
          <w:szCs w:val="21"/>
        </w:rPr>
        <w:t xml:space="preserve">    P,Lange    P,Kvist     Kristensen    J.Painful    caliceal     </w:t>
      </w:r>
      <w:r>
        <w:rPr>
          <w:rFonts w:ascii="Times New Roman" w:hAnsi="Times New Roman" w:eastAsia="Times New Roman" w:cs="Times New Roman"/>
          <w:sz w:val="21"/>
          <w:szCs w:val="21"/>
          <w:spacing w:val="-1"/>
        </w:rPr>
        <w:t>calculi.The    treatment    of    small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nonobstructing</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caliceal</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calculi</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i</w:t>
      </w:r>
      <w:r>
        <w:rPr>
          <w:rFonts w:ascii="Times New Roman" w:hAnsi="Times New Roman" w:eastAsia="Times New Roman" w:cs="Times New Roman"/>
          <w:sz w:val="21"/>
          <w:szCs w:val="21"/>
          <w:spacing w:val="-1"/>
        </w:rPr>
        <w:t>n</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patients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symptoms.Scand</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Nephrol</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1993;27:75-76.</w:t>
      </w:r>
    </w:p>
    <w:p>
      <w:pPr>
        <w:ind w:left="590"/>
        <w:spacing w:before="12" w:line="192" w:lineRule="auto"/>
        <w:rPr>
          <w:rFonts w:ascii="Times New Roman" w:hAnsi="Times New Roman" w:eastAsia="Times New Roman" w:cs="Times New Roman"/>
          <w:sz w:val="21"/>
          <w:szCs w:val="21"/>
        </w:rPr>
      </w:pPr>
      <w:hyperlink w:history="true" r:id="rId117">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ids=8493473</w:t>
        </w:r>
      </w:hyperlink>
    </w:p>
    <w:p>
      <w:pPr>
        <w:ind w:left="5150"/>
        <w:spacing w:before="23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—197—</w:t>
      </w:r>
    </w:p>
    <w:p>
      <w:pPr>
        <w:spacing w:line="282"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4">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sectPr>
      <w:pgSz w:w="11850" w:h="16140"/>
      <w:pgMar w:top="400" w:right="1285" w:bottom="0" w:left="38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STXingkai">
    <w:panose1 w:val="02010800040101010101"/>
    <w:charset w:val="86"/>
    <w:family w:val="auto"/>
    <w:pitch w:val="variable"/>
    <w:sig w:usb0="00000001" w:usb1="080F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 w:name="MS Gothic">
    <w:panose1 w:val="020B0609070205080204"/>
    <w:charset w:val="86"/>
    <w:family w:val="auto"/>
    <w:pitch w:val="default"/>
    <w:sig w:usb0="E00002FF" w:usb1="6AC7FDFB" w:usb2="08000012" w:usb3="00000000" w:csb0="4002009F" w:csb1="DFD70000"/>
  </w:font>
  <w:font w:name="LiSu">
    <w:panose1 w:val="02010509060101010101"/>
    <w:charset w:val="86"/>
    <w:family w:val="auto"/>
    <w:pitch w:val="default"/>
    <w:sig w:usb0="00000001" w:usb1="080E0000" w:usb2="00000000" w:usb3="00000000" w:csb0="00040000"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1"/>
      <w:spacing w:line="204" w:lineRule="auto"/>
      <w:rPr>
        <w:sz w:val="21"/>
        <w:szCs w:val="21"/>
      </w:rPr>
    </w:pPr>
    <w:r>
      <w:drawing>
        <wp:anchor distT="0" distB="0" distL="0" distR="0" simplePos="0" relativeHeight="251658240" behindDoc="1" locked="0" layoutInCell="1" allowOverlap="1">
          <wp:simplePos x="0" y="0"/>
          <wp:positionH relativeFrom="column">
            <wp:posOffset>368260</wp:posOffset>
          </wp:positionH>
          <wp:positionV relativeFrom="paragraph">
            <wp:posOffset>132864</wp:posOffset>
          </wp:positionV>
          <wp:extent cx="1562138" cy="6667"/>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1562138" cy="6667"/>
                  </a:xfrm>
                  <a:prstGeom prst="rect">
                    <a:avLst/>
                  </a:prstGeom>
                </pic:spPr>
              </pic:pic>
            </a:graphicData>
          </a:graphic>
        </wp:anchor>
      </w:drawing>
    </w:r>
    <w:r>
      <w:rPr>
        <w:rFonts w:ascii="STXingkai" w:hAnsi="STXingkai" w:eastAsia="STXingkai" w:cs="STXingkai"/>
        <w:sz w:val="21"/>
        <w:szCs w:val="21"/>
        <w:b/>
        <w:bCs/>
        <w:spacing w:val="-26"/>
      </w:rPr>
      <w:t>附</w:t>
    </w:r>
    <w:r>
      <w:rPr>
        <w:rFonts w:ascii="STXingkai" w:hAnsi="STXingkai" w:eastAsia="STXingkai" w:cs="STXingkai"/>
        <w:sz w:val="21"/>
        <w:szCs w:val="21"/>
        <w:spacing w:val="-26"/>
      </w:rPr>
      <w:t xml:space="preserve">      </w:t>
    </w:r>
    <w:r>
      <w:rPr>
        <w:rFonts w:ascii="STXingkai" w:hAnsi="STXingkai" w:eastAsia="STXingkai" w:cs="STXingkai"/>
        <w:sz w:val="21"/>
        <w:szCs w:val="21"/>
        <w:b/>
        <w:bCs/>
        <w:spacing w:val="-26"/>
      </w:rPr>
      <w:t>灵</w:t>
    </w:r>
    <w:r>
      <w:rPr>
        <w:rFonts w:ascii="STXingkai" w:hAnsi="STXingkai" w:eastAsia="STXingkai" w:cs="STXingkai"/>
        <w:sz w:val="21"/>
        <w:szCs w:val="21"/>
        <w:spacing w:val="11"/>
      </w:rPr>
      <w:t xml:space="preserve">     </w:t>
    </w:r>
    <w:r>
      <w:rPr>
        <w:rFonts w:ascii="STXingkai" w:hAnsi="STXingkai" w:eastAsia="STXingkai" w:cs="STXingkai"/>
        <w:sz w:val="21"/>
        <w:szCs w:val="21"/>
        <w:b/>
        <w:bCs/>
        <w:spacing w:val="-26"/>
      </w:rPr>
      <w:t>·</w:t>
    </w:r>
    <w:r>
      <w:rPr>
        <w:rFonts w:ascii="STXingkai" w:hAnsi="STXingkai" w:eastAsia="STXingkai" w:cs="STXingkai"/>
        <w:sz w:val="21"/>
        <w:szCs w:val="21"/>
        <w:spacing w:val="11"/>
      </w:rPr>
      <w:t xml:space="preserve">    </w:t>
    </w:r>
    <w:r>
      <w:rPr>
        <w:rFonts w:ascii="STXingkai" w:hAnsi="STXingkai" w:eastAsia="STXingkai" w:cs="STXingkai"/>
        <w:sz w:val="21"/>
        <w:szCs w:val="21"/>
        <w:b/>
        <w:bCs/>
        <w:spacing w:val="-26"/>
      </w:rPr>
      <w:t>指</w:t>
    </w:r>
    <w:r>
      <w:rPr>
        <w:rFonts w:ascii="STXingkai" w:hAnsi="STXingkai" w:eastAsia="STXingkai" w:cs="STXingkai"/>
        <w:sz w:val="21"/>
        <w:szCs w:val="21"/>
        <w:spacing w:val="10"/>
      </w:rPr>
      <w:t xml:space="preserve">    </w:t>
    </w:r>
    <w:r>
      <w:rPr>
        <w:rFonts w:ascii="STXingkai" w:hAnsi="STXingkai" w:eastAsia="STXingkai" w:cs="STXingkai"/>
        <w:sz w:val="21"/>
        <w:szCs w:val="21"/>
        <w:b/>
        <w:bCs/>
        <w:spacing w:val="-26"/>
      </w:rPr>
      <w:t>直</w:t>
    </w:r>
    <w:r>
      <w:rPr>
        <w:rFonts w:ascii="STXingkai" w:hAnsi="STXingkai" w:eastAsia="STXingkai" w:cs="STXingkai"/>
        <w:sz w:val="21"/>
        <w:szCs w:val="21"/>
        <w:spacing w:val="3"/>
      </w:rPr>
      <w:t xml:space="preserve">  </w:t>
    </w:r>
    <w:r>
      <w:rPr>
        <w:sz w:val="21"/>
        <w:szCs w:val="21"/>
        <w:position w:val="-17"/>
      </w:rPr>
      <w:drawing>
        <wp:inline distT="0" distB="0" distL="0" distR="0">
          <wp:extent cx="228601" cy="203137"/>
          <wp:effectExtent l="0" t="0" r="0" b="0"/>
          <wp:docPr id="16" name="IM 16"/>
          <wp:cNvGraphicFramePr/>
          <a:graphic>
            <a:graphicData uri="http://schemas.openxmlformats.org/drawingml/2006/picture">
              <pic:pic>
                <pic:nvPicPr>
                  <pic:cNvPr id="16" name="IM 16"/>
                  <pic:cNvPicPr/>
                </pic:nvPicPr>
                <pic:blipFill>
                  <a:blip r:embed="rId2"/>
                  <a:stretch>
                    <a:fillRect/>
                  </a:stretch>
                </pic:blipFill>
                <pic:spPr>
                  <a:xfrm rot="0">
                    <a:off x="0" y="0"/>
                    <a:ext cx="228601" cy="203137"/>
                  </a:xfrm>
                  <a:prstGeom prst="rect">
                    <a:avLst/>
                  </a:prstGeom>
                </pic:spPr>
              </pic:pic>
            </a:graphicData>
          </a:graphic>
        </wp:inline>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28"/>
      <w:spacing w:before="121" w:line="112" w:lineRule="exact"/>
      <w:rPr>
        <w:rFonts w:ascii="STXingkai" w:hAnsi="STXingkai" w:eastAsia="STXingkai" w:cs="STXingkai"/>
        <w:sz w:val="8"/>
        <w:szCs w:val="8"/>
      </w:rPr>
    </w:pPr>
    <w:r>
      <w:drawing>
        <wp:anchor distT="0" distB="0" distL="0" distR="0" simplePos="0" relativeHeight="251662336" behindDoc="0" locked="0" layoutInCell="1" allowOverlap="1">
          <wp:simplePos x="0" y="0"/>
          <wp:positionH relativeFrom="column">
            <wp:posOffset>241318</wp:posOffset>
          </wp:positionH>
          <wp:positionV relativeFrom="paragraph">
            <wp:posOffset>128038</wp:posOffset>
          </wp:positionV>
          <wp:extent cx="1555742" cy="6350"/>
          <wp:effectExtent l="0" t="0" r="0" b="0"/>
          <wp:wrapNone/>
          <wp:docPr id="36" name="IM 36"/>
          <wp:cNvGraphicFramePr/>
          <a:graphic>
            <a:graphicData uri="http://schemas.openxmlformats.org/drawingml/2006/picture">
              <pic:pic>
                <pic:nvPicPr>
                  <pic:cNvPr id="36" name="IM 36"/>
                  <pic:cNvPicPr/>
                </pic:nvPicPr>
                <pic:blipFill>
                  <a:blip r:embed="rId1"/>
                  <a:stretch>
                    <a:fillRect/>
                  </a:stretch>
                </pic:blipFill>
                <pic:spPr>
                  <a:xfrm rot="0">
                    <a:off x="0" y="0"/>
                    <a:ext cx="1555742" cy="6350"/>
                  </a:xfrm>
                  <a:prstGeom prst="rect">
                    <a:avLst/>
                  </a:prstGeom>
                </pic:spPr>
              </pic:pic>
            </a:graphicData>
          </a:graphic>
        </wp:anchor>
      </w:drawing>
    </w:r>
    <w:r>
      <w:pict>
        <v:shape id="_x0000_s10" style="position:absolute;margin-left:115.125pt;margin-top:5.45575pt;mso-position-vertical-relative:text;mso-position-horizontal-relative:text;width:5.5pt;height:6.65pt;z-index:251660288;" filled="false" stroked="false" type="#_x0000_t202">
          <v:fill on="false"/>
          <v:stroke on="false"/>
          <v:path/>
          <v:imagedata o:title=""/>
          <o:lock v:ext="edit" aspectratio="false"/>
          <v:textbox inset="0mm,0mm,0mm,0mm">
            <w:txbxContent>
              <w:p>
                <w:pPr>
                  <w:ind w:left="20"/>
                  <w:spacing w:before="20" w:line="202" w:lineRule="auto"/>
                  <w:rPr>
                    <w:rFonts w:ascii="STXingkai" w:hAnsi="STXingkai" w:eastAsia="STXingkai" w:cs="STXingkai"/>
                    <w:sz w:val="8"/>
                    <w:szCs w:val="8"/>
                  </w:rPr>
                </w:pPr>
                <w:r>
                  <w:rPr>
                    <w:rFonts w:ascii="STXingkai" w:hAnsi="STXingkai" w:eastAsia="STXingkai" w:cs="STXingkai"/>
                    <w:sz w:val="8"/>
                    <w:szCs w:val="8"/>
                    <w:b/>
                    <w:bCs/>
                    <w:spacing w:val="-1"/>
                  </w:rPr>
                  <w:t>指</w:t>
                </w:r>
              </w:p>
            </w:txbxContent>
          </v:textbox>
        </v:shape>
      </w:pict>
    </w:r>
    <w:r>
      <w:pict>
        <v:shape id="_x0000_s12" style="position:absolute;margin-left:40.5065pt;margin-top:5.54773pt;mso-position-vertical-relative:text;mso-position-horizontal-relative:text;width:5.4pt;height:6.55pt;z-index:251659264;" filled="false" stroked="false" type="#_x0000_t202">
          <v:fill on="false"/>
          <v:stroke on="false"/>
          <v:path/>
          <v:imagedata o:title=""/>
          <o:lock v:ext="edit" aspectratio="false"/>
          <v:textbox inset="0mm,0mm,0mm,0mm">
            <w:txbxContent>
              <w:p>
                <w:pPr>
                  <w:ind w:left="20"/>
                  <w:spacing w:before="20" w:line="198" w:lineRule="auto"/>
                  <w:rPr>
                    <w:rFonts w:ascii="STXingkai" w:hAnsi="STXingkai" w:eastAsia="STXingkai" w:cs="STXingkai"/>
                    <w:sz w:val="8"/>
                    <w:szCs w:val="8"/>
                  </w:rPr>
                </w:pPr>
                <w:r>
                  <w:rPr>
                    <w:rFonts w:ascii="STXingkai" w:hAnsi="STXingkai" w:eastAsia="STXingkai" w:cs="STXingkai"/>
                    <w:sz w:val="8"/>
                    <w:szCs w:val="8"/>
                    <w:b/>
                    <w:bCs/>
                    <w:spacing w:val="-1"/>
                  </w:rPr>
                  <w:t>附</w:t>
                </w:r>
              </w:p>
            </w:txbxContent>
          </v:textbox>
        </v:shape>
      </w:pict>
    </w:r>
    <w:r>
      <w:pict>
        <v:shape id="_x0000_s14" style="position:absolute;margin-left:91.4085pt;margin-top:6.76373pt;mso-position-vertical-relative:text;mso-position-horizontal-relative:text;width:4.3pt;height:5.3pt;z-index:251661312;" filled="false" stroked="false" type="#_x0000_t202">
          <v:fill on="false"/>
          <v:stroke on="false"/>
          <v:path/>
          <v:imagedata o:title=""/>
          <o:lock v:ext="edit" aspectratio="false"/>
          <v:textbox inset="0mm,0mm,0mm,0mm">
            <w:txbxContent>
              <w:p>
                <w:pPr>
                  <w:spacing w:before="20" w:line="65" w:lineRule="exact"/>
                  <w:jc w:val="right"/>
                  <w:rPr>
                    <w:rFonts w:ascii="STXingkai" w:hAnsi="STXingkai" w:eastAsia="STXingkai" w:cs="STXingkai"/>
                    <w:sz w:val="8"/>
                    <w:szCs w:val="8"/>
                  </w:rPr>
                </w:pPr>
                <w:r>
                  <w:rPr>
                    <w:rFonts w:ascii="STXingkai" w:hAnsi="STXingkai" w:eastAsia="STXingkai" w:cs="STXingkai"/>
                    <w:sz w:val="8"/>
                    <w:szCs w:val="8"/>
                    <w:b/>
                    <w:bCs/>
                    <w:spacing w:val="-35"/>
                  </w:rPr>
                  <w:t>·</w:t>
                </w:r>
              </w:p>
            </w:txbxContent>
          </v:textbox>
        </v:shape>
      </w:pict>
    </w:r>
    <w:r>
      <w:drawing>
        <wp:anchor distT="0" distB="0" distL="0" distR="0" simplePos="0" relativeHeight="251663360" behindDoc="0" locked="0" layoutInCell="0" allowOverlap="1">
          <wp:simplePos x="0" y="0"/>
          <wp:positionH relativeFrom="page">
            <wp:posOffset>1987587</wp:posOffset>
          </wp:positionH>
          <wp:positionV relativeFrom="page">
            <wp:posOffset>469912</wp:posOffset>
          </wp:positionV>
          <wp:extent cx="228526" cy="209487"/>
          <wp:effectExtent l="0" t="0" r="0" b="0"/>
          <wp:wrapNone/>
          <wp:docPr id="38" name="IM 38"/>
          <wp:cNvGraphicFramePr/>
          <a:graphic>
            <a:graphicData uri="http://schemas.openxmlformats.org/drawingml/2006/picture">
              <pic:pic>
                <pic:nvPicPr>
                  <pic:cNvPr id="38" name="IM 38"/>
                  <pic:cNvPicPr/>
                </pic:nvPicPr>
                <pic:blipFill>
                  <a:blip r:embed="rId2"/>
                  <a:stretch>
                    <a:fillRect/>
                  </a:stretch>
                </pic:blipFill>
                <pic:spPr>
                  <a:xfrm rot="0">
                    <a:off x="0" y="0"/>
                    <a:ext cx="228526" cy="209487"/>
                  </a:xfrm>
                  <a:prstGeom prst="rect">
                    <a:avLst/>
                  </a:prstGeom>
                </pic:spPr>
              </pic:pic>
            </a:graphicData>
          </a:graphic>
        </wp:anchor>
      </w:drawing>
    </w:r>
    <w:r>
      <w:rPr>
        <w:rFonts w:ascii="STXingkai" w:hAnsi="STXingkai" w:eastAsia="STXingkai" w:cs="STXingkai"/>
        <w:sz w:val="8"/>
        <w:szCs w:val="8"/>
        <w:b/>
        <w:bCs/>
        <w:spacing w:val="-1"/>
        <w:position w:val="1"/>
      </w:rPr>
      <w:t>录</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yperlink" Target="http://www.ncbi.nlm.nih.gov/entrez/query.fcgi?cmd=Retrieve&amp;db=pubmed&amp;dopt=Abstract&amp;list_uids=85297322.LundstamSO" TargetMode="External"/><Relationship Id="rId98" Type="http://schemas.openxmlformats.org/officeDocument/2006/relationships/image" Target="media/image36.jpeg"/><Relationship Id="rId97" Type="http://schemas.openxmlformats.org/officeDocument/2006/relationships/image" Target="media/image35.jpeg"/><Relationship Id="rId96" Type="http://schemas.openxmlformats.org/officeDocument/2006/relationships/hyperlink" Target="Griffith" TargetMode="External"/><Relationship Id="rId95" Type="http://schemas.openxmlformats.org/officeDocument/2006/relationships/hyperlink" Target="http://www.ncbi.nlm.nih.govlentrez/query.fcgi?cmd=Retrieve&amp;db=pubmed&amp;dopt=Abstract&amp;list_uids=126004312.AckermannD" TargetMode="External"/><Relationship Id="rId94" Type="http://schemas.openxmlformats.org/officeDocument/2006/relationships/image" Target="media/image34.jpeg"/><Relationship Id="rId93" Type="http://schemas.openxmlformats.org/officeDocument/2006/relationships/hyperlink" Target="36:363-370" TargetMode="External"/><Relationship Id="rId92" Type="http://schemas.openxmlformats.org/officeDocument/2006/relationships/hyperlink" Target="Hanak" TargetMode="External"/><Relationship Id="rId91" Type="http://schemas.openxmlformats.org/officeDocument/2006/relationships/hyperlink" Target="Yost" TargetMode="External"/><Relationship Id="rId90" Type="http://schemas.openxmlformats.org/officeDocument/2006/relationships/hyperlink" Target="Pak" TargetMode="External"/><Relationship Id="rId9" Type="http://schemas.openxmlformats.org/officeDocument/2006/relationships/image" Target="media/image6.jpeg"/><Relationship Id="rId89" Type="http://schemas.openxmlformats.org/officeDocument/2006/relationships/hyperlink" Target="http://www.ncbi.nlm.nih.gov/entrez/query.fcgi?cmd=Retrieve&amp;db=PubMed&amp;list_uids=9224301&amp;dopt=Abstract37.PacikD" TargetMode="External"/><Relationship Id="rId88" Type="http://schemas.openxmlformats.org/officeDocument/2006/relationships/image" Target="media/image33.jpeg"/><Relationship Id="rId87" Type="http://schemas.openxmlformats.org/officeDocument/2006/relationships/hyperlink" Target="Walser" TargetMode="External"/><Relationship Id="rId86" Type="http://schemas.openxmlformats.org/officeDocument/2006/relationships/hyperlink" Target="Andre" TargetMode="External"/><Relationship Id="rId85" Type="http://schemas.openxmlformats.org/officeDocument/2006/relationships/hyperlink" Target="D" TargetMode="External"/><Relationship Id="rId84" Type="http://schemas.openxmlformats.org/officeDocument/2006/relationships/hyperlink" Target="Sharp" TargetMode="External"/><Relationship Id="rId83" Type="http://schemas.openxmlformats.org/officeDocument/2006/relationships/hyperlink" Target="Buck" TargetMode="External"/><Relationship Id="rId82" Type="http://schemas.openxmlformats.org/officeDocument/2006/relationships/hyperlink" Target="19:839" TargetMode="External"/><Relationship Id="rId81" Type="http://schemas.openxmlformats.org/officeDocument/2006/relationships/hyperlink" Target="141:723-730" TargetMode="External"/><Relationship Id="rId80" Type="http://schemas.openxmlformats.org/officeDocument/2006/relationships/hyperlink" Target="Pepersack" TargetMode="External"/><Relationship Id="rId8" Type="http://schemas.openxmlformats.org/officeDocument/2006/relationships/image" Target="media/image5.jpeg"/><Relationship Id="rId79" Type="http://schemas.openxmlformats.org/officeDocument/2006/relationships/hyperlink" Target="Sutton" TargetMode="External"/><Relationship Id="rId78" Type="http://schemas.openxmlformats.org/officeDocument/2006/relationships/hyperlink" Target="http://www.ncbi.nlm.nih.gov/entrez/query.fcgi?cmd=Retrieve&amp;db=PubMed&amp;list_uids=2918615&amp;dopt=Abstract22.ThomasWCJr.Urinarycalculiinhypercalcemicstates.EndocrinolMetabClinNorthAm1990" TargetMode="External"/><Relationship Id="rId77" Type="http://schemas.openxmlformats.org/officeDocument/2006/relationships/image" Target="media/image32.jpeg"/><Relationship Id="rId76" Type="http://schemas.openxmlformats.org/officeDocument/2006/relationships/hyperlink" Target="http://www.ncbi.nlm.nih.gov/entrez/query.fcgi?cmd=Retrieve&amp;db=PubMed&amp;list_uids=2926870&amp;dopt=Abstract" TargetMode="External"/><Relationship Id="rId75" Type="http://schemas.openxmlformats.org/officeDocument/2006/relationships/hyperlink" Target="http://www.ncbi.nlm.nih.gov/entrez/query.fcgi?cmd=Retrieve&amp;db=PubMed&amp;list_uids=3388639&amp;dopt=Abstract" TargetMode="External"/><Relationship Id="rId74" Type="http://schemas.openxmlformats.org/officeDocument/2006/relationships/hyperlink" Target="http://www.ncbi.nlm.nih.gov/entrez/query.fcgi?cmd=Retrieve&amp;db=PubMed&amp;list_uids=6243755&amp;dopt=Abstract" TargetMode="External"/><Relationship Id="rId73" Type="http://schemas.openxmlformats.org/officeDocument/2006/relationships/hyperlink" Target="http://www.ncbi.nlm.nih.gov/entrez/query.fcgi?cmd=Retrieve&amp;db=PubMed&amp;list_uids=9428428&amp;dopt=Abstract" TargetMode="External"/><Relationship Id="rId72" Type="http://schemas.openxmlformats.org/officeDocument/2006/relationships/hyperlink" Target="http://www.ncbi.nlm.nih.govlentrez/query.fcgi?cmd=Retrieve&amp;db=PubMed&amp;list_uids=9228725&amp;dopt=Abstract" TargetMode="External"/><Relationship Id="rId71" Type="http://schemas.openxmlformats.org/officeDocument/2006/relationships/hyperlink" Target="http://www.ncbi.nlm.nih.gov/entrez/query.fcgi?cmd=Retrieve&amp;db=PubMed&amp;list_uids=1781112&amp;dopt=Abstract" TargetMode="External"/><Relationship Id="rId70" Type="http://schemas.openxmlformats.org/officeDocument/2006/relationships/hyperlink" Target="http://www.ncbi.nlm.nih.gov/entrez/query.fcgi?cmd=Retrieve&amp;db=PubMed&amp;list_uids=6547093&amp;dopt=Abstract" TargetMode="External"/><Relationship Id="rId7" Type="http://schemas.openxmlformats.org/officeDocument/2006/relationships/image" Target="media/image4.jpeg"/><Relationship Id="rId69" Type="http://schemas.openxmlformats.org/officeDocument/2006/relationships/hyperlink" Target="http://www.ncbi.nlm.nih.govlentrez/query.fcgi?cmd=Retrieve&amp;db=PubMed&amp;list_uids=7105424&amp;dopt=Abstract" TargetMode="External"/><Relationship Id="rId68" Type="http://schemas.openxmlformats.org/officeDocument/2006/relationships/hyperlink" Target="http://www.ncbi.nlm.nih.gov/entrez/query.fcgi?cmd=Retrieve&amp;db=PubMed&amp;list_uids=9358216&amp;dopt=Abstract" TargetMode="External"/><Relationship Id="rId67" Type="http://schemas.openxmlformats.org/officeDocument/2006/relationships/image" Target="media/image31.jpeg"/><Relationship Id="rId66" Type="http://schemas.openxmlformats.org/officeDocument/2006/relationships/hyperlink" Target="http://www.ncbi.nlm.nih.gov/entrez/query.fcgi?cmd=Retrieve&amp;db=PubMed&amp;list_uids=9373919&amp;dopt=Abstract" TargetMode="External"/><Relationship Id="rId65" Type="http://schemas.openxmlformats.org/officeDocument/2006/relationships/hyperlink" Target="http://www.ncbi.nlm.nih.gov/entrez/query.fcgi?cmd=Retrieve&amp;db=PubMed&amp;list_uids=3690199&amp;dopt=Abstract" TargetMode="External"/><Relationship Id="rId64" Type="http://schemas.openxmlformats.org/officeDocument/2006/relationships/hyperlink" Target="http://www.ncbi.nlm.nih.govlentrez/query.fcgi?cmd=Retrieve&amp;db=PubMed&amp;list_uids=9555561&amp;dopt=Abstract" TargetMode="External"/><Relationship Id="rId63" Type="http://schemas.openxmlformats.org/officeDocument/2006/relationships/hyperlink" Target="http://www.ncbi.nlm.nih.gov/entrez/query.fcgi?cmd=Retrieve&amp;db=PubMed&amp;list_uids=9249770&amp;dopt=Abstract" TargetMode="External"/><Relationship Id="rId62" Type="http://schemas.openxmlformats.org/officeDocument/2006/relationships/hyperlink" Target="http://www.ncbi.nlm.nih.gov/entrez/query.fcgi?cmd=Retrieve&amp;db=PubMed&amp;list_uids=8042263&amp;dopt=Abstract" TargetMode="External"/><Relationship Id="rId61" Type="http://schemas.openxmlformats.org/officeDocument/2006/relationships/image" Target="media/image30.jpeg"/><Relationship Id="rId60" Type="http://schemas.openxmlformats.org/officeDocument/2006/relationships/image" Target="media/image29.jpeg"/><Relationship Id="rId6" Type="http://schemas.openxmlformats.org/officeDocument/2006/relationships/image" Target="media/image3.jpeg"/><Relationship Id="rId59" Type="http://schemas.openxmlformats.org/officeDocument/2006/relationships/image" Target="media/image28.jpeg"/><Relationship Id="rId58" Type="http://schemas.openxmlformats.org/officeDocument/2006/relationships/image" Target="media/image27.jpeg"/><Relationship Id="rId57" Type="http://schemas.openxmlformats.org/officeDocument/2006/relationships/image" Target="media/image26.png"/><Relationship Id="rId56" Type="http://schemas.openxmlformats.org/officeDocument/2006/relationships/image" Target="media/image25.jpeg"/><Relationship Id="rId55" Type="http://schemas.openxmlformats.org/officeDocument/2006/relationships/image" Target="media/image24.png"/><Relationship Id="rId54" Type="http://schemas.openxmlformats.org/officeDocument/2006/relationships/hyperlink" Target="Harris" TargetMode="External"/><Relationship Id="rId53" Type="http://schemas.openxmlformats.org/officeDocument/2006/relationships/hyperlink" Target="Blaschke" TargetMode="External"/><Relationship Id="rId52" Type="http://schemas.openxmlformats.org/officeDocument/2006/relationships/hyperlink" Target="17:85" TargetMode="External"/><Relationship Id="rId51" Type="http://schemas.openxmlformats.org/officeDocument/2006/relationships/hyperlink" Target="Jungers" TargetMode="External"/><Relationship Id="rId50" Type="http://schemas.openxmlformats.org/officeDocument/2006/relationships/hyperlink" Target="88545-562" TargetMode="External"/><Relationship Id="rId5" Type="http://schemas.openxmlformats.org/officeDocument/2006/relationships/header" Target="header2.xml"/><Relationship Id="rId49" Type="http://schemas.openxmlformats.org/officeDocument/2006/relationships/hyperlink" Target="http://www.ncbi.nlm.nih.gov/entrez/query.fcgi?cmd=Retrieve&amp;db=PubMed&amp;list_uids=2237297&amp;dopt=Abstract6.BrandE" TargetMode="External"/><Relationship Id="rId48" Type="http://schemas.openxmlformats.org/officeDocument/2006/relationships/image" Target="media/image23.jpeg"/><Relationship Id="rId47" Type="http://schemas.openxmlformats.org/officeDocument/2006/relationships/image" Target="media/image22.jpeg"/><Relationship Id="rId46" Type="http://schemas.openxmlformats.org/officeDocument/2006/relationships/hyperlink" Target="http://www.ncbi.nlm.nih.gov/entrezlquery.fcgi?cmd=Retrieve&amp;db=pubmed&amp;dopt=Abstract&amp;list_uids=10900277" TargetMode="External"/><Relationship Id="rId45" Type="http://schemas.openxmlformats.org/officeDocument/2006/relationships/hyperlink" Target="Van" TargetMode="External"/><Relationship Id="rId44" Type="http://schemas.openxmlformats.org/officeDocument/2006/relationships/hyperlink" Target="Gault" TargetMode="External"/><Relationship Id="rId43" Type="http://schemas.openxmlformats.org/officeDocument/2006/relationships/hyperlink" Target="Thompson" TargetMode="External"/><Relationship Id="rId42" Type="http://schemas.openxmlformats.org/officeDocument/2006/relationships/hyperlink" Target="Gilbert" TargetMode="External"/><Relationship Id="rId41" Type="http://schemas.openxmlformats.org/officeDocument/2006/relationships/hyperlink" Target="Gaines" TargetMode="External"/><Relationship Id="rId40" Type="http://schemas.openxmlformats.org/officeDocument/2006/relationships/hyperlink" Target="Cleveland.T" TargetMode="External"/><Relationship Id="rId4" Type="http://schemas.openxmlformats.org/officeDocument/2006/relationships/hyperlink" Target="http://www.cnki.net" TargetMode="External"/><Relationship Id="rId39" Type="http://schemas.openxmlformats.org/officeDocument/2006/relationships/hyperlink" Target="Morcos" TargetMode="External"/><Relationship Id="rId38" Type="http://schemas.openxmlformats.org/officeDocument/2006/relationships/hyperlink" Target="Thomsen" TargetMode="External"/><Relationship Id="rId37" Type="http://schemas.openxmlformats.org/officeDocument/2006/relationships/hyperlink" Target="170:803" TargetMode="External"/><Relationship Id="rId36" Type="http://schemas.openxmlformats.org/officeDocument/2006/relationships/hyperlink" Target="Jeffrey" TargetMode="External"/><Relationship Id="rId35" Type="http://schemas.openxmlformats.org/officeDocument/2006/relationships/hyperlink" Target="http://www.ncbi.nlm.nih.govlentrez/query.fcgi?cmd=Retrieve&amp;db=pubmed&amp;dopt=Abstract&amp;list_uids=98365419.DalrympleNC" TargetMode="External"/><Relationship Id="rId34" Type="http://schemas.openxmlformats.org/officeDocument/2006/relationships/image" Target="media/image21.jpeg"/><Relationship Id="rId33" Type="http://schemas.openxmlformats.org/officeDocument/2006/relationships/hyperlink" Target="Rinner" TargetMode="External"/><Relationship Id="rId32" Type="http://schemas.openxmlformats.org/officeDocument/2006/relationships/hyperlink" Target="Ward" TargetMode="External"/><Relationship Id="rId31" Type="http://schemas.openxmlformats.org/officeDocument/2006/relationships/hyperlink" Target="Abdulmaaboud" TargetMode="External"/><Relationship Id="rId30" Type="http://schemas.openxmlformats.org/officeDocument/2006/relationships/hyperlink" Target="Davies-Payne" TargetMode="External"/><Relationship Id="rId3" Type="http://schemas.openxmlformats.org/officeDocument/2006/relationships/image" Target="media/image2.jpeg"/><Relationship Id="rId29" Type="http://schemas.openxmlformats.org/officeDocument/2006/relationships/hyperlink" Target="Vanninen" TargetMode="External"/><Relationship Id="rId28" Type="http://schemas.openxmlformats.org/officeDocument/2006/relationships/hyperlink" Target="Nishizawa" TargetMode="External"/><Relationship Id="rId27" Type="http://schemas.openxmlformats.org/officeDocument/2006/relationships/hyperlink" Target="Verga" TargetMode="External"/><Relationship Id="rId26" Type="http://schemas.openxmlformats.org/officeDocument/2006/relationships/hyperlink" Target="http://www.ncbi.nlm.nih.govlentrezlquery.fcgi?cmd=Retrieve&amp;db=pubmed&amp;dopt=Abstract&amp;list_uids=115317506.ShokeirAA" TargetMode="External"/><Relationship Id="rId25" Type="http://schemas.openxmlformats.org/officeDocument/2006/relationships/image" Target="media/image20.png"/><Relationship Id="rId24" Type="http://schemas.openxmlformats.org/officeDocument/2006/relationships/header" Target="header4.xml"/><Relationship Id="rId23" Type="http://schemas.openxmlformats.org/officeDocument/2006/relationships/hyperlink" Target="http://www.ncbi.n1m.nih.gov/entrez/query.fcgi?cmd=Retrieve&amp;db=pubmed&amp;dopt=Abstract&amp;list_uids=11713390" TargetMode="Externa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image" Target="media/image1.jpeg"/><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hyperlink" Target="http:/1www.ncbi.n1m.nih.gov/entrez1query.fcgi?" TargetMode="External"/><Relationship Id="rId14" Type="http://schemas.openxmlformats.org/officeDocument/2006/relationships/hyperlink" Target="http://www.uroweb.org/files/uploaded_files/urolithiasis.pdf" TargetMode="External"/><Relationship Id="rId13" Type="http://schemas.openxmlformats.org/officeDocument/2006/relationships/hyperlink" Target="http://www.ahcpr.gov/" TargetMode="External"/><Relationship Id="rId120" Type="http://schemas.openxmlformats.org/officeDocument/2006/relationships/fontTable" Target="fontTable.xml"/><Relationship Id="rId12" Type="http://schemas.openxmlformats.org/officeDocument/2006/relationships/image" Target="media/image10.png"/><Relationship Id="rId119" Type="http://schemas.openxmlformats.org/officeDocument/2006/relationships/styles" Target="styles.xml"/><Relationship Id="rId118" Type="http://schemas.openxmlformats.org/officeDocument/2006/relationships/settings" Target="settings.xml"/><Relationship Id="rId117" Type="http://schemas.openxmlformats.org/officeDocument/2006/relationships/hyperlink" Target="http://www.ncbi.nlm.nih.gov/entrez/query.fcgi?cmd=Retrieve&amp;db=pubmed&amp;dopt=Abstract&amp;list_uids=8493473" TargetMode="External"/><Relationship Id="rId116" Type="http://schemas.openxmlformats.org/officeDocument/2006/relationships/hyperlink" Target="Ostri" TargetMode="External"/><Relationship Id="rId115" Type="http://schemas.openxmlformats.org/officeDocument/2006/relationships/hyperlink" Target="bner" TargetMode="External"/><Relationship Id="rId114" Type="http://schemas.openxmlformats.org/officeDocument/2006/relationships/hyperlink" Target="Lee" TargetMode="External"/><Relationship Id="rId113" Type="http://schemas.openxmlformats.org/officeDocument/2006/relationships/hyperlink" Target="KahnoskiRJ.Treatmentofpainfulcalicealstones.Urology" TargetMode="External"/><Relationship Id="rId112" Type="http://schemas.openxmlformats.org/officeDocument/2006/relationships/hyperlink" Target="LingemanJE" TargetMode="External"/><Relationship Id="rId111" Type="http://schemas.openxmlformats.org/officeDocument/2006/relationships/hyperlink" Target="SondaLP" TargetMode="External"/><Relationship Id="rId110" Type="http://schemas.openxmlformats.org/officeDocument/2006/relationships/hyperlink" Target="Dretler" TargetMode="External"/><Relationship Id="rId11" Type="http://schemas.openxmlformats.org/officeDocument/2006/relationships/image" Target="media/image9.jpeg"/><Relationship Id="rId109" Type="http://schemas.openxmlformats.org/officeDocument/2006/relationships/hyperlink" Target="Sylven" TargetMode="External"/><Relationship Id="rId108" Type="http://schemas.openxmlformats.org/officeDocument/2006/relationships/hyperlink" Target="Kane" TargetMode="External"/><Relationship Id="rId107" Type="http://schemas.openxmlformats.org/officeDocument/2006/relationships/hyperlink" Target="Shelty" TargetMode="External"/><Relationship Id="rId106" Type="http://schemas.openxmlformats.org/officeDocument/2006/relationships/hyperlink" Target="Resnick" TargetMode="External"/><Relationship Id="rId105" Type="http://schemas.openxmlformats.org/officeDocument/2006/relationships/hyperlink" Target="http://www.ncbi.nlm.nih.gov/entrez/query.fcgi?cmd=Retrieve&amp;db=PubMed&amp;list_uids=2032074&amp;dopt=Abstract4.MillerOF" TargetMode="External"/><Relationship Id="rId104" Type="http://schemas.openxmlformats.org/officeDocument/2006/relationships/image" Target="media/image38.jpeg"/><Relationship Id="rId103" Type="http://schemas.openxmlformats.org/officeDocument/2006/relationships/image" Target="media/image37.jpeg"/><Relationship Id="rId102" Type="http://schemas.openxmlformats.org/officeDocument/2006/relationships/hyperlink" Target="Hafner" TargetMode="External"/><Relationship Id="rId101" Type="http://schemas.openxmlformats.org/officeDocument/2006/relationships/hyperlink" Target="W?hlander" TargetMode="External"/><Relationship Id="rId100" Type="http://schemas.openxmlformats.org/officeDocument/2006/relationships/hyperlink" Target="Leissner" TargetMode="External"/><Relationship Id="rId10" Type="http://schemas.openxmlformats.org/officeDocument/2006/relationships/header" Target="header3.xml"/><Relationship Id="rId1" Type="http://schemas.openxmlformats.org/officeDocument/2006/relationships/header" Target="header1.xml"/></Relationships>
</file>

<file path=word/_rels/header3.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_rels/header4.xml.rels><?xml version="1.0" encoding="UTF-8" standalone="yes"?>
<Relationships xmlns="http://schemas.openxmlformats.org/package/2006/relationships"><Relationship Id="rId2" Type="http://schemas.openxmlformats.org/officeDocument/2006/relationships/image" Target="media/image19.jpeg"/><Relationship Id="rId1" Type="http://schemas.openxmlformats.org/officeDocument/2006/relationships/image" Target="media/image18.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2025-10-28T21:34:08Z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2025-10-28T21:34:14</vt:filetime>
  </property>
  <property fmtid="{D5CDD505-2E9C-101B-9397-08002B2CF9AE}" pid="4" name="UsrData">
    <vt:lpwstr>6900c64b6b974f001fc277a1wl</vt:lpwstr>
  </property>
</Properties>
</file>